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Default Extension="png" ContentType="image/png"/>
  <Default Extension="jpeg" ContentType="image/jpeg"/>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rFonts w:ascii="Times New Roman"/>
          <w:sz w:val="26"/>
        </w:rPr>
      </w:pPr>
    </w:p>
    <w:p>
      <w:pPr>
        <w:tabs>
          <w:tab w:pos="4968" w:val="left" w:leader="none"/>
          <w:tab w:pos="9399" w:val="left" w:leader="none"/>
        </w:tabs>
        <w:spacing w:line="423" w:lineRule="exact" w:before="0"/>
        <w:ind w:left="3848" w:right="0" w:firstLine="0"/>
        <w:jc w:val="left"/>
        <w:rPr>
          <w:rFonts w:ascii="Times New Roman" w:eastAsia="Times New Roman"/>
          <w:b/>
          <w:sz w:val="21"/>
        </w:rPr>
      </w:pPr>
      <w:r>
        <w:rPr>
          <w:sz w:val="21"/>
        </w:rPr>
        <w:t>表</w:t>
      </w:r>
      <w:r>
        <w:rPr>
          <w:spacing w:val="7"/>
          <w:sz w:val="21"/>
        </w:rPr>
        <w:t> </w:t>
      </w:r>
      <w:r>
        <w:rPr>
          <w:rFonts w:ascii="Times New Roman" w:eastAsia="Times New Roman"/>
          <w:b/>
          <w:sz w:val="21"/>
        </w:rPr>
        <w:t>4.10-14</w:t>
        <w:tab/>
      </w:r>
      <w:r>
        <w:rPr>
          <w:sz w:val="21"/>
        </w:rPr>
        <w:t>本项目废气污染物排放（有组织</w:t>
      </w:r>
      <w:r>
        <w:rPr>
          <w:spacing w:val="-3"/>
          <w:sz w:val="21"/>
        </w:rPr>
        <w:t>）</w:t>
      </w:r>
      <w:r>
        <w:rPr>
          <w:sz w:val="21"/>
        </w:rPr>
        <w:t>汇</w:t>
      </w:r>
      <w:r>
        <w:rPr>
          <w:spacing w:val="-3"/>
          <w:sz w:val="21"/>
        </w:rPr>
        <w:t>总</w:t>
      </w:r>
      <w:r>
        <w:rPr>
          <w:sz w:val="21"/>
        </w:rPr>
        <w:t>一览表</w:t>
        <w:tab/>
      </w:r>
      <w:r>
        <w:rPr>
          <w:rFonts w:ascii="Times New Roman" w:eastAsia="Times New Roman"/>
          <w:b/>
          <w:sz w:val="21"/>
        </w:rPr>
        <w:t>t/a</w:t>
      </w:r>
    </w:p>
    <w:p>
      <w:pPr>
        <w:pStyle w:val="BodyText"/>
        <w:spacing w:before="4"/>
        <w:rPr>
          <w:rFonts w:ascii="Times New Roman"/>
          <w:b/>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5"/>
        <w:gridCol w:w="1699"/>
        <w:gridCol w:w="768"/>
        <w:gridCol w:w="772"/>
        <w:gridCol w:w="770"/>
        <w:gridCol w:w="768"/>
        <w:gridCol w:w="770"/>
        <w:gridCol w:w="768"/>
        <w:gridCol w:w="770"/>
        <w:gridCol w:w="768"/>
        <w:gridCol w:w="768"/>
        <w:gridCol w:w="771"/>
        <w:gridCol w:w="768"/>
        <w:gridCol w:w="770"/>
        <w:gridCol w:w="768"/>
        <w:gridCol w:w="768"/>
      </w:tblGrid>
      <w:tr>
        <w:trPr>
          <w:trHeight w:val="340" w:hRule="atLeast"/>
        </w:trPr>
        <w:tc>
          <w:tcPr>
            <w:tcW w:w="785" w:type="dxa"/>
            <w:vMerge w:val="restart"/>
            <w:tcBorders>
              <w:right w:val="single" w:sz="8" w:space="0" w:color="000000"/>
            </w:tcBorders>
          </w:tcPr>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spacing w:before="1"/>
              <w:jc w:val="left"/>
              <w:rPr>
                <w:rFonts w:ascii="Times New Roman"/>
                <w:b/>
                <w:sz w:val="14"/>
              </w:rPr>
            </w:pPr>
          </w:p>
          <w:p>
            <w:pPr>
              <w:pStyle w:val="TableParagraph"/>
              <w:spacing w:before="1"/>
              <w:ind w:left="117"/>
              <w:jc w:val="left"/>
              <w:rPr>
                <w:sz w:val="18"/>
              </w:rPr>
            </w:pPr>
            <w:r>
              <w:rPr>
                <w:sz w:val="18"/>
              </w:rPr>
              <w:t>有组织</w:t>
            </w:r>
          </w:p>
        </w:tc>
        <w:tc>
          <w:tcPr>
            <w:tcW w:w="1699" w:type="dxa"/>
            <w:vMerge w:val="restart"/>
            <w:tcBorders>
              <w:top w:val="single" w:sz="8" w:space="0" w:color="000000"/>
              <w:left w:val="single" w:sz="8" w:space="0" w:color="000000"/>
            </w:tcBorders>
          </w:tcPr>
          <w:p>
            <w:pPr>
              <w:pStyle w:val="TableParagraph"/>
              <w:spacing w:before="148"/>
              <w:ind w:left="45" w:right="36"/>
              <w:rPr>
                <w:sz w:val="18"/>
              </w:rPr>
            </w:pPr>
            <w:r>
              <w:rPr>
                <w:sz w:val="18"/>
              </w:rPr>
              <w:t>项目</w:t>
            </w:r>
          </w:p>
        </w:tc>
        <w:tc>
          <w:tcPr>
            <w:tcW w:w="1540" w:type="dxa"/>
            <w:gridSpan w:val="2"/>
          </w:tcPr>
          <w:p>
            <w:pPr>
              <w:pStyle w:val="TableParagraph"/>
              <w:spacing w:line="320" w:lineRule="exact"/>
              <w:ind w:left="431"/>
              <w:jc w:val="left"/>
              <w:rPr>
                <w:rFonts w:ascii="Times New Roman" w:eastAsia="Times New Roman"/>
                <w:sz w:val="18"/>
              </w:rPr>
            </w:pPr>
            <w:r>
              <w:rPr>
                <w:sz w:val="18"/>
              </w:rPr>
              <w:t>排气筒 </w:t>
            </w:r>
            <w:r>
              <w:rPr>
                <w:rFonts w:ascii="Times New Roman" w:eastAsia="Times New Roman"/>
                <w:sz w:val="18"/>
              </w:rPr>
              <w:t>1</w:t>
            </w:r>
          </w:p>
        </w:tc>
        <w:tc>
          <w:tcPr>
            <w:tcW w:w="1538" w:type="dxa"/>
            <w:gridSpan w:val="2"/>
          </w:tcPr>
          <w:p>
            <w:pPr>
              <w:pStyle w:val="TableParagraph"/>
              <w:spacing w:line="320" w:lineRule="exact"/>
              <w:ind w:left="433"/>
              <w:jc w:val="left"/>
              <w:rPr>
                <w:rFonts w:ascii="Times New Roman" w:eastAsia="Times New Roman"/>
                <w:sz w:val="18"/>
              </w:rPr>
            </w:pPr>
            <w:r>
              <w:rPr>
                <w:sz w:val="18"/>
              </w:rPr>
              <w:t>排气筒 </w:t>
            </w:r>
            <w:r>
              <w:rPr>
                <w:rFonts w:ascii="Times New Roman" w:eastAsia="Times New Roman"/>
                <w:sz w:val="18"/>
              </w:rPr>
              <w:t>2</w:t>
            </w:r>
          </w:p>
        </w:tc>
        <w:tc>
          <w:tcPr>
            <w:tcW w:w="1538" w:type="dxa"/>
            <w:gridSpan w:val="2"/>
            <w:tcBorders>
              <w:right w:val="single" w:sz="8" w:space="0" w:color="000000"/>
            </w:tcBorders>
          </w:tcPr>
          <w:p>
            <w:pPr>
              <w:pStyle w:val="TableParagraph"/>
              <w:spacing w:line="320" w:lineRule="exact"/>
              <w:ind w:left="431"/>
              <w:jc w:val="left"/>
              <w:rPr>
                <w:rFonts w:ascii="Times New Roman" w:eastAsia="Times New Roman"/>
                <w:sz w:val="18"/>
              </w:rPr>
            </w:pPr>
            <w:r>
              <w:rPr>
                <w:sz w:val="18"/>
              </w:rPr>
              <w:t>排气筒 </w:t>
            </w:r>
            <w:r>
              <w:rPr>
                <w:rFonts w:ascii="Times New Roman" w:eastAsia="Times New Roman"/>
                <w:sz w:val="18"/>
              </w:rPr>
              <w:t>3</w:t>
            </w:r>
          </w:p>
        </w:tc>
        <w:tc>
          <w:tcPr>
            <w:tcW w:w="1538" w:type="dxa"/>
            <w:gridSpan w:val="2"/>
            <w:tcBorders>
              <w:left w:val="single" w:sz="8" w:space="0" w:color="000000"/>
            </w:tcBorders>
          </w:tcPr>
          <w:p>
            <w:pPr>
              <w:pStyle w:val="TableParagraph"/>
              <w:spacing w:line="320" w:lineRule="exact"/>
              <w:ind w:left="431"/>
              <w:jc w:val="left"/>
              <w:rPr>
                <w:rFonts w:ascii="Times New Roman" w:eastAsia="Times New Roman"/>
                <w:sz w:val="18"/>
              </w:rPr>
            </w:pPr>
            <w:r>
              <w:rPr>
                <w:sz w:val="18"/>
              </w:rPr>
              <w:t>排气筒 </w:t>
            </w:r>
            <w:r>
              <w:rPr>
                <w:rFonts w:ascii="Times New Roman" w:eastAsia="Times New Roman"/>
                <w:sz w:val="18"/>
              </w:rPr>
              <w:t>4</w:t>
            </w:r>
          </w:p>
        </w:tc>
        <w:tc>
          <w:tcPr>
            <w:tcW w:w="1539" w:type="dxa"/>
            <w:gridSpan w:val="2"/>
          </w:tcPr>
          <w:p>
            <w:pPr>
              <w:pStyle w:val="TableParagraph"/>
              <w:spacing w:line="320" w:lineRule="exact"/>
              <w:ind w:left="434"/>
              <w:jc w:val="left"/>
              <w:rPr>
                <w:rFonts w:ascii="Times New Roman" w:eastAsia="Times New Roman"/>
                <w:sz w:val="18"/>
              </w:rPr>
            </w:pPr>
            <w:r>
              <w:rPr>
                <w:sz w:val="18"/>
              </w:rPr>
              <w:t>排气筒 </w:t>
            </w:r>
            <w:r>
              <w:rPr>
                <w:rFonts w:ascii="Times New Roman" w:eastAsia="Times New Roman"/>
                <w:sz w:val="18"/>
              </w:rPr>
              <w:t>5</w:t>
            </w:r>
          </w:p>
        </w:tc>
        <w:tc>
          <w:tcPr>
            <w:tcW w:w="1538" w:type="dxa"/>
            <w:gridSpan w:val="2"/>
          </w:tcPr>
          <w:p>
            <w:pPr>
              <w:pStyle w:val="TableParagraph"/>
              <w:spacing w:line="320" w:lineRule="exact"/>
              <w:ind w:left="434"/>
              <w:jc w:val="left"/>
              <w:rPr>
                <w:rFonts w:ascii="Times New Roman" w:eastAsia="Times New Roman"/>
                <w:sz w:val="18"/>
              </w:rPr>
            </w:pPr>
            <w:r>
              <w:rPr>
                <w:sz w:val="18"/>
              </w:rPr>
              <w:t>排气筒 </w:t>
            </w:r>
            <w:r>
              <w:rPr>
                <w:rFonts w:ascii="Times New Roman" w:eastAsia="Times New Roman"/>
                <w:sz w:val="18"/>
              </w:rPr>
              <w:t>6</w:t>
            </w:r>
          </w:p>
        </w:tc>
        <w:tc>
          <w:tcPr>
            <w:tcW w:w="1536" w:type="dxa"/>
            <w:gridSpan w:val="2"/>
          </w:tcPr>
          <w:p>
            <w:pPr>
              <w:pStyle w:val="TableParagraph"/>
              <w:spacing w:line="320" w:lineRule="exact"/>
              <w:ind w:left="568" w:right="557"/>
              <w:rPr>
                <w:sz w:val="18"/>
              </w:rPr>
            </w:pPr>
            <w:r>
              <w:rPr>
                <w:sz w:val="18"/>
              </w:rPr>
              <w:t>总量</w:t>
            </w:r>
          </w:p>
        </w:tc>
      </w:tr>
      <w:tr>
        <w:trPr>
          <w:trHeight w:val="349" w:hRule="atLeast"/>
        </w:trPr>
        <w:tc>
          <w:tcPr>
            <w:tcW w:w="785" w:type="dxa"/>
            <w:vMerge/>
            <w:tcBorders>
              <w:top w:val="nil"/>
              <w:right w:val="single" w:sz="8" w:space="0" w:color="000000"/>
            </w:tcBorders>
          </w:tcPr>
          <w:p>
            <w:pPr>
              <w:rPr>
                <w:sz w:val="2"/>
                <w:szCs w:val="2"/>
              </w:rPr>
            </w:pPr>
          </w:p>
        </w:tc>
        <w:tc>
          <w:tcPr>
            <w:tcW w:w="1699" w:type="dxa"/>
            <w:vMerge/>
            <w:tcBorders>
              <w:top w:val="nil"/>
              <w:left w:val="single" w:sz="8" w:space="0" w:color="000000"/>
            </w:tcBorders>
          </w:tcPr>
          <w:p>
            <w:pPr>
              <w:rPr>
                <w:sz w:val="2"/>
                <w:szCs w:val="2"/>
              </w:rPr>
            </w:pPr>
          </w:p>
        </w:tc>
        <w:tc>
          <w:tcPr>
            <w:tcW w:w="768" w:type="dxa"/>
          </w:tcPr>
          <w:p>
            <w:pPr>
              <w:pStyle w:val="TableParagraph"/>
              <w:spacing w:line="330" w:lineRule="exact"/>
              <w:ind w:left="7"/>
              <w:rPr>
                <w:sz w:val="18"/>
              </w:rPr>
            </w:pPr>
            <w:r>
              <w:rPr>
                <w:sz w:val="18"/>
              </w:rPr>
              <w:t>产生量</w:t>
            </w:r>
          </w:p>
        </w:tc>
        <w:tc>
          <w:tcPr>
            <w:tcW w:w="772" w:type="dxa"/>
          </w:tcPr>
          <w:p>
            <w:pPr>
              <w:pStyle w:val="TableParagraph"/>
              <w:spacing w:line="330" w:lineRule="exact"/>
              <w:ind w:left="95" w:right="86"/>
              <w:rPr>
                <w:sz w:val="18"/>
              </w:rPr>
            </w:pPr>
            <w:r>
              <w:rPr>
                <w:sz w:val="18"/>
              </w:rPr>
              <w:t>排放量</w:t>
            </w:r>
          </w:p>
        </w:tc>
        <w:tc>
          <w:tcPr>
            <w:tcW w:w="770" w:type="dxa"/>
          </w:tcPr>
          <w:p>
            <w:pPr>
              <w:pStyle w:val="TableParagraph"/>
              <w:spacing w:line="330" w:lineRule="exact"/>
              <w:ind w:left="113"/>
              <w:jc w:val="left"/>
              <w:rPr>
                <w:sz w:val="18"/>
              </w:rPr>
            </w:pPr>
            <w:r>
              <w:rPr>
                <w:sz w:val="18"/>
              </w:rPr>
              <w:t>产生量</w:t>
            </w:r>
          </w:p>
        </w:tc>
        <w:tc>
          <w:tcPr>
            <w:tcW w:w="768" w:type="dxa"/>
          </w:tcPr>
          <w:p>
            <w:pPr>
              <w:pStyle w:val="TableParagraph"/>
              <w:spacing w:line="330" w:lineRule="exact"/>
              <w:ind w:left="114"/>
              <w:jc w:val="left"/>
              <w:rPr>
                <w:sz w:val="18"/>
              </w:rPr>
            </w:pPr>
            <w:r>
              <w:rPr>
                <w:sz w:val="18"/>
              </w:rPr>
              <w:t>排放量</w:t>
            </w:r>
          </w:p>
        </w:tc>
        <w:tc>
          <w:tcPr>
            <w:tcW w:w="770" w:type="dxa"/>
          </w:tcPr>
          <w:p>
            <w:pPr>
              <w:pStyle w:val="TableParagraph"/>
              <w:spacing w:line="330" w:lineRule="exact"/>
              <w:ind w:left="70" w:right="62"/>
              <w:rPr>
                <w:sz w:val="18"/>
              </w:rPr>
            </w:pPr>
            <w:r>
              <w:rPr>
                <w:sz w:val="18"/>
              </w:rPr>
              <w:t>产生量</w:t>
            </w:r>
          </w:p>
        </w:tc>
        <w:tc>
          <w:tcPr>
            <w:tcW w:w="768" w:type="dxa"/>
            <w:tcBorders>
              <w:right w:val="single" w:sz="8" w:space="0" w:color="000000"/>
            </w:tcBorders>
          </w:tcPr>
          <w:p>
            <w:pPr>
              <w:pStyle w:val="TableParagraph"/>
              <w:spacing w:line="330" w:lineRule="exact"/>
              <w:ind w:left="68" w:right="56"/>
              <w:rPr>
                <w:sz w:val="18"/>
              </w:rPr>
            </w:pPr>
            <w:r>
              <w:rPr>
                <w:sz w:val="18"/>
              </w:rPr>
              <w:t>排放量</w:t>
            </w:r>
          </w:p>
        </w:tc>
        <w:tc>
          <w:tcPr>
            <w:tcW w:w="770" w:type="dxa"/>
            <w:tcBorders>
              <w:left w:val="single" w:sz="8" w:space="0" w:color="000000"/>
            </w:tcBorders>
          </w:tcPr>
          <w:p>
            <w:pPr>
              <w:pStyle w:val="TableParagraph"/>
              <w:spacing w:line="330" w:lineRule="exact"/>
              <w:ind w:left="112"/>
              <w:jc w:val="left"/>
              <w:rPr>
                <w:sz w:val="18"/>
              </w:rPr>
            </w:pPr>
            <w:r>
              <w:rPr>
                <w:sz w:val="18"/>
              </w:rPr>
              <w:t>产生量</w:t>
            </w:r>
          </w:p>
        </w:tc>
        <w:tc>
          <w:tcPr>
            <w:tcW w:w="768" w:type="dxa"/>
          </w:tcPr>
          <w:p>
            <w:pPr>
              <w:pStyle w:val="TableParagraph"/>
              <w:spacing w:line="330" w:lineRule="exact"/>
              <w:ind w:left="113"/>
              <w:jc w:val="left"/>
              <w:rPr>
                <w:sz w:val="18"/>
              </w:rPr>
            </w:pPr>
            <w:r>
              <w:rPr>
                <w:sz w:val="18"/>
              </w:rPr>
              <w:t>排放量</w:t>
            </w:r>
          </w:p>
        </w:tc>
        <w:tc>
          <w:tcPr>
            <w:tcW w:w="768" w:type="dxa"/>
          </w:tcPr>
          <w:p>
            <w:pPr>
              <w:pStyle w:val="TableParagraph"/>
              <w:spacing w:line="330" w:lineRule="exact"/>
              <w:ind w:left="13"/>
              <w:rPr>
                <w:sz w:val="18"/>
              </w:rPr>
            </w:pPr>
            <w:r>
              <w:rPr>
                <w:sz w:val="18"/>
              </w:rPr>
              <w:t>产生量</w:t>
            </w:r>
          </w:p>
        </w:tc>
        <w:tc>
          <w:tcPr>
            <w:tcW w:w="771" w:type="dxa"/>
          </w:tcPr>
          <w:p>
            <w:pPr>
              <w:pStyle w:val="TableParagraph"/>
              <w:spacing w:line="330" w:lineRule="exact"/>
              <w:ind w:left="95" w:right="85"/>
              <w:rPr>
                <w:sz w:val="18"/>
              </w:rPr>
            </w:pPr>
            <w:r>
              <w:rPr>
                <w:sz w:val="18"/>
              </w:rPr>
              <w:t>排放量</w:t>
            </w:r>
          </w:p>
        </w:tc>
        <w:tc>
          <w:tcPr>
            <w:tcW w:w="768" w:type="dxa"/>
          </w:tcPr>
          <w:p>
            <w:pPr>
              <w:pStyle w:val="TableParagraph"/>
              <w:spacing w:line="330" w:lineRule="exact"/>
              <w:ind w:left="115"/>
              <w:jc w:val="left"/>
              <w:rPr>
                <w:sz w:val="18"/>
              </w:rPr>
            </w:pPr>
            <w:r>
              <w:rPr>
                <w:sz w:val="18"/>
              </w:rPr>
              <w:t>产生量</w:t>
            </w:r>
          </w:p>
        </w:tc>
        <w:tc>
          <w:tcPr>
            <w:tcW w:w="770" w:type="dxa"/>
          </w:tcPr>
          <w:p>
            <w:pPr>
              <w:pStyle w:val="TableParagraph"/>
              <w:spacing w:line="330" w:lineRule="exact"/>
              <w:ind w:left="115"/>
              <w:jc w:val="left"/>
              <w:rPr>
                <w:sz w:val="18"/>
              </w:rPr>
            </w:pPr>
            <w:r>
              <w:rPr>
                <w:sz w:val="18"/>
              </w:rPr>
              <w:t>排放量</w:t>
            </w:r>
          </w:p>
        </w:tc>
        <w:tc>
          <w:tcPr>
            <w:tcW w:w="768" w:type="dxa"/>
          </w:tcPr>
          <w:p>
            <w:pPr>
              <w:pStyle w:val="TableParagraph"/>
              <w:spacing w:line="330" w:lineRule="exact"/>
              <w:ind w:left="11"/>
              <w:rPr>
                <w:sz w:val="18"/>
              </w:rPr>
            </w:pPr>
            <w:r>
              <w:rPr>
                <w:sz w:val="18"/>
              </w:rPr>
              <w:t>产生总量</w:t>
            </w:r>
          </w:p>
        </w:tc>
        <w:tc>
          <w:tcPr>
            <w:tcW w:w="768" w:type="dxa"/>
          </w:tcPr>
          <w:p>
            <w:pPr>
              <w:pStyle w:val="TableParagraph"/>
              <w:spacing w:line="330" w:lineRule="exact"/>
              <w:ind w:left="16"/>
              <w:rPr>
                <w:sz w:val="18"/>
              </w:rPr>
            </w:pPr>
            <w:r>
              <w:rPr>
                <w:sz w:val="18"/>
              </w:rPr>
              <w:t>排放总量</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吡啶</w:t>
            </w:r>
          </w:p>
        </w:tc>
        <w:tc>
          <w:tcPr>
            <w:tcW w:w="768" w:type="dxa"/>
          </w:tcPr>
          <w:p>
            <w:pPr>
              <w:pStyle w:val="TableParagraph"/>
              <w:spacing w:before="62"/>
              <w:ind w:left="7"/>
              <w:rPr>
                <w:rFonts w:ascii="Times New Roman"/>
                <w:sz w:val="18"/>
              </w:rPr>
            </w:pPr>
            <w:r>
              <w:rPr>
                <w:rFonts w:ascii="Times New Roman"/>
                <w:sz w:val="18"/>
              </w:rPr>
              <w:t>0.021</w:t>
            </w:r>
          </w:p>
        </w:tc>
        <w:tc>
          <w:tcPr>
            <w:tcW w:w="772" w:type="dxa"/>
          </w:tcPr>
          <w:p>
            <w:pPr>
              <w:pStyle w:val="TableParagraph"/>
              <w:spacing w:before="62"/>
              <w:ind w:left="95" w:right="83"/>
              <w:rPr>
                <w:rFonts w:ascii="Times New Roman"/>
                <w:sz w:val="18"/>
              </w:rPr>
            </w:pPr>
            <w:r>
              <w:rPr>
                <w:rFonts w:ascii="Times New Roman"/>
                <w:sz w:val="18"/>
              </w:rPr>
              <w:t>0.0021</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0.009</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0.0009</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0.03</w:t>
            </w:r>
          </w:p>
        </w:tc>
        <w:tc>
          <w:tcPr>
            <w:tcW w:w="768" w:type="dxa"/>
          </w:tcPr>
          <w:p>
            <w:pPr>
              <w:pStyle w:val="TableParagraph"/>
              <w:spacing w:before="62"/>
              <w:ind w:left="14"/>
              <w:rPr>
                <w:rFonts w:ascii="Times New Roman"/>
                <w:sz w:val="18"/>
              </w:rPr>
            </w:pPr>
            <w:r>
              <w:rPr>
                <w:rFonts w:ascii="Times New Roman"/>
                <w:sz w:val="18"/>
              </w:rPr>
              <w:t>0.003</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醋酸</w:t>
            </w:r>
          </w:p>
        </w:tc>
        <w:tc>
          <w:tcPr>
            <w:tcW w:w="768" w:type="dxa"/>
          </w:tcPr>
          <w:p>
            <w:pPr>
              <w:pStyle w:val="TableParagraph"/>
              <w:spacing w:before="62"/>
              <w:ind w:left="10"/>
              <w:rPr>
                <w:rFonts w:ascii="Times New Roman"/>
                <w:sz w:val="18"/>
              </w:rPr>
            </w:pPr>
            <w:r>
              <w:rPr>
                <w:rFonts w:ascii="Times New Roman"/>
                <w:sz w:val="18"/>
              </w:rPr>
              <w:t>0.1075</w:t>
            </w:r>
          </w:p>
        </w:tc>
        <w:tc>
          <w:tcPr>
            <w:tcW w:w="772" w:type="dxa"/>
          </w:tcPr>
          <w:p>
            <w:pPr>
              <w:pStyle w:val="TableParagraph"/>
              <w:spacing w:before="62"/>
              <w:ind w:left="95" w:right="83"/>
              <w:rPr>
                <w:rFonts w:ascii="Times New Roman"/>
                <w:sz w:val="18"/>
              </w:rPr>
            </w:pPr>
            <w:r>
              <w:rPr>
                <w:rFonts w:ascii="Times New Roman"/>
                <w:sz w:val="18"/>
              </w:rPr>
              <w:t>0.0043</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3" w:right="61"/>
              <w:rPr>
                <w:rFonts w:ascii="Times New Roman"/>
                <w:sz w:val="18"/>
              </w:rPr>
            </w:pPr>
            <w:r>
              <w:rPr>
                <w:rFonts w:ascii="Times New Roman"/>
                <w:sz w:val="18"/>
              </w:rPr>
              <w:t>0.0425</w:t>
            </w:r>
          </w:p>
        </w:tc>
        <w:tc>
          <w:tcPr>
            <w:tcW w:w="768" w:type="dxa"/>
            <w:tcBorders>
              <w:right w:val="single" w:sz="8" w:space="0" w:color="000000"/>
            </w:tcBorders>
          </w:tcPr>
          <w:p>
            <w:pPr>
              <w:pStyle w:val="TableParagraph"/>
              <w:spacing w:before="62"/>
              <w:ind w:left="70" w:right="56"/>
              <w:rPr>
                <w:rFonts w:ascii="Times New Roman"/>
                <w:sz w:val="18"/>
              </w:rPr>
            </w:pPr>
            <w:r>
              <w:rPr>
                <w:rFonts w:ascii="Times New Roman"/>
                <w:sz w:val="18"/>
              </w:rPr>
              <w:t>0.0017</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0.15</w:t>
            </w:r>
          </w:p>
        </w:tc>
        <w:tc>
          <w:tcPr>
            <w:tcW w:w="768" w:type="dxa"/>
          </w:tcPr>
          <w:p>
            <w:pPr>
              <w:pStyle w:val="TableParagraph"/>
              <w:spacing w:before="62"/>
              <w:ind w:left="15"/>
              <w:rPr>
                <w:rFonts w:ascii="Times New Roman"/>
                <w:sz w:val="18"/>
              </w:rPr>
            </w:pPr>
            <w:r>
              <w:rPr>
                <w:rFonts w:ascii="Times New Roman"/>
                <w:sz w:val="18"/>
              </w:rPr>
              <w:t>0.006</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1" w:lineRule="exact"/>
              <w:ind w:left="45" w:right="36"/>
              <w:rPr>
                <w:sz w:val="18"/>
              </w:rPr>
            </w:pPr>
            <w:r>
              <w:rPr>
                <w:sz w:val="18"/>
              </w:rPr>
              <w:t>正溴丙烷</w:t>
            </w:r>
          </w:p>
        </w:tc>
        <w:tc>
          <w:tcPr>
            <w:tcW w:w="768" w:type="dxa"/>
          </w:tcPr>
          <w:p>
            <w:pPr>
              <w:pStyle w:val="TableParagraph"/>
              <w:spacing w:before="62"/>
              <w:ind w:left="7"/>
              <w:rPr>
                <w:rFonts w:ascii="Times New Roman"/>
                <w:sz w:val="18"/>
              </w:rPr>
            </w:pPr>
            <w:r>
              <w:rPr>
                <w:rFonts w:ascii="Times New Roman"/>
                <w:sz w:val="18"/>
              </w:rPr>
              <w:t>1.98</w:t>
            </w:r>
          </w:p>
        </w:tc>
        <w:tc>
          <w:tcPr>
            <w:tcW w:w="772" w:type="dxa"/>
          </w:tcPr>
          <w:p>
            <w:pPr>
              <w:pStyle w:val="TableParagraph"/>
              <w:spacing w:before="62"/>
              <w:ind w:left="95" w:right="86"/>
              <w:rPr>
                <w:rFonts w:ascii="Times New Roman"/>
                <w:sz w:val="18"/>
              </w:rPr>
            </w:pPr>
            <w:r>
              <w:rPr>
                <w:rFonts w:ascii="Times New Roman"/>
                <w:sz w:val="18"/>
              </w:rPr>
              <w:t>0.396</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1.98</w:t>
            </w:r>
          </w:p>
        </w:tc>
        <w:tc>
          <w:tcPr>
            <w:tcW w:w="768" w:type="dxa"/>
          </w:tcPr>
          <w:p>
            <w:pPr>
              <w:pStyle w:val="TableParagraph"/>
              <w:spacing w:before="62"/>
              <w:ind w:left="14"/>
              <w:rPr>
                <w:rFonts w:ascii="Times New Roman"/>
                <w:sz w:val="18"/>
              </w:rPr>
            </w:pPr>
            <w:r>
              <w:rPr>
                <w:rFonts w:ascii="Times New Roman"/>
                <w:sz w:val="18"/>
              </w:rPr>
              <w:t>0.396</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bottom w:val="single" w:sz="8" w:space="0" w:color="000000"/>
            </w:tcBorders>
          </w:tcPr>
          <w:p>
            <w:pPr>
              <w:pStyle w:val="TableParagraph"/>
              <w:spacing w:line="320" w:lineRule="exact"/>
              <w:ind w:left="45" w:right="36"/>
              <w:rPr>
                <w:sz w:val="18"/>
              </w:rPr>
            </w:pPr>
            <w:r>
              <w:rPr>
                <w:sz w:val="18"/>
              </w:rPr>
              <w:t>乙酰乙酸甲酯</w:t>
            </w:r>
          </w:p>
        </w:tc>
        <w:tc>
          <w:tcPr>
            <w:tcW w:w="768" w:type="dxa"/>
          </w:tcPr>
          <w:p>
            <w:pPr>
              <w:pStyle w:val="TableParagraph"/>
              <w:spacing w:before="62"/>
              <w:ind w:left="10"/>
              <w:rPr>
                <w:rFonts w:ascii="Times New Roman"/>
                <w:sz w:val="18"/>
              </w:rPr>
            </w:pPr>
            <w:r>
              <w:rPr>
                <w:rFonts w:ascii="Times New Roman"/>
                <w:sz w:val="18"/>
              </w:rPr>
              <w:t>0.5</w:t>
            </w:r>
          </w:p>
        </w:tc>
        <w:tc>
          <w:tcPr>
            <w:tcW w:w="772" w:type="dxa"/>
          </w:tcPr>
          <w:p>
            <w:pPr>
              <w:pStyle w:val="TableParagraph"/>
              <w:spacing w:before="62"/>
              <w:ind w:left="95" w:right="83"/>
              <w:rPr>
                <w:rFonts w:ascii="Times New Roman"/>
                <w:sz w:val="18"/>
              </w:rPr>
            </w:pPr>
            <w:r>
              <w:rPr>
                <w:rFonts w:ascii="Times New Roman"/>
                <w:sz w:val="18"/>
              </w:rPr>
              <w:t>0.1</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12"/>
              <w:rPr>
                <w:rFonts w:ascii="Times New Roman"/>
                <w:sz w:val="18"/>
              </w:rPr>
            </w:pPr>
            <w:r>
              <w:rPr>
                <w:rFonts w:ascii="Times New Roman"/>
                <w:sz w:val="18"/>
              </w:rPr>
              <w:t>0.5</w:t>
            </w:r>
          </w:p>
        </w:tc>
        <w:tc>
          <w:tcPr>
            <w:tcW w:w="768" w:type="dxa"/>
          </w:tcPr>
          <w:p>
            <w:pPr>
              <w:pStyle w:val="TableParagraph"/>
              <w:spacing w:before="62"/>
              <w:ind w:left="17"/>
              <w:rPr>
                <w:rFonts w:ascii="Times New Roman"/>
                <w:sz w:val="18"/>
              </w:rPr>
            </w:pPr>
            <w:r>
              <w:rPr>
                <w:rFonts w:ascii="Times New Roman"/>
                <w:sz w:val="18"/>
              </w:rPr>
              <w:t>0.1</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top w:val="single" w:sz="8" w:space="0" w:color="000000"/>
              <w:left w:val="single" w:sz="8" w:space="0" w:color="000000"/>
            </w:tcBorders>
          </w:tcPr>
          <w:p>
            <w:pPr>
              <w:pStyle w:val="TableParagraph"/>
              <w:spacing w:line="320" w:lineRule="exact"/>
              <w:ind w:left="45" w:right="36"/>
              <w:rPr>
                <w:sz w:val="18"/>
              </w:rPr>
            </w:pPr>
            <w:r>
              <w:rPr>
                <w:sz w:val="18"/>
              </w:rPr>
              <w:t>甲醇</w:t>
            </w:r>
          </w:p>
        </w:tc>
        <w:tc>
          <w:tcPr>
            <w:tcW w:w="768" w:type="dxa"/>
          </w:tcPr>
          <w:p>
            <w:pPr>
              <w:pStyle w:val="TableParagraph"/>
              <w:spacing w:before="62"/>
              <w:ind w:left="7"/>
              <w:rPr>
                <w:rFonts w:ascii="Times New Roman"/>
                <w:sz w:val="18"/>
              </w:rPr>
            </w:pPr>
            <w:r>
              <w:rPr>
                <w:rFonts w:ascii="Times New Roman"/>
                <w:sz w:val="18"/>
              </w:rPr>
              <w:t>0.15</w:t>
            </w:r>
          </w:p>
        </w:tc>
        <w:tc>
          <w:tcPr>
            <w:tcW w:w="772" w:type="dxa"/>
          </w:tcPr>
          <w:p>
            <w:pPr>
              <w:pStyle w:val="TableParagraph"/>
              <w:spacing w:before="62"/>
              <w:ind w:left="95" w:right="86"/>
              <w:rPr>
                <w:rFonts w:ascii="Times New Roman"/>
                <w:sz w:val="18"/>
              </w:rPr>
            </w:pPr>
            <w:r>
              <w:rPr>
                <w:rFonts w:ascii="Times New Roman"/>
                <w:sz w:val="18"/>
              </w:rPr>
              <w:t>0.03</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0.027</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0.0054</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0.177</w:t>
            </w:r>
          </w:p>
        </w:tc>
        <w:tc>
          <w:tcPr>
            <w:tcW w:w="768" w:type="dxa"/>
          </w:tcPr>
          <w:p>
            <w:pPr>
              <w:pStyle w:val="TableParagraph"/>
              <w:spacing w:before="62"/>
              <w:ind w:left="16"/>
              <w:rPr>
                <w:rFonts w:ascii="Times New Roman"/>
                <w:sz w:val="18"/>
              </w:rPr>
            </w:pPr>
            <w:r>
              <w:rPr>
                <w:rFonts w:ascii="Times New Roman"/>
                <w:sz w:val="18"/>
              </w:rPr>
              <w:t>0.0354</w:t>
            </w:r>
          </w:p>
        </w:tc>
      </w:tr>
      <w:tr>
        <w:trPr>
          <w:trHeight w:val="337"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18" w:lineRule="exact"/>
              <w:ind w:left="45" w:right="36"/>
              <w:rPr>
                <w:sz w:val="18"/>
              </w:rPr>
            </w:pPr>
            <w:r>
              <w:rPr>
                <w:sz w:val="18"/>
              </w:rPr>
              <w:t>醋酸甲酯</w:t>
            </w:r>
          </w:p>
        </w:tc>
        <w:tc>
          <w:tcPr>
            <w:tcW w:w="768" w:type="dxa"/>
          </w:tcPr>
          <w:p>
            <w:pPr>
              <w:pStyle w:val="TableParagraph"/>
              <w:spacing w:before="59"/>
              <w:ind w:left="7"/>
              <w:rPr>
                <w:rFonts w:ascii="Times New Roman"/>
                <w:sz w:val="18"/>
              </w:rPr>
            </w:pPr>
            <w:r>
              <w:rPr>
                <w:rFonts w:ascii="Times New Roman"/>
                <w:sz w:val="18"/>
              </w:rPr>
              <w:t>0.71</w:t>
            </w:r>
          </w:p>
        </w:tc>
        <w:tc>
          <w:tcPr>
            <w:tcW w:w="772" w:type="dxa"/>
          </w:tcPr>
          <w:p>
            <w:pPr>
              <w:pStyle w:val="TableParagraph"/>
              <w:spacing w:before="59"/>
              <w:ind w:left="95" w:right="86"/>
              <w:rPr>
                <w:rFonts w:ascii="Times New Roman"/>
                <w:sz w:val="18"/>
              </w:rPr>
            </w:pPr>
            <w:r>
              <w:rPr>
                <w:rFonts w:ascii="Times New Roman"/>
                <w:sz w:val="18"/>
              </w:rPr>
              <w:t>0.142</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59"/>
              <w:ind w:left="9"/>
              <w:rPr>
                <w:rFonts w:ascii="Times New Roman"/>
                <w:sz w:val="18"/>
              </w:rPr>
            </w:pPr>
            <w:r>
              <w:rPr>
                <w:rFonts w:ascii="Times New Roman"/>
                <w:sz w:val="18"/>
              </w:rPr>
              <w:t>0.71</w:t>
            </w:r>
          </w:p>
        </w:tc>
        <w:tc>
          <w:tcPr>
            <w:tcW w:w="768" w:type="dxa"/>
          </w:tcPr>
          <w:p>
            <w:pPr>
              <w:pStyle w:val="TableParagraph"/>
              <w:spacing w:before="59"/>
              <w:ind w:left="14"/>
              <w:rPr>
                <w:rFonts w:ascii="Times New Roman"/>
                <w:sz w:val="18"/>
              </w:rPr>
            </w:pPr>
            <w:r>
              <w:rPr>
                <w:rFonts w:ascii="Times New Roman"/>
                <w:sz w:val="18"/>
              </w:rPr>
              <w:t>0.142</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甲苯</w:t>
            </w:r>
          </w:p>
        </w:tc>
        <w:tc>
          <w:tcPr>
            <w:tcW w:w="768" w:type="dxa"/>
          </w:tcPr>
          <w:p>
            <w:pPr>
              <w:pStyle w:val="TableParagraph"/>
              <w:spacing w:before="62"/>
              <w:ind w:left="10"/>
              <w:rPr>
                <w:rFonts w:ascii="Times New Roman"/>
                <w:sz w:val="18"/>
              </w:rPr>
            </w:pPr>
            <w:r>
              <w:rPr>
                <w:rFonts w:ascii="Times New Roman"/>
                <w:sz w:val="18"/>
              </w:rPr>
              <w:t>0.5</w:t>
            </w:r>
          </w:p>
        </w:tc>
        <w:tc>
          <w:tcPr>
            <w:tcW w:w="772" w:type="dxa"/>
          </w:tcPr>
          <w:p>
            <w:pPr>
              <w:pStyle w:val="TableParagraph"/>
              <w:spacing w:before="62"/>
              <w:ind w:left="95" w:right="83"/>
              <w:rPr>
                <w:rFonts w:ascii="Times New Roman"/>
                <w:sz w:val="18"/>
              </w:rPr>
            </w:pPr>
            <w:r>
              <w:rPr>
                <w:rFonts w:ascii="Times New Roman"/>
                <w:sz w:val="18"/>
              </w:rPr>
              <w:t>0.1</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3" w:right="62"/>
              <w:rPr>
                <w:rFonts w:ascii="Times New Roman"/>
                <w:sz w:val="18"/>
              </w:rPr>
            </w:pPr>
            <w:r>
              <w:rPr>
                <w:rFonts w:ascii="Times New Roman"/>
                <w:sz w:val="18"/>
              </w:rPr>
              <w:t>1.4415</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0.2883</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12"/>
              <w:rPr>
                <w:rFonts w:ascii="Times New Roman"/>
                <w:sz w:val="18"/>
              </w:rPr>
            </w:pPr>
            <w:r>
              <w:rPr>
                <w:rFonts w:ascii="Times New Roman"/>
                <w:sz w:val="18"/>
              </w:rPr>
              <w:t>1.9415</w:t>
            </w:r>
          </w:p>
        </w:tc>
        <w:tc>
          <w:tcPr>
            <w:tcW w:w="768" w:type="dxa"/>
          </w:tcPr>
          <w:p>
            <w:pPr>
              <w:pStyle w:val="TableParagraph"/>
              <w:spacing w:before="62"/>
              <w:ind w:left="16"/>
              <w:rPr>
                <w:rFonts w:ascii="Times New Roman"/>
                <w:sz w:val="18"/>
              </w:rPr>
            </w:pPr>
            <w:r>
              <w:rPr>
                <w:rFonts w:ascii="Times New Roman"/>
                <w:sz w:val="18"/>
              </w:rPr>
              <w:t>0.3883</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7" w:right="36"/>
              <w:rPr>
                <w:sz w:val="18"/>
              </w:rPr>
            </w:pPr>
            <w:r>
              <w:rPr>
                <w:sz w:val="18"/>
              </w:rPr>
              <w:t>丙戊酸</w:t>
            </w:r>
          </w:p>
        </w:tc>
        <w:tc>
          <w:tcPr>
            <w:tcW w:w="768" w:type="dxa"/>
          </w:tcPr>
          <w:p>
            <w:pPr>
              <w:pStyle w:val="TableParagraph"/>
              <w:spacing w:before="62"/>
              <w:ind w:left="10"/>
              <w:rPr>
                <w:rFonts w:ascii="Times New Roman"/>
                <w:sz w:val="18"/>
              </w:rPr>
            </w:pPr>
            <w:r>
              <w:rPr>
                <w:rFonts w:ascii="Times New Roman"/>
                <w:sz w:val="18"/>
              </w:rPr>
              <w:t>0.5</w:t>
            </w:r>
          </w:p>
        </w:tc>
        <w:tc>
          <w:tcPr>
            <w:tcW w:w="772" w:type="dxa"/>
          </w:tcPr>
          <w:p>
            <w:pPr>
              <w:pStyle w:val="TableParagraph"/>
              <w:spacing w:before="62"/>
              <w:ind w:left="95" w:right="86"/>
              <w:rPr>
                <w:rFonts w:ascii="Times New Roman"/>
                <w:sz w:val="18"/>
              </w:rPr>
            </w:pPr>
            <w:r>
              <w:rPr>
                <w:rFonts w:ascii="Times New Roman"/>
                <w:sz w:val="18"/>
              </w:rPr>
              <w:t>0.02</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12"/>
              <w:rPr>
                <w:rFonts w:ascii="Times New Roman"/>
                <w:sz w:val="18"/>
              </w:rPr>
            </w:pPr>
            <w:r>
              <w:rPr>
                <w:rFonts w:ascii="Times New Roman"/>
                <w:sz w:val="18"/>
              </w:rPr>
              <w:t>0.5</w:t>
            </w:r>
          </w:p>
        </w:tc>
        <w:tc>
          <w:tcPr>
            <w:tcW w:w="768" w:type="dxa"/>
          </w:tcPr>
          <w:p>
            <w:pPr>
              <w:pStyle w:val="TableParagraph"/>
              <w:spacing w:before="62"/>
              <w:ind w:left="14"/>
              <w:rPr>
                <w:rFonts w:ascii="Times New Roman"/>
                <w:sz w:val="18"/>
              </w:rPr>
            </w:pPr>
            <w:r>
              <w:rPr>
                <w:rFonts w:ascii="Times New Roman"/>
                <w:sz w:val="18"/>
              </w:rPr>
              <w:t>0.02</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bottom w:val="single" w:sz="8" w:space="0" w:color="000000"/>
            </w:tcBorders>
          </w:tcPr>
          <w:p>
            <w:pPr>
              <w:pStyle w:val="TableParagraph"/>
              <w:spacing w:line="320" w:lineRule="exact"/>
              <w:ind w:left="47" w:right="36"/>
              <w:rPr>
                <w:sz w:val="18"/>
              </w:rPr>
            </w:pPr>
            <w:r>
              <w:rPr>
                <w:sz w:val="18"/>
              </w:rPr>
              <w:t>氯化氢</w:t>
            </w:r>
          </w:p>
        </w:tc>
        <w:tc>
          <w:tcPr>
            <w:tcW w:w="768" w:type="dxa"/>
            <w:tcBorders>
              <w:bottom w:val="single" w:sz="8" w:space="0" w:color="000000"/>
            </w:tcBorders>
          </w:tcPr>
          <w:p>
            <w:pPr>
              <w:pStyle w:val="TableParagraph"/>
              <w:spacing w:before="62"/>
              <w:ind w:left="7"/>
              <w:rPr>
                <w:rFonts w:ascii="Times New Roman"/>
                <w:sz w:val="18"/>
              </w:rPr>
            </w:pPr>
            <w:r>
              <w:rPr>
                <w:rFonts w:ascii="Times New Roman"/>
                <w:sz w:val="18"/>
              </w:rPr>
              <w:t>0.084</w:t>
            </w:r>
          </w:p>
        </w:tc>
        <w:tc>
          <w:tcPr>
            <w:tcW w:w="772" w:type="dxa"/>
          </w:tcPr>
          <w:p>
            <w:pPr>
              <w:pStyle w:val="TableParagraph"/>
              <w:spacing w:before="62"/>
              <w:ind w:left="95" w:right="83"/>
              <w:rPr>
                <w:rFonts w:ascii="Times New Roman"/>
                <w:sz w:val="18"/>
              </w:rPr>
            </w:pPr>
            <w:r>
              <w:rPr>
                <w:rFonts w:ascii="Times New Roman"/>
                <w:sz w:val="18"/>
              </w:rPr>
              <w:t>0.0084</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1.43</w:t>
            </w:r>
          </w:p>
        </w:tc>
        <w:tc>
          <w:tcPr>
            <w:tcW w:w="768" w:type="dxa"/>
            <w:tcBorders>
              <w:right w:val="single" w:sz="8" w:space="0" w:color="000000"/>
            </w:tcBorders>
          </w:tcPr>
          <w:p>
            <w:pPr>
              <w:pStyle w:val="TableParagraph"/>
              <w:spacing w:before="62"/>
              <w:ind w:left="69" w:right="56"/>
              <w:rPr>
                <w:rFonts w:ascii="Times New Roman"/>
                <w:sz w:val="18"/>
              </w:rPr>
            </w:pPr>
            <w:r>
              <w:rPr>
                <w:rFonts w:ascii="Times New Roman"/>
                <w:sz w:val="18"/>
              </w:rPr>
              <w:t>0.143</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1.514</w:t>
            </w:r>
          </w:p>
        </w:tc>
        <w:tc>
          <w:tcPr>
            <w:tcW w:w="768" w:type="dxa"/>
          </w:tcPr>
          <w:p>
            <w:pPr>
              <w:pStyle w:val="TableParagraph"/>
              <w:spacing w:before="62"/>
              <w:ind w:left="16"/>
              <w:rPr>
                <w:rFonts w:ascii="Times New Roman"/>
                <w:sz w:val="18"/>
              </w:rPr>
            </w:pPr>
            <w:r>
              <w:rPr>
                <w:rFonts w:ascii="Times New Roman"/>
                <w:sz w:val="18"/>
              </w:rPr>
              <w:t>0.1514</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top w:val="single" w:sz="8" w:space="0" w:color="000000"/>
              <w:left w:val="single" w:sz="8" w:space="0" w:color="000000"/>
              <w:bottom w:val="single" w:sz="8" w:space="0" w:color="000000"/>
            </w:tcBorders>
          </w:tcPr>
          <w:p>
            <w:pPr>
              <w:pStyle w:val="TableParagraph"/>
              <w:spacing w:line="320" w:lineRule="exact"/>
              <w:ind w:left="47" w:right="36"/>
              <w:rPr>
                <w:sz w:val="18"/>
              </w:rPr>
            </w:pPr>
            <w:r>
              <w:rPr>
                <w:sz w:val="18"/>
              </w:rPr>
              <w:t>二甲苯</w:t>
            </w:r>
          </w:p>
        </w:tc>
        <w:tc>
          <w:tcPr>
            <w:tcW w:w="768" w:type="dxa"/>
            <w:tcBorders>
              <w:top w:val="single" w:sz="8" w:space="0" w:color="000000"/>
              <w:bottom w:val="single" w:sz="8" w:space="0" w:color="000000"/>
            </w:tcBorders>
          </w:tcPr>
          <w:p>
            <w:pPr>
              <w:pStyle w:val="TableParagraph"/>
              <w:spacing w:before="62"/>
              <w:ind w:left="10"/>
              <w:rPr>
                <w:rFonts w:ascii="Times New Roman"/>
                <w:sz w:val="18"/>
              </w:rPr>
            </w:pPr>
            <w:r>
              <w:rPr>
                <w:rFonts w:ascii="Times New Roman"/>
                <w:sz w:val="18"/>
              </w:rPr>
              <w:t>0.2</w:t>
            </w:r>
          </w:p>
        </w:tc>
        <w:tc>
          <w:tcPr>
            <w:tcW w:w="772" w:type="dxa"/>
          </w:tcPr>
          <w:p>
            <w:pPr>
              <w:pStyle w:val="TableParagraph"/>
              <w:spacing w:before="62"/>
              <w:ind w:left="95" w:right="86"/>
              <w:rPr>
                <w:rFonts w:ascii="Times New Roman"/>
                <w:sz w:val="18"/>
              </w:rPr>
            </w:pPr>
            <w:r>
              <w:rPr>
                <w:rFonts w:ascii="Times New Roman"/>
                <w:sz w:val="18"/>
              </w:rPr>
              <w:t>0.04</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12"/>
              <w:rPr>
                <w:rFonts w:ascii="Times New Roman"/>
                <w:sz w:val="18"/>
              </w:rPr>
            </w:pPr>
            <w:r>
              <w:rPr>
                <w:rFonts w:ascii="Times New Roman"/>
                <w:sz w:val="18"/>
              </w:rPr>
              <w:t>0.2</w:t>
            </w:r>
          </w:p>
        </w:tc>
        <w:tc>
          <w:tcPr>
            <w:tcW w:w="768" w:type="dxa"/>
          </w:tcPr>
          <w:p>
            <w:pPr>
              <w:pStyle w:val="TableParagraph"/>
              <w:spacing w:before="62"/>
              <w:ind w:left="14"/>
              <w:rPr>
                <w:rFonts w:ascii="Times New Roman"/>
                <w:sz w:val="18"/>
              </w:rPr>
            </w:pPr>
            <w:r>
              <w:rPr>
                <w:rFonts w:ascii="Times New Roman"/>
                <w:sz w:val="18"/>
              </w:rPr>
              <w:t>0.04</w:t>
            </w:r>
          </w:p>
        </w:tc>
      </w:tr>
      <w:tr>
        <w:trPr>
          <w:trHeight w:val="335" w:hRule="atLeast"/>
        </w:trPr>
        <w:tc>
          <w:tcPr>
            <w:tcW w:w="785" w:type="dxa"/>
            <w:vMerge/>
            <w:tcBorders>
              <w:top w:val="nil"/>
              <w:right w:val="single" w:sz="8" w:space="0" w:color="000000"/>
            </w:tcBorders>
          </w:tcPr>
          <w:p>
            <w:pPr>
              <w:rPr>
                <w:sz w:val="2"/>
                <w:szCs w:val="2"/>
              </w:rPr>
            </w:pPr>
          </w:p>
        </w:tc>
        <w:tc>
          <w:tcPr>
            <w:tcW w:w="1699" w:type="dxa"/>
            <w:tcBorders>
              <w:top w:val="single" w:sz="8" w:space="0" w:color="000000"/>
              <w:left w:val="single" w:sz="8" w:space="0" w:color="000000"/>
            </w:tcBorders>
          </w:tcPr>
          <w:p>
            <w:pPr>
              <w:pStyle w:val="TableParagraph"/>
              <w:spacing w:line="315" w:lineRule="exact"/>
              <w:ind w:left="45" w:right="36"/>
              <w:rPr>
                <w:sz w:val="18"/>
              </w:rPr>
            </w:pPr>
            <w:r>
              <w:rPr>
                <w:sz w:val="18"/>
              </w:rPr>
              <w:t>哌啶</w:t>
            </w:r>
          </w:p>
        </w:tc>
        <w:tc>
          <w:tcPr>
            <w:tcW w:w="768" w:type="dxa"/>
            <w:tcBorders>
              <w:top w:val="single" w:sz="8" w:space="0" w:color="000000"/>
              <w:bottom w:val="single" w:sz="8" w:space="0" w:color="000000"/>
            </w:tcBorders>
          </w:tcPr>
          <w:p>
            <w:pPr>
              <w:pStyle w:val="TableParagraph"/>
              <w:spacing w:before="62"/>
              <w:ind w:left="7"/>
              <w:rPr>
                <w:rFonts w:ascii="Times New Roman"/>
                <w:sz w:val="18"/>
              </w:rPr>
            </w:pPr>
            <w:r>
              <w:rPr>
                <w:rFonts w:ascii="Times New Roman"/>
                <w:sz w:val="18"/>
              </w:rPr>
              <w:t>0.04</w:t>
            </w:r>
          </w:p>
        </w:tc>
        <w:tc>
          <w:tcPr>
            <w:tcW w:w="772" w:type="dxa"/>
          </w:tcPr>
          <w:p>
            <w:pPr>
              <w:pStyle w:val="TableParagraph"/>
              <w:spacing w:before="62"/>
              <w:ind w:left="95" w:right="86"/>
              <w:rPr>
                <w:rFonts w:ascii="Times New Roman"/>
                <w:sz w:val="18"/>
              </w:rPr>
            </w:pPr>
            <w:r>
              <w:rPr>
                <w:rFonts w:ascii="Times New Roman"/>
                <w:sz w:val="18"/>
              </w:rPr>
              <w:t>0.01</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0.04</w:t>
            </w:r>
          </w:p>
        </w:tc>
        <w:tc>
          <w:tcPr>
            <w:tcW w:w="768" w:type="dxa"/>
          </w:tcPr>
          <w:p>
            <w:pPr>
              <w:pStyle w:val="TableParagraph"/>
              <w:spacing w:before="62"/>
              <w:ind w:left="14"/>
              <w:rPr>
                <w:rFonts w:ascii="Times New Roman"/>
                <w:sz w:val="18"/>
              </w:rPr>
            </w:pPr>
            <w:r>
              <w:rPr>
                <w:rFonts w:ascii="Times New Roman"/>
                <w:sz w:val="18"/>
              </w:rPr>
              <w:t>0.01</w:t>
            </w:r>
          </w:p>
        </w:tc>
      </w:tr>
      <w:tr>
        <w:trPr>
          <w:trHeight w:val="339"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7" w:right="34"/>
              <w:rPr>
                <w:sz w:val="18"/>
              </w:rPr>
            </w:pPr>
            <w:r>
              <w:rPr>
                <w:rFonts w:ascii="Times New Roman" w:eastAsia="Times New Roman"/>
                <w:sz w:val="18"/>
              </w:rPr>
              <w:t>1</w:t>
            </w:r>
            <w:r>
              <w:rPr>
                <w:sz w:val="18"/>
              </w:rPr>
              <w:t>，</w:t>
            </w:r>
            <w:r>
              <w:rPr>
                <w:rFonts w:ascii="Times New Roman" w:eastAsia="Times New Roman"/>
                <w:sz w:val="18"/>
              </w:rPr>
              <w:t>3 </w:t>
            </w:r>
            <w:r>
              <w:rPr>
                <w:sz w:val="18"/>
              </w:rPr>
              <w:t>溴氯丙烷</w:t>
            </w:r>
          </w:p>
        </w:tc>
        <w:tc>
          <w:tcPr>
            <w:tcW w:w="768" w:type="dxa"/>
            <w:tcBorders>
              <w:top w:val="single" w:sz="8" w:space="0" w:color="000000"/>
              <w:bottom w:val="single" w:sz="8" w:space="0" w:color="000000"/>
            </w:tcBorders>
          </w:tcPr>
          <w:p>
            <w:pPr>
              <w:pStyle w:val="TableParagraph"/>
              <w:spacing w:before="66"/>
              <w:ind w:left="7"/>
              <w:rPr>
                <w:rFonts w:ascii="Times New Roman"/>
                <w:sz w:val="18"/>
              </w:rPr>
            </w:pPr>
            <w:r>
              <w:rPr>
                <w:rFonts w:ascii="Times New Roman"/>
                <w:sz w:val="18"/>
              </w:rPr>
              <w:t>0.08</w:t>
            </w:r>
          </w:p>
        </w:tc>
        <w:tc>
          <w:tcPr>
            <w:tcW w:w="772" w:type="dxa"/>
          </w:tcPr>
          <w:p>
            <w:pPr>
              <w:pStyle w:val="TableParagraph"/>
              <w:spacing w:before="66"/>
              <w:ind w:left="95" w:right="86"/>
              <w:rPr>
                <w:rFonts w:ascii="Times New Roman"/>
                <w:sz w:val="18"/>
              </w:rPr>
            </w:pPr>
            <w:r>
              <w:rPr>
                <w:rFonts w:ascii="Times New Roman"/>
                <w:sz w:val="18"/>
              </w:rPr>
              <w:t>0.016</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9"/>
              <w:rPr>
                <w:rFonts w:ascii="Times New Roman"/>
                <w:sz w:val="18"/>
              </w:rPr>
            </w:pPr>
            <w:r>
              <w:rPr>
                <w:rFonts w:ascii="Times New Roman"/>
                <w:sz w:val="18"/>
              </w:rPr>
              <w:t>0.08</w:t>
            </w:r>
          </w:p>
        </w:tc>
        <w:tc>
          <w:tcPr>
            <w:tcW w:w="768" w:type="dxa"/>
          </w:tcPr>
          <w:p>
            <w:pPr>
              <w:pStyle w:val="TableParagraph"/>
              <w:spacing w:before="66"/>
              <w:ind w:left="14"/>
              <w:rPr>
                <w:rFonts w:ascii="Times New Roman"/>
                <w:sz w:val="18"/>
              </w:rPr>
            </w:pPr>
            <w:r>
              <w:rPr>
                <w:rFonts w:ascii="Times New Roman"/>
                <w:sz w:val="18"/>
              </w:rPr>
              <w:t>0.016</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7" w:right="36"/>
              <w:rPr>
                <w:sz w:val="18"/>
              </w:rPr>
            </w:pPr>
            <w:r>
              <w:rPr>
                <w:rFonts w:ascii="Times New Roman" w:eastAsia="Times New Roman"/>
                <w:sz w:val="18"/>
              </w:rPr>
              <w:t>1-</w:t>
            </w:r>
            <w:r>
              <w:rPr>
                <w:sz w:val="18"/>
              </w:rPr>
              <w:t>（</w:t>
            </w:r>
            <w:r>
              <w:rPr>
                <w:rFonts w:ascii="Times New Roman" w:eastAsia="Times New Roman"/>
                <w:sz w:val="18"/>
              </w:rPr>
              <w:t>3-</w:t>
            </w:r>
            <w:r>
              <w:rPr>
                <w:sz w:val="18"/>
              </w:rPr>
              <w:t>氯丙基）哌啶</w:t>
            </w:r>
          </w:p>
        </w:tc>
        <w:tc>
          <w:tcPr>
            <w:tcW w:w="768" w:type="dxa"/>
            <w:tcBorders>
              <w:top w:val="single" w:sz="8" w:space="0" w:color="000000"/>
              <w:bottom w:val="single" w:sz="8" w:space="0" w:color="000000"/>
            </w:tcBorders>
          </w:tcPr>
          <w:p>
            <w:pPr>
              <w:pStyle w:val="TableParagraph"/>
              <w:spacing w:before="66"/>
              <w:ind w:left="7"/>
              <w:rPr>
                <w:rFonts w:ascii="Times New Roman"/>
                <w:sz w:val="18"/>
              </w:rPr>
            </w:pPr>
            <w:r>
              <w:rPr>
                <w:rFonts w:ascii="Times New Roman"/>
                <w:sz w:val="18"/>
              </w:rPr>
              <w:t>0.24</w:t>
            </w:r>
          </w:p>
        </w:tc>
        <w:tc>
          <w:tcPr>
            <w:tcW w:w="772" w:type="dxa"/>
          </w:tcPr>
          <w:p>
            <w:pPr>
              <w:pStyle w:val="TableParagraph"/>
              <w:spacing w:before="66"/>
              <w:ind w:left="95" w:right="86"/>
              <w:rPr>
                <w:rFonts w:ascii="Times New Roman"/>
                <w:sz w:val="18"/>
              </w:rPr>
            </w:pPr>
            <w:r>
              <w:rPr>
                <w:rFonts w:ascii="Times New Roman"/>
                <w:sz w:val="18"/>
              </w:rPr>
              <w:t>0.048</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9"/>
              <w:rPr>
                <w:rFonts w:ascii="Times New Roman"/>
                <w:sz w:val="18"/>
              </w:rPr>
            </w:pPr>
            <w:r>
              <w:rPr>
                <w:rFonts w:ascii="Times New Roman"/>
                <w:sz w:val="18"/>
              </w:rPr>
              <w:t>0.24</w:t>
            </w:r>
          </w:p>
        </w:tc>
        <w:tc>
          <w:tcPr>
            <w:tcW w:w="768" w:type="dxa"/>
          </w:tcPr>
          <w:p>
            <w:pPr>
              <w:pStyle w:val="TableParagraph"/>
              <w:spacing w:before="66"/>
              <w:ind w:left="14"/>
              <w:rPr>
                <w:rFonts w:ascii="Times New Roman"/>
                <w:sz w:val="18"/>
              </w:rPr>
            </w:pPr>
            <w:r>
              <w:rPr>
                <w:rFonts w:ascii="Times New Roman"/>
                <w:sz w:val="18"/>
              </w:rPr>
              <w:t>0.048</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四氢呋喃</w:t>
            </w:r>
          </w:p>
        </w:tc>
        <w:tc>
          <w:tcPr>
            <w:tcW w:w="768" w:type="dxa"/>
            <w:tcBorders>
              <w:top w:val="single" w:sz="8" w:space="0" w:color="000000"/>
              <w:bottom w:val="single" w:sz="8" w:space="0" w:color="000000"/>
            </w:tcBorders>
          </w:tcPr>
          <w:p>
            <w:pPr>
              <w:pStyle w:val="TableParagraph"/>
              <w:spacing w:before="66"/>
              <w:ind w:left="10"/>
              <w:rPr>
                <w:rFonts w:ascii="Times New Roman"/>
                <w:sz w:val="18"/>
              </w:rPr>
            </w:pPr>
            <w:r>
              <w:rPr>
                <w:rFonts w:ascii="Times New Roman"/>
                <w:sz w:val="18"/>
              </w:rPr>
              <w:t>0.8</w:t>
            </w:r>
          </w:p>
        </w:tc>
        <w:tc>
          <w:tcPr>
            <w:tcW w:w="772" w:type="dxa"/>
          </w:tcPr>
          <w:p>
            <w:pPr>
              <w:pStyle w:val="TableParagraph"/>
              <w:spacing w:before="66"/>
              <w:ind w:left="95" w:right="86"/>
              <w:rPr>
                <w:rFonts w:ascii="Times New Roman"/>
                <w:sz w:val="18"/>
              </w:rPr>
            </w:pPr>
            <w:r>
              <w:rPr>
                <w:rFonts w:ascii="Times New Roman"/>
                <w:sz w:val="18"/>
              </w:rPr>
              <w:t>0.08</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6"/>
              <w:ind w:left="71" w:right="62"/>
              <w:rPr>
                <w:rFonts w:ascii="Times New Roman"/>
                <w:sz w:val="18"/>
              </w:rPr>
            </w:pPr>
            <w:r>
              <w:rPr>
                <w:rFonts w:ascii="Times New Roman"/>
                <w:sz w:val="18"/>
              </w:rPr>
              <w:t>0.012</w:t>
            </w:r>
          </w:p>
        </w:tc>
        <w:tc>
          <w:tcPr>
            <w:tcW w:w="768" w:type="dxa"/>
            <w:tcBorders>
              <w:right w:val="single" w:sz="8" w:space="0" w:color="000000"/>
            </w:tcBorders>
          </w:tcPr>
          <w:p>
            <w:pPr>
              <w:pStyle w:val="TableParagraph"/>
              <w:spacing w:before="66"/>
              <w:ind w:left="71" w:right="56"/>
              <w:rPr>
                <w:rFonts w:ascii="Times New Roman"/>
                <w:sz w:val="18"/>
              </w:rPr>
            </w:pPr>
            <w:r>
              <w:rPr>
                <w:rFonts w:ascii="Times New Roman"/>
                <w:sz w:val="18"/>
              </w:rPr>
              <w:t>0.0012</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spacing w:before="66"/>
              <w:ind w:left="13"/>
              <w:rPr>
                <w:rFonts w:ascii="Times New Roman"/>
                <w:sz w:val="18"/>
              </w:rPr>
            </w:pPr>
            <w:r>
              <w:rPr>
                <w:rFonts w:ascii="Times New Roman"/>
                <w:sz w:val="18"/>
              </w:rPr>
              <w:t>0.024</w:t>
            </w:r>
          </w:p>
        </w:tc>
        <w:tc>
          <w:tcPr>
            <w:tcW w:w="771" w:type="dxa"/>
          </w:tcPr>
          <w:p>
            <w:pPr>
              <w:pStyle w:val="TableParagraph"/>
              <w:spacing w:before="66"/>
              <w:ind w:left="95" w:right="82"/>
              <w:rPr>
                <w:rFonts w:ascii="Times New Roman"/>
                <w:sz w:val="18"/>
              </w:rPr>
            </w:pPr>
            <w:r>
              <w:rPr>
                <w:rFonts w:ascii="Times New Roman"/>
                <w:sz w:val="18"/>
              </w:rPr>
              <w:t>0.0024</w:t>
            </w: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9"/>
              <w:rPr>
                <w:rFonts w:ascii="Times New Roman"/>
                <w:sz w:val="18"/>
              </w:rPr>
            </w:pPr>
            <w:r>
              <w:rPr>
                <w:rFonts w:ascii="Times New Roman"/>
                <w:sz w:val="18"/>
              </w:rPr>
              <w:t>0.836</w:t>
            </w:r>
          </w:p>
        </w:tc>
        <w:tc>
          <w:tcPr>
            <w:tcW w:w="768" w:type="dxa"/>
          </w:tcPr>
          <w:p>
            <w:pPr>
              <w:pStyle w:val="TableParagraph"/>
              <w:spacing w:before="66"/>
              <w:ind w:left="16"/>
              <w:rPr>
                <w:rFonts w:ascii="Times New Roman"/>
                <w:sz w:val="18"/>
              </w:rPr>
            </w:pPr>
            <w:r>
              <w:rPr>
                <w:rFonts w:ascii="Times New Roman"/>
                <w:sz w:val="18"/>
              </w:rPr>
              <w:t>0.0836</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乙醇</w:t>
            </w:r>
          </w:p>
        </w:tc>
        <w:tc>
          <w:tcPr>
            <w:tcW w:w="768" w:type="dxa"/>
            <w:tcBorders>
              <w:top w:val="single" w:sz="8" w:space="0" w:color="000000"/>
              <w:bottom w:val="single" w:sz="8" w:space="0" w:color="000000"/>
            </w:tcBorders>
          </w:tcPr>
          <w:p>
            <w:pPr>
              <w:pStyle w:val="TableParagraph"/>
              <w:spacing w:before="66"/>
              <w:ind w:left="10"/>
              <w:rPr>
                <w:rFonts w:ascii="Times New Roman"/>
                <w:sz w:val="18"/>
              </w:rPr>
            </w:pPr>
            <w:r>
              <w:rPr>
                <w:rFonts w:ascii="Times New Roman"/>
                <w:sz w:val="18"/>
              </w:rPr>
              <w:t>0.8</w:t>
            </w:r>
          </w:p>
        </w:tc>
        <w:tc>
          <w:tcPr>
            <w:tcW w:w="772" w:type="dxa"/>
          </w:tcPr>
          <w:p>
            <w:pPr>
              <w:pStyle w:val="TableParagraph"/>
              <w:spacing w:before="66"/>
              <w:ind w:left="95" w:right="83"/>
              <w:rPr>
                <w:rFonts w:ascii="Times New Roman"/>
                <w:sz w:val="18"/>
              </w:rPr>
            </w:pPr>
            <w:r>
              <w:rPr>
                <w:rFonts w:ascii="Times New Roman"/>
                <w:sz w:val="18"/>
              </w:rPr>
              <w:t>0.2</w:t>
            </w: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6"/>
              <w:ind w:left="71" w:right="62"/>
              <w:rPr>
                <w:rFonts w:ascii="Times New Roman"/>
                <w:sz w:val="18"/>
              </w:rPr>
            </w:pPr>
            <w:r>
              <w:rPr>
                <w:rFonts w:ascii="Times New Roman"/>
                <w:sz w:val="18"/>
              </w:rPr>
              <w:t>0.27</w:t>
            </w:r>
          </w:p>
        </w:tc>
        <w:tc>
          <w:tcPr>
            <w:tcW w:w="768" w:type="dxa"/>
            <w:tcBorders>
              <w:right w:val="single" w:sz="8" w:space="0" w:color="000000"/>
            </w:tcBorders>
          </w:tcPr>
          <w:p>
            <w:pPr>
              <w:pStyle w:val="TableParagraph"/>
              <w:spacing w:before="66"/>
              <w:ind w:left="71" w:right="56"/>
              <w:rPr>
                <w:rFonts w:ascii="Times New Roman"/>
                <w:sz w:val="18"/>
              </w:rPr>
            </w:pPr>
            <w:r>
              <w:rPr>
                <w:rFonts w:ascii="Times New Roman"/>
                <w:sz w:val="18"/>
              </w:rPr>
              <w:t>0.0675</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spacing w:before="66"/>
              <w:ind w:left="13"/>
              <w:rPr>
                <w:rFonts w:ascii="Times New Roman"/>
                <w:sz w:val="18"/>
              </w:rPr>
            </w:pPr>
            <w:r>
              <w:rPr>
                <w:rFonts w:ascii="Times New Roman"/>
                <w:sz w:val="18"/>
              </w:rPr>
              <w:t>1.04</w:t>
            </w:r>
          </w:p>
        </w:tc>
        <w:tc>
          <w:tcPr>
            <w:tcW w:w="771" w:type="dxa"/>
          </w:tcPr>
          <w:p>
            <w:pPr>
              <w:pStyle w:val="TableParagraph"/>
              <w:spacing w:before="66"/>
              <w:ind w:left="95" w:right="85"/>
              <w:rPr>
                <w:rFonts w:ascii="Times New Roman"/>
                <w:sz w:val="18"/>
              </w:rPr>
            </w:pPr>
            <w:r>
              <w:rPr>
                <w:rFonts w:ascii="Times New Roman"/>
                <w:sz w:val="18"/>
              </w:rPr>
              <w:t>0.26</w:t>
            </w: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9"/>
              <w:rPr>
                <w:rFonts w:ascii="Times New Roman"/>
                <w:sz w:val="18"/>
              </w:rPr>
            </w:pPr>
            <w:r>
              <w:rPr>
                <w:rFonts w:ascii="Times New Roman"/>
                <w:sz w:val="18"/>
              </w:rPr>
              <w:t>1.31</w:t>
            </w:r>
          </w:p>
        </w:tc>
        <w:tc>
          <w:tcPr>
            <w:tcW w:w="768" w:type="dxa"/>
          </w:tcPr>
          <w:p>
            <w:pPr>
              <w:pStyle w:val="TableParagraph"/>
              <w:spacing w:before="66"/>
              <w:ind w:left="16"/>
              <w:rPr>
                <w:rFonts w:ascii="Times New Roman"/>
                <w:sz w:val="18"/>
              </w:rPr>
            </w:pPr>
            <w:r>
              <w:rPr>
                <w:rFonts w:ascii="Times New Roman"/>
                <w:sz w:val="18"/>
              </w:rPr>
              <w:t>0.5275</w:t>
            </w:r>
          </w:p>
        </w:tc>
      </w:tr>
      <w:tr>
        <w:trPr>
          <w:trHeight w:val="345"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bottom w:val="single" w:sz="8" w:space="0" w:color="000000"/>
            </w:tcBorders>
          </w:tcPr>
          <w:p>
            <w:pPr>
              <w:pStyle w:val="TableParagraph"/>
              <w:spacing w:line="325" w:lineRule="exact"/>
              <w:ind w:left="47" w:right="36"/>
              <w:rPr>
                <w:sz w:val="18"/>
              </w:rPr>
            </w:pPr>
            <w:r>
              <w:rPr>
                <w:sz w:val="18"/>
              </w:rPr>
              <w:t>异丙醇</w:t>
            </w:r>
          </w:p>
        </w:tc>
        <w:tc>
          <w:tcPr>
            <w:tcW w:w="768" w:type="dxa"/>
            <w:tcBorders>
              <w:top w:val="single" w:sz="8" w:space="0" w:color="000000"/>
              <w:bottom w:val="single" w:sz="8" w:space="0" w:color="000000"/>
            </w:tcBorders>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6"/>
              <w:ind w:left="71" w:right="62"/>
              <w:rPr>
                <w:rFonts w:ascii="Times New Roman"/>
                <w:sz w:val="18"/>
              </w:rPr>
            </w:pPr>
            <w:r>
              <w:rPr>
                <w:rFonts w:ascii="Times New Roman"/>
                <w:sz w:val="18"/>
              </w:rPr>
              <w:t>0.012</w:t>
            </w:r>
          </w:p>
        </w:tc>
        <w:tc>
          <w:tcPr>
            <w:tcW w:w="768" w:type="dxa"/>
            <w:tcBorders>
              <w:right w:val="single" w:sz="8" w:space="0" w:color="000000"/>
            </w:tcBorders>
          </w:tcPr>
          <w:p>
            <w:pPr>
              <w:pStyle w:val="TableParagraph"/>
              <w:spacing w:before="66"/>
              <w:ind w:left="71" w:right="56"/>
              <w:rPr>
                <w:rFonts w:ascii="Times New Roman"/>
                <w:sz w:val="18"/>
              </w:rPr>
            </w:pPr>
            <w:r>
              <w:rPr>
                <w:rFonts w:ascii="Times New Roman"/>
                <w:sz w:val="18"/>
              </w:rPr>
              <w:t>0.0012</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9"/>
              <w:rPr>
                <w:rFonts w:ascii="Times New Roman"/>
                <w:sz w:val="18"/>
              </w:rPr>
            </w:pPr>
            <w:r>
              <w:rPr>
                <w:rFonts w:ascii="Times New Roman"/>
                <w:sz w:val="18"/>
              </w:rPr>
              <w:t>0.012</w:t>
            </w:r>
          </w:p>
        </w:tc>
        <w:tc>
          <w:tcPr>
            <w:tcW w:w="768" w:type="dxa"/>
          </w:tcPr>
          <w:p>
            <w:pPr>
              <w:pStyle w:val="TableParagraph"/>
              <w:spacing w:before="66"/>
              <w:ind w:left="16"/>
              <w:rPr>
                <w:rFonts w:ascii="Times New Roman"/>
                <w:sz w:val="18"/>
              </w:rPr>
            </w:pPr>
            <w:r>
              <w:rPr>
                <w:rFonts w:ascii="Times New Roman"/>
                <w:sz w:val="18"/>
              </w:rPr>
              <w:t>0.0012</w:t>
            </w:r>
          </w:p>
        </w:tc>
      </w:tr>
      <w:tr>
        <w:trPr>
          <w:trHeight w:val="335" w:hRule="atLeast"/>
        </w:trPr>
        <w:tc>
          <w:tcPr>
            <w:tcW w:w="785" w:type="dxa"/>
            <w:vMerge/>
            <w:tcBorders>
              <w:top w:val="nil"/>
              <w:right w:val="single" w:sz="8" w:space="0" w:color="000000"/>
            </w:tcBorders>
          </w:tcPr>
          <w:p>
            <w:pPr>
              <w:rPr>
                <w:sz w:val="2"/>
                <w:szCs w:val="2"/>
              </w:rPr>
            </w:pPr>
          </w:p>
        </w:tc>
        <w:tc>
          <w:tcPr>
            <w:tcW w:w="1699" w:type="dxa"/>
            <w:tcBorders>
              <w:top w:val="single" w:sz="8" w:space="0" w:color="000000"/>
              <w:left w:val="single" w:sz="8" w:space="0" w:color="000000"/>
            </w:tcBorders>
          </w:tcPr>
          <w:p>
            <w:pPr>
              <w:pStyle w:val="TableParagraph"/>
              <w:spacing w:line="315" w:lineRule="exact"/>
              <w:ind w:left="45" w:right="36"/>
              <w:rPr>
                <w:sz w:val="18"/>
              </w:rPr>
            </w:pPr>
            <w:r>
              <w:rPr>
                <w:sz w:val="18"/>
              </w:rPr>
              <w:t>呋喃</w:t>
            </w:r>
          </w:p>
        </w:tc>
        <w:tc>
          <w:tcPr>
            <w:tcW w:w="768" w:type="dxa"/>
            <w:tcBorders>
              <w:top w:val="single" w:sz="8" w:space="0" w:color="000000"/>
              <w:bottom w:val="single" w:sz="8" w:space="0" w:color="000000"/>
            </w:tcBorders>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3" w:right="61"/>
              <w:rPr>
                <w:rFonts w:ascii="Times New Roman"/>
                <w:sz w:val="18"/>
              </w:rPr>
            </w:pPr>
            <w:r>
              <w:rPr>
                <w:rFonts w:ascii="Times New Roman"/>
                <w:sz w:val="18"/>
              </w:rPr>
              <w:t>0.0012</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0.00024</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spacing w:before="62"/>
              <w:ind w:left="13"/>
              <w:rPr>
                <w:rFonts w:ascii="Times New Roman"/>
                <w:sz w:val="18"/>
              </w:rPr>
            </w:pPr>
            <w:r>
              <w:rPr>
                <w:rFonts w:ascii="Times New Roman"/>
                <w:sz w:val="18"/>
              </w:rPr>
              <w:t>0.001</w:t>
            </w:r>
          </w:p>
        </w:tc>
        <w:tc>
          <w:tcPr>
            <w:tcW w:w="771" w:type="dxa"/>
          </w:tcPr>
          <w:p>
            <w:pPr>
              <w:pStyle w:val="TableParagraph"/>
              <w:spacing w:before="62"/>
              <w:ind w:left="95" w:right="82"/>
              <w:rPr>
                <w:rFonts w:ascii="Times New Roman"/>
                <w:sz w:val="18"/>
              </w:rPr>
            </w:pPr>
            <w:r>
              <w:rPr>
                <w:rFonts w:ascii="Times New Roman"/>
                <w:sz w:val="18"/>
              </w:rPr>
              <w:t>0.0002</w:t>
            </w: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12"/>
              <w:rPr>
                <w:rFonts w:ascii="Times New Roman"/>
                <w:sz w:val="18"/>
              </w:rPr>
            </w:pPr>
            <w:r>
              <w:rPr>
                <w:rFonts w:ascii="Times New Roman"/>
                <w:sz w:val="18"/>
              </w:rPr>
              <w:t>0.0022</w:t>
            </w:r>
          </w:p>
        </w:tc>
        <w:tc>
          <w:tcPr>
            <w:tcW w:w="768" w:type="dxa"/>
          </w:tcPr>
          <w:p>
            <w:pPr>
              <w:pStyle w:val="TableParagraph"/>
              <w:spacing w:before="62"/>
              <w:ind w:left="16"/>
              <w:rPr>
                <w:rFonts w:ascii="Times New Roman"/>
                <w:sz w:val="18"/>
              </w:rPr>
            </w:pPr>
            <w:r>
              <w:rPr>
                <w:rFonts w:ascii="Times New Roman"/>
                <w:sz w:val="18"/>
              </w:rPr>
              <w:t>0.00044</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丙酮</w:t>
            </w:r>
          </w:p>
        </w:tc>
        <w:tc>
          <w:tcPr>
            <w:tcW w:w="768" w:type="dxa"/>
            <w:tcBorders>
              <w:top w:val="single" w:sz="8" w:space="0" w:color="000000"/>
              <w:bottom w:val="single" w:sz="8" w:space="0" w:color="000000"/>
            </w:tcBorders>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6"/>
              <w:ind w:left="71" w:right="62"/>
              <w:rPr>
                <w:rFonts w:ascii="Times New Roman"/>
                <w:sz w:val="18"/>
              </w:rPr>
            </w:pPr>
            <w:r>
              <w:rPr>
                <w:rFonts w:ascii="Times New Roman"/>
                <w:sz w:val="18"/>
              </w:rPr>
              <w:t>1.011</w:t>
            </w:r>
          </w:p>
        </w:tc>
        <w:tc>
          <w:tcPr>
            <w:tcW w:w="768" w:type="dxa"/>
            <w:tcBorders>
              <w:right w:val="single" w:sz="8" w:space="0" w:color="000000"/>
            </w:tcBorders>
          </w:tcPr>
          <w:p>
            <w:pPr>
              <w:pStyle w:val="TableParagraph"/>
              <w:spacing w:before="66"/>
              <w:ind w:left="71" w:right="56"/>
              <w:rPr>
                <w:rFonts w:ascii="Times New Roman"/>
                <w:sz w:val="18"/>
              </w:rPr>
            </w:pPr>
            <w:r>
              <w:rPr>
                <w:rFonts w:ascii="Times New Roman"/>
                <w:sz w:val="18"/>
              </w:rPr>
              <w:t>0.2022</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spacing w:before="66"/>
              <w:ind w:left="13"/>
              <w:rPr>
                <w:rFonts w:ascii="Times New Roman"/>
                <w:sz w:val="18"/>
              </w:rPr>
            </w:pPr>
            <w:r>
              <w:rPr>
                <w:rFonts w:ascii="Times New Roman"/>
                <w:sz w:val="18"/>
              </w:rPr>
              <w:t>2.774</w:t>
            </w:r>
          </w:p>
        </w:tc>
        <w:tc>
          <w:tcPr>
            <w:tcW w:w="771" w:type="dxa"/>
          </w:tcPr>
          <w:p>
            <w:pPr>
              <w:pStyle w:val="TableParagraph"/>
              <w:spacing w:before="66"/>
              <w:ind w:left="95" w:right="82"/>
              <w:rPr>
                <w:rFonts w:ascii="Times New Roman"/>
                <w:sz w:val="18"/>
              </w:rPr>
            </w:pPr>
            <w:r>
              <w:rPr>
                <w:rFonts w:ascii="Times New Roman"/>
                <w:sz w:val="18"/>
              </w:rPr>
              <w:t>0.5548</w:t>
            </w: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9"/>
              <w:rPr>
                <w:rFonts w:ascii="Times New Roman"/>
                <w:sz w:val="18"/>
              </w:rPr>
            </w:pPr>
            <w:r>
              <w:rPr>
                <w:rFonts w:ascii="Times New Roman"/>
                <w:sz w:val="18"/>
              </w:rPr>
              <w:t>3.785</w:t>
            </w:r>
          </w:p>
        </w:tc>
        <w:tc>
          <w:tcPr>
            <w:tcW w:w="768" w:type="dxa"/>
          </w:tcPr>
          <w:p>
            <w:pPr>
              <w:pStyle w:val="TableParagraph"/>
              <w:spacing w:before="66"/>
              <w:ind w:left="14"/>
              <w:rPr>
                <w:rFonts w:ascii="Times New Roman"/>
                <w:sz w:val="18"/>
              </w:rPr>
            </w:pPr>
            <w:r>
              <w:rPr>
                <w:rFonts w:ascii="Times New Roman"/>
                <w:sz w:val="18"/>
              </w:rPr>
              <w:t>0.757</w:t>
            </w:r>
          </w:p>
        </w:tc>
      </w:tr>
      <w:tr>
        <w:trPr>
          <w:trHeight w:val="344"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bottom w:val="single" w:sz="8" w:space="0" w:color="000000"/>
            </w:tcBorders>
          </w:tcPr>
          <w:p>
            <w:pPr>
              <w:pStyle w:val="TableParagraph"/>
              <w:spacing w:line="325" w:lineRule="exact"/>
              <w:ind w:left="47" w:right="36"/>
              <w:rPr>
                <w:sz w:val="18"/>
              </w:rPr>
            </w:pPr>
            <w:r>
              <w:rPr>
                <w:sz w:val="18"/>
              </w:rPr>
              <w:t>环氧氯丙烷</w:t>
            </w:r>
          </w:p>
        </w:tc>
        <w:tc>
          <w:tcPr>
            <w:tcW w:w="768" w:type="dxa"/>
            <w:tcBorders>
              <w:top w:val="single" w:sz="8" w:space="0" w:color="000000"/>
              <w:bottom w:val="single" w:sz="8" w:space="0" w:color="000000"/>
            </w:tcBorders>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6"/>
              <w:ind w:left="71" w:right="62"/>
              <w:rPr>
                <w:rFonts w:ascii="Times New Roman"/>
                <w:sz w:val="18"/>
              </w:rPr>
            </w:pPr>
            <w:r>
              <w:rPr>
                <w:rFonts w:ascii="Times New Roman"/>
                <w:sz w:val="18"/>
              </w:rPr>
              <w:t>0.133</w:t>
            </w:r>
          </w:p>
        </w:tc>
        <w:tc>
          <w:tcPr>
            <w:tcW w:w="768" w:type="dxa"/>
            <w:tcBorders>
              <w:right w:val="single" w:sz="8" w:space="0" w:color="000000"/>
            </w:tcBorders>
          </w:tcPr>
          <w:p>
            <w:pPr>
              <w:pStyle w:val="TableParagraph"/>
              <w:spacing w:before="66"/>
              <w:ind w:left="71" w:right="56"/>
              <w:rPr>
                <w:rFonts w:ascii="Times New Roman"/>
                <w:sz w:val="18"/>
              </w:rPr>
            </w:pPr>
            <w:r>
              <w:rPr>
                <w:rFonts w:ascii="Times New Roman"/>
                <w:sz w:val="18"/>
              </w:rPr>
              <w:t>0.0266</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9"/>
              <w:rPr>
                <w:rFonts w:ascii="Times New Roman"/>
                <w:sz w:val="18"/>
              </w:rPr>
            </w:pPr>
            <w:r>
              <w:rPr>
                <w:rFonts w:ascii="Times New Roman"/>
                <w:sz w:val="18"/>
              </w:rPr>
              <w:t>0.133</w:t>
            </w:r>
          </w:p>
        </w:tc>
        <w:tc>
          <w:tcPr>
            <w:tcW w:w="768" w:type="dxa"/>
          </w:tcPr>
          <w:p>
            <w:pPr>
              <w:pStyle w:val="TableParagraph"/>
              <w:spacing w:before="66"/>
              <w:ind w:left="16"/>
              <w:rPr>
                <w:rFonts w:ascii="Times New Roman"/>
                <w:sz w:val="18"/>
              </w:rPr>
            </w:pPr>
            <w:r>
              <w:rPr>
                <w:rFonts w:ascii="Times New Roman"/>
                <w:sz w:val="18"/>
              </w:rPr>
              <w:t>0.0266</w:t>
            </w:r>
          </w:p>
        </w:tc>
      </w:tr>
      <w:tr>
        <w:trPr>
          <w:trHeight w:val="335" w:hRule="atLeast"/>
        </w:trPr>
        <w:tc>
          <w:tcPr>
            <w:tcW w:w="785" w:type="dxa"/>
            <w:vMerge/>
            <w:tcBorders>
              <w:top w:val="nil"/>
              <w:right w:val="single" w:sz="8" w:space="0" w:color="000000"/>
            </w:tcBorders>
          </w:tcPr>
          <w:p>
            <w:pPr>
              <w:rPr>
                <w:sz w:val="2"/>
                <w:szCs w:val="2"/>
              </w:rPr>
            </w:pPr>
          </w:p>
        </w:tc>
        <w:tc>
          <w:tcPr>
            <w:tcW w:w="1699" w:type="dxa"/>
            <w:tcBorders>
              <w:top w:val="single" w:sz="8" w:space="0" w:color="000000"/>
              <w:left w:val="single" w:sz="8" w:space="0" w:color="000000"/>
            </w:tcBorders>
          </w:tcPr>
          <w:p>
            <w:pPr>
              <w:pStyle w:val="TableParagraph"/>
              <w:spacing w:line="315" w:lineRule="exact"/>
              <w:ind w:left="47" w:right="36"/>
              <w:rPr>
                <w:sz w:val="18"/>
              </w:rPr>
            </w:pPr>
            <w:r>
              <w:rPr>
                <w:sz w:val="18"/>
              </w:rPr>
              <w:t>正丙胺</w:t>
            </w:r>
          </w:p>
        </w:tc>
        <w:tc>
          <w:tcPr>
            <w:tcW w:w="768" w:type="dxa"/>
            <w:tcBorders>
              <w:top w:val="single" w:sz="8" w:space="0" w:color="000000"/>
              <w:bottom w:val="single" w:sz="8" w:space="0" w:color="000000"/>
            </w:tcBorders>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0.182</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0.0364</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0.182</w:t>
            </w:r>
          </w:p>
        </w:tc>
        <w:tc>
          <w:tcPr>
            <w:tcW w:w="768" w:type="dxa"/>
          </w:tcPr>
          <w:p>
            <w:pPr>
              <w:pStyle w:val="TableParagraph"/>
              <w:spacing w:before="62"/>
              <w:ind w:left="16"/>
              <w:rPr>
                <w:rFonts w:ascii="Times New Roman"/>
                <w:sz w:val="18"/>
              </w:rPr>
            </w:pPr>
            <w:r>
              <w:rPr>
                <w:rFonts w:ascii="Times New Roman"/>
                <w:sz w:val="18"/>
              </w:rPr>
              <w:t>0.0364</w:t>
            </w:r>
          </w:p>
        </w:tc>
      </w:tr>
      <w:tr>
        <w:trPr>
          <w:trHeight w:val="344"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5" w:lineRule="exact"/>
              <w:ind w:left="47" w:right="36"/>
              <w:rPr>
                <w:sz w:val="18"/>
              </w:rPr>
            </w:pPr>
            <w:r>
              <w:rPr>
                <w:sz w:val="18"/>
              </w:rPr>
              <w:t>双氟苯甲醇</w:t>
            </w:r>
          </w:p>
        </w:tc>
        <w:tc>
          <w:tcPr>
            <w:tcW w:w="768" w:type="dxa"/>
            <w:tcBorders>
              <w:top w:val="single" w:sz="8" w:space="0" w:color="000000"/>
            </w:tcBorders>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6"/>
              <w:ind w:left="73" w:right="62"/>
              <w:rPr>
                <w:rFonts w:ascii="Times New Roman"/>
                <w:sz w:val="18"/>
              </w:rPr>
            </w:pPr>
            <w:r>
              <w:rPr>
                <w:rFonts w:ascii="Times New Roman"/>
                <w:sz w:val="18"/>
              </w:rPr>
              <w:t>0.0015</w:t>
            </w:r>
          </w:p>
        </w:tc>
        <w:tc>
          <w:tcPr>
            <w:tcW w:w="768" w:type="dxa"/>
            <w:tcBorders>
              <w:right w:val="single" w:sz="8" w:space="0" w:color="000000"/>
            </w:tcBorders>
          </w:tcPr>
          <w:p>
            <w:pPr>
              <w:pStyle w:val="TableParagraph"/>
              <w:spacing w:before="66"/>
              <w:ind w:left="71" w:right="56"/>
              <w:rPr>
                <w:rFonts w:ascii="Times New Roman"/>
                <w:sz w:val="18"/>
              </w:rPr>
            </w:pPr>
            <w:r>
              <w:rPr>
                <w:rFonts w:ascii="Times New Roman"/>
                <w:sz w:val="18"/>
              </w:rPr>
              <w:t>0.0003</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6"/>
              <w:ind w:left="12"/>
              <w:rPr>
                <w:rFonts w:ascii="Times New Roman"/>
                <w:sz w:val="18"/>
              </w:rPr>
            </w:pPr>
            <w:r>
              <w:rPr>
                <w:rFonts w:ascii="Times New Roman"/>
                <w:sz w:val="18"/>
              </w:rPr>
              <w:t>0.0015</w:t>
            </w:r>
          </w:p>
        </w:tc>
        <w:tc>
          <w:tcPr>
            <w:tcW w:w="768" w:type="dxa"/>
          </w:tcPr>
          <w:p>
            <w:pPr>
              <w:pStyle w:val="TableParagraph"/>
              <w:spacing w:before="66"/>
              <w:ind w:left="16"/>
              <w:rPr>
                <w:rFonts w:ascii="Times New Roman"/>
                <w:sz w:val="18"/>
              </w:rPr>
            </w:pPr>
            <w:r>
              <w:rPr>
                <w:rFonts w:ascii="Times New Roman"/>
                <w:sz w:val="18"/>
              </w:rPr>
              <w:t>0.0003</w:t>
            </w:r>
          </w:p>
        </w:tc>
      </w:tr>
    </w:tbl>
    <w:p>
      <w:pPr>
        <w:spacing w:after="0"/>
        <w:rPr>
          <w:rFonts w:ascii="Times New Roman"/>
          <w:sz w:val="18"/>
        </w:rPr>
        <w:sectPr>
          <w:headerReference w:type="default" r:id="rId5"/>
          <w:footerReference w:type="default" r:id="rId6"/>
          <w:type w:val="continuous"/>
          <w:pgSz w:w="16840" w:h="11910" w:orient="landscape"/>
          <w:pgMar w:header="877" w:footer="973" w:top="1180" w:bottom="1160" w:left="1680" w:right="1680"/>
          <w:pgNumType w:start="132"/>
        </w:sectPr>
      </w:pPr>
    </w:p>
    <w:p>
      <w:pPr>
        <w:pStyle w:val="BodyText"/>
        <w:spacing w:before="6"/>
        <w:rPr>
          <w:rFonts w:ascii="Times New Roman"/>
          <w:sz w:val="2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5"/>
        <w:gridCol w:w="1699"/>
        <w:gridCol w:w="768"/>
        <w:gridCol w:w="772"/>
        <w:gridCol w:w="770"/>
        <w:gridCol w:w="768"/>
        <w:gridCol w:w="770"/>
        <w:gridCol w:w="768"/>
        <w:gridCol w:w="770"/>
        <w:gridCol w:w="768"/>
        <w:gridCol w:w="768"/>
        <w:gridCol w:w="771"/>
        <w:gridCol w:w="768"/>
        <w:gridCol w:w="770"/>
        <w:gridCol w:w="768"/>
        <w:gridCol w:w="768"/>
      </w:tblGrid>
      <w:tr>
        <w:trPr>
          <w:trHeight w:val="340" w:hRule="atLeast"/>
        </w:trPr>
        <w:tc>
          <w:tcPr>
            <w:tcW w:w="785" w:type="dxa"/>
            <w:vMerge w:val="restart"/>
            <w:tcBorders>
              <w:right w:val="single" w:sz="8" w:space="0" w:color="000000"/>
            </w:tcBorders>
          </w:tcPr>
          <w:p>
            <w:pPr>
              <w:pStyle w:val="TableParagraph"/>
              <w:jc w:val="left"/>
              <w:rPr>
                <w:rFonts w:ascii="Times New Roman"/>
                <w:sz w:val="18"/>
              </w:rPr>
            </w:pPr>
          </w:p>
        </w:tc>
        <w:tc>
          <w:tcPr>
            <w:tcW w:w="1699" w:type="dxa"/>
            <w:tcBorders>
              <w:left w:val="single" w:sz="8" w:space="0" w:color="000000"/>
              <w:bottom w:val="single" w:sz="8" w:space="0" w:color="000000"/>
            </w:tcBorders>
          </w:tcPr>
          <w:p>
            <w:pPr>
              <w:pStyle w:val="TableParagraph"/>
              <w:spacing w:line="320" w:lineRule="exact"/>
              <w:ind w:left="45" w:right="36"/>
              <w:rPr>
                <w:sz w:val="18"/>
              </w:rPr>
            </w:pPr>
            <w:r>
              <w:rPr>
                <w:sz w:val="18"/>
              </w:rPr>
              <w:t>双氟苯氯甲烷</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0.012</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0.0024</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0.012</w:t>
            </w:r>
          </w:p>
        </w:tc>
        <w:tc>
          <w:tcPr>
            <w:tcW w:w="768" w:type="dxa"/>
          </w:tcPr>
          <w:p>
            <w:pPr>
              <w:pStyle w:val="TableParagraph"/>
              <w:spacing w:before="62"/>
              <w:ind w:left="16"/>
              <w:rPr>
                <w:rFonts w:ascii="Times New Roman"/>
                <w:sz w:val="18"/>
              </w:rPr>
            </w:pPr>
            <w:r>
              <w:rPr>
                <w:rFonts w:ascii="Times New Roman"/>
                <w:sz w:val="18"/>
              </w:rPr>
              <w:t>0.0024</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top w:val="single" w:sz="8" w:space="0" w:color="000000"/>
              <w:left w:val="single" w:sz="8" w:space="0" w:color="000000"/>
            </w:tcBorders>
          </w:tcPr>
          <w:p>
            <w:pPr>
              <w:pStyle w:val="TableParagraph"/>
              <w:spacing w:line="320" w:lineRule="exact"/>
              <w:ind w:left="47" w:right="36"/>
              <w:rPr>
                <w:sz w:val="18"/>
              </w:rPr>
            </w:pPr>
            <w:r>
              <w:rPr>
                <w:sz w:val="18"/>
              </w:rPr>
              <w:t>三乙胺</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0.012</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0.0024</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0.012</w:t>
            </w:r>
          </w:p>
        </w:tc>
        <w:tc>
          <w:tcPr>
            <w:tcW w:w="768" w:type="dxa"/>
          </w:tcPr>
          <w:p>
            <w:pPr>
              <w:pStyle w:val="TableParagraph"/>
              <w:spacing w:before="62"/>
              <w:ind w:left="16"/>
              <w:rPr>
                <w:rFonts w:ascii="Times New Roman"/>
                <w:sz w:val="18"/>
              </w:rPr>
            </w:pPr>
            <w:r>
              <w:rPr>
                <w:rFonts w:ascii="Times New Roman"/>
                <w:sz w:val="18"/>
              </w:rPr>
              <w:t>0.0024</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醋酐</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0.017</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0.0017</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0.017</w:t>
            </w:r>
          </w:p>
        </w:tc>
        <w:tc>
          <w:tcPr>
            <w:tcW w:w="768" w:type="dxa"/>
          </w:tcPr>
          <w:p>
            <w:pPr>
              <w:pStyle w:val="TableParagraph"/>
              <w:spacing w:before="62"/>
              <w:ind w:left="16"/>
              <w:rPr>
                <w:rFonts w:ascii="Times New Roman"/>
                <w:sz w:val="18"/>
              </w:rPr>
            </w:pPr>
            <w:r>
              <w:rPr>
                <w:rFonts w:ascii="Times New Roman"/>
                <w:sz w:val="18"/>
              </w:rPr>
              <w:t>0.0017</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硝酸</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3" w:right="62"/>
              <w:rPr>
                <w:rFonts w:ascii="Times New Roman"/>
                <w:sz w:val="18"/>
              </w:rPr>
            </w:pPr>
            <w:r>
              <w:rPr>
                <w:rFonts w:ascii="Times New Roman"/>
                <w:sz w:val="18"/>
              </w:rPr>
              <w:t>0.00875</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0.0014</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11"/>
              <w:rPr>
                <w:rFonts w:ascii="Times New Roman"/>
                <w:sz w:val="18"/>
              </w:rPr>
            </w:pPr>
            <w:r>
              <w:rPr>
                <w:rFonts w:ascii="Times New Roman"/>
                <w:sz w:val="18"/>
              </w:rPr>
              <w:t>0.00875</w:t>
            </w:r>
          </w:p>
        </w:tc>
        <w:tc>
          <w:tcPr>
            <w:tcW w:w="768" w:type="dxa"/>
          </w:tcPr>
          <w:p>
            <w:pPr>
              <w:pStyle w:val="TableParagraph"/>
              <w:spacing w:before="62"/>
              <w:ind w:left="16"/>
              <w:rPr>
                <w:rFonts w:ascii="Times New Roman"/>
                <w:sz w:val="18"/>
              </w:rPr>
            </w:pPr>
            <w:r>
              <w:rPr>
                <w:rFonts w:ascii="Times New Roman"/>
                <w:sz w:val="18"/>
              </w:rPr>
              <w:t>0.0014</w:t>
            </w:r>
          </w:p>
        </w:tc>
      </w:tr>
      <w:tr>
        <w:trPr>
          <w:trHeight w:val="337"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18" w:lineRule="exact"/>
              <w:ind w:left="45" w:right="36"/>
              <w:rPr>
                <w:sz w:val="18"/>
              </w:rPr>
            </w:pPr>
            <w:r>
              <w:rPr>
                <w:sz w:val="18"/>
              </w:rPr>
              <w:t>乙酸乙酯</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59"/>
              <w:ind w:left="73" w:right="62"/>
              <w:rPr>
                <w:rFonts w:ascii="Times New Roman"/>
                <w:sz w:val="18"/>
              </w:rPr>
            </w:pPr>
            <w:r>
              <w:rPr>
                <w:rFonts w:ascii="Times New Roman"/>
                <w:sz w:val="18"/>
              </w:rPr>
              <w:t>0.5</w:t>
            </w:r>
          </w:p>
        </w:tc>
        <w:tc>
          <w:tcPr>
            <w:tcW w:w="768" w:type="dxa"/>
            <w:tcBorders>
              <w:right w:val="single" w:sz="8" w:space="0" w:color="000000"/>
            </w:tcBorders>
          </w:tcPr>
          <w:p>
            <w:pPr>
              <w:pStyle w:val="TableParagraph"/>
              <w:spacing w:before="59"/>
              <w:ind w:left="71" w:right="56"/>
              <w:rPr>
                <w:rFonts w:ascii="Times New Roman"/>
                <w:sz w:val="18"/>
              </w:rPr>
            </w:pPr>
            <w:r>
              <w:rPr>
                <w:rFonts w:ascii="Times New Roman"/>
                <w:sz w:val="18"/>
              </w:rPr>
              <w:t>0.1</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59"/>
              <w:ind w:left="12"/>
              <w:rPr>
                <w:rFonts w:ascii="Times New Roman"/>
                <w:sz w:val="18"/>
              </w:rPr>
            </w:pPr>
            <w:r>
              <w:rPr>
                <w:rFonts w:ascii="Times New Roman"/>
                <w:sz w:val="18"/>
              </w:rPr>
              <w:t>0.5</w:t>
            </w:r>
          </w:p>
        </w:tc>
        <w:tc>
          <w:tcPr>
            <w:tcW w:w="768" w:type="dxa"/>
          </w:tcPr>
          <w:p>
            <w:pPr>
              <w:pStyle w:val="TableParagraph"/>
              <w:spacing w:before="59"/>
              <w:ind w:left="17"/>
              <w:rPr>
                <w:rFonts w:ascii="Times New Roman"/>
                <w:sz w:val="18"/>
              </w:rPr>
            </w:pPr>
            <w:r>
              <w:rPr>
                <w:rFonts w:ascii="Times New Roman"/>
                <w:sz w:val="18"/>
              </w:rPr>
              <w:t>0.1</w:t>
            </w:r>
          </w:p>
        </w:tc>
      </w:tr>
      <w:tr>
        <w:trPr>
          <w:trHeight w:val="341"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1" w:lineRule="exact"/>
              <w:ind w:left="47" w:right="36"/>
              <w:rPr>
                <w:sz w:val="18"/>
              </w:rPr>
            </w:pPr>
            <w:r>
              <w:rPr>
                <w:sz w:val="18"/>
              </w:rPr>
              <w:t>苯甲醛</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0.018</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0.0036</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0.018</w:t>
            </w:r>
          </w:p>
        </w:tc>
        <w:tc>
          <w:tcPr>
            <w:tcW w:w="768" w:type="dxa"/>
          </w:tcPr>
          <w:p>
            <w:pPr>
              <w:pStyle w:val="TableParagraph"/>
              <w:spacing w:before="62"/>
              <w:ind w:left="16"/>
              <w:rPr>
                <w:rFonts w:ascii="Times New Roman"/>
                <w:sz w:val="18"/>
              </w:rPr>
            </w:pPr>
            <w:r>
              <w:rPr>
                <w:rFonts w:ascii="Times New Roman"/>
                <w:sz w:val="18"/>
              </w:rPr>
              <w:t>0.0036</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7" w:right="36"/>
              <w:rPr>
                <w:sz w:val="18"/>
              </w:rPr>
            </w:pPr>
            <w:r>
              <w:rPr>
                <w:sz w:val="18"/>
              </w:rPr>
              <w:t>苄氨基乙醇</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0.09</w:t>
            </w:r>
          </w:p>
        </w:tc>
        <w:tc>
          <w:tcPr>
            <w:tcW w:w="768" w:type="dxa"/>
            <w:tcBorders>
              <w:right w:val="single" w:sz="8" w:space="0" w:color="000000"/>
            </w:tcBorders>
          </w:tcPr>
          <w:p>
            <w:pPr>
              <w:pStyle w:val="TableParagraph"/>
              <w:spacing w:before="62"/>
              <w:ind w:left="69" w:right="56"/>
              <w:rPr>
                <w:rFonts w:ascii="Times New Roman"/>
                <w:sz w:val="18"/>
              </w:rPr>
            </w:pPr>
            <w:r>
              <w:rPr>
                <w:rFonts w:ascii="Times New Roman"/>
                <w:sz w:val="18"/>
              </w:rPr>
              <w:t>0.018</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0.09</w:t>
            </w:r>
          </w:p>
        </w:tc>
        <w:tc>
          <w:tcPr>
            <w:tcW w:w="768" w:type="dxa"/>
          </w:tcPr>
          <w:p>
            <w:pPr>
              <w:pStyle w:val="TableParagraph"/>
              <w:spacing w:before="62"/>
              <w:ind w:left="14"/>
              <w:rPr>
                <w:rFonts w:ascii="Times New Roman"/>
                <w:sz w:val="18"/>
              </w:rPr>
            </w:pPr>
            <w:r>
              <w:rPr>
                <w:rFonts w:ascii="Times New Roman"/>
                <w:sz w:val="18"/>
              </w:rPr>
              <w:t>0.018</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7" w:right="36"/>
              <w:rPr>
                <w:sz w:val="18"/>
              </w:rPr>
            </w:pPr>
            <w:r>
              <w:rPr>
                <w:sz w:val="18"/>
              </w:rPr>
              <w:t>氧化苯乙烯</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0.09</w:t>
            </w:r>
          </w:p>
        </w:tc>
        <w:tc>
          <w:tcPr>
            <w:tcW w:w="768" w:type="dxa"/>
            <w:tcBorders>
              <w:right w:val="single" w:sz="8" w:space="0" w:color="000000"/>
            </w:tcBorders>
          </w:tcPr>
          <w:p>
            <w:pPr>
              <w:pStyle w:val="TableParagraph"/>
              <w:spacing w:before="62"/>
              <w:ind w:left="69" w:right="56"/>
              <w:rPr>
                <w:rFonts w:ascii="Times New Roman"/>
                <w:sz w:val="18"/>
              </w:rPr>
            </w:pPr>
            <w:r>
              <w:rPr>
                <w:rFonts w:ascii="Times New Roman"/>
                <w:sz w:val="18"/>
              </w:rPr>
              <w:t>0.018</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0.09</w:t>
            </w:r>
          </w:p>
        </w:tc>
        <w:tc>
          <w:tcPr>
            <w:tcW w:w="768" w:type="dxa"/>
          </w:tcPr>
          <w:p>
            <w:pPr>
              <w:pStyle w:val="TableParagraph"/>
              <w:spacing w:before="62"/>
              <w:ind w:left="14"/>
              <w:rPr>
                <w:rFonts w:ascii="Times New Roman"/>
                <w:sz w:val="18"/>
              </w:rPr>
            </w:pPr>
            <w:r>
              <w:rPr>
                <w:rFonts w:ascii="Times New Roman"/>
                <w:sz w:val="18"/>
              </w:rPr>
              <w:t>0.018</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氯苯</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0.765</w:t>
            </w:r>
          </w:p>
        </w:tc>
        <w:tc>
          <w:tcPr>
            <w:tcW w:w="768" w:type="dxa"/>
            <w:tcBorders>
              <w:right w:val="single" w:sz="8" w:space="0" w:color="000000"/>
            </w:tcBorders>
          </w:tcPr>
          <w:p>
            <w:pPr>
              <w:pStyle w:val="TableParagraph"/>
              <w:spacing w:before="62"/>
              <w:ind w:left="69" w:right="56"/>
              <w:rPr>
                <w:rFonts w:ascii="Times New Roman"/>
                <w:sz w:val="18"/>
              </w:rPr>
            </w:pPr>
            <w:r>
              <w:rPr>
                <w:rFonts w:ascii="Times New Roman"/>
                <w:sz w:val="18"/>
              </w:rPr>
              <w:t>0.153</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0.765</w:t>
            </w:r>
          </w:p>
        </w:tc>
        <w:tc>
          <w:tcPr>
            <w:tcW w:w="768" w:type="dxa"/>
          </w:tcPr>
          <w:p>
            <w:pPr>
              <w:pStyle w:val="TableParagraph"/>
              <w:spacing w:before="62"/>
              <w:ind w:left="14"/>
              <w:rPr>
                <w:rFonts w:ascii="Times New Roman"/>
                <w:sz w:val="18"/>
              </w:rPr>
            </w:pPr>
            <w:r>
              <w:rPr>
                <w:rFonts w:ascii="Times New Roman"/>
                <w:sz w:val="18"/>
              </w:rPr>
              <w:t>0.153</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氯化亚砜</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0.099</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0.0099</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0.099</w:t>
            </w:r>
          </w:p>
        </w:tc>
        <w:tc>
          <w:tcPr>
            <w:tcW w:w="768" w:type="dxa"/>
          </w:tcPr>
          <w:p>
            <w:pPr>
              <w:pStyle w:val="TableParagraph"/>
              <w:spacing w:before="62"/>
              <w:ind w:left="16"/>
              <w:rPr>
                <w:rFonts w:ascii="Times New Roman"/>
                <w:sz w:val="18"/>
              </w:rPr>
            </w:pPr>
            <w:r>
              <w:rPr>
                <w:rFonts w:ascii="Times New Roman"/>
                <w:sz w:val="18"/>
              </w:rPr>
              <w:t>0.0099</w:t>
            </w:r>
          </w:p>
        </w:tc>
      </w:tr>
      <w:tr>
        <w:trPr>
          <w:trHeight w:val="337"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18" w:lineRule="exact"/>
              <w:ind w:left="45" w:right="36"/>
              <w:rPr>
                <w:sz w:val="18"/>
              </w:rPr>
            </w:pPr>
            <w:r>
              <w:rPr>
                <w:sz w:val="18"/>
              </w:rPr>
              <w:t>硫酸</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59"/>
              <w:ind w:left="71" w:right="62"/>
              <w:rPr>
                <w:rFonts w:ascii="Times New Roman"/>
                <w:sz w:val="18"/>
              </w:rPr>
            </w:pPr>
            <w:r>
              <w:rPr>
                <w:rFonts w:ascii="Times New Roman"/>
                <w:sz w:val="18"/>
              </w:rPr>
              <w:t>0.09</w:t>
            </w:r>
          </w:p>
        </w:tc>
        <w:tc>
          <w:tcPr>
            <w:tcW w:w="768" w:type="dxa"/>
            <w:tcBorders>
              <w:right w:val="single" w:sz="8" w:space="0" w:color="000000"/>
            </w:tcBorders>
          </w:tcPr>
          <w:p>
            <w:pPr>
              <w:pStyle w:val="TableParagraph"/>
              <w:spacing w:before="59"/>
              <w:ind w:left="69" w:right="56"/>
              <w:rPr>
                <w:rFonts w:ascii="Times New Roman"/>
                <w:sz w:val="18"/>
              </w:rPr>
            </w:pPr>
            <w:r>
              <w:rPr>
                <w:rFonts w:ascii="Times New Roman"/>
                <w:sz w:val="18"/>
              </w:rPr>
              <w:t>0.018</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59"/>
              <w:ind w:left="9"/>
              <w:rPr>
                <w:rFonts w:ascii="Times New Roman"/>
                <w:sz w:val="18"/>
              </w:rPr>
            </w:pPr>
            <w:r>
              <w:rPr>
                <w:rFonts w:ascii="Times New Roman"/>
                <w:sz w:val="18"/>
              </w:rPr>
              <w:t>0.09</w:t>
            </w:r>
          </w:p>
        </w:tc>
        <w:tc>
          <w:tcPr>
            <w:tcW w:w="768" w:type="dxa"/>
          </w:tcPr>
          <w:p>
            <w:pPr>
              <w:pStyle w:val="TableParagraph"/>
              <w:spacing w:before="59"/>
              <w:ind w:left="14"/>
              <w:rPr>
                <w:rFonts w:ascii="Times New Roman"/>
                <w:sz w:val="18"/>
              </w:rPr>
            </w:pPr>
            <w:r>
              <w:rPr>
                <w:rFonts w:ascii="Times New Roman"/>
                <w:sz w:val="18"/>
              </w:rPr>
              <w:t>0.018</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7" w:right="36"/>
              <w:rPr>
                <w:sz w:val="18"/>
              </w:rPr>
            </w:pPr>
            <w:r>
              <w:rPr>
                <w:sz w:val="18"/>
              </w:rPr>
              <w:t>氯甲酸乙酯</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0.725</w:t>
            </w:r>
          </w:p>
        </w:tc>
        <w:tc>
          <w:tcPr>
            <w:tcW w:w="768" w:type="dxa"/>
            <w:tcBorders>
              <w:right w:val="single" w:sz="8" w:space="0" w:color="000000"/>
            </w:tcBorders>
          </w:tcPr>
          <w:p>
            <w:pPr>
              <w:pStyle w:val="TableParagraph"/>
              <w:spacing w:before="62"/>
              <w:ind w:left="69" w:right="56"/>
              <w:rPr>
                <w:rFonts w:ascii="Times New Roman"/>
                <w:sz w:val="18"/>
              </w:rPr>
            </w:pPr>
            <w:r>
              <w:rPr>
                <w:rFonts w:ascii="Times New Roman"/>
                <w:sz w:val="18"/>
              </w:rPr>
              <w:t>0.145</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0.725</w:t>
            </w:r>
          </w:p>
        </w:tc>
        <w:tc>
          <w:tcPr>
            <w:tcW w:w="768" w:type="dxa"/>
          </w:tcPr>
          <w:p>
            <w:pPr>
              <w:pStyle w:val="TableParagraph"/>
              <w:spacing w:before="62"/>
              <w:ind w:left="14"/>
              <w:rPr>
                <w:rFonts w:ascii="Times New Roman"/>
                <w:sz w:val="18"/>
              </w:rPr>
            </w:pPr>
            <w:r>
              <w:rPr>
                <w:rFonts w:ascii="Times New Roman"/>
                <w:sz w:val="18"/>
              </w:rPr>
              <w:t>0.145</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1" w:lineRule="exact"/>
              <w:ind w:left="47" w:right="36"/>
              <w:rPr>
                <w:sz w:val="18"/>
              </w:rPr>
            </w:pPr>
            <w:r>
              <w:rPr>
                <w:sz w:val="18"/>
              </w:rPr>
              <w:t>正丁醇</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0.567</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0.1134</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0.567</w:t>
            </w:r>
          </w:p>
        </w:tc>
        <w:tc>
          <w:tcPr>
            <w:tcW w:w="768" w:type="dxa"/>
          </w:tcPr>
          <w:p>
            <w:pPr>
              <w:pStyle w:val="TableParagraph"/>
              <w:spacing w:before="62"/>
              <w:ind w:left="16"/>
              <w:rPr>
                <w:rFonts w:ascii="Times New Roman"/>
                <w:sz w:val="18"/>
              </w:rPr>
            </w:pPr>
            <w:r>
              <w:rPr>
                <w:rFonts w:ascii="Times New Roman"/>
                <w:sz w:val="18"/>
              </w:rPr>
              <w:t>0.1134</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甲醛</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3" w:right="62"/>
              <w:rPr>
                <w:rFonts w:ascii="Times New Roman"/>
                <w:sz w:val="18"/>
              </w:rPr>
            </w:pPr>
            <w:r>
              <w:rPr>
                <w:rFonts w:ascii="Times New Roman"/>
                <w:sz w:val="18"/>
              </w:rPr>
              <w:t>0.216</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0.0432</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0.216</w:t>
            </w:r>
          </w:p>
        </w:tc>
        <w:tc>
          <w:tcPr>
            <w:tcW w:w="768" w:type="dxa"/>
          </w:tcPr>
          <w:p>
            <w:pPr>
              <w:pStyle w:val="TableParagraph"/>
              <w:spacing w:before="62"/>
              <w:ind w:left="16"/>
              <w:rPr>
                <w:rFonts w:ascii="Times New Roman"/>
                <w:sz w:val="18"/>
              </w:rPr>
            </w:pPr>
            <w:r>
              <w:rPr>
                <w:rFonts w:ascii="Times New Roman"/>
                <w:sz w:val="18"/>
              </w:rPr>
              <w:t>0.0432</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甲酸</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spacing w:before="62"/>
              <w:ind w:left="71" w:right="62"/>
              <w:rPr>
                <w:rFonts w:ascii="Times New Roman"/>
                <w:sz w:val="18"/>
              </w:rPr>
            </w:pPr>
            <w:r>
              <w:rPr>
                <w:rFonts w:ascii="Times New Roman"/>
                <w:sz w:val="18"/>
              </w:rPr>
              <w:t>0.666</w:t>
            </w:r>
          </w:p>
        </w:tc>
        <w:tc>
          <w:tcPr>
            <w:tcW w:w="768" w:type="dxa"/>
            <w:tcBorders>
              <w:right w:val="single" w:sz="8" w:space="0" w:color="000000"/>
            </w:tcBorders>
          </w:tcPr>
          <w:p>
            <w:pPr>
              <w:pStyle w:val="TableParagraph"/>
              <w:spacing w:before="62"/>
              <w:ind w:left="71" w:right="56"/>
              <w:rPr>
                <w:rFonts w:ascii="Times New Roman"/>
                <w:sz w:val="18"/>
              </w:rPr>
            </w:pPr>
            <w:r>
              <w:rPr>
                <w:rFonts w:ascii="Times New Roman"/>
                <w:sz w:val="18"/>
              </w:rPr>
              <w:t>0.1332</w:t>
            </w:r>
          </w:p>
        </w:tc>
        <w:tc>
          <w:tcPr>
            <w:tcW w:w="770" w:type="dxa"/>
            <w:tcBorders>
              <w:left w:val="single" w:sz="8" w:space="0" w:color="000000"/>
            </w:tcBorders>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jc w:val="left"/>
              <w:rPr>
                <w:rFonts w:ascii="Times New Roman"/>
                <w:sz w:val="18"/>
              </w:rPr>
            </w:pPr>
          </w:p>
        </w:tc>
        <w:tc>
          <w:tcPr>
            <w:tcW w:w="770" w:type="dxa"/>
          </w:tcPr>
          <w:p>
            <w:pPr>
              <w:pStyle w:val="TableParagraph"/>
              <w:jc w:val="left"/>
              <w:rPr>
                <w:rFonts w:ascii="Times New Roman"/>
                <w:sz w:val="18"/>
              </w:rPr>
            </w:pPr>
          </w:p>
        </w:tc>
        <w:tc>
          <w:tcPr>
            <w:tcW w:w="768" w:type="dxa"/>
          </w:tcPr>
          <w:p>
            <w:pPr>
              <w:pStyle w:val="TableParagraph"/>
              <w:spacing w:before="62"/>
              <w:ind w:left="9"/>
              <w:rPr>
                <w:rFonts w:ascii="Times New Roman"/>
                <w:sz w:val="18"/>
              </w:rPr>
            </w:pPr>
            <w:r>
              <w:rPr>
                <w:rFonts w:ascii="Times New Roman"/>
                <w:sz w:val="18"/>
              </w:rPr>
              <w:t>0.666</w:t>
            </w:r>
          </w:p>
        </w:tc>
        <w:tc>
          <w:tcPr>
            <w:tcW w:w="768" w:type="dxa"/>
          </w:tcPr>
          <w:p>
            <w:pPr>
              <w:pStyle w:val="TableParagraph"/>
              <w:spacing w:before="62"/>
              <w:ind w:left="16"/>
              <w:rPr>
                <w:rFonts w:ascii="Times New Roman"/>
                <w:sz w:val="18"/>
              </w:rPr>
            </w:pPr>
            <w:r>
              <w:rPr>
                <w:rFonts w:ascii="Times New Roman"/>
                <w:sz w:val="18"/>
              </w:rPr>
              <w:t>0.1332</w:t>
            </w:r>
          </w:p>
        </w:tc>
      </w:tr>
      <w:tr>
        <w:trPr>
          <w:trHeight w:val="340" w:hRule="atLeast"/>
        </w:trPr>
        <w:tc>
          <w:tcPr>
            <w:tcW w:w="785" w:type="dxa"/>
            <w:vMerge/>
            <w:tcBorders>
              <w:top w:val="nil"/>
              <w:right w:val="single" w:sz="8" w:space="0" w:color="000000"/>
            </w:tcBorders>
          </w:tcPr>
          <w:p>
            <w:pPr>
              <w:rPr>
                <w:sz w:val="2"/>
                <w:szCs w:val="2"/>
              </w:rPr>
            </w:pPr>
          </w:p>
        </w:tc>
        <w:tc>
          <w:tcPr>
            <w:tcW w:w="1699" w:type="dxa"/>
            <w:tcBorders>
              <w:left w:val="single" w:sz="8" w:space="0" w:color="000000"/>
            </w:tcBorders>
          </w:tcPr>
          <w:p>
            <w:pPr>
              <w:pStyle w:val="TableParagraph"/>
              <w:spacing w:line="320" w:lineRule="exact"/>
              <w:ind w:left="45" w:right="36"/>
              <w:rPr>
                <w:sz w:val="18"/>
              </w:rPr>
            </w:pPr>
            <w:r>
              <w:rPr>
                <w:sz w:val="18"/>
              </w:rPr>
              <w:t>粉尘</w:t>
            </w:r>
          </w:p>
        </w:tc>
        <w:tc>
          <w:tcPr>
            <w:tcW w:w="768" w:type="dxa"/>
          </w:tcPr>
          <w:p>
            <w:pPr>
              <w:pStyle w:val="TableParagraph"/>
              <w:jc w:val="left"/>
              <w:rPr>
                <w:rFonts w:ascii="Times New Roman"/>
                <w:sz w:val="18"/>
              </w:rPr>
            </w:pPr>
          </w:p>
        </w:tc>
        <w:tc>
          <w:tcPr>
            <w:tcW w:w="772" w:type="dxa"/>
          </w:tcPr>
          <w:p>
            <w:pPr>
              <w:pStyle w:val="TableParagraph"/>
              <w:jc w:val="left"/>
              <w:rPr>
                <w:rFonts w:ascii="Times New Roman"/>
                <w:sz w:val="18"/>
              </w:rPr>
            </w:pPr>
          </w:p>
        </w:tc>
        <w:tc>
          <w:tcPr>
            <w:tcW w:w="770" w:type="dxa"/>
          </w:tcPr>
          <w:p>
            <w:pPr>
              <w:pStyle w:val="TableParagraph"/>
              <w:spacing w:before="62"/>
              <w:ind w:left="73" w:right="62"/>
              <w:rPr>
                <w:rFonts w:ascii="Times New Roman"/>
                <w:sz w:val="18"/>
              </w:rPr>
            </w:pPr>
            <w:r>
              <w:rPr>
                <w:rFonts w:ascii="Times New Roman"/>
                <w:sz w:val="18"/>
              </w:rPr>
              <w:t>2.6</w:t>
            </w:r>
          </w:p>
        </w:tc>
        <w:tc>
          <w:tcPr>
            <w:tcW w:w="768" w:type="dxa"/>
          </w:tcPr>
          <w:p>
            <w:pPr>
              <w:pStyle w:val="TableParagraph"/>
              <w:spacing w:before="62"/>
              <w:ind w:left="138"/>
              <w:jc w:val="left"/>
              <w:rPr>
                <w:rFonts w:ascii="Times New Roman"/>
                <w:sz w:val="18"/>
              </w:rPr>
            </w:pPr>
            <w:r>
              <w:rPr>
                <w:rFonts w:ascii="Times New Roman"/>
                <w:sz w:val="18"/>
              </w:rPr>
              <w:t>0.0026</w:t>
            </w:r>
          </w:p>
        </w:tc>
        <w:tc>
          <w:tcPr>
            <w:tcW w:w="770" w:type="dxa"/>
          </w:tcPr>
          <w:p>
            <w:pPr>
              <w:pStyle w:val="TableParagraph"/>
              <w:jc w:val="left"/>
              <w:rPr>
                <w:rFonts w:ascii="Times New Roman"/>
                <w:sz w:val="18"/>
              </w:rPr>
            </w:pPr>
          </w:p>
        </w:tc>
        <w:tc>
          <w:tcPr>
            <w:tcW w:w="768" w:type="dxa"/>
            <w:tcBorders>
              <w:right w:val="single" w:sz="8" w:space="0" w:color="000000"/>
            </w:tcBorders>
          </w:tcPr>
          <w:p>
            <w:pPr>
              <w:pStyle w:val="TableParagraph"/>
              <w:jc w:val="left"/>
              <w:rPr>
                <w:rFonts w:ascii="Times New Roman"/>
                <w:sz w:val="18"/>
              </w:rPr>
            </w:pPr>
          </w:p>
        </w:tc>
        <w:tc>
          <w:tcPr>
            <w:tcW w:w="770" w:type="dxa"/>
            <w:tcBorders>
              <w:left w:val="single" w:sz="8" w:space="0" w:color="000000"/>
            </w:tcBorders>
          </w:tcPr>
          <w:p>
            <w:pPr>
              <w:pStyle w:val="TableParagraph"/>
              <w:spacing w:before="62"/>
              <w:ind w:left="179"/>
              <w:jc w:val="left"/>
              <w:rPr>
                <w:rFonts w:ascii="Times New Roman"/>
                <w:sz w:val="18"/>
              </w:rPr>
            </w:pPr>
            <w:r>
              <w:rPr>
                <w:rFonts w:ascii="Times New Roman"/>
                <w:sz w:val="18"/>
              </w:rPr>
              <w:t>1.815</w:t>
            </w:r>
          </w:p>
        </w:tc>
        <w:tc>
          <w:tcPr>
            <w:tcW w:w="768" w:type="dxa"/>
          </w:tcPr>
          <w:p>
            <w:pPr>
              <w:pStyle w:val="TableParagraph"/>
              <w:spacing w:before="62"/>
              <w:ind w:left="45"/>
              <w:jc w:val="left"/>
              <w:rPr>
                <w:rFonts w:ascii="Times New Roman"/>
                <w:sz w:val="18"/>
              </w:rPr>
            </w:pPr>
            <w:r>
              <w:rPr>
                <w:rFonts w:ascii="Times New Roman"/>
                <w:sz w:val="18"/>
              </w:rPr>
              <w:t>0.001815</w:t>
            </w:r>
          </w:p>
        </w:tc>
        <w:tc>
          <w:tcPr>
            <w:tcW w:w="768" w:type="dxa"/>
          </w:tcPr>
          <w:p>
            <w:pPr>
              <w:pStyle w:val="TableParagraph"/>
              <w:jc w:val="left"/>
              <w:rPr>
                <w:rFonts w:ascii="Times New Roman"/>
                <w:sz w:val="18"/>
              </w:rPr>
            </w:pPr>
          </w:p>
        </w:tc>
        <w:tc>
          <w:tcPr>
            <w:tcW w:w="771" w:type="dxa"/>
          </w:tcPr>
          <w:p>
            <w:pPr>
              <w:pStyle w:val="TableParagraph"/>
              <w:jc w:val="left"/>
              <w:rPr>
                <w:rFonts w:ascii="Times New Roman"/>
                <w:sz w:val="18"/>
              </w:rPr>
            </w:pPr>
          </w:p>
        </w:tc>
        <w:tc>
          <w:tcPr>
            <w:tcW w:w="768" w:type="dxa"/>
          </w:tcPr>
          <w:p>
            <w:pPr>
              <w:pStyle w:val="TableParagraph"/>
              <w:spacing w:before="62"/>
              <w:ind w:left="14"/>
              <w:rPr>
                <w:rFonts w:ascii="Times New Roman"/>
                <w:sz w:val="18"/>
              </w:rPr>
            </w:pPr>
            <w:r>
              <w:rPr>
                <w:rFonts w:ascii="Times New Roman"/>
                <w:sz w:val="18"/>
              </w:rPr>
              <w:t>4</w:t>
            </w:r>
          </w:p>
        </w:tc>
        <w:tc>
          <w:tcPr>
            <w:tcW w:w="770" w:type="dxa"/>
          </w:tcPr>
          <w:p>
            <w:pPr>
              <w:pStyle w:val="TableParagraph"/>
              <w:spacing w:before="62"/>
              <w:ind w:left="182"/>
              <w:jc w:val="left"/>
              <w:rPr>
                <w:rFonts w:ascii="Times New Roman"/>
                <w:sz w:val="18"/>
              </w:rPr>
            </w:pPr>
            <w:r>
              <w:rPr>
                <w:rFonts w:ascii="Times New Roman"/>
                <w:sz w:val="18"/>
              </w:rPr>
              <w:t>0.004</w:t>
            </w:r>
          </w:p>
        </w:tc>
        <w:tc>
          <w:tcPr>
            <w:tcW w:w="768" w:type="dxa"/>
          </w:tcPr>
          <w:p>
            <w:pPr>
              <w:pStyle w:val="TableParagraph"/>
              <w:spacing w:before="62"/>
              <w:ind w:left="9"/>
              <w:rPr>
                <w:rFonts w:ascii="Times New Roman"/>
                <w:sz w:val="18"/>
              </w:rPr>
            </w:pPr>
            <w:r>
              <w:rPr>
                <w:rFonts w:ascii="Times New Roman"/>
                <w:sz w:val="18"/>
              </w:rPr>
              <w:t>8.415</w:t>
            </w:r>
          </w:p>
        </w:tc>
        <w:tc>
          <w:tcPr>
            <w:tcW w:w="768" w:type="dxa"/>
          </w:tcPr>
          <w:p>
            <w:pPr>
              <w:pStyle w:val="TableParagraph"/>
              <w:spacing w:before="62"/>
              <w:ind w:left="14"/>
              <w:rPr>
                <w:rFonts w:ascii="Times New Roman"/>
                <w:sz w:val="18"/>
              </w:rPr>
            </w:pPr>
            <w:r>
              <w:rPr>
                <w:rFonts w:ascii="Times New Roman"/>
                <w:sz w:val="18"/>
              </w:rPr>
              <w:t>0.008415</w:t>
            </w:r>
          </w:p>
        </w:tc>
      </w:tr>
    </w:tbl>
    <w:p>
      <w:pPr>
        <w:spacing w:after="0"/>
        <w:rPr>
          <w:rFonts w:ascii="Times New Roman"/>
          <w:sz w:val="18"/>
        </w:rPr>
        <w:sectPr>
          <w:pgSz w:w="16840" w:h="11910" w:orient="landscape"/>
          <w:pgMar w:header="877" w:footer="973" w:top="1180" w:bottom="1160" w:left="1680" w:right="1680"/>
        </w:sectPr>
      </w:pPr>
    </w:p>
    <w:p>
      <w:pPr>
        <w:tabs>
          <w:tab w:pos="2527" w:val="left" w:leader="none"/>
          <w:tab w:pos="6958" w:val="left" w:leader="none"/>
        </w:tabs>
        <w:spacing w:before="76"/>
        <w:ind w:left="1406" w:right="0" w:firstLine="0"/>
        <w:jc w:val="left"/>
        <w:rPr>
          <w:rFonts w:ascii="Times New Roman" w:eastAsia="Times New Roman"/>
          <w:b/>
          <w:sz w:val="21"/>
        </w:rPr>
      </w:pPr>
      <w:r>
        <w:rPr>
          <w:sz w:val="21"/>
        </w:rPr>
        <w:t>表</w:t>
      </w:r>
      <w:r>
        <w:rPr>
          <w:spacing w:val="8"/>
          <w:sz w:val="21"/>
        </w:rPr>
        <w:t> </w:t>
      </w:r>
      <w:r>
        <w:rPr>
          <w:rFonts w:ascii="Times New Roman" w:eastAsia="Times New Roman"/>
          <w:b/>
          <w:sz w:val="21"/>
        </w:rPr>
        <w:t>4.10-15</w:t>
        <w:tab/>
      </w:r>
      <w:r>
        <w:rPr>
          <w:sz w:val="21"/>
        </w:rPr>
        <w:t>本项目废气污染物排放（无组织</w:t>
      </w:r>
      <w:r>
        <w:rPr>
          <w:spacing w:val="-3"/>
          <w:sz w:val="21"/>
        </w:rPr>
        <w:t>）</w:t>
      </w:r>
      <w:r>
        <w:rPr>
          <w:sz w:val="21"/>
        </w:rPr>
        <w:t>汇</w:t>
      </w:r>
      <w:r>
        <w:rPr>
          <w:spacing w:val="-3"/>
          <w:sz w:val="21"/>
        </w:rPr>
        <w:t>总</w:t>
      </w:r>
      <w:r>
        <w:rPr>
          <w:sz w:val="21"/>
        </w:rPr>
        <w:t>一览表</w:t>
        <w:tab/>
      </w:r>
      <w:r>
        <w:rPr>
          <w:rFonts w:ascii="Times New Roman" w:eastAsia="Times New Roman"/>
          <w:b/>
          <w:sz w:val="21"/>
        </w:rPr>
        <w:t>kg/a</w:t>
      </w:r>
    </w:p>
    <w:p>
      <w:pPr>
        <w:pStyle w:val="BodyText"/>
        <w:spacing w:before="5"/>
        <w:rPr>
          <w:rFonts w:ascii="Times New Roman"/>
          <w:b/>
          <w:sz w:val="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036"/>
        <w:gridCol w:w="1673"/>
        <w:gridCol w:w="2131"/>
        <w:gridCol w:w="2129"/>
      </w:tblGrid>
      <w:tr>
        <w:trPr>
          <w:trHeight w:val="410" w:hRule="atLeast"/>
        </w:trPr>
        <w:tc>
          <w:tcPr>
            <w:tcW w:w="559" w:type="dxa"/>
            <w:vMerge w:val="restart"/>
          </w:tcPr>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spacing w:before="6"/>
              <w:jc w:val="left"/>
              <w:rPr>
                <w:rFonts w:ascii="Times New Roman"/>
                <w:b/>
                <w:sz w:val="21"/>
              </w:rPr>
            </w:pPr>
          </w:p>
          <w:p>
            <w:pPr>
              <w:pStyle w:val="TableParagraph"/>
              <w:spacing w:line="220" w:lineRule="auto"/>
              <w:ind w:left="172" w:right="163"/>
              <w:jc w:val="both"/>
              <w:rPr>
                <w:sz w:val="21"/>
              </w:rPr>
            </w:pPr>
            <w:r>
              <w:rPr>
                <w:sz w:val="21"/>
              </w:rPr>
              <w:t>无组织</w:t>
            </w:r>
          </w:p>
        </w:tc>
        <w:tc>
          <w:tcPr>
            <w:tcW w:w="2036" w:type="dxa"/>
          </w:tcPr>
          <w:p>
            <w:pPr>
              <w:pStyle w:val="TableParagraph"/>
              <w:spacing w:line="345" w:lineRule="exact"/>
              <w:ind w:left="367" w:right="358"/>
              <w:rPr>
                <w:sz w:val="21"/>
              </w:rPr>
            </w:pPr>
            <w:r>
              <w:rPr>
                <w:sz w:val="21"/>
              </w:rPr>
              <w:t>项目</w:t>
            </w:r>
          </w:p>
        </w:tc>
        <w:tc>
          <w:tcPr>
            <w:tcW w:w="1673" w:type="dxa"/>
          </w:tcPr>
          <w:p>
            <w:pPr>
              <w:pStyle w:val="TableParagraph"/>
              <w:spacing w:line="345" w:lineRule="exact"/>
              <w:ind w:left="499" w:right="493"/>
              <w:rPr>
                <w:sz w:val="21"/>
              </w:rPr>
            </w:pPr>
            <w:r>
              <w:rPr>
                <w:sz w:val="21"/>
              </w:rPr>
              <w:t>生产区</w:t>
            </w:r>
          </w:p>
        </w:tc>
        <w:tc>
          <w:tcPr>
            <w:tcW w:w="2131" w:type="dxa"/>
          </w:tcPr>
          <w:p>
            <w:pPr>
              <w:pStyle w:val="TableParagraph"/>
              <w:spacing w:line="345" w:lineRule="exact"/>
              <w:ind w:left="754" w:right="749"/>
              <w:rPr>
                <w:sz w:val="21"/>
              </w:rPr>
            </w:pPr>
            <w:r>
              <w:rPr>
                <w:sz w:val="21"/>
              </w:rPr>
              <w:t>罐区</w:t>
            </w:r>
          </w:p>
        </w:tc>
        <w:tc>
          <w:tcPr>
            <w:tcW w:w="2129" w:type="dxa"/>
          </w:tcPr>
          <w:p>
            <w:pPr>
              <w:pStyle w:val="TableParagraph"/>
              <w:spacing w:line="345" w:lineRule="exact"/>
              <w:ind w:left="757" w:right="744"/>
              <w:rPr>
                <w:sz w:val="21"/>
              </w:rPr>
            </w:pPr>
            <w:r>
              <w:rPr>
                <w:sz w:val="21"/>
              </w:rPr>
              <w:t>合计</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8"/>
              <w:rPr>
                <w:sz w:val="21"/>
              </w:rPr>
            </w:pPr>
            <w:r>
              <w:rPr>
                <w:sz w:val="21"/>
              </w:rPr>
              <w:t>吡啶</w:t>
            </w:r>
          </w:p>
        </w:tc>
        <w:tc>
          <w:tcPr>
            <w:tcW w:w="1673" w:type="dxa"/>
          </w:tcPr>
          <w:p>
            <w:pPr>
              <w:pStyle w:val="TableParagraph"/>
              <w:spacing w:line="226" w:lineRule="exact" w:before="82"/>
              <w:ind w:left="499" w:right="493"/>
              <w:rPr>
                <w:rFonts w:ascii="Times New Roman"/>
                <w:sz w:val="21"/>
              </w:rPr>
            </w:pPr>
            <w:r>
              <w:rPr>
                <w:rFonts w:ascii="Times New Roman"/>
                <w:sz w:val="21"/>
              </w:rPr>
              <w:t>0.32</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6" w:lineRule="exact" w:before="82"/>
              <w:ind w:left="757" w:right="744"/>
              <w:rPr>
                <w:rFonts w:ascii="Times New Roman"/>
                <w:sz w:val="21"/>
              </w:rPr>
            </w:pPr>
            <w:r>
              <w:rPr>
                <w:rFonts w:ascii="Times New Roman"/>
                <w:sz w:val="21"/>
              </w:rPr>
              <w:t>0.32</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哌啶</w:t>
            </w:r>
          </w:p>
        </w:tc>
        <w:tc>
          <w:tcPr>
            <w:tcW w:w="1673" w:type="dxa"/>
          </w:tcPr>
          <w:p>
            <w:pPr>
              <w:pStyle w:val="TableParagraph"/>
              <w:spacing w:line="229" w:lineRule="exact" w:before="82"/>
              <w:ind w:left="499" w:right="493"/>
              <w:rPr>
                <w:rFonts w:ascii="Times New Roman"/>
                <w:sz w:val="21"/>
              </w:rPr>
            </w:pPr>
            <w:r>
              <w:rPr>
                <w:rFonts w:ascii="Times New Roman"/>
                <w:sz w:val="21"/>
              </w:rPr>
              <w:t>0.32</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0.32</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溴乙烷</w:t>
            </w:r>
          </w:p>
        </w:tc>
        <w:tc>
          <w:tcPr>
            <w:tcW w:w="1673" w:type="dxa"/>
          </w:tcPr>
          <w:p>
            <w:pPr>
              <w:pStyle w:val="TableParagraph"/>
              <w:spacing w:line="229" w:lineRule="exact" w:before="82"/>
              <w:ind w:left="499" w:right="493"/>
              <w:rPr>
                <w:rFonts w:ascii="Times New Roman"/>
                <w:sz w:val="21"/>
              </w:rPr>
            </w:pPr>
            <w:r>
              <w:rPr>
                <w:rFonts w:ascii="Times New Roman"/>
                <w:sz w:val="21"/>
              </w:rPr>
              <w:t>0.02</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0.02</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6"/>
              <w:rPr>
                <w:sz w:val="21"/>
              </w:rPr>
            </w:pPr>
            <w:r>
              <w:rPr>
                <w:sz w:val="21"/>
              </w:rPr>
              <w:t>双氟苯甲醇</w:t>
            </w:r>
          </w:p>
        </w:tc>
        <w:tc>
          <w:tcPr>
            <w:tcW w:w="1673" w:type="dxa"/>
          </w:tcPr>
          <w:p>
            <w:pPr>
              <w:pStyle w:val="TableParagraph"/>
              <w:spacing w:line="226" w:lineRule="exact" w:before="82"/>
              <w:ind w:left="499" w:right="493"/>
              <w:rPr>
                <w:rFonts w:ascii="Times New Roman"/>
                <w:sz w:val="21"/>
              </w:rPr>
            </w:pPr>
            <w:r>
              <w:rPr>
                <w:rFonts w:ascii="Times New Roman"/>
                <w:sz w:val="21"/>
              </w:rPr>
              <w:t>0.12</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6" w:lineRule="exact" w:before="82"/>
              <w:ind w:left="757" w:right="744"/>
              <w:rPr>
                <w:rFonts w:ascii="Times New Roman"/>
                <w:sz w:val="21"/>
              </w:rPr>
            </w:pPr>
            <w:r>
              <w:rPr>
                <w:rFonts w:ascii="Times New Roman"/>
                <w:sz w:val="21"/>
              </w:rPr>
              <w:t>0.12</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三乙胺</w:t>
            </w:r>
          </w:p>
        </w:tc>
        <w:tc>
          <w:tcPr>
            <w:tcW w:w="1673" w:type="dxa"/>
          </w:tcPr>
          <w:p>
            <w:pPr>
              <w:pStyle w:val="TableParagraph"/>
              <w:spacing w:line="229" w:lineRule="exact" w:before="82"/>
              <w:ind w:left="499" w:right="493"/>
              <w:rPr>
                <w:rFonts w:ascii="Times New Roman"/>
                <w:sz w:val="21"/>
              </w:rPr>
            </w:pPr>
            <w:r>
              <w:rPr>
                <w:rFonts w:ascii="Times New Roman"/>
                <w:sz w:val="21"/>
              </w:rPr>
              <w:t>0.06</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0.06</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醋酐</w:t>
            </w:r>
          </w:p>
        </w:tc>
        <w:tc>
          <w:tcPr>
            <w:tcW w:w="1673" w:type="dxa"/>
          </w:tcPr>
          <w:p>
            <w:pPr>
              <w:pStyle w:val="TableParagraph"/>
              <w:spacing w:line="229" w:lineRule="exact" w:before="82"/>
              <w:ind w:left="499" w:right="493"/>
              <w:rPr>
                <w:rFonts w:ascii="Times New Roman"/>
                <w:sz w:val="21"/>
              </w:rPr>
            </w:pPr>
            <w:r>
              <w:rPr>
                <w:rFonts w:ascii="Times New Roman"/>
                <w:sz w:val="21"/>
              </w:rPr>
              <w:t>0.44</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0.44</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8"/>
              <w:rPr>
                <w:sz w:val="21"/>
              </w:rPr>
            </w:pPr>
            <w:r>
              <w:rPr>
                <w:sz w:val="21"/>
              </w:rPr>
              <w:t>苯甲醛</w:t>
            </w:r>
          </w:p>
        </w:tc>
        <w:tc>
          <w:tcPr>
            <w:tcW w:w="1673" w:type="dxa"/>
          </w:tcPr>
          <w:p>
            <w:pPr>
              <w:pStyle w:val="TableParagraph"/>
              <w:spacing w:line="226" w:lineRule="exact" w:before="82"/>
              <w:ind w:left="499" w:right="493"/>
              <w:rPr>
                <w:rFonts w:ascii="Times New Roman"/>
                <w:sz w:val="21"/>
              </w:rPr>
            </w:pPr>
            <w:r>
              <w:rPr>
                <w:rFonts w:ascii="Times New Roman"/>
                <w:sz w:val="21"/>
              </w:rPr>
              <w:t>5.80</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6" w:lineRule="exact" w:before="82"/>
              <w:ind w:left="757" w:right="744"/>
              <w:rPr>
                <w:rFonts w:ascii="Times New Roman"/>
                <w:sz w:val="21"/>
              </w:rPr>
            </w:pPr>
            <w:r>
              <w:rPr>
                <w:rFonts w:ascii="Times New Roman"/>
                <w:sz w:val="21"/>
              </w:rPr>
              <w:t>5.80</w:t>
            </w:r>
          </w:p>
        </w:tc>
      </w:tr>
      <w:tr>
        <w:trPr>
          <w:trHeight w:val="331"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乙醇胺</w:t>
            </w:r>
          </w:p>
        </w:tc>
        <w:tc>
          <w:tcPr>
            <w:tcW w:w="1673" w:type="dxa"/>
          </w:tcPr>
          <w:p>
            <w:pPr>
              <w:pStyle w:val="TableParagraph"/>
              <w:spacing w:line="229" w:lineRule="exact" w:before="82"/>
              <w:ind w:left="499" w:right="493"/>
              <w:rPr>
                <w:rFonts w:ascii="Times New Roman"/>
                <w:sz w:val="21"/>
              </w:rPr>
            </w:pPr>
            <w:r>
              <w:rPr>
                <w:rFonts w:ascii="Times New Roman"/>
                <w:sz w:val="21"/>
              </w:rPr>
              <w:t>3.33</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3.33</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6"/>
              <w:rPr>
                <w:sz w:val="21"/>
              </w:rPr>
            </w:pPr>
            <w:r>
              <w:rPr>
                <w:sz w:val="21"/>
              </w:rPr>
              <w:t>氧化苯乙烯</w:t>
            </w:r>
          </w:p>
        </w:tc>
        <w:tc>
          <w:tcPr>
            <w:tcW w:w="1673" w:type="dxa"/>
          </w:tcPr>
          <w:p>
            <w:pPr>
              <w:pStyle w:val="TableParagraph"/>
              <w:spacing w:line="229" w:lineRule="exact" w:before="82"/>
              <w:ind w:left="499" w:right="493"/>
              <w:rPr>
                <w:rFonts w:ascii="Times New Roman"/>
                <w:sz w:val="21"/>
              </w:rPr>
            </w:pPr>
            <w:r>
              <w:rPr>
                <w:rFonts w:ascii="Times New Roman"/>
                <w:sz w:val="21"/>
              </w:rPr>
              <w:t>2.71</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2.71</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6"/>
              <w:rPr>
                <w:sz w:val="21"/>
              </w:rPr>
            </w:pPr>
            <w:r>
              <w:rPr>
                <w:sz w:val="21"/>
              </w:rPr>
              <w:t>氯甲酸乙酯</w:t>
            </w:r>
          </w:p>
        </w:tc>
        <w:tc>
          <w:tcPr>
            <w:tcW w:w="1673" w:type="dxa"/>
          </w:tcPr>
          <w:p>
            <w:pPr>
              <w:pStyle w:val="TableParagraph"/>
              <w:spacing w:line="226" w:lineRule="exact" w:before="82"/>
              <w:ind w:left="499" w:right="493"/>
              <w:rPr>
                <w:rFonts w:ascii="Times New Roman"/>
                <w:sz w:val="21"/>
              </w:rPr>
            </w:pPr>
            <w:r>
              <w:rPr>
                <w:rFonts w:ascii="Times New Roman"/>
                <w:sz w:val="21"/>
              </w:rPr>
              <w:t>1.44</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6" w:lineRule="exact" w:before="82"/>
              <w:ind w:left="757" w:right="744"/>
              <w:rPr>
                <w:rFonts w:ascii="Times New Roman"/>
                <w:sz w:val="21"/>
              </w:rPr>
            </w:pPr>
            <w:r>
              <w:rPr>
                <w:rFonts w:ascii="Times New Roman"/>
                <w:sz w:val="21"/>
              </w:rPr>
              <w:t>1.44</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正丁醇</w:t>
            </w:r>
          </w:p>
        </w:tc>
        <w:tc>
          <w:tcPr>
            <w:tcW w:w="1673" w:type="dxa"/>
          </w:tcPr>
          <w:p>
            <w:pPr>
              <w:pStyle w:val="TableParagraph"/>
              <w:spacing w:line="229" w:lineRule="exact" w:before="82"/>
              <w:ind w:left="499" w:right="493"/>
              <w:rPr>
                <w:rFonts w:ascii="Times New Roman"/>
                <w:sz w:val="21"/>
              </w:rPr>
            </w:pPr>
            <w:r>
              <w:rPr>
                <w:rFonts w:ascii="Times New Roman"/>
                <w:sz w:val="21"/>
              </w:rPr>
              <w:t>1.44</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1.44</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甲酸</w:t>
            </w:r>
          </w:p>
        </w:tc>
        <w:tc>
          <w:tcPr>
            <w:tcW w:w="1673" w:type="dxa"/>
          </w:tcPr>
          <w:p>
            <w:pPr>
              <w:pStyle w:val="TableParagraph"/>
              <w:spacing w:line="229" w:lineRule="exact" w:before="82"/>
              <w:ind w:left="499" w:right="493"/>
              <w:rPr>
                <w:rFonts w:ascii="Times New Roman"/>
                <w:sz w:val="21"/>
              </w:rPr>
            </w:pPr>
            <w:r>
              <w:rPr>
                <w:rFonts w:ascii="Times New Roman"/>
                <w:sz w:val="21"/>
              </w:rPr>
              <w:t>1.35</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1.35</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8"/>
              <w:rPr>
                <w:sz w:val="21"/>
              </w:rPr>
            </w:pPr>
            <w:r>
              <w:rPr>
                <w:sz w:val="21"/>
              </w:rPr>
              <w:t>硝酸</w:t>
            </w:r>
          </w:p>
        </w:tc>
        <w:tc>
          <w:tcPr>
            <w:tcW w:w="1673" w:type="dxa"/>
          </w:tcPr>
          <w:p>
            <w:pPr>
              <w:pStyle w:val="TableParagraph"/>
              <w:spacing w:line="226" w:lineRule="exact" w:before="82"/>
              <w:ind w:left="499" w:right="493"/>
              <w:rPr>
                <w:rFonts w:ascii="Times New Roman"/>
                <w:sz w:val="21"/>
              </w:rPr>
            </w:pPr>
            <w:r>
              <w:rPr>
                <w:rFonts w:ascii="Times New Roman"/>
                <w:sz w:val="21"/>
              </w:rPr>
              <w:t>0.21</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6" w:lineRule="exact" w:before="82"/>
              <w:ind w:left="757" w:right="744"/>
              <w:rPr>
                <w:rFonts w:ascii="Times New Roman"/>
                <w:sz w:val="21"/>
              </w:rPr>
            </w:pPr>
            <w:r>
              <w:rPr>
                <w:rFonts w:ascii="Times New Roman"/>
                <w:sz w:val="21"/>
              </w:rPr>
              <w:t>0.21</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呋喃</w:t>
            </w:r>
          </w:p>
        </w:tc>
        <w:tc>
          <w:tcPr>
            <w:tcW w:w="1673" w:type="dxa"/>
          </w:tcPr>
          <w:p>
            <w:pPr>
              <w:pStyle w:val="TableParagraph"/>
              <w:spacing w:line="229" w:lineRule="exact" w:before="82"/>
              <w:ind w:left="499" w:right="493"/>
              <w:rPr>
                <w:rFonts w:ascii="Times New Roman"/>
                <w:sz w:val="21"/>
              </w:rPr>
            </w:pPr>
            <w:r>
              <w:rPr>
                <w:rFonts w:ascii="Times New Roman"/>
                <w:sz w:val="21"/>
              </w:rPr>
              <w:t>0.09</w:t>
            </w:r>
          </w:p>
        </w:tc>
        <w:tc>
          <w:tcPr>
            <w:tcW w:w="2131" w:type="dxa"/>
          </w:tcPr>
          <w:p>
            <w:pPr>
              <w:pStyle w:val="TableParagraph"/>
              <w:spacing w:line="235" w:lineRule="exact"/>
              <w:ind w:left="5"/>
              <w:rPr>
                <w:rFonts w:ascii="Times New Roman"/>
                <w:sz w:val="21"/>
              </w:rPr>
            </w:pPr>
            <w:r>
              <w:rPr>
                <w:rFonts w:ascii="Times New Roman"/>
                <w:w w:val="100"/>
                <w:sz w:val="21"/>
              </w:rPr>
              <w:t>0</w:t>
            </w:r>
          </w:p>
        </w:tc>
        <w:tc>
          <w:tcPr>
            <w:tcW w:w="2129" w:type="dxa"/>
          </w:tcPr>
          <w:p>
            <w:pPr>
              <w:pStyle w:val="TableParagraph"/>
              <w:spacing w:line="229" w:lineRule="exact" w:before="82"/>
              <w:ind w:left="757" w:right="744"/>
              <w:rPr>
                <w:rFonts w:ascii="Times New Roman"/>
                <w:sz w:val="21"/>
              </w:rPr>
            </w:pPr>
            <w:r>
              <w:rPr>
                <w:rFonts w:ascii="Times New Roman"/>
                <w:sz w:val="21"/>
              </w:rPr>
              <w:t>0.09</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乙醇</w:t>
            </w:r>
          </w:p>
        </w:tc>
        <w:tc>
          <w:tcPr>
            <w:tcW w:w="1673" w:type="dxa"/>
          </w:tcPr>
          <w:p>
            <w:pPr>
              <w:pStyle w:val="TableParagraph"/>
              <w:spacing w:line="229" w:lineRule="exact" w:before="82"/>
              <w:ind w:left="499" w:right="493"/>
              <w:rPr>
                <w:rFonts w:ascii="Times New Roman"/>
                <w:sz w:val="21"/>
              </w:rPr>
            </w:pPr>
            <w:r>
              <w:rPr>
                <w:rFonts w:ascii="Times New Roman"/>
                <w:sz w:val="21"/>
              </w:rPr>
              <w:t>21.83</w:t>
            </w:r>
          </w:p>
        </w:tc>
        <w:tc>
          <w:tcPr>
            <w:tcW w:w="2131" w:type="dxa"/>
          </w:tcPr>
          <w:p>
            <w:pPr>
              <w:pStyle w:val="TableParagraph"/>
              <w:spacing w:before="39"/>
              <w:ind w:left="754" w:right="749"/>
              <w:rPr>
                <w:rFonts w:ascii="Times New Roman"/>
                <w:sz w:val="21"/>
              </w:rPr>
            </w:pPr>
            <w:r>
              <w:rPr>
                <w:rFonts w:ascii="Times New Roman"/>
                <w:sz w:val="21"/>
              </w:rPr>
              <w:t>61.32</w:t>
            </w:r>
          </w:p>
        </w:tc>
        <w:tc>
          <w:tcPr>
            <w:tcW w:w="2129" w:type="dxa"/>
          </w:tcPr>
          <w:p>
            <w:pPr>
              <w:pStyle w:val="TableParagraph"/>
              <w:spacing w:line="229" w:lineRule="exact" w:before="82"/>
              <w:ind w:left="757" w:right="744"/>
              <w:rPr>
                <w:rFonts w:ascii="Times New Roman"/>
                <w:sz w:val="21"/>
              </w:rPr>
            </w:pPr>
            <w:r>
              <w:rPr>
                <w:rFonts w:ascii="Times New Roman"/>
                <w:sz w:val="21"/>
              </w:rPr>
              <w:t>83.15</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8"/>
              <w:rPr>
                <w:sz w:val="21"/>
              </w:rPr>
            </w:pPr>
            <w:r>
              <w:rPr>
                <w:sz w:val="21"/>
              </w:rPr>
              <w:t>乙酰乙酸甲酯</w:t>
            </w:r>
          </w:p>
        </w:tc>
        <w:tc>
          <w:tcPr>
            <w:tcW w:w="1673" w:type="dxa"/>
          </w:tcPr>
          <w:p>
            <w:pPr>
              <w:pStyle w:val="TableParagraph"/>
              <w:spacing w:line="226" w:lineRule="exact" w:before="82"/>
              <w:ind w:left="499" w:right="493"/>
              <w:rPr>
                <w:rFonts w:ascii="Times New Roman"/>
                <w:sz w:val="21"/>
              </w:rPr>
            </w:pPr>
            <w:r>
              <w:rPr>
                <w:rFonts w:ascii="Times New Roman"/>
                <w:sz w:val="21"/>
              </w:rPr>
              <w:t>15.05</w:t>
            </w:r>
          </w:p>
        </w:tc>
        <w:tc>
          <w:tcPr>
            <w:tcW w:w="2131" w:type="dxa"/>
          </w:tcPr>
          <w:p>
            <w:pPr>
              <w:pStyle w:val="TableParagraph"/>
              <w:spacing w:before="36"/>
              <w:ind w:left="754" w:right="749"/>
              <w:rPr>
                <w:rFonts w:ascii="Times New Roman"/>
                <w:sz w:val="21"/>
              </w:rPr>
            </w:pPr>
            <w:r>
              <w:rPr>
                <w:rFonts w:ascii="Times New Roman"/>
                <w:sz w:val="21"/>
              </w:rPr>
              <w:t>5.24</w:t>
            </w:r>
          </w:p>
        </w:tc>
        <w:tc>
          <w:tcPr>
            <w:tcW w:w="2129" w:type="dxa"/>
          </w:tcPr>
          <w:p>
            <w:pPr>
              <w:pStyle w:val="TableParagraph"/>
              <w:spacing w:line="226" w:lineRule="exact" w:before="82"/>
              <w:ind w:left="757" w:right="744"/>
              <w:rPr>
                <w:rFonts w:ascii="Times New Roman"/>
                <w:sz w:val="21"/>
              </w:rPr>
            </w:pPr>
            <w:r>
              <w:rPr>
                <w:rFonts w:ascii="Times New Roman"/>
                <w:sz w:val="21"/>
              </w:rPr>
              <w:t>20.29</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甲醛</w:t>
            </w:r>
          </w:p>
        </w:tc>
        <w:tc>
          <w:tcPr>
            <w:tcW w:w="1673" w:type="dxa"/>
          </w:tcPr>
          <w:p>
            <w:pPr>
              <w:pStyle w:val="TableParagraph"/>
              <w:spacing w:line="229" w:lineRule="exact" w:before="82"/>
              <w:ind w:left="499" w:right="493"/>
              <w:rPr>
                <w:rFonts w:ascii="Times New Roman"/>
                <w:sz w:val="21"/>
              </w:rPr>
            </w:pPr>
            <w:r>
              <w:rPr>
                <w:rFonts w:ascii="Times New Roman"/>
                <w:sz w:val="21"/>
              </w:rPr>
              <w:t>48.76</w:t>
            </w:r>
          </w:p>
        </w:tc>
        <w:tc>
          <w:tcPr>
            <w:tcW w:w="2131" w:type="dxa"/>
          </w:tcPr>
          <w:p>
            <w:pPr>
              <w:pStyle w:val="TableParagraph"/>
              <w:spacing w:before="39"/>
              <w:ind w:left="754" w:right="749"/>
              <w:rPr>
                <w:rFonts w:ascii="Times New Roman"/>
                <w:sz w:val="21"/>
              </w:rPr>
            </w:pPr>
            <w:r>
              <w:rPr>
                <w:rFonts w:ascii="Times New Roman"/>
                <w:sz w:val="21"/>
              </w:rPr>
              <w:t>11.20</w:t>
            </w:r>
          </w:p>
        </w:tc>
        <w:tc>
          <w:tcPr>
            <w:tcW w:w="2129" w:type="dxa"/>
          </w:tcPr>
          <w:p>
            <w:pPr>
              <w:pStyle w:val="TableParagraph"/>
              <w:spacing w:line="229" w:lineRule="exact" w:before="82"/>
              <w:ind w:left="757" w:right="744"/>
              <w:rPr>
                <w:rFonts w:ascii="Times New Roman"/>
                <w:sz w:val="21"/>
              </w:rPr>
            </w:pPr>
            <w:r>
              <w:rPr>
                <w:rFonts w:ascii="Times New Roman"/>
                <w:sz w:val="21"/>
              </w:rPr>
              <w:t>59.96</w:t>
            </w:r>
          </w:p>
        </w:tc>
      </w:tr>
      <w:tr>
        <w:trPr>
          <w:trHeight w:val="331"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冰乙酸</w:t>
            </w:r>
          </w:p>
        </w:tc>
        <w:tc>
          <w:tcPr>
            <w:tcW w:w="1673" w:type="dxa"/>
          </w:tcPr>
          <w:p>
            <w:pPr>
              <w:pStyle w:val="TableParagraph"/>
              <w:spacing w:line="229" w:lineRule="exact" w:before="82"/>
              <w:ind w:left="499" w:right="493"/>
              <w:rPr>
                <w:rFonts w:ascii="Times New Roman"/>
                <w:sz w:val="21"/>
              </w:rPr>
            </w:pPr>
            <w:r>
              <w:rPr>
                <w:rFonts w:ascii="Times New Roman"/>
                <w:sz w:val="21"/>
              </w:rPr>
              <w:t>7.90</w:t>
            </w:r>
          </w:p>
        </w:tc>
        <w:tc>
          <w:tcPr>
            <w:tcW w:w="2131" w:type="dxa"/>
          </w:tcPr>
          <w:p>
            <w:pPr>
              <w:pStyle w:val="TableParagraph"/>
              <w:spacing w:before="39"/>
              <w:ind w:left="754" w:right="749"/>
              <w:rPr>
                <w:rFonts w:ascii="Times New Roman"/>
                <w:sz w:val="21"/>
              </w:rPr>
            </w:pPr>
            <w:r>
              <w:rPr>
                <w:rFonts w:ascii="Times New Roman"/>
                <w:sz w:val="21"/>
              </w:rPr>
              <w:t>10.24</w:t>
            </w:r>
          </w:p>
        </w:tc>
        <w:tc>
          <w:tcPr>
            <w:tcW w:w="2129" w:type="dxa"/>
          </w:tcPr>
          <w:p>
            <w:pPr>
              <w:pStyle w:val="TableParagraph"/>
              <w:spacing w:line="229" w:lineRule="exact" w:before="82"/>
              <w:ind w:left="757" w:right="744"/>
              <w:rPr>
                <w:rFonts w:ascii="Times New Roman"/>
                <w:sz w:val="21"/>
              </w:rPr>
            </w:pPr>
            <w:r>
              <w:rPr>
                <w:rFonts w:ascii="Times New Roman"/>
                <w:sz w:val="21"/>
              </w:rPr>
              <w:t>18.14</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8"/>
              <w:rPr>
                <w:sz w:val="21"/>
              </w:rPr>
            </w:pPr>
            <w:r>
              <w:rPr>
                <w:sz w:val="21"/>
              </w:rPr>
              <w:t>甲苯</w:t>
            </w:r>
          </w:p>
        </w:tc>
        <w:tc>
          <w:tcPr>
            <w:tcW w:w="1673" w:type="dxa"/>
          </w:tcPr>
          <w:p>
            <w:pPr>
              <w:pStyle w:val="TableParagraph"/>
              <w:spacing w:line="226" w:lineRule="exact" w:before="82"/>
              <w:ind w:left="499" w:right="493"/>
              <w:rPr>
                <w:rFonts w:ascii="Times New Roman"/>
                <w:sz w:val="21"/>
              </w:rPr>
            </w:pPr>
            <w:r>
              <w:rPr>
                <w:rFonts w:ascii="Times New Roman"/>
                <w:sz w:val="21"/>
              </w:rPr>
              <w:t>9.04</w:t>
            </w:r>
          </w:p>
        </w:tc>
        <w:tc>
          <w:tcPr>
            <w:tcW w:w="2131" w:type="dxa"/>
          </w:tcPr>
          <w:p>
            <w:pPr>
              <w:pStyle w:val="TableParagraph"/>
              <w:spacing w:before="36"/>
              <w:ind w:left="754" w:right="749"/>
              <w:rPr>
                <w:rFonts w:ascii="Times New Roman"/>
                <w:sz w:val="21"/>
              </w:rPr>
            </w:pPr>
            <w:r>
              <w:rPr>
                <w:rFonts w:ascii="Times New Roman"/>
                <w:sz w:val="21"/>
              </w:rPr>
              <w:t>41.51</w:t>
            </w:r>
          </w:p>
        </w:tc>
        <w:tc>
          <w:tcPr>
            <w:tcW w:w="2129" w:type="dxa"/>
          </w:tcPr>
          <w:p>
            <w:pPr>
              <w:pStyle w:val="TableParagraph"/>
              <w:spacing w:line="226" w:lineRule="exact" w:before="82"/>
              <w:ind w:left="757" w:right="744"/>
              <w:rPr>
                <w:rFonts w:ascii="Times New Roman"/>
                <w:sz w:val="21"/>
              </w:rPr>
            </w:pPr>
            <w:r>
              <w:rPr>
                <w:rFonts w:ascii="Times New Roman"/>
                <w:sz w:val="21"/>
              </w:rPr>
              <w:t>50.55</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二甲苯</w:t>
            </w:r>
          </w:p>
        </w:tc>
        <w:tc>
          <w:tcPr>
            <w:tcW w:w="1673" w:type="dxa"/>
          </w:tcPr>
          <w:p>
            <w:pPr>
              <w:pStyle w:val="TableParagraph"/>
              <w:spacing w:line="229" w:lineRule="exact" w:before="82"/>
              <w:ind w:left="499" w:right="493"/>
              <w:rPr>
                <w:rFonts w:ascii="Times New Roman"/>
                <w:sz w:val="21"/>
              </w:rPr>
            </w:pPr>
            <w:r>
              <w:rPr>
                <w:rFonts w:ascii="Times New Roman"/>
                <w:sz w:val="21"/>
              </w:rPr>
              <w:t>2.40</w:t>
            </w:r>
          </w:p>
        </w:tc>
        <w:tc>
          <w:tcPr>
            <w:tcW w:w="2131" w:type="dxa"/>
          </w:tcPr>
          <w:p>
            <w:pPr>
              <w:pStyle w:val="TableParagraph"/>
              <w:spacing w:before="39"/>
              <w:ind w:left="754" w:right="749"/>
              <w:rPr>
                <w:rFonts w:ascii="Times New Roman"/>
                <w:sz w:val="21"/>
              </w:rPr>
            </w:pPr>
            <w:r>
              <w:rPr>
                <w:rFonts w:ascii="Times New Roman"/>
                <w:sz w:val="21"/>
              </w:rPr>
              <w:t>10.41</w:t>
            </w:r>
          </w:p>
        </w:tc>
        <w:tc>
          <w:tcPr>
            <w:tcW w:w="2129" w:type="dxa"/>
          </w:tcPr>
          <w:p>
            <w:pPr>
              <w:pStyle w:val="TableParagraph"/>
              <w:spacing w:line="229" w:lineRule="exact" w:before="82"/>
              <w:ind w:left="757" w:right="744"/>
              <w:rPr>
                <w:rFonts w:ascii="Times New Roman"/>
                <w:sz w:val="21"/>
              </w:rPr>
            </w:pPr>
            <w:r>
              <w:rPr>
                <w:rFonts w:ascii="Times New Roman"/>
                <w:sz w:val="21"/>
              </w:rPr>
              <w:t>12.81</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溴丙烷</w:t>
            </w:r>
          </w:p>
        </w:tc>
        <w:tc>
          <w:tcPr>
            <w:tcW w:w="1673" w:type="dxa"/>
          </w:tcPr>
          <w:p>
            <w:pPr>
              <w:pStyle w:val="TableParagraph"/>
              <w:spacing w:line="229" w:lineRule="exact" w:before="82"/>
              <w:ind w:left="499" w:right="493"/>
              <w:rPr>
                <w:rFonts w:ascii="Times New Roman"/>
                <w:sz w:val="21"/>
              </w:rPr>
            </w:pPr>
            <w:r>
              <w:rPr>
                <w:rFonts w:ascii="Times New Roman"/>
                <w:sz w:val="21"/>
              </w:rPr>
              <w:t>35.00</w:t>
            </w:r>
          </w:p>
        </w:tc>
        <w:tc>
          <w:tcPr>
            <w:tcW w:w="2131" w:type="dxa"/>
          </w:tcPr>
          <w:p>
            <w:pPr>
              <w:pStyle w:val="TableParagraph"/>
              <w:spacing w:before="39"/>
              <w:ind w:left="754" w:right="749"/>
              <w:rPr>
                <w:rFonts w:ascii="Times New Roman"/>
                <w:sz w:val="21"/>
              </w:rPr>
            </w:pPr>
            <w:r>
              <w:rPr>
                <w:rFonts w:ascii="Times New Roman"/>
                <w:sz w:val="21"/>
              </w:rPr>
              <w:t>291.04</w:t>
            </w:r>
          </w:p>
        </w:tc>
        <w:tc>
          <w:tcPr>
            <w:tcW w:w="2129" w:type="dxa"/>
          </w:tcPr>
          <w:p>
            <w:pPr>
              <w:pStyle w:val="TableParagraph"/>
              <w:spacing w:line="229" w:lineRule="exact" w:before="82"/>
              <w:ind w:left="757" w:right="744"/>
              <w:rPr>
                <w:rFonts w:ascii="Times New Roman"/>
                <w:sz w:val="21"/>
              </w:rPr>
            </w:pPr>
            <w:r>
              <w:rPr>
                <w:rFonts w:ascii="Times New Roman"/>
                <w:sz w:val="21"/>
              </w:rPr>
              <w:t>326.04</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8"/>
              <w:rPr>
                <w:sz w:val="21"/>
              </w:rPr>
            </w:pPr>
            <w:r>
              <w:rPr>
                <w:sz w:val="21"/>
              </w:rPr>
              <w:t>丙酮</w:t>
            </w:r>
          </w:p>
        </w:tc>
        <w:tc>
          <w:tcPr>
            <w:tcW w:w="1673" w:type="dxa"/>
          </w:tcPr>
          <w:p>
            <w:pPr>
              <w:pStyle w:val="TableParagraph"/>
              <w:spacing w:line="226" w:lineRule="exact" w:before="82"/>
              <w:ind w:left="499" w:right="493"/>
              <w:rPr>
                <w:rFonts w:ascii="Times New Roman"/>
                <w:sz w:val="21"/>
              </w:rPr>
            </w:pPr>
            <w:r>
              <w:rPr>
                <w:rFonts w:ascii="Times New Roman"/>
                <w:sz w:val="21"/>
              </w:rPr>
              <w:t>8.16</w:t>
            </w:r>
          </w:p>
        </w:tc>
        <w:tc>
          <w:tcPr>
            <w:tcW w:w="2131" w:type="dxa"/>
          </w:tcPr>
          <w:p>
            <w:pPr>
              <w:pStyle w:val="TableParagraph"/>
              <w:spacing w:before="36"/>
              <w:ind w:left="754" w:right="749"/>
              <w:rPr>
                <w:rFonts w:ascii="Times New Roman"/>
                <w:sz w:val="21"/>
              </w:rPr>
            </w:pPr>
            <w:r>
              <w:rPr>
                <w:rFonts w:ascii="Times New Roman"/>
                <w:sz w:val="21"/>
              </w:rPr>
              <w:t>98.10</w:t>
            </w:r>
          </w:p>
        </w:tc>
        <w:tc>
          <w:tcPr>
            <w:tcW w:w="2129" w:type="dxa"/>
          </w:tcPr>
          <w:p>
            <w:pPr>
              <w:pStyle w:val="TableParagraph"/>
              <w:spacing w:line="226" w:lineRule="exact" w:before="82"/>
              <w:ind w:left="757" w:right="744"/>
              <w:rPr>
                <w:rFonts w:ascii="Times New Roman"/>
                <w:sz w:val="21"/>
              </w:rPr>
            </w:pPr>
            <w:r>
              <w:rPr>
                <w:rFonts w:ascii="Times New Roman"/>
                <w:sz w:val="21"/>
              </w:rPr>
              <w:t>106.26</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6"/>
              <w:rPr>
                <w:sz w:val="21"/>
              </w:rPr>
            </w:pPr>
            <w:r>
              <w:rPr>
                <w:sz w:val="21"/>
              </w:rPr>
              <w:t>四氢呋喃</w:t>
            </w:r>
          </w:p>
        </w:tc>
        <w:tc>
          <w:tcPr>
            <w:tcW w:w="1673" w:type="dxa"/>
          </w:tcPr>
          <w:p>
            <w:pPr>
              <w:pStyle w:val="TableParagraph"/>
              <w:spacing w:line="229" w:lineRule="exact" w:before="82"/>
              <w:ind w:left="499" w:right="493"/>
              <w:rPr>
                <w:rFonts w:ascii="Times New Roman"/>
                <w:sz w:val="21"/>
              </w:rPr>
            </w:pPr>
            <w:r>
              <w:rPr>
                <w:rFonts w:ascii="Times New Roman"/>
                <w:sz w:val="21"/>
              </w:rPr>
              <w:t>4.87</w:t>
            </w:r>
          </w:p>
        </w:tc>
        <w:tc>
          <w:tcPr>
            <w:tcW w:w="2131" w:type="dxa"/>
          </w:tcPr>
          <w:p>
            <w:pPr>
              <w:pStyle w:val="TableParagraph"/>
              <w:spacing w:before="39"/>
              <w:ind w:left="754" w:right="749"/>
              <w:rPr>
                <w:rFonts w:ascii="Times New Roman"/>
                <w:sz w:val="21"/>
              </w:rPr>
            </w:pPr>
            <w:r>
              <w:rPr>
                <w:rFonts w:ascii="Times New Roman"/>
                <w:sz w:val="21"/>
              </w:rPr>
              <w:t>62.83</w:t>
            </w:r>
          </w:p>
        </w:tc>
        <w:tc>
          <w:tcPr>
            <w:tcW w:w="2129" w:type="dxa"/>
          </w:tcPr>
          <w:p>
            <w:pPr>
              <w:pStyle w:val="TableParagraph"/>
              <w:spacing w:line="229" w:lineRule="exact" w:before="82"/>
              <w:ind w:left="757" w:right="744"/>
              <w:rPr>
                <w:rFonts w:ascii="Times New Roman"/>
                <w:sz w:val="21"/>
              </w:rPr>
            </w:pPr>
            <w:r>
              <w:rPr>
                <w:rFonts w:ascii="Times New Roman"/>
                <w:sz w:val="21"/>
              </w:rPr>
              <w:t>67.70</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甲醇</w:t>
            </w:r>
          </w:p>
        </w:tc>
        <w:tc>
          <w:tcPr>
            <w:tcW w:w="1673" w:type="dxa"/>
          </w:tcPr>
          <w:p>
            <w:pPr>
              <w:pStyle w:val="TableParagraph"/>
              <w:spacing w:line="229" w:lineRule="exact" w:before="82"/>
              <w:ind w:left="499" w:right="493"/>
              <w:rPr>
                <w:rFonts w:ascii="Times New Roman"/>
                <w:sz w:val="21"/>
              </w:rPr>
            </w:pPr>
            <w:r>
              <w:rPr>
                <w:rFonts w:ascii="Times New Roman"/>
                <w:sz w:val="21"/>
              </w:rPr>
              <w:t>12.57</w:t>
            </w:r>
          </w:p>
        </w:tc>
        <w:tc>
          <w:tcPr>
            <w:tcW w:w="2131" w:type="dxa"/>
          </w:tcPr>
          <w:p>
            <w:pPr>
              <w:pStyle w:val="TableParagraph"/>
              <w:spacing w:before="39"/>
              <w:ind w:left="754" w:right="749"/>
              <w:rPr>
                <w:rFonts w:ascii="Times New Roman"/>
                <w:sz w:val="21"/>
              </w:rPr>
            </w:pPr>
            <w:r>
              <w:rPr>
                <w:rFonts w:ascii="Times New Roman"/>
                <w:sz w:val="21"/>
              </w:rPr>
              <w:t>44.32</w:t>
            </w:r>
          </w:p>
        </w:tc>
        <w:tc>
          <w:tcPr>
            <w:tcW w:w="2129" w:type="dxa"/>
          </w:tcPr>
          <w:p>
            <w:pPr>
              <w:pStyle w:val="TableParagraph"/>
              <w:spacing w:line="229" w:lineRule="exact" w:before="82"/>
              <w:ind w:left="757" w:right="744"/>
              <w:rPr>
                <w:rFonts w:ascii="Times New Roman"/>
                <w:sz w:val="21"/>
              </w:rPr>
            </w:pPr>
            <w:r>
              <w:rPr>
                <w:rFonts w:ascii="Times New Roman"/>
                <w:sz w:val="21"/>
              </w:rPr>
              <w:t>56.89</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6"/>
              <w:rPr>
                <w:sz w:val="21"/>
              </w:rPr>
            </w:pPr>
            <w:r>
              <w:rPr>
                <w:sz w:val="21"/>
              </w:rPr>
              <w:t>环氧氯丙烷</w:t>
            </w:r>
          </w:p>
        </w:tc>
        <w:tc>
          <w:tcPr>
            <w:tcW w:w="1673" w:type="dxa"/>
          </w:tcPr>
          <w:p>
            <w:pPr>
              <w:pStyle w:val="TableParagraph"/>
              <w:spacing w:line="226" w:lineRule="exact" w:before="82"/>
              <w:ind w:left="499" w:right="493"/>
              <w:rPr>
                <w:rFonts w:ascii="Times New Roman"/>
                <w:sz w:val="21"/>
              </w:rPr>
            </w:pPr>
            <w:r>
              <w:rPr>
                <w:rFonts w:ascii="Times New Roman"/>
                <w:sz w:val="21"/>
              </w:rPr>
              <w:t>3.07</w:t>
            </w:r>
          </w:p>
        </w:tc>
        <w:tc>
          <w:tcPr>
            <w:tcW w:w="2131" w:type="dxa"/>
          </w:tcPr>
          <w:p>
            <w:pPr>
              <w:pStyle w:val="TableParagraph"/>
              <w:spacing w:before="36"/>
              <w:ind w:left="754" w:right="749"/>
              <w:rPr>
                <w:rFonts w:ascii="Times New Roman"/>
                <w:sz w:val="21"/>
              </w:rPr>
            </w:pPr>
            <w:r>
              <w:rPr>
                <w:rFonts w:ascii="Times New Roman"/>
                <w:sz w:val="21"/>
              </w:rPr>
              <w:t>12.45</w:t>
            </w:r>
          </w:p>
        </w:tc>
        <w:tc>
          <w:tcPr>
            <w:tcW w:w="2129" w:type="dxa"/>
          </w:tcPr>
          <w:p>
            <w:pPr>
              <w:pStyle w:val="TableParagraph"/>
              <w:spacing w:line="226" w:lineRule="exact" w:before="82"/>
              <w:ind w:left="757" w:right="744"/>
              <w:rPr>
                <w:rFonts w:ascii="Times New Roman"/>
                <w:sz w:val="21"/>
              </w:rPr>
            </w:pPr>
            <w:r>
              <w:rPr>
                <w:rFonts w:ascii="Times New Roman"/>
                <w:sz w:val="21"/>
              </w:rPr>
              <w:t>15.52</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正丙胺</w:t>
            </w:r>
          </w:p>
        </w:tc>
        <w:tc>
          <w:tcPr>
            <w:tcW w:w="1673" w:type="dxa"/>
          </w:tcPr>
          <w:p>
            <w:pPr>
              <w:pStyle w:val="TableParagraph"/>
              <w:spacing w:line="229" w:lineRule="exact" w:before="82"/>
              <w:ind w:left="499" w:right="493"/>
              <w:rPr>
                <w:rFonts w:ascii="Times New Roman"/>
                <w:sz w:val="21"/>
              </w:rPr>
            </w:pPr>
            <w:r>
              <w:rPr>
                <w:rFonts w:ascii="Times New Roman"/>
                <w:sz w:val="21"/>
              </w:rPr>
              <w:t>2.01</w:t>
            </w:r>
          </w:p>
        </w:tc>
        <w:tc>
          <w:tcPr>
            <w:tcW w:w="2131" w:type="dxa"/>
          </w:tcPr>
          <w:p>
            <w:pPr>
              <w:pStyle w:val="TableParagraph"/>
              <w:spacing w:before="39"/>
              <w:ind w:left="754" w:right="749"/>
              <w:rPr>
                <w:rFonts w:ascii="Times New Roman"/>
                <w:sz w:val="21"/>
              </w:rPr>
            </w:pPr>
            <w:r>
              <w:rPr>
                <w:rFonts w:ascii="Times New Roman"/>
                <w:sz w:val="21"/>
              </w:rPr>
              <w:t>83.11</w:t>
            </w:r>
          </w:p>
        </w:tc>
        <w:tc>
          <w:tcPr>
            <w:tcW w:w="2129" w:type="dxa"/>
          </w:tcPr>
          <w:p>
            <w:pPr>
              <w:pStyle w:val="TableParagraph"/>
              <w:spacing w:line="229" w:lineRule="exact" w:before="82"/>
              <w:ind w:left="757" w:right="744"/>
              <w:rPr>
                <w:rFonts w:ascii="Times New Roman"/>
                <w:sz w:val="21"/>
              </w:rPr>
            </w:pPr>
            <w:r>
              <w:rPr>
                <w:rFonts w:ascii="Times New Roman"/>
                <w:sz w:val="21"/>
              </w:rPr>
              <w:t>85.12</w:t>
            </w:r>
          </w:p>
        </w:tc>
      </w:tr>
      <w:tr>
        <w:trPr>
          <w:trHeight w:val="331" w:hRule="atLeast"/>
        </w:trPr>
        <w:tc>
          <w:tcPr>
            <w:tcW w:w="559" w:type="dxa"/>
            <w:vMerge/>
            <w:tcBorders>
              <w:top w:val="nil"/>
            </w:tcBorders>
          </w:tcPr>
          <w:p>
            <w:pPr>
              <w:rPr>
                <w:sz w:val="2"/>
                <w:szCs w:val="2"/>
              </w:rPr>
            </w:pPr>
          </w:p>
        </w:tc>
        <w:tc>
          <w:tcPr>
            <w:tcW w:w="2036" w:type="dxa"/>
          </w:tcPr>
          <w:p>
            <w:pPr>
              <w:pStyle w:val="TableParagraph"/>
              <w:spacing w:line="311" w:lineRule="exact"/>
              <w:ind w:left="367" w:right="356"/>
              <w:rPr>
                <w:sz w:val="21"/>
              </w:rPr>
            </w:pPr>
            <w:r>
              <w:rPr>
                <w:sz w:val="21"/>
              </w:rPr>
              <w:t>溴氯丙烷</w:t>
            </w:r>
          </w:p>
        </w:tc>
        <w:tc>
          <w:tcPr>
            <w:tcW w:w="1673" w:type="dxa"/>
          </w:tcPr>
          <w:p>
            <w:pPr>
              <w:pStyle w:val="TableParagraph"/>
              <w:spacing w:line="229" w:lineRule="exact" w:before="82"/>
              <w:ind w:left="499" w:right="493"/>
              <w:rPr>
                <w:rFonts w:ascii="Times New Roman"/>
                <w:sz w:val="21"/>
              </w:rPr>
            </w:pPr>
            <w:r>
              <w:rPr>
                <w:rFonts w:ascii="Times New Roman"/>
                <w:sz w:val="21"/>
              </w:rPr>
              <w:t>10.40</w:t>
            </w:r>
          </w:p>
        </w:tc>
        <w:tc>
          <w:tcPr>
            <w:tcW w:w="2131" w:type="dxa"/>
          </w:tcPr>
          <w:p>
            <w:pPr>
              <w:pStyle w:val="TableParagraph"/>
              <w:spacing w:before="39"/>
              <w:ind w:left="754" w:right="749"/>
              <w:rPr>
                <w:rFonts w:ascii="Times New Roman"/>
                <w:sz w:val="21"/>
              </w:rPr>
            </w:pPr>
            <w:r>
              <w:rPr>
                <w:rFonts w:ascii="Times New Roman"/>
                <w:sz w:val="21"/>
              </w:rPr>
              <w:t>10.93</w:t>
            </w:r>
          </w:p>
        </w:tc>
        <w:tc>
          <w:tcPr>
            <w:tcW w:w="2129" w:type="dxa"/>
          </w:tcPr>
          <w:p>
            <w:pPr>
              <w:pStyle w:val="TableParagraph"/>
              <w:spacing w:line="229" w:lineRule="exact" w:before="82"/>
              <w:ind w:left="757" w:right="744"/>
              <w:rPr>
                <w:rFonts w:ascii="Times New Roman"/>
                <w:sz w:val="21"/>
              </w:rPr>
            </w:pPr>
            <w:r>
              <w:rPr>
                <w:rFonts w:ascii="Times New Roman"/>
                <w:sz w:val="21"/>
              </w:rPr>
              <w:t>21.33</w:t>
            </w:r>
          </w:p>
        </w:tc>
      </w:tr>
      <w:tr>
        <w:trPr>
          <w:trHeight w:val="328" w:hRule="atLeast"/>
        </w:trPr>
        <w:tc>
          <w:tcPr>
            <w:tcW w:w="559" w:type="dxa"/>
            <w:vMerge/>
            <w:tcBorders>
              <w:top w:val="nil"/>
            </w:tcBorders>
          </w:tcPr>
          <w:p>
            <w:pPr>
              <w:rPr>
                <w:sz w:val="2"/>
                <w:szCs w:val="2"/>
              </w:rPr>
            </w:pPr>
          </w:p>
        </w:tc>
        <w:tc>
          <w:tcPr>
            <w:tcW w:w="2036" w:type="dxa"/>
          </w:tcPr>
          <w:p>
            <w:pPr>
              <w:pStyle w:val="TableParagraph"/>
              <w:spacing w:line="308" w:lineRule="exact"/>
              <w:ind w:left="367" w:right="358"/>
              <w:rPr>
                <w:sz w:val="21"/>
              </w:rPr>
            </w:pPr>
            <w:r>
              <w:rPr>
                <w:sz w:val="21"/>
              </w:rPr>
              <w:t>氯苯</w:t>
            </w:r>
          </w:p>
        </w:tc>
        <w:tc>
          <w:tcPr>
            <w:tcW w:w="1673" w:type="dxa"/>
          </w:tcPr>
          <w:p>
            <w:pPr>
              <w:pStyle w:val="TableParagraph"/>
              <w:spacing w:line="226" w:lineRule="exact" w:before="82"/>
              <w:ind w:left="499" w:right="493"/>
              <w:rPr>
                <w:rFonts w:ascii="Times New Roman"/>
                <w:sz w:val="21"/>
              </w:rPr>
            </w:pPr>
            <w:r>
              <w:rPr>
                <w:rFonts w:ascii="Times New Roman"/>
                <w:sz w:val="21"/>
              </w:rPr>
              <w:t>2.48</w:t>
            </w:r>
          </w:p>
        </w:tc>
        <w:tc>
          <w:tcPr>
            <w:tcW w:w="2131" w:type="dxa"/>
          </w:tcPr>
          <w:p>
            <w:pPr>
              <w:pStyle w:val="TableParagraph"/>
              <w:spacing w:before="36"/>
              <w:ind w:left="754" w:right="749"/>
              <w:rPr>
                <w:rFonts w:ascii="Times New Roman"/>
                <w:sz w:val="21"/>
              </w:rPr>
            </w:pPr>
            <w:r>
              <w:rPr>
                <w:rFonts w:ascii="Times New Roman"/>
                <w:sz w:val="21"/>
              </w:rPr>
              <w:t>12.51</w:t>
            </w:r>
          </w:p>
        </w:tc>
        <w:tc>
          <w:tcPr>
            <w:tcW w:w="2129" w:type="dxa"/>
          </w:tcPr>
          <w:p>
            <w:pPr>
              <w:pStyle w:val="TableParagraph"/>
              <w:spacing w:line="226" w:lineRule="exact" w:before="82"/>
              <w:ind w:left="757" w:right="744"/>
              <w:rPr>
                <w:rFonts w:ascii="Times New Roman"/>
                <w:sz w:val="21"/>
              </w:rPr>
            </w:pPr>
            <w:r>
              <w:rPr>
                <w:rFonts w:ascii="Times New Roman"/>
                <w:sz w:val="21"/>
              </w:rPr>
              <w:t>14.99</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8"/>
              <w:rPr>
                <w:sz w:val="21"/>
              </w:rPr>
            </w:pPr>
            <w:r>
              <w:rPr>
                <w:sz w:val="21"/>
              </w:rPr>
              <w:t>氯化氢</w:t>
            </w:r>
          </w:p>
        </w:tc>
        <w:tc>
          <w:tcPr>
            <w:tcW w:w="1673" w:type="dxa"/>
          </w:tcPr>
          <w:p>
            <w:pPr>
              <w:pStyle w:val="TableParagraph"/>
              <w:spacing w:line="229" w:lineRule="exact" w:before="82"/>
              <w:ind w:left="499" w:right="493"/>
              <w:rPr>
                <w:rFonts w:ascii="Times New Roman"/>
                <w:sz w:val="21"/>
              </w:rPr>
            </w:pPr>
            <w:r>
              <w:rPr>
                <w:rFonts w:ascii="Times New Roman"/>
                <w:sz w:val="21"/>
              </w:rPr>
              <w:t>107.76</w:t>
            </w:r>
          </w:p>
        </w:tc>
        <w:tc>
          <w:tcPr>
            <w:tcW w:w="2131" w:type="dxa"/>
          </w:tcPr>
          <w:p>
            <w:pPr>
              <w:pStyle w:val="TableParagraph"/>
              <w:spacing w:before="39"/>
              <w:ind w:left="754" w:right="749"/>
              <w:rPr>
                <w:rFonts w:ascii="Times New Roman"/>
                <w:sz w:val="21"/>
              </w:rPr>
            </w:pPr>
            <w:r>
              <w:rPr>
                <w:rFonts w:ascii="Times New Roman"/>
                <w:sz w:val="21"/>
              </w:rPr>
              <w:t>37.18</w:t>
            </w:r>
          </w:p>
        </w:tc>
        <w:tc>
          <w:tcPr>
            <w:tcW w:w="2129" w:type="dxa"/>
          </w:tcPr>
          <w:p>
            <w:pPr>
              <w:pStyle w:val="TableParagraph"/>
              <w:spacing w:line="229" w:lineRule="exact" w:before="82"/>
              <w:ind w:left="757" w:right="744"/>
              <w:rPr>
                <w:rFonts w:ascii="Times New Roman"/>
                <w:sz w:val="21"/>
              </w:rPr>
            </w:pPr>
            <w:r>
              <w:rPr>
                <w:rFonts w:ascii="Times New Roman"/>
                <w:sz w:val="21"/>
              </w:rPr>
              <w:t>144.94</w:t>
            </w:r>
          </w:p>
        </w:tc>
      </w:tr>
      <w:tr>
        <w:trPr>
          <w:trHeight w:val="330" w:hRule="atLeast"/>
        </w:trPr>
        <w:tc>
          <w:tcPr>
            <w:tcW w:w="559" w:type="dxa"/>
            <w:vMerge/>
            <w:tcBorders>
              <w:top w:val="nil"/>
            </w:tcBorders>
          </w:tcPr>
          <w:p>
            <w:pPr>
              <w:rPr>
                <w:sz w:val="2"/>
                <w:szCs w:val="2"/>
              </w:rPr>
            </w:pPr>
          </w:p>
        </w:tc>
        <w:tc>
          <w:tcPr>
            <w:tcW w:w="2036" w:type="dxa"/>
          </w:tcPr>
          <w:p>
            <w:pPr>
              <w:pStyle w:val="TableParagraph"/>
              <w:spacing w:line="311" w:lineRule="exact"/>
              <w:ind w:left="367" w:right="356"/>
              <w:rPr>
                <w:sz w:val="21"/>
              </w:rPr>
            </w:pPr>
            <w:r>
              <w:rPr>
                <w:sz w:val="21"/>
              </w:rPr>
              <w:t>乙酸乙酯</w:t>
            </w:r>
          </w:p>
        </w:tc>
        <w:tc>
          <w:tcPr>
            <w:tcW w:w="1673" w:type="dxa"/>
          </w:tcPr>
          <w:p>
            <w:pPr>
              <w:pStyle w:val="TableParagraph"/>
              <w:spacing w:line="229" w:lineRule="exact" w:before="82"/>
              <w:ind w:left="499" w:right="493"/>
              <w:rPr>
                <w:rFonts w:ascii="Times New Roman"/>
                <w:sz w:val="21"/>
              </w:rPr>
            </w:pPr>
            <w:r>
              <w:rPr>
                <w:rFonts w:ascii="Times New Roman"/>
                <w:sz w:val="21"/>
              </w:rPr>
              <w:t>0.60</w:t>
            </w:r>
          </w:p>
        </w:tc>
        <w:tc>
          <w:tcPr>
            <w:tcW w:w="2131" w:type="dxa"/>
          </w:tcPr>
          <w:p>
            <w:pPr>
              <w:pStyle w:val="TableParagraph"/>
              <w:spacing w:before="39"/>
              <w:ind w:left="754" w:right="749"/>
              <w:rPr>
                <w:rFonts w:ascii="Times New Roman"/>
                <w:sz w:val="21"/>
              </w:rPr>
            </w:pPr>
            <w:r>
              <w:rPr>
                <w:rFonts w:ascii="Times New Roman"/>
                <w:sz w:val="21"/>
              </w:rPr>
              <w:t>43.88</w:t>
            </w:r>
          </w:p>
        </w:tc>
        <w:tc>
          <w:tcPr>
            <w:tcW w:w="2129" w:type="dxa"/>
          </w:tcPr>
          <w:p>
            <w:pPr>
              <w:pStyle w:val="TableParagraph"/>
              <w:spacing w:line="229" w:lineRule="exact" w:before="82"/>
              <w:ind w:left="757" w:right="744"/>
              <w:rPr>
                <w:rFonts w:ascii="Times New Roman"/>
                <w:sz w:val="21"/>
              </w:rPr>
            </w:pPr>
            <w:r>
              <w:rPr>
                <w:rFonts w:ascii="Times New Roman"/>
                <w:sz w:val="21"/>
              </w:rPr>
              <w:t>44.48</w:t>
            </w:r>
          </w:p>
        </w:tc>
      </w:tr>
    </w:tbl>
    <w:p>
      <w:pPr>
        <w:pStyle w:val="BodyText"/>
        <w:rPr>
          <w:rFonts w:ascii="Times New Roman"/>
          <w:b/>
          <w:sz w:val="22"/>
        </w:rPr>
      </w:pPr>
    </w:p>
    <w:p>
      <w:pPr>
        <w:pStyle w:val="Heading3"/>
        <w:numPr>
          <w:ilvl w:val="2"/>
          <w:numId w:val="1"/>
        </w:numPr>
        <w:tabs>
          <w:tab w:pos="1178" w:val="left" w:leader="none"/>
        </w:tabs>
        <w:spacing w:line="240" w:lineRule="auto" w:before="190" w:after="0"/>
        <w:ind w:left="1178" w:right="0" w:hanging="960"/>
        <w:jc w:val="left"/>
      </w:pPr>
      <w:r>
        <w:rPr/>
        <w:t>废水</w:t>
      </w:r>
    </w:p>
    <w:p>
      <w:pPr>
        <w:pStyle w:val="Heading5"/>
        <w:numPr>
          <w:ilvl w:val="3"/>
          <w:numId w:val="1"/>
        </w:numPr>
        <w:tabs>
          <w:tab w:pos="1270" w:val="left" w:leader="none"/>
        </w:tabs>
        <w:spacing w:line="240" w:lineRule="auto" w:before="184" w:after="0"/>
        <w:ind w:left="1269" w:right="0" w:hanging="1051"/>
        <w:jc w:val="left"/>
      </w:pPr>
      <w:r>
        <w:rPr/>
        <w:t>废水产生情况</w:t>
      </w:r>
    </w:p>
    <w:p>
      <w:pPr>
        <w:pStyle w:val="BodyText"/>
        <w:spacing w:line="220" w:lineRule="auto" w:before="121"/>
        <w:ind w:left="218" w:right="145" w:firstLine="479"/>
      </w:pPr>
      <w:r>
        <w:rPr/>
        <w:t>项目运行过程产生的废水包括：各化学原料药生产工艺废水（含分层废水、洗涤废水、离心母液等），白葡菌生产发酵废水，真空泵废水，废气处理装置产</w:t>
      </w:r>
    </w:p>
    <w:p>
      <w:pPr>
        <w:spacing w:after="0" w:line="220" w:lineRule="auto"/>
        <w:sectPr>
          <w:headerReference w:type="default" r:id="rId7"/>
          <w:footerReference w:type="default" r:id="rId8"/>
          <w:pgSz w:w="11910" w:h="16840"/>
          <w:pgMar w:header="877" w:footer="973" w:top="1380" w:bottom="1160" w:left="1580" w:right="1560"/>
          <w:pgNumType w:start="134"/>
        </w:sectPr>
      </w:pPr>
    </w:p>
    <w:p>
      <w:pPr>
        <w:pStyle w:val="BodyText"/>
        <w:spacing w:line="429" w:lineRule="exact"/>
        <w:ind w:left="218"/>
      </w:pPr>
      <w:r>
        <w:rPr>
          <w:spacing w:val="-16"/>
        </w:rPr>
        <w:t>生废水。另外各产品生产车间地面冲洗水、设备冲洗水，循环冷却水系统排污水，</w:t>
      </w:r>
    </w:p>
    <w:p>
      <w:pPr>
        <w:pStyle w:val="BodyText"/>
        <w:spacing w:line="467" w:lineRule="exact"/>
        <w:ind w:left="218"/>
      </w:pPr>
      <w:r>
        <w:rPr/>
        <w:t>软水制备浓水；还有职工生活污水。</w:t>
      </w:r>
    </w:p>
    <w:p>
      <w:pPr>
        <w:pStyle w:val="BodyText"/>
        <w:spacing w:line="467" w:lineRule="exact"/>
        <w:ind w:left="700"/>
      </w:pPr>
      <w:r>
        <w:rPr>
          <w:rFonts w:ascii="Times New Roman" w:eastAsia="Times New Roman"/>
          <w:b/>
        </w:rPr>
        <w:t>1</w:t>
      </w:r>
      <w:r>
        <w:rPr/>
        <w:t>、生产工艺废水产生及处置情况</w:t>
      </w:r>
    </w:p>
    <w:p>
      <w:pPr>
        <w:pStyle w:val="BodyText"/>
        <w:spacing w:line="220" w:lineRule="auto" w:before="8"/>
        <w:ind w:left="218" w:right="145" w:firstLine="479"/>
        <w:jc w:val="both"/>
      </w:pPr>
      <w:r>
        <w:rPr/>
        <w:t>厂区生产工艺废水主要分为两类：化学合成废水（含分层废水、洗涤废水、离心母液等</w:t>
      </w:r>
      <w:r>
        <w:rPr>
          <w:spacing w:val="-44"/>
        </w:rPr>
        <w:t>）</w:t>
      </w:r>
      <w:r>
        <w:rPr>
          <w:spacing w:val="-7"/>
        </w:rPr>
        <w:t>和发酵废水，考虑化学原料药各产品化学合成废水大部分为高浓有</w:t>
      </w:r>
      <w:r>
        <w:rPr>
          <w:spacing w:val="-12"/>
        </w:rPr>
        <w:t>机废水或高盐废水，先进入废水预处理装置处理后，再和白葡萄球菌发酵废水进入厂区污水处理站处理。</w:t>
      </w:r>
    </w:p>
    <w:p>
      <w:pPr>
        <w:pStyle w:val="BodyText"/>
        <w:spacing w:line="454" w:lineRule="exact"/>
        <w:ind w:left="700"/>
      </w:pPr>
      <w:r>
        <w:rPr/>
        <w:t>化学合成废水回收车间蒸馏预处理工序：</w:t>
      </w:r>
    </w:p>
    <w:p>
      <w:pPr>
        <w:pStyle w:val="BodyText"/>
        <w:spacing w:line="220" w:lineRule="auto" w:before="7"/>
        <w:ind w:left="218" w:right="145" w:firstLine="479"/>
        <w:jc w:val="both"/>
      </w:pPr>
      <w:r>
        <w:rPr/>
        <w:t>高浓有机或高盐化学合成废水中污染物浓度高、含盐量高、生化性比较差， 针对项目废水产生特征，对废水进行分类收集、分质蒸馏处理。</w:t>
      </w:r>
    </w:p>
    <w:p>
      <w:pPr>
        <w:pStyle w:val="BodyText"/>
        <w:spacing w:line="220" w:lineRule="auto"/>
        <w:ind w:left="218" w:right="231" w:firstLine="479"/>
        <w:jc w:val="both"/>
      </w:pPr>
      <w:r>
        <w:rPr>
          <w:spacing w:val="-6"/>
        </w:rPr>
        <w:t>化学合成废水收集后，先经过气浮工艺处理，把油脂类、悬浮物以及大的有</w:t>
      </w:r>
      <w:r>
        <w:rPr>
          <w:spacing w:val="-20"/>
        </w:rPr>
        <w:t>机颗粒去除；气浮水层管道输送到回收车间，转移到蒸馏釜蒸馏，低沸点馏分</w:t>
      </w:r>
      <w:r>
        <w:rPr/>
        <w:t>（前馏分</w:t>
      </w:r>
      <w:r>
        <w:rPr>
          <w:spacing w:val="-29"/>
        </w:rPr>
        <w:t>）</w:t>
      </w:r>
      <w:r>
        <w:rPr>
          <w:spacing w:val="-5"/>
        </w:rPr>
        <w:t>蒸出冷凝后做危废；高沸点馏分蒸出冷凝后进合成废水调节池；最后的蒸</w:t>
      </w:r>
      <w:r>
        <w:rPr>
          <w:spacing w:val="-9"/>
        </w:rPr>
        <w:t>馏残液经离心后的滤饼为蒸馏残渣，作危废处置；离心后母液再次蒸馏。蒸馏冷</w:t>
      </w:r>
      <w:r>
        <w:rPr>
          <w:spacing w:val="-13"/>
        </w:rPr>
        <w:t>凝过程中产生少量不凝废气通过抽真空进入真空循环水中，最后挥发气体收集进</w:t>
      </w:r>
      <w:r>
        <w:rPr>
          <w:spacing w:val="-11"/>
        </w:rPr>
        <w:t>入原料药车间 </w:t>
      </w:r>
      <w:r>
        <w:rPr>
          <w:rFonts w:ascii="Times New Roman" w:eastAsia="Times New Roman"/>
        </w:rPr>
        <w:t>2 </w:t>
      </w:r>
      <w:r>
        <w:rPr>
          <w:spacing w:val="-5"/>
        </w:rPr>
        <w:t>和回收车间配套的废气处理系统。经回收车间蒸馏预处理，可去除废水中大部分盐类和低沸点有机物，提高化学合成废水的可生化性。</w:t>
      </w:r>
    </w:p>
    <w:p>
      <w:pPr>
        <w:pStyle w:val="BodyText"/>
        <w:spacing w:line="220" w:lineRule="auto"/>
        <w:ind w:left="218" w:right="111" w:firstLine="479"/>
        <w:jc w:val="both"/>
      </w:pPr>
      <w:r>
        <w:rPr>
          <w:spacing w:val="-5"/>
        </w:rPr>
        <w:t>其中，考虑丙戊酸钠烷基化反应后分层废水</w:t>
      </w:r>
      <w:r>
        <w:rPr/>
        <w:t>（</w:t>
      </w:r>
      <w:r>
        <w:rPr>
          <w:rFonts w:ascii="Times New Roman" w:eastAsia="Times New Roman"/>
        </w:rPr>
        <w:t>699.2t/a</w:t>
      </w:r>
      <w:r>
        <w:rPr/>
        <w:t>）中含大量的溴化钾， </w:t>
      </w:r>
      <w:r>
        <w:rPr>
          <w:spacing w:val="-6"/>
        </w:rPr>
        <w:t>为回收其中的溴化钾盐，单独向这股废水中加入氢溴酸，中和废水中的碳酸钾同</w:t>
      </w:r>
      <w:r>
        <w:rPr>
          <w:spacing w:val="-12"/>
        </w:rPr>
        <w:t>时生成溴化钾盐，然后在原料车间 </w:t>
      </w:r>
      <w:r>
        <w:rPr>
          <w:rFonts w:ascii="Times New Roman" w:eastAsia="Times New Roman"/>
        </w:rPr>
        <w:t>1 </w:t>
      </w:r>
      <w:r>
        <w:rPr>
          <w:spacing w:val="-10"/>
        </w:rPr>
        <w:t>蒸馏罐内进行蒸馏，蒸馏出前馏分经冷凝后，</w:t>
      </w:r>
    </w:p>
    <w:p>
      <w:pPr>
        <w:pStyle w:val="BodyText"/>
        <w:spacing w:line="220" w:lineRule="auto"/>
        <w:ind w:left="218" w:right="144"/>
        <w:jc w:val="both"/>
      </w:pPr>
      <w:r>
        <w:rPr>
          <w:spacing w:val="-8"/>
        </w:rPr>
        <w:t>污凝水去污水处理站处理，不凝气进行收集去原料车间 </w:t>
      </w:r>
      <w:r>
        <w:rPr>
          <w:rFonts w:ascii="Times New Roman" w:eastAsia="Times New Roman"/>
        </w:rPr>
        <w:t>1 </w:t>
      </w:r>
      <w:r>
        <w:rPr/>
        <w:t>配套的废气处理系统处理，然后向蒸馏罐外侧夹套通循环冷却水，使罐内蒸馏残液温度降至室温以下， </w:t>
      </w:r>
      <w:r>
        <w:rPr>
          <w:spacing w:val="-4"/>
        </w:rPr>
        <w:t>降温过程大部分的溴化钾</w:t>
      </w:r>
      <w:r>
        <w:rPr/>
        <w:t>（</w:t>
      </w:r>
      <w:r>
        <w:rPr>
          <w:spacing w:val="3"/>
        </w:rPr>
        <w:t>约 </w:t>
      </w:r>
      <w:r>
        <w:rPr>
          <w:rFonts w:ascii="Times New Roman" w:eastAsia="Times New Roman"/>
          <w:spacing w:val="-10"/>
        </w:rPr>
        <w:t>95%</w:t>
      </w:r>
      <w:r>
        <w:rPr>
          <w:spacing w:val="-10"/>
        </w:rPr>
        <w:t>）</w:t>
      </w:r>
      <w:r>
        <w:rPr>
          <w:spacing w:val="-6"/>
        </w:rPr>
        <w:t>结晶析出，离心将结晶得到的溴化钾盐进行收集，离心母液混合下批废水再次蒸馏；得到的结晶溴化钾盐（</w:t>
      </w:r>
      <w:r>
        <w:rPr>
          <w:spacing w:val="15"/>
        </w:rPr>
        <w:t>约 </w:t>
      </w:r>
      <w:r>
        <w:rPr>
          <w:rFonts w:ascii="Times New Roman" w:eastAsia="Times New Roman"/>
        </w:rPr>
        <w:t>457.2t/a</w:t>
      </w:r>
      <w:r>
        <w:rPr/>
        <w:t>）纯</w:t>
      </w:r>
      <w:r>
        <w:rPr>
          <w:spacing w:val="-9"/>
        </w:rPr>
        <w:t>度较高，企业对这部分溴化钾盐进行特性鉴别，经鉴别后不属于危险废物，按一般废物进行处置。丙戊酸钠烷基化反应后分层废水预处理流程图见图 </w:t>
      </w:r>
      <w:r>
        <w:rPr>
          <w:rFonts w:ascii="Times New Roman" w:eastAsia="Times New Roman"/>
        </w:rPr>
        <w:t>4.10-11</w:t>
      </w:r>
      <w:r>
        <w:rPr/>
        <w:t>。</w:t>
      </w:r>
    </w:p>
    <w:p>
      <w:pPr>
        <w:pStyle w:val="BodyText"/>
        <w:spacing w:line="473" w:lineRule="exact"/>
        <w:ind w:left="698"/>
      </w:pPr>
      <w:r>
        <w:rPr/>
        <w:t>丙戊酸钠烷基化反应后分层废水处理涉及的反应：</w:t>
      </w:r>
    </w:p>
    <w:p>
      <w:pPr>
        <w:tabs>
          <w:tab w:pos="3892" w:val="left" w:leader="none"/>
        </w:tabs>
        <w:spacing w:before="196"/>
        <w:ind w:left="726" w:right="0" w:firstLine="0"/>
        <w:jc w:val="left"/>
        <w:rPr>
          <w:rFonts w:ascii="Times New Roman"/>
          <w:sz w:val="16"/>
        </w:rPr>
      </w:pPr>
      <w:r>
        <w:rPr/>
        <w:pict>
          <v:shape style="position:absolute;margin-left:217.5pt;margin-top:15.423125pt;width:40.35pt;height:6pt;mso-position-horizontal-relative:page;mso-position-vertical-relative:paragraph;z-index:-1114288" coordorigin="4350,308" coordsize="807,120" path="m5037,378l5037,428,5137,378,5037,378xm5037,358l5037,378,5057,378,5057,358,5037,358xm5037,308l5037,358,5057,358,5057,378,5137,378,5157,369,5037,308xm4350,358l4350,378,5037,378,5037,358,4350,358xe" filled="true" fillcolor="#000000" stroked="false">
            <v:path arrowok="t"/>
            <v:fill type="solid"/>
            <w10:wrap type="none"/>
          </v:shape>
        </w:pict>
      </w:r>
      <w:r>
        <w:rPr>
          <w:rFonts w:ascii="Times New Roman"/>
          <w:position w:val="-2"/>
          <w:sz w:val="24"/>
        </w:rPr>
        <w:t>K</w:t>
      </w:r>
      <w:r>
        <w:rPr>
          <w:rFonts w:ascii="Times New Roman"/>
          <w:position w:val="-4"/>
          <w:sz w:val="16"/>
        </w:rPr>
        <w:t>2</w:t>
      </w:r>
      <w:r>
        <w:rPr>
          <w:rFonts w:ascii="Times New Roman"/>
          <w:position w:val="-2"/>
          <w:sz w:val="24"/>
        </w:rPr>
        <w:t>CO</w:t>
      </w:r>
      <w:r>
        <w:rPr>
          <w:rFonts w:ascii="Times New Roman"/>
          <w:position w:val="-4"/>
          <w:sz w:val="16"/>
        </w:rPr>
        <w:t>3  </w:t>
      </w:r>
      <w:r>
        <w:rPr>
          <w:rFonts w:ascii="Times New Roman"/>
          <w:spacing w:val="38"/>
          <w:position w:val="-4"/>
          <w:sz w:val="16"/>
        </w:rPr>
        <w:t> </w:t>
      </w:r>
      <w:r>
        <w:rPr>
          <w:rFonts w:ascii="Times New Roman"/>
          <w:position w:val="-2"/>
          <w:sz w:val="24"/>
        </w:rPr>
        <w:t>+</w:t>
      </w:r>
      <w:r>
        <w:rPr>
          <w:rFonts w:ascii="Times New Roman"/>
          <w:spacing w:val="-2"/>
          <w:position w:val="-2"/>
          <w:sz w:val="24"/>
        </w:rPr>
        <w:t> </w:t>
      </w:r>
      <w:r>
        <w:rPr>
          <w:rFonts w:ascii="Times New Roman"/>
          <w:position w:val="-2"/>
          <w:sz w:val="24"/>
        </w:rPr>
        <w:t>2HBr</w:t>
        <w:tab/>
      </w:r>
      <w:r>
        <w:rPr>
          <w:rFonts w:ascii="Times New Roman"/>
          <w:position w:val="2"/>
          <w:sz w:val="24"/>
        </w:rPr>
        <w:t>2KBr + H</w:t>
      </w:r>
      <w:r>
        <w:rPr>
          <w:rFonts w:ascii="Times New Roman"/>
          <w:sz w:val="16"/>
        </w:rPr>
        <w:t>2</w:t>
      </w:r>
      <w:r>
        <w:rPr>
          <w:rFonts w:ascii="Times New Roman"/>
          <w:position w:val="2"/>
          <w:sz w:val="24"/>
        </w:rPr>
        <w:t>O +</w:t>
      </w:r>
      <w:r>
        <w:rPr>
          <w:rFonts w:ascii="Times New Roman"/>
          <w:spacing w:val="-2"/>
          <w:position w:val="2"/>
          <w:sz w:val="24"/>
        </w:rPr>
        <w:t> </w:t>
      </w:r>
      <w:r>
        <w:rPr>
          <w:rFonts w:ascii="Times New Roman"/>
          <w:position w:val="2"/>
          <w:sz w:val="24"/>
        </w:rPr>
        <w:t>CO</w:t>
      </w:r>
      <w:r>
        <w:rPr>
          <w:rFonts w:ascii="Times New Roman"/>
          <w:sz w:val="16"/>
        </w:rPr>
        <w:t>2</w:t>
      </w:r>
    </w:p>
    <w:p>
      <w:pPr>
        <w:spacing w:after="0"/>
        <w:jc w:val="left"/>
        <w:rPr>
          <w:rFonts w:ascii="Times New Roman"/>
          <w:sz w:val="16"/>
        </w:rPr>
        <w:sectPr>
          <w:pgSz w:w="11910" w:h="16840"/>
          <w:pgMar w:header="877" w:footer="973" w:top="1380" w:bottom="1160" w:left="1580" w:right="1560"/>
        </w:sectPr>
      </w:pPr>
    </w:p>
    <w:p>
      <w:pPr>
        <w:pStyle w:val="BodyText"/>
        <w:spacing w:before="3"/>
        <w:rPr>
          <w:rFonts w:ascii="Times New Roman"/>
          <w:sz w:val="26"/>
        </w:rPr>
      </w:pPr>
    </w:p>
    <w:p>
      <w:pPr>
        <w:tabs>
          <w:tab w:pos="5309" w:val="left" w:leader="none"/>
        </w:tabs>
        <w:spacing w:line="423" w:lineRule="exact" w:before="0"/>
        <w:ind w:left="4189" w:right="0" w:firstLine="0"/>
        <w:jc w:val="left"/>
        <w:rPr>
          <w:sz w:val="21"/>
        </w:rPr>
      </w:pPr>
      <w:r>
        <w:rPr>
          <w:sz w:val="21"/>
        </w:rPr>
        <w:t>表</w:t>
      </w:r>
      <w:r>
        <w:rPr>
          <w:spacing w:val="7"/>
          <w:sz w:val="21"/>
        </w:rPr>
        <w:t> </w:t>
      </w:r>
      <w:r>
        <w:rPr>
          <w:rFonts w:ascii="Times New Roman" w:eastAsia="Times New Roman"/>
          <w:b/>
          <w:sz w:val="21"/>
        </w:rPr>
        <w:t>4.10-17</w:t>
        <w:tab/>
      </w:r>
      <w:r>
        <w:rPr>
          <w:sz w:val="21"/>
        </w:rPr>
        <w:t>项目化学合成废水产生及回收车</w:t>
      </w:r>
      <w:r>
        <w:rPr>
          <w:spacing w:val="-3"/>
          <w:sz w:val="21"/>
        </w:rPr>
        <w:t>间</w:t>
      </w:r>
      <w:r>
        <w:rPr>
          <w:sz w:val="21"/>
        </w:rPr>
        <w:t>预</w:t>
      </w:r>
      <w:r>
        <w:rPr>
          <w:spacing w:val="-3"/>
          <w:sz w:val="21"/>
        </w:rPr>
        <w:t>处</w:t>
      </w:r>
      <w:r>
        <w:rPr>
          <w:sz w:val="21"/>
        </w:rPr>
        <w:t>理情况</w:t>
      </w:r>
    </w:p>
    <w:p>
      <w:pPr>
        <w:pStyle w:val="BodyText"/>
        <w:spacing w:before="20"/>
        <w:rPr>
          <w:sz w:val="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1318"/>
        <w:gridCol w:w="3051"/>
        <w:gridCol w:w="2283"/>
        <w:gridCol w:w="2021"/>
        <w:gridCol w:w="1976"/>
        <w:gridCol w:w="1030"/>
        <w:gridCol w:w="627"/>
        <w:gridCol w:w="620"/>
      </w:tblGrid>
      <w:tr>
        <w:trPr>
          <w:trHeight w:val="354" w:hRule="atLeast"/>
        </w:trPr>
        <w:tc>
          <w:tcPr>
            <w:tcW w:w="538" w:type="dxa"/>
            <w:vMerge w:val="restart"/>
            <w:tcBorders>
              <w:bottom w:val="single" w:sz="6" w:space="0" w:color="000000"/>
              <w:right w:val="single" w:sz="6" w:space="0" w:color="000000"/>
            </w:tcBorders>
          </w:tcPr>
          <w:p>
            <w:pPr>
              <w:pStyle w:val="TableParagraph"/>
              <w:spacing w:before="14"/>
              <w:jc w:val="left"/>
              <w:rPr>
                <w:sz w:val="17"/>
              </w:rPr>
            </w:pPr>
          </w:p>
          <w:p>
            <w:pPr>
              <w:pStyle w:val="TableParagraph"/>
              <w:spacing w:line="146" w:lineRule="auto"/>
              <w:ind w:left="176" w:right="156"/>
              <w:jc w:val="left"/>
              <w:rPr>
                <w:sz w:val="18"/>
              </w:rPr>
            </w:pPr>
            <w:r>
              <w:rPr>
                <w:sz w:val="18"/>
              </w:rPr>
              <w:t>产品</w:t>
            </w:r>
          </w:p>
        </w:tc>
        <w:tc>
          <w:tcPr>
            <w:tcW w:w="1318" w:type="dxa"/>
            <w:vMerge w:val="restart"/>
            <w:tcBorders>
              <w:left w:val="single" w:sz="6" w:space="0" w:color="000000"/>
              <w:bottom w:val="single" w:sz="6" w:space="0" w:color="000000"/>
              <w:right w:val="single" w:sz="6" w:space="0" w:color="000000"/>
            </w:tcBorders>
          </w:tcPr>
          <w:p>
            <w:pPr>
              <w:pStyle w:val="TableParagraph"/>
              <w:spacing w:before="4"/>
              <w:jc w:val="left"/>
              <w:rPr>
                <w:sz w:val="18"/>
              </w:rPr>
            </w:pPr>
          </w:p>
          <w:p>
            <w:pPr>
              <w:pStyle w:val="TableParagraph"/>
              <w:ind w:left="304"/>
              <w:jc w:val="left"/>
              <w:rPr>
                <w:sz w:val="18"/>
              </w:rPr>
            </w:pPr>
            <w:r>
              <w:rPr>
                <w:sz w:val="18"/>
              </w:rPr>
              <w:t>产污环节</w:t>
            </w:r>
          </w:p>
        </w:tc>
        <w:tc>
          <w:tcPr>
            <w:tcW w:w="3051" w:type="dxa"/>
            <w:vMerge w:val="restart"/>
            <w:tcBorders>
              <w:left w:val="single" w:sz="6" w:space="0" w:color="000000"/>
              <w:bottom w:val="single" w:sz="6" w:space="0" w:color="000000"/>
              <w:right w:val="single" w:sz="6" w:space="0" w:color="000000"/>
            </w:tcBorders>
          </w:tcPr>
          <w:p>
            <w:pPr>
              <w:pStyle w:val="TableParagraph"/>
              <w:spacing w:before="16"/>
              <w:jc w:val="left"/>
              <w:rPr>
                <w:sz w:val="12"/>
              </w:rPr>
            </w:pPr>
          </w:p>
          <w:p>
            <w:pPr>
              <w:pStyle w:val="TableParagraph"/>
              <w:spacing w:line="307" w:lineRule="exact"/>
              <w:ind w:left="898"/>
              <w:jc w:val="left"/>
              <w:rPr>
                <w:sz w:val="18"/>
              </w:rPr>
            </w:pPr>
            <w:r>
              <w:rPr>
                <w:sz w:val="18"/>
              </w:rPr>
              <w:t>主要污染物组成</w:t>
            </w:r>
          </w:p>
          <w:p>
            <w:pPr>
              <w:pStyle w:val="TableParagraph"/>
              <w:spacing w:line="307" w:lineRule="exact"/>
              <w:ind w:left="997"/>
              <w:jc w:val="left"/>
              <w:rPr>
                <w:sz w:val="18"/>
              </w:rPr>
            </w:pPr>
            <w:r>
              <w:rPr>
                <w:sz w:val="18"/>
              </w:rPr>
              <w:t>（</w:t>
            </w:r>
            <w:r>
              <w:rPr>
                <w:rFonts w:ascii="Times New Roman" w:eastAsia="Times New Roman"/>
                <w:b/>
                <w:sz w:val="18"/>
              </w:rPr>
              <w:t>kg/t </w:t>
            </w:r>
            <w:r>
              <w:rPr>
                <w:sz w:val="18"/>
              </w:rPr>
              <w:t>产品）</w:t>
            </w:r>
          </w:p>
        </w:tc>
        <w:tc>
          <w:tcPr>
            <w:tcW w:w="7310" w:type="dxa"/>
            <w:gridSpan w:val="4"/>
            <w:tcBorders>
              <w:left w:val="single" w:sz="6" w:space="0" w:color="000000"/>
              <w:bottom w:val="single" w:sz="6" w:space="0" w:color="000000"/>
              <w:right w:val="single" w:sz="6" w:space="0" w:color="000000"/>
            </w:tcBorders>
          </w:tcPr>
          <w:p>
            <w:pPr>
              <w:pStyle w:val="TableParagraph"/>
              <w:spacing w:line="334" w:lineRule="exact"/>
              <w:ind w:left="2828" w:right="2806"/>
              <w:rPr>
                <w:sz w:val="18"/>
              </w:rPr>
            </w:pPr>
            <w:r>
              <w:rPr>
                <w:sz w:val="18"/>
              </w:rPr>
              <w:t>回收车间蒸馏预处理</w:t>
            </w:r>
          </w:p>
        </w:tc>
        <w:tc>
          <w:tcPr>
            <w:tcW w:w="1247" w:type="dxa"/>
            <w:gridSpan w:val="2"/>
            <w:vMerge w:val="restart"/>
            <w:tcBorders>
              <w:left w:val="single" w:sz="6" w:space="0" w:color="000000"/>
              <w:bottom w:val="single" w:sz="6" w:space="0" w:color="000000"/>
            </w:tcBorders>
          </w:tcPr>
          <w:p>
            <w:pPr>
              <w:pStyle w:val="TableParagraph"/>
              <w:spacing w:line="146" w:lineRule="auto" w:before="29"/>
              <w:ind w:left="177" w:right="142"/>
              <w:rPr>
                <w:sz w:val="18"/>
              </w:rPr>
            </w:pPr>
            <w:r>
              <w:rPr>
                <w:sz w:val="18"/>
              </w:rPr>
              <w:t>回收车间预处理后废水</w:t>
            </w:r>
          </w:p>
          <w:p>
            <w:pPr>
              <w:pStyle w:val="TableParagraph"/>
              <w:spacing w:line="207" w:lineRule="exact"/>
              <w:ind w:left="31"/>
              <w:rPr>
                <w:sz w:val="18"/>
              </w:rPr>
            </w:pPr>
            <w:r>
              <w:rPr>
                <w:sz w:val="18"/>
              </w:rPr>
              <w:t>量</w:t>
            </w:r>
          </w:p>
        </w:tc>
      </w:tr>
      <w:tr>
        <w:trPr>
          <w:trHeight w:val="352" w:hRule="atLeast"/>
        </w:trPr>
        <w:tc>
          <w:tcPr>
            <w:tcW w:w="538" w:type="dxa"/>
            <w:vMerge/>
            <w:tcBorders>
              <w:top w:val="nil"/>
              <w:bottom w:val="single" w:sz="6" w:space="0" w:color="000000"/>
              <w:right w:val="single" w:sz="6" w:space="0" w:color="000000"/>
            </w:tcBorders>
          </w:tcPr>
          <w:p>
            <w:pPr>
              <w:rPr>
                <w:sz w:val="2"/>
                <w:szCs w:val="2"/>
              </w:rPr>
            </w:pPr>
          </w:p>
        </w:tc>
        <w:tc>
          <w:tcPr>
            <w:tcW w:w="1318" w:type="dxa"/>
            <w:vMerge/>
            <w:tcBorders>
              <w:top w:val="nil"/>
              <w:left w:val="single" w:sz="6" w:space="0" w:color="000000"/>
              <w:bottom w:val="single" w:sz="6" w:space="0" w:color="000000"/>
              <w:right w:val="single" w:sz="6" w:space="0" w:color="000000"/>
            </w:tcBorders>
          </w:tcPr>
          <w:p>
            <w:pPr>
              <w:rPr>
                <w:sz w:val="2"/>
                <w:szCs w:val="2"/>
              </w:rPr>
            </w:pPr>
          </w:p>
        </w:tc>
        <w:tc>
          <w:tcPr>
            <w:tcW w:w="3051" w:type="dxa"/>
            <w:vMerge/>
            <w:tcBorders>
              <w:top w:val="nil"/>
              <w:left w:val="single" w:sz="6" w:space="0" w:color="000000"/>
              <w:bottom w:val="single" w:sz="6" w:space="0" w:color="000000"/>
              <w:right w:val="single" w:sz="6" w:space="0" w:color="000000"/>
            </w:tcBorders>
          </w:tcPr>
          <w:p>
            <w:pPr>
              <w:rPr>
                <w:sz w:val="2"/>
                <w:szCs w:val="2"/>
              </w:rPr>
            </w:pPr>
          </w:p>
        </w:tc>
        <w:tc>
          <w:tcPr>
            <w:tcW w:w="2283"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07" w:lineRule="exact" w:before="83"/>
              <w:ind w:left="70" w:right="44"/>
              <w:rPr>
                <w:sz w:val="18"/>
              </w:rPr>
            </w:pPr>
            <w:r>
              <w:rPr>
                <w:sz w:val="18"/>
              </w:rPr>
              <w:t>蒸馏残渣</w:t>
            </w:r>
          </w:p>
          <w:p>
            <w:pPr>
              <w:pStyle w:val="TableParagraph"/>
              <w:spacing w:line="307" w:lineRule="exact"/>
              <w:ind w:left="70" w:right="44"/>
              <w:rPr>
                <w:sz w:val="18"/>
              </w:rPr>
            </w:pPr>
            <w:r>
              <w:rPr>
                <w:sz w:val="18"/>
              </w:rPr>
              <w:t>（危废）</w:t>
            </w:r>
          </w:p>
        </w:tc>
        <w:tc>
          <w:tcPr>
            <w:tcW w:w="202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07" w:lineRule="exact" w:before="83"/>
              <w:ind w:left="97" w:right="71"/>
              <w:rPr>
                <w:sz w:val="18"/>
              </w:rPr>
            </w:pPr>
            <w:r>
              <w:rPr>
                <w:sz w:val="18"/>
              </w:rPr>
              <w:t>低沸点馏分冷凝液</w:t>
            </w:r>
          </w:p>
          <w:p>
            <w:pPr>
              <w:pStyle w:val="TableParagraph"/>
              <w:spacing w:line="307" w:lineRule="exact"/>
              <w:ind w:left="95" w:right="71"/>
              <w:rPr>
                <w:sz w:val="18"/>
              </w:rPr>
            </w:pPr>
            <w:r>
              <w:rPr>
                <w:sz w:val="18"/>
              </w:rPr>
              <w:t>（危废）</w:t>
            </w:r>
          </w:p>
        </w:tc>
        <w:tc>
          <w:tcPr>
            <w:tcW w:w="197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07" w:lineRule="exact" w:before="83"/>
              <w:ind w:left="267"/>
              <w:jc w:val="left"/>
              <w:rPr>
                <w:sz w:val="18"/>
              </w:rPr>
            </w:pPr>
            <w:r>
              <w:rPr>
                <w:sz w:val="18"/>
              </w:rPr>
              <w:t>高沸点馏分冷凝液</w:t>
            </w:r>
          </w:p>
          <w:p>
            <w:pPr>
              <w:pStyle w:val="TableParagraph"/>
              <w:spacing w:line="307" w:lineRule="exact"/>
              <w:ind w:left="267"/>
              <w:jc w:val="left"/>
              <w:rPr>
                <w:sz w:val="18"/>
              </w:rPr>
            </w:pPr>
            <w:r>
              <w:rPr>
                <w:sz w:val="18"/>
              </w:rPr>
              <w:t>（去污水处理站）</w:t>
            </w:r>
          </w:p>
        </w:tc>
        <w:tc>
          <w:tcPr>
            <w:tcW w:w="10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9"/>
              </w:rPr>
            </w:pPr>
          </w:p>
          <w:p>
            <w:pPr>
              <w:pStyle w:val="TableParagraph"/>
              <w:ind w:left="156"/>
              <w:jc w:val="left"/>
              <w:rPr>
                <w:sz w:val="18"/>
              </w:rPr>
            </w:pPr>
            <w:r>
              <w:rPr>
                <w:sz w:val="18"/>
              </w:rPr>
              <w:t>不凝废气</w:t>
            </w:r>
          </w:p>
        </w:tc>
        <w:tc>
          <w:tcPr>
            <w:tcW w:w="1247" w:type="dxa"/>
            <w:gridSpan w:val="2"/>
            <w:vMerge/>
            <w:tcBorders>
              <w:top w:val="nil"/>
              <w:left w:val="single" w:sz="6" w:space="0" w:color="000000"/>
              <w:bottom w:val="single" w:sz="6" w:space="0" w:color="000000"/>
            </w:tcBorders>
          </w:tcPr>
          <w:p>
            <w:pPr>
              <w:rPr>
                <w:sz w:val="2"/>
                <w:szCs w:val="2"/>
              </w:rPr>
            </w:pPr>
          </w:p>
        </w:tc>
      </w:tr>
      <w:tr>
        <w:trPr>
          <w:trHeight w:val="440" w:hRule="atLeast"/>
        </w:trPr>
        <w:tc>
          <w:tcPr>
            <w:tcW w:w="538" w:type="dxa"/>
            <w:vMerge/>
            <w:tcBorders>
              <w:top w:val="nil"/>
              <w:bottom w:val="single" w:sz="6" w:space="0" w:color="000000"/>
              <w:right w:val="single" w:sz="6" w:space="0" w:color="000000"/>
            </w:tcBorders>
          </w:tcPr>
          <w:p>
            <w:pPr>
              <w:rPr>
                <w:sz w:val="2"/>
                <w:szCs w:val="2"/>
              </w:rPr>
            </w:pPr>
          </w:p>
        </w:tc>
        <w:tc>
          <w:tcPr>
            <w:tcW w:w="1318" w:type="dxa"/>
            <w:vMerge/>
            <w:tcBorders>
              <w:top w:val="nil"/>
              <w:left w:val="single" w:sz="6" w:space="0" w:color="000000"/>
              <w:bottom w:val="single" w:sz="6" w:space="0" w:color="000000"/>
              <w:right w:val="single" w:sz="6" w:space="0" w:color="000000"/>
            </w:tcBorders>
          </w:tcPr>
          <w:p>
            <w:pPr>
              <w:rPr>
                <w:sz w:val="2"/>
                <w:szCs w:val="2"/>
              </w:rPr>
            </w:pPr>
          </w:p>
        </w:tc>
        <w:tc>
          <w:tcPr>
            <w:tcW w:w="3051" w:type="dxa"/>
            <w:vMerge/>
            <w:tcBorders>
              <w:top w:val="nil"/>
              <w:left w:val="single" w:sz="6" w:space="0" w:color="000000"/>
              <w:bottom w:val="single" w:sz="6" w:space="0" w:color="000000"/>
              <w:right w:val="single" w:sz="6" w:space="0" w:color="000000"/>
            </w:tcBorders>
          </w:tcPr>
          <w:p>
            <w:pPr>
              <w:rPr>
                <w:sz w:val="2"/>
                <w:szCs w:val="2"/>
              </w:rPr>
            </w:pPr>
          </w:p>
        </w:tc>
        <w:tc>
          <w:tcPr>
            <w:tcW w:w="2283" w:type="dxa"/>
            <w:vMerge/>
            <w:tcBorders>
              <w:top w:val="nil"/>
              <w:left w:val="single" w:sz="6" w:space="0" w:color="000000"/>
              <w:bottom w:val="single" w:sz="6" w:space="0" w:color="000000"/>
              <w:right w:val="single" w:sz="6" w:space="0" w:color="000000"/>
            </w:tcBorders>
          </w:tcPr>
          <w:p>
            <w:pPr>
              <w:rPr>
                <w:sz w:val="2"/>
                <w:szCs w:val="2"/>
              </w:rPr>
            </w:pPr>
          </w:p>
        </w:tc>
        <w:tc>
          <w:tcPr>
            <w:tcW w:w="2021" w:type="dxa"/>
            <w:vMerge/>
            <w:tcBorders>
              <w:top w:val="nil"/>
              <w:left w:val="single" w:sz="6" w:space="0" w:color="000000"/>
              <w:bottom w:val="single" w:sz="6" w:space="0" w:color="000000"/>
              <w:right w:val="single" w:sz="6" w:space="0" w:color="000000"/>
            </w:tcBorders>
          </w:tcPr>
          <w:p>
            <w:pPr>
              <w:rPr>
                <w:sz w:val="2"/>
                <w:szCs w:val="2"/>
              </w:rPr>
            </w:pPr>
          </w:p>
        </w:tc>
        <w:tc>
          <w:tcPr>
            <w:tcW w:w="1976" w:type="dxa"/>
            <w:vMerge/>
            <w:tcBorders>
              <w:top w:val="nil"/>
              <w:left w:val="single" w:sz="6" w:space="0" w:color="000000"/>
              <w:bottom w:val="single" w:sz="6" w:space="0" w:color="000000"/>
              <w:right w:val="single" w:sz="6" w:space="0" w:color="000000"/>
            </w:tcBorders>
          </w:tcPr>
          <w:p>
            <w:pPr>
              <w:rPr>
                <w:sz w:val="2"/>
                <w:szCs w:val="2"/>
              </w:rPr>
            </w:pPr>
          </w:p>
        </w:tc>
        <w:tc>
          <w:tcPr>
            <w:tcW w:w="1030" w:type="dxa"/>
            <w:vMerge/>
            <w:tcBorders>
              <w:top w:val="nil"/>
              <w:left w:val="single" w:sz="6" w:space="0" w:color="000000"/>
              <w:bottom w:val="single" w:sz="6" w:space="0" w:color="000000"/>
              <w:right w:val="single" w:sz="6" w:space="0" w:color="000000"/>
            </w:tcBorders>
          </w:tcPr>
          <w:p>
            <w:pPr>
              <w:rPr>
                <w:sz w:val="2"/>
                <w:szCs w:val="2"/>
              </w:rPr>
            </w:pP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line="162" w:lineRule="exact"/>
              <w:ind w:left="168"/>
              <w:jc w:val="left"/>
              <w:rPr>
                <w:rFonts w:ascii="Times New Roman"/>
                <w:sz w:val="18"/>
              </w:rPr>
            </w:pPr>
            <w:r>
              <w:rPr>
                <w:rFonts w:ascii="Times New Roman"/>
                <w:sz w:val="18"/>
              </w:rPr>
              <w:t>m</w:t>
            </w:r>
            <w:r>
              <w:rPr>
                <w:rFonts w:ascii="Times New Roman"/>
                <w:position w:val="6"/>
                <w:sz w:val="12"/>
              </w:rPr>
              <w:t>3</w:t>
            </w:r>
            <w:r>
              <w:rPr>
                <w:rFonts w:ascii="Times New Roman"/>
                <w:sz w:val="18"/>
              </w:rPr>
              <w:t>/t</w:t>
            </w:r>
          </w:p>
          <w:p>
            <w:pPr>
              <w:pStyle w:val="TableParagraph"/>
              <w:spacing w:line="259" w:lineRule="exact"/>
              <w:ind w:left="137"/>
              <w:jc w:val="left"/>
              <w:rPr>
                <w:sz w:val="18"/>
              </w:rPr>
            </w:pPr>
            <w:r>
              <w:rPr>
                <w:sz w:val="18"/>
              </w:rPr>
              <w:t>产品</w:t>
            </w:r>
          </w:p>
        </w:tc>
        <w:tc>
          <w:tcPr>
            <w:tcW w:w="620" w:type="dxa"/>
            <w:tcBorders>
              <w:top w:val="single" w:sz="6" w:space="0" w:color="000000"/>
              <w:left w:val="single" w:sz="6" w:space="0" w:color="000000"/>
              <w:bottom w:val="single" w:sz="6" w:space="0" w:color="000000"/>
            </w:tcBorders>
          </w:tcPr>
          <w:p>
            <w:pPr>
              <w:pStyle w:val="TableParagraph"/>
              <w:spacing w:before="108"/>
              <w:ind w:left="88" w:right="62"/>
              <w:rPr>
                <w:rFonts w:ascii="Times New Roman"/>
                <w:sz w:val="18"/>
              </w:rPr>
            </w:pPr>
            <w:r>
              <w:rPr>
                <w:rFonts w:ascii="Times New Roman"/>
                <w:sz w:val="18"/>
              </w:rPr>
              <w:t>m</w:t>
            </w:r>
            <w:r>
              <w:rPr>
                <w:rFonts w:ascii="Times New Roman"/>
                <w:position w:val="6"/>
                <w:sz w:val="12"/>
              </w:rPr>
              <w:t>3</w:t>
            </w:r>
            <w:r>
              <w:rPr>
                <w:rFonts w:ascii="Times New Roman"/>
                <w:sz w:val="18"/>
              </w:rPr>
              <w:t>/a</w:t>
            </w:r>
          </w:p>
        </w:tc>
      </w:tr>
      <w:tr>
        <w:trPr>
          <w:trHeight w:val="945" w:hRule="atLeast"/>
        </w:trPr>
        <w:tc>
          <w:tcPr>
            <w:tcW w:w="538" w:type="dxa"/>
            <w:tcBorders>
              <w:top w:val="single" w:sz="6" w:space="0" w:color="000000"/>
              <w:bottom w:val="single" w:sz="6" w:space="0" w:color="000000"/>
              <w:right w:val="single" w:sz="6" w:space="0" w:color="000000"/>
            </w:tcBorders>
          </w:tcPr>
          <w:p>
            <w:pPr>
              <w:pStyle w:val="TableParagraph"/>
              <w:spacing w:line="146" w:lineRule="auto" w:before="24"/>
              <w:ind w:left="176" w:right="156"/>
              <w:jc w:val="both"/>
              <w:rPr>
                <w:sz w:val="18"/>
              </w:rPr>
            </w:pPr>
            <w:r>
              <w:rPr>
                <w:sz w:val="18"/>
              </w:rPr>
              <w:t>丙戊酸</w:t>
            </w:r>
          </w:p>
          <w:p>
            <w:pPr>
              <w:pStyle w:val="TableParagraph"/>
              <w:spacing w:line="203" w:lineRule="exact"/>
              <w:ind w:left="176"/>
              <w:jc w:val="both"/>
              <w:rPr>
                <w:sz w:val="18"/>
              </w:rPr>
            </w:pPr>
            <w:r>
              <w:rPr>
                <w:sz w:val="18"/>
              </w:rPr>
              <w:t>钠</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sz w:val="12"/>
              </w:rPr>
            </w:pPr>
          </w:p>
          <w:p>
            <w:pPr>
              <w:pStyle w:val="TableParagraph"/>
              <w:spacing w:line="146" w:lineRule="auto"/>
              <w:ind w:left="188" w:right="96" w:hanging="65"/>
              <w:jc w:val="left"/>
              <w:rPr>
                <w:sz w:val="18"/>
              </w:rPr>
            </w:pPr>
            <w:r>
              <w:rPr>
                <w:sz w:val="18"/>
              </w:rPr>
              <w:t>碱解后分层废水（</w:t>
            </w:r>
            <w:r>
              <w:rPr>
                <w:rFonts w:ascii="Times New Roman" w:eastAsia="Times New Roman"/>
                <w:sz w:val="18"/>
              </w:rPr>
              <w:t>W1-2</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309" w:lineRule="exact" w:before="35"/>
              <w:ind w:left="114"/>
              <w:jc w:val="left"/>
              <w:rPr>
                <w:sz w:val="18"/>
              </w:rPr>
            </w:pPr>
            <w:r>
              <w:rPr>
                <w:sz w:val="18"/>
              </w:rPr>
              <w:t>Σ</w:t>
            </w:r>
            <w:r>
              <w:rPr>
                <w:rFonts w:ascii="Times New Roman" w:hAnsi="Times New Roman" w:eastAsia="Times New Roman"/>
                <w:sz w:val="18"/>
              </w:rPr>
              <w:t>6663.1 </w:t>
            </w:r>
            <w:r>
              <w:rPr>
                <w:sz w:val="18"/>
              </w:rPr>
              <w:t>水 </w:t>
            </w:r>
            <w:r>
              <w:rPr>
                <w:rFonts w:ascii="Times New Roman" w:hAnsi="Times New Roman" w:eastAsia="Times New Roman"/>
                <w:sz w:val="18"/>
              </w:rPr>
              <w:t>4982.7</w:t>
            </w:r>
            <w:r>
              <w:rPr>
                <w:sz w:val="18"/>
              </w:rPr>
              <w:t>、丙戊酸 </w:t>
            </w:r>
            <w:r>
              <w:rPr>
                <w:rFonts w:ascii="Times New Roman" w:hAnsi="Times New Roman" w:eastAsia="Times New Roman"/>
                <w:sz w:val="18"/>
              </w:rPr>
              <w:t>123.4</w:t>
            </w:r>
            <w:r>
              <w:rPr>
                <w:sz w:val="18"/>
              </w:rPr>
              <w:t>、</w:t>
            </w:r>
          </w:p>
          <w:p>
            <w:pPr>
              <w:pStyle w:val="TableParagraph"/>
              <w:spacing w:line="146" w:lineRule="auto" w:before="31"/>
              <w:ind w:left="855" w:right="-15" w:hanging="742"/>
              <w:jc w:val="left"/>
              <w:rPr>
                <w:rFonts w:ascii="Times New Roman" w:eastAsia="Times New Roman"/>
                <w:sz w:val="18"/>
              </w:rPr>
            </w:pPr>
            <w:r>
              <w:rPr>
                <w:spacing w:val="1"/>
                <w:sz w:val="18"/>
              </w:rPr>
              <w:t>氯化钠 </w:t>
            </w:r>
            <w:r>
              <w:rPr>
                <w:rFonts w:ascii="Times New Roman" w:eastAsia="Times New Roman"/>
                <w:sz w:val="18"/>
              </w:rPr>
              <w:t>743.3</w:t>
            </w:r>
            <w:r>
              <w:rPr>
                <w:spacing w:val="-21"/>
                <w:sz w:val="18"/>
              </w:rPr>
              <w:t>、甲醇 </w:t>
            </w:r>
            <w:r>
              <w:rPr>
                <w:rFonts w:ascii="Times New Roman" w:eastAsia="Times New Roman"/>
                <w:sz w:val="18"/>
              </w:rPr>
              <w:t>524.7</w:t>
            </w:r>
            <w:r>
              <w:rPr>
                <w:spacing w:val="-82"/>
                <w:sz w:val="18"/>
              </w:rPr>
              <w:t>、</w:t>
            </w:r>
            <w:r>
              <w:rPr>
                <w:rFonts w:ascii="Times New Roman" w:eastAsia="Times New Roman"/>
                <w:sz w:val="18"/>
              </w:rPr>
              <w:t>HCl</w:t>
            </w:r>
            <w:r>
              <w:rPr>
                <w:rFonts w:ascii="Times New Roman" w:eastAsia="Times New Roman"/>
                <w:spacing w:val="-1"/>
                <w:sz w:val="18"/>
              </w:rPr>
              <w:t> </w:t>
            </w:r>
            <w:r>
              <w:rPr>
                <w:rFonts w:ascii="Times New Roman" w:eastAsia="Times New Roman"/>
                <w:sz w:val="18"/>
              </w:rPr>
              <w:t>286.5</w:t>
            </w:r>
            <w:r>
              <w:rPr>
                <w:sz w:val="18"/>
              </w:rPr>
              <w:t>、烷基化副产物 </w:t>
            </w:r>
            <w:r>
              <w:rPr>
                <w:rFonts w:ascii="Times New Roman" w:eastAsia="Times New Roman"/>
                <w:sz w:val="18"/>
              </w:rPr>
              <w:t>2.5</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before="17"/>
              <w:jc w:val="left"/>
              <w:rPr>
                <w:sz w:val="10"/>
              </w:rPr>
            </w:pPr>
          </w:p>
          <w:p>
            <w:pPr>
              <w:pStyle w:val="TableParagraph"/>
              <w:spacing w:line="184" w:lineRule="auto"/>
              <w:ind w:left="771" w:right="140" w:hanging="600"/>
              <w:jc w:val="left"/>
              <w:rPr>
                <w:rFonts w:ascii="Times New Roman" w:hAnsi="Times New Roman" w:eastAsia="Times New Roman"/>
                <w:sz w:val="18"/>
              </w:rPr>
            </w:pPr>
            <w:r>
              <w:rPr>
                <w:sz w:val="18"/>
              </w:rPr>
              <w:t>Σ</w:t>
            </w:r>
            <w:r>
              <w:rPr>
                <w:rFonts w:ascii="Times New Roman" w:hAnsi="Times New Roman" w:eastAsia="Times New Roman"/>
                <w:sz w:val="20"/>
              </w:rPr>
              <w:t>1029.8 </w:t>
            </w:r>
            <w:r>
              <w:rPr>
                <w:sz w:val="18"/>
              </w:rPr>
              <w:t>氯化钠 </w:t>
            </w:r>
            <w:r>
              <w:rPr>
                <w:rFonts w:ascii="Times New Roman" w:hAnsi="Times New Roman" w:eastAsia="Times New Roman"/>
                <w:sz w:val="18"/>
              </w:rPr>
              <w:t>743.3</w:t>
            </w:r>
            <w:r>
              <w:rPr>
                <w:sz w:val="18"/>
              </w:rPr>
              <w:t>、</w:t>
            </w:r>
            <w:r>
              <w:rPr>
                <w:rFonts w:ascii="Times New Roman" w:hAnsi="Times New Roman" w:eastAsia="Times New Roman"/>
                <w:sz w:val="18"/>
              </w:rPr>
              <w:t>HCl 286.5</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5"/>
              <w:ind w:left="113"/>
              <w:jc w:val="left"/>
              <w:rPr>
                <w:sz w:val="18"/>
              </w:rPr>
            </w:pPr>
            <w:r>
              <w:rPr>
                <w:sz w:val="18"/>
              </w:rPr>
              <w:t>Σ</w:t>
            </w:r>
            <w:r>
              <w:rPr>
                <w:rFonts w:ascii="Times New Roman" w:hAnsi="Times New Roman" w:eastAsia="Times New Roman"/>
                <w:sz w:val="20"/>
              </w:rPr>
              <w:t>1515.6 </w:t>
            </w:r>
            <w:r>
              <w:rPr>
                <w:spacing w:val="-6"/>
                <w:sz w:val="18"/>
              </w:rPr>
              <w:t>水 </w:t>
            </w:r>
            <w:r>
              <w:rPr>
                <w:rFonts w:ascii="Times New Roman" w:hAnsi="Times New Roman" w:eastAsia="Times New Roman"/>
                <w:sz w:val="20"/>
              </w:rPr>
              <w:t>996.5 </w:t>
            </w:r>
            <w:r>
              <w:rPr>
                <w:spacing w:val="-60"/>
                <w:sz w:val="18"/>
              </w:rPr>
              <w:t>、丙</w:t>
            </w:r>
          </w:p>
          <w:p>
            <w:pPr>
              <w:pStyle w:val="TableParagraph"/>
              <w:spacing w:line="146" w:lineRule="auto" w:before="34"/>
              <w:ind w:left="339" w:right="-15" w:hanging="226"/>
              <w:jc w:val="left"/>
              <w:rPr>
                <w:rFonts w:ascii="Times New Roman" w:eastAsia="Times New Roman"/>
                <w:sz w:val="18"/>
              </w:rPr>
            </w:pPr>
            <w:r>
              <w:rPr>
                <w:spacing w:val="1"/>
                <w:sz w:val="18"/>
              </w:rPr>
              <w:t>戊酸 </w:t>
            </w:r>
            <w:r>
              <w:rPr>
                <w:rFonts w:ascii="Times New Roman" w:eastAsia="Times New Roman"/>
                <w:sz w:val="20"/>
              </w:rPr>
              <w:t>98.7</w:t>
            </w:r>
            <w:r>
              <w:rPr>
                <w:spacing w:val="-19"/>
                <w:sz w:val="18"/>
              </w:rPr>
              <w:t>、甲醇 </w:t>
            </w:r>
            <w:r>
              <w:rPr>
                <w:rFonts w:ascii="Times New Roman" w:eastAsia="Times New Roman"/>
                <w:sz w:val="20"/>
              </w:rPr>
              <w:t>419.8</w:t>
            </w:r>
            <w:r>
              <w:rPr>
                <w:sz w:val="18"/>
              </w:rPr>
              <w:t>、烷基化副产物 </w:t>
            </w:r>
            <w:r>
              <w:rPr>
                <w:rFonts w:ascii="Times New Roman" w:eastAsia="Times New Roman"/>
                <w:sz w:val="18"/>
              </w:rPr>
              <w:t>0.5</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42"/>
              <w:rPr>
                <w:sz w:val="18"/>
              </w:rPr>
            </w:pPr>
            <w:r>
              <w:rPr>
                <w:sz w:val="18"/>
              </w:rPr>
              <w:t>Σ</w:t>
            </w:r>
            <w:r>
              <w:rPr>
                <w:rFonts w:ascii="Times New Roman" w:hAnsi="Times New Roman" w:eastAsia="Times New Roman"/>
                <w:sz w:val="20"/>
              </w:rPr>
              <w:t>4117.2 </w:t>
            </w:r>
            <w:r>
              <w:rPr>
                <w:sz w:val="18"/>
              </w:rPr>
              <w:t>水 </w:t>
            </w:r>
            <w:r>
              <w:rPr>
                <w:rFonts w:ascii="Times New Roman" w:hAnsi="Times New Roman" w:eastAsia="Times New Roman"/>
                <w:sz w:val="20"/>
              </w:rPr>
              <w:t>3986.1 </w:t>
            </w:r>
            <w:r>
              <w:rPr>
                <w:sz w:val="18"/>
              </w:rPr>
              <w:t>、</w:t>
            </w:r>
          </w:p>
          <w:p>
            <w:pPr>
              <w:pStyle w:val="TableParagraph"/>
              <w:spacing w:line="239" w:lineRule="exact"/>
              <w:ind w:left="23"/>
              <w:rPr>
                <w:sz w:val="18"/>
              </w:rPr>
            </w:pPr>
            <w:r>
              <w:rPr>
                <w:sz w:val="18"/>
              </w:rPr>
              <w:t>丙戊酸 </w:t>
            </w:r>
            <w:r>
              <w:rPr>
                <w:rFonts w:ascii="Times New Roman" w:eastAsia="Times New Roman"/>
                <w:sz w:val="20"/>
              </w:rPr>
              <w:t>24.7</w:t>
            </w:r>
            <w:r>
              <w:rPr>
                <w:sz w:val="18"/>
              </w:rPr>
              <w:t>、甲醇</w:t>
            </w:r>
          </w:p>
          <w:p>
            <w:pPr>
              <w:pStyle w:val="TableParagraph"/>
              <w:spacing w:line="276" w:lineRule="exact"/>
              <w:ind w:left="23"/>
              <w:rPr>
                <w:sz w:val="18"/>
              </w:rPr>
            </w:pPr>
            <w:r>
              <w:rPr>
                <w:rFonts w:ascii="Times New Roman" w:eastAsia="Times New Roman"/>
                <w:sz w:val="20"/>
              </w:rPr>
              <w:t>104.4</w:t>
            </w:r>
            <w:r>
              <w:rPr>
                <w:sz w:val="18"/>
              </w:rPr>
              <w:t>、烷基化副产物</w:t>
            </w:r>
          </w:p>
          <w:p>
            <w:pPr>
              <w:pStyle w:val="TableParagraph"/>
              <w:spacing w:line="181" w:lineRule="exact"/>
              <w:ind w:left="20"/>
              <w:rPr>
                <w:rFonts w:ascii="Times New Roman"/>
                <w:sz w:val="20"/>
              </w:rPr>
            </w:pPr>
            <w:r>
              <w:rPr>
                <w:rFonts w:ascii="Times New Roman"/>
                <w:sz w:val="20"/>
              </w:rPr>
              <w:t>2.0</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2"/>
              </w:rPr>
            </w:pPr>
          </w:p>
          <w:p>
            <w:pPr>
              <w:pStyle w:val="TableParagraph"/>
              <w:ind w:left="103" w:right="82"/>
              <w:rPr>
                <w:rFonts w:ascii="Times New Roman" w:eastAsia="Times New Roman"/>
                <w:sz w:val="20"/>
              </w:rPr>
            </w:pPr>
            <w:r>
              <w:rPr>
                <w:sz w:val="18"/>
              </w:rPr>
              <w:t>甲醇 </w:t>
            </w:r>
            <w:r>
              <w:rPr>
                <w:rFonts w:ascii="Times New Roman" w:eastAsia="Times New Roman"/>
                <w:sz w:val="20"/>
              </w:rPr>
              <w:t>0.5</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sz w:val="17"/>
              </w:rPr>
            </w:pPr>
          </w:p>
          <w:p>
            <w:pPr>
              <w:pStyle w:val="TableParagraph"/>
              <w:ind w:left="161"/>
              <w:jc w:val="left"/>
              <w:rPr>
                <w:rFonts w:ascii="Times New Roman"/>
                <w:sz w:val="18"/>
              </w:rPr>
            </w:pPr>
            <w:r>
              <w:rPr>
                <w:rFonts w:ascii="Times New Roman"/>
                <w:sz w:val="18"/>
              </w:rPr>
              <w:t>4.12</w:t>
            </w:r>
          </w:p>
        </w:tc>
        <w:tc>
          <w:tcPr>
            <w:tcW w:w="620" w:type="dxa"/>
            <w:tcBorders>
              <w:top w:val="single" w:sz="6" w:space="0" w:color="000000"/>
              <w:left w:val="single" w:sz="6" w:space="0" w:color="000000"/>
              <w:bottom w:val="single" w:sz="6" w:space="0" w:color="000000"/>
            </w:tcBorders>
          </w:tcPr>
          <w:p>
            <w:pPr>
              <w:pStyle w:val="TableParagraph"/>
              <w:spacing w:before="4"/>
              <w:jc w:val="left"/>
              <w:rPr>
                <w:sz w:val="17"/>
              </w:rPr>
            </w:pPr>
          </w:p>
          <w:p>
            <w:pPr>
              <w:pStyle w:val="TableParagraph"/>
              <w:ind w:left="90" w:right="62"/>
              <w:rPr>
                <w:rFonts w:ascii="Times New Roman"/>
                <w:sz w:val="18"/>
              </w:rPr>
            </w:pPr>
            <w:r>
              <w:rPr>
                <w:rFonts w:ascii="Times New Roman"/>
                <w:sz w:val="18"/>
              </w:rPr>
              <w:t>247.2</w:t>
            </w:r>
          </w:p>
        </w:tc>
      </w:tr>
      <w:tr>
        <w:trPr>
          <w:trHeight w:val="1194" w:hRule="atLeast"/>
        </w:trPr>
        <w:tc>
          <w:tcPr>
            <w:tcW w:w="538" w:type="dxa"/>
            <w:vMerge w:val="restart"/>
            <w:tcBorders>
              <w:top w:val="single" w:sz="6" w:space="0" w:color="000000"/>
              <w:bottom w:val="single" w:sz="6" w:space="0" w:color="000000"/>
              <w:right w:val="single" w:sz="6" w:space="0" w:color="000000"/>
            </w:tcBorders>
          </w:tcPr>
          <w:p>
            <w:pPr>
              <w:pStyle w:val="TableParagraph"/>
              <w:jc w:val="left"/>
              <w:rPr>
                <w:sz w:val="24"/>
              </w:rPr>
            </w:pPr>
          </w:p>
          <w:p>
            <w:pPr>
              <w:pStyle w:val="TableParagraph"/>
              <w:spacing w:line="146" w:lineRule="auto"/>
              <w:ind w:left="176" w:right="156"/>
              <w:jc w:val="both"/>
              <w:rPr>
                <w:sz w:val="18"/>
              </w:rPr>
            </w:pPr>
            <w:r>
              <w:rPr>
                <w:sz w:val="18"/>
              </w:rPr>
              <w:t>奥沙普秦</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sz w:val="12"/>
              </w:rPr>
            </w:pPr>
          </w:p>
          <w:p>
            <w:pPr>
              <w:pStyle w:val="TableParagraph"/>
              <w:spacing w:line="148" w:lineRule="auto"/>
              <w:ind w:left="124" w:right="96" w:firstLine="91"/>
              <w:jc w:val="left"/>
              <w:rPr>
                <w:sz w:val="18"/>
              </w:rPr>
            </w:pPr>
            <w:r>
              <w:rPr>
                <w:sz w:val="18"/>
              </w:rPr>
              <w:t>粗品离心母液、洗涤废水</w:t>
            </w:r>
          </w:p>
          <w:p>
            <w:pPr>
              <w:pStyle w:val="TableParagraph"/>
              <w:spacing w:line="275" w:lineRule="exact"/>
              <w:ind w:left="280"/>
              <w:jc w:val="left"/>
              <w:rPr>
                <w:sz w:val="18"/>
              </w:rPr>
            </w:pPr>
            <w:r>
              <w:rPr>
                <w:sz w:val="18"/>
              </w:rPr>
              <w:t>（</w:t>
            </w:r>
            <w:r>
              <w:rPr>
                <w:rFonts w:ascii="Times New Roman" w:eastAsia="Times New Roman"/>
                <w:sz w:val="18"/>
              </w:rPr>
              <w:t>W2-1</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151" w:lineRule="auto" w:before="136"/>
              <w:ind w:left="114" w:right="-15" w:firstLine="33"/>
              <w:jc w:val="both"/>
              <w:rPr>
                <w:sz w:val="18"/>
              </w:rPr>
            </w:pPr>
            <w:r>
              <w:rPr>
                <w:sz w:val="18"/>
              </w:rPr>
              <w:t>Σ</w:t>
            </w:r>
            <w:r>
              <w:rPr>
                <w:rFonts w:ascii="Times New Roman" w:hAnsi="Times New Roman" w:eastAsia="Times New Roman"/>
                <w:sz w:val="20"/>
              </w:rPr>
              <w:t>6860.4  </w:t>
            </w:r>
            <w:r>
              <w:rPr>
                <w:sz w:val="18"/>
              </w:rPr>
              <w:t>奥沙普秦 </w:t>
            </w:r>
            <w:r>
              <w:rPr>
                <w:rFonts w:ascii="Times New Roman" w:hAnsi="Times New Roman" w:eastAsia="Times New Roman"/>
                <w:sz w:val="20"/>
              </w:rPr>
              <w:t>193.4</w:t>
            </w:r>
            <w:r>
              <w:rPr>
                <w:sz w:val="18"/>
              </w:rPr>
              <w:t>、酯化副产物 </w:t>
            </w:r>
            <w:r>
              <w:rPr>
                <w:rFonts w:ascii="Times New Roman" w:hAnsi="Times New Roman" w:eastAsia="Times New Roman"/>
                <w:sz w:val="20"/>
              </w:rPr>
              <w:t>53.6</w:t>
            </w:r>
            <w:r>
              <w:rPr>
                <w:sz w:val="18"/>
              </w:rPr>
              <w:t>、环合副产物 </w:t>
            </w:r>
            <w:r>
              <w:rPr>
                <w:rFonts w:ascii="Times New Roman" w:hAnsi="Times New Roman" w:eastAsia="Times New Roman"/>
                <w:sz w:val="20"/>
              </w:rPr>
              <w:t>22.9</w:t>
            </w:r>
            <w:r>
              <w:rPr>
                <w:sz w:val="18"/>
              </w:rPr>
              <w:t>、乙酸铵 </w:t>
            </w:r>
            <w:r>
              <w:rPr>
                <w:rFonts w:ascii="Times New Roman" w:hAnsi="Times New Roman" w:eastAsia="Times New Roman"/>
                <w:sz w:val="20"/>
              </w:rPr>
              <w:t>487.9</w:t>
            </w:r>
            <w:r>
              <w:rPr>
                <w:sz w:val="18"/>
              </w:rPr>
              <w:t>、醋酸 </w:t>
            </w:r>
            <w:r>
              <w:rPr>
                <w:rFonts w:ascii="Times New Roman" w:hAnsi="Times New Roman" w:eastAsia="Times New Roman"/>
                <w:sz w:val="20"/>
              </w:rPr>
              <w:t>2847.1</w:t>
            </w:r>
            <w:r>
              <w:rPr>
                <w:sz w:val="18"/>
              </w:rPr>
              <w:t>、吡啶 </w:t>
            </w:r>
            <w:r>
              <w:rPr>
                <w:rFonts w:ascii="Times New Roman" w:hAnsi="Times New Roman" w:eastAsia="Times New Roman"/>
                <w:sz w:val="20"/>
              </w:rPr>
              <w:t>599.6</w:t>
            </w:r>
            <w:r>
              <w:rPr>
                <w:sz w:val="18"/>
              </w:rPr>
              <w:t>、</w:t>
            </w:r>
          </w:p>
          <w:p>
            <w:pPr>
              <w:pStyle w:val="TableParagraph"/>
              <w:spacing w:line="279" w:lineRule="exact"/>
              <w:ind w:left="445"/>
              <w:jc w:val="left"/>
              <w:rPr>
                <w:rFonts w:ascii="Times New Roman" w:eastAsia="Times New Roman"/>
                <w:sz w:val="20"/>
              </w:rPr>
            </w:pPr>
            <w:r>
              <w:rPr>
                <w:sz w:val="18"/>
              </w:rPr>
              <w:t>丁二酸酐 </w:t>
            </w:r>
            <w:r>
              <w:rPr>
                <w:rFonts w:ascii="Times New Roman" w:eastAsia="Times New Roman"/>
                <w:sz w:val="20"/>
              </w:rPr>
              <w:t>253.3</w:t>
            </w:r>
            <w:r>
              <w:rPr>
                <w:sz w:val="18"/>
              </w:rPr>
              <w:t>、水 </w:t>
            </w:r>
            <w:r>
              <w:rPr>
                <w:rFonts w:ascii="Times New Roman" w:eastAsia="Times New Roman"/>
                <w:sz w:val="20"/>
              </w:rPr>
              <w:t>2402.7</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ind w:left="370"/>
              <w:jc w:val="left"/>
              <w:rPr>
                <w:sz w:val="18"/>
              </w:rPr>
            </w:pPr>
            <w:r>
              <w:rPr>
                <w:w w:val="105"/>
                <w:sz w:val="18"/>
              </w:rPr>
              <w:t>Σ</w:t>
            </w:r>
            <w:r>
              <w:rPr>
                <w:rFonts w:ascii="Times New Roman" w:hAnsi="Times New Roman" w:eastAsia="Times New Roman"/>
                <w:w w:val="105"/>
                <w:sz w:val="20"/>
              </w:rPr>
              <w:t>3855.4 </w:t>
            </w:r>
            <w:r>
              <w:rPr>
                <w:w w:val="105"/>
                <w:sz w:val="18"/>
              </w:rPr>
              <w:t>奥沙普秦</w:t>
            </w:r>
          </w:p>
          <w:p>
            <w:pPr>
              <w:pStyle w:val="TableParagraph"/>
              <w:spacing w:line="151" w:lineRule="auto" w:before="26"/>
              <w:ind w:left="114" w:right="44"/>
              <w:rPr>
                <w:sz w:val="18"/>
              </w:rPr>
            </w:pPr>
            <w:r>
              <w:rPr>
                <w:rFonts w:ascii="Times New Roman" w:eastAsia="Times New Roman"/>
                <w:sz w:val="20"/>
              </w:rPr>
              <w:t>193.4</w:t>
            </w:r>
            <w:r>
              <w:rPr>
                <w:sz w:val="18"/>
              </w:rPr>
              <w:t>、酯化副产物 </w:t>
            </w:r>
            <w:r>
              <w:rPr>
                <w:rFonts w:ascii="Times New Roman" w:eastAsia="Times New Roman"/>
                <w:sz w:val="20"/>
              </w:rPr>
              <w:t>53.6</w:t>
            </w:r>
            <w:r>
              <w:rPr>
                <w:sz w:val="18"/>
              </w:rPr>
              <w:t>、环合副产物 </w:t>
            </w:r>
            <w:r>
              <w:rPr>
                <w:rFonts w:ascii="Times New Roman" w:eastAsia="Times New Roman"/>
                <w:sz w:val="20"/>
              </w:rPr>
              <w:t>22.9</w:t>
            </w:r>
            <w:r>
              <w:rPr>
                <w:sz w:val="18"/>
              </w:rPr>
              <w:t>、乙酸铵</w:t>
            </w:r>
          </w:p>
          <w:p>
            <w:pPr>
              <w:pStyle w:val="TableParagraph"/>
              <w:spacing w:line="209" w:lineRule="exact"/>
              <w:ind w:left="73" w:right="44"/>
              <w:rPr>
                <w:sz w:val="18"/>
              </w:rPr>
            </w:pPr>
            <w:r>
              <w:rPr>
                <w:rFonts w:ascii="Times New Roman" w:eastAsia="Times New Roman"/>
                <w:sz w:val="20"/>
              </w:rPr>
              <w:t>487.9</w:t>
            </w:r>
            <w:r>
              <w:rPr>
                <w:spacing w:val="-7"/>
                <w:sz w:val="18"/>
              </w:rPr>
              <w:t>、醋酸 </w:t>
            </w:r>
            <w:r>
              <w:rPr>
                <w:rFonts w:ascii="Times New Roman" w:eastAsia="Times New Roman"/>
                <w:sz w:val="20"/>
              </w:rPr>
              <w:t>2844.2</w:t>
            </w:r>
            <w:r>
              <w:rPr>
                <w:spacing w:val="-10"/>
                <w:sz w:val="18"/>
              </w:rPr>
              <w:t>、丁二</w:t>
            </w:r>
          </w:p>
          <w:p>
            <w:pPr>
              <w:pStyle w:val="TableParagraph"/>
              <w:spacing w:line="228" w:lineRule="exact"/>
              <w:ind w:left="68" w:right="44"/>
              <w:rPr>
                <w:rFonts w:ascii="Times New Roman" w:eastAsia="Times New Roman"/>
                <w:sz w:val="20"/>
              </w:rPr>
            </w:pPr>
            <w:r>
              <w:rPr>
                <w:sz w:val="18"/>
              </w:rPr>
              <w:t>酸酐 </w:t>
            </w:r>
            <w:r>
              <w:rPr>
                <w:rFonts w:ascii="Times New Roman" w:eastAsia="Times New Roman"/>
                <w:sz w:val="20"/>
              </w:rPr>
              <w:t>253.3</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18"/>
              <w:jc w:val="left"/>
              <w:rPr>
                <w:sz w:val="17"/>
              </w:rPr>
            </w:pPr>
          </w:p>
          <w:p>
            <w:pPr>
              <w:pStyle w:val="TableParagraph"/>
              <w:spacing w:line="148" w:lineRule="auto" w:before="1"/>
              <w:ind w:left="677" w:right="84" w:hanging="521"/>
              <w:jc w:val="left"/>
              <w:rPr>
                <w:rFonts w:ascii="Times New Roman" w:hAnsi="Times New Roman" w:eastAsia="Times New Roman"/>
                <w:sz w:val="20"/>
              </w:rPr>
            </w:pPr>
            <w:r>
              <w:rPr>
                <w:sz w:val="18"/>
              </w:rPr>
              <w:t>Σ</w:t>
            </w:r>
            <w:r>
              <w:rPr>
                <w:rFonts w:ascii="Times New Roman" w:hAnsi="Times New Roman" w:eastAsia="Times New Roman"/>
                <w:sz w:val="20"/>
              </w:rPr>
              <w:t>960.2 </w:t>
            </w:r>
            <w:r>
              <w:rPr>
                <w:sz w:val="18"/>
              </w:rPr>
              <w:t>吡 啶 </w:t>
            </w:r>
            <w:r>
              <w:rPr>
                <w:rFonts w:ascii="Times New Roman" w:hAnsi="Times New Roman" w:eastAsia="Times New Roman"/>
                <w:sz w:val="20"/>
              </w:rPr>
              <w:t>479.6 </w:t>
            </w:r>
            <w:r>
              <w:rPr>
                <w:sz w:val="18"/>
              </w:rPr>
              <w:t>、水 </w:t>
            </w:r>
            <w:r>
              <w:rPr>
                <w:rFonts w:ascii="Times New Roman" w:hAnsi="Times New Roman" w:eastAsia="Times New Roman"/>
                <w:sz w:val="20"/>
              </w:rPr>
              <w:t>480.5</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before="18"/>
              <w:jc w:val="left"/>
              <w:rPr>
                <w:sz w:val="17"/>
              </w:rPr>
            </w:pPr>
          </w:p>
          <w:p>
            <w:pPr>
              <w:pStyle w:val="TableParagraph"/>
              <w:spacing w:line="148" w:lineRule="auto" w:before="1"/>
              <w:ind w:left="603" w:right="-15" w:hanging="492"/>
              <w:jc w:val="left"/>
              <w:rPr>
                <w:rFonts w:ascii="Times New Roman" w:hAnsi="Times New Roman" w:eastAsia="Times New Roman"/>
                <w:sz w:val="20"/>
              </w:rPr>
            </w:pPr>
            <w:r>
              <w:rPr>
                <w:sz w:val="18"/>
              </w:rPr>
              <w:t>Σ</w:t>
            </w:r>
            <w:r>
              <w:rPr>
                <w:rFonts w:ascii="Times New Roman" w:hAnsi="Times New Roman" w:eastAsia="Times New Roman"/>
                <w:sz w:val="20"/>
              </w:rPr>
              <w:t>2042.0</w:t>
            </w:r>
            <w:r>
              <w:rPr>
                <w:rFonts w:ascii="Times New Roman" w:hAnsi="Times New Roman" w:eastAsia="Times New Roman"/>
                <w:spacing w:val="12"/>
                <w:sz w:val="20"/>
              </w:rPr>
              <w:t> </w:t>
            </w:r>
            <w:r>
              <w:rPr>
                <w:sz w:val="18"/>
              </w:rPr>
              <w:t>吡 啶 </w:t>
            </w:r>
            <w:r>
              <w:rPr>
                <w:rFonts w:ascii="Times New Roman" w:hAnsi="Times New Roman" w:eastAsia="Times New Roman"/>
                <w:sz w:val="20"/>
              </w:rPr>
              <w:t>119.9 </w:t>
            </w:r>
            <w:r>
              <w:rPr>
                <w:sz w:val="18"/>
              </w:rPr>
              <w:t>、</w:t>
            </w:r>
            <w:r>
              <w:rPr>
                <w:spacing w:val="2"/>
                <w:sz w:val="18"/>
              </w:rPr>
              <w:t>水 </w:t>
            </w:r>
            <w:r>
              <w:rPr>
                <w:rFonts w:ascii="Times New Roman" w:hAnsi="Times New Roman" w:eastAsia="Times New Roman"/>
                <w:sz w:val="20"/>
              </w:rPr>
              <w:t>1922.1</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6"/>
              </w:rPr>
            </w:pPr>
          </w:p>
          <w:p>
            <w:pPr>
              <w:pStyle w:val="TableParagraph"/>
              <w:spacing w:line="146" w:lineRule="auto" w:before="1"/>
              <w:ind w:left="166" w:right="45" w:hanging="56"/>
              <w:jc w:val="left"/>
              <w:rPr>
                <w:rFonts w:ascii="Times New Roman" w:eastAsia="Times New Roman"/>
                <w:sz w:val="20"/>
              </w:rPr>
            </w:pPr>
            <w:r>
              <w:rPr>
                <w:sz w:val="18"/>
              </w:rPr>
              <w:t>醋酸 </w:t>
            </w:r>
            <w:r>
              <w:rPr>
                <w:rFonts w:ascii="Times New Roman" w:eastAsia="Times New Roman"/>
                <w:sz w:val="20"/>
              </w:rPr>
              <w:t>2.8</w:t>
            </w:r>
            <w:r>
              <w:rPr>
                <w:sz w:val="20"/>
              </w:rPr>
              <w:t>、吡啶 </w:t>
            </w:r>
            <w:r>
              <w:rPr>
                <w:rFonts w:ascii="Times New Roman" w:eastAsia="Times New Roman"/>
                <w:sz w:val="20"/>
              </w:rPr>
              <w:t>0.1</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23"/>
              </w:rPr>
            </w:pPr>
          </w:p>
          <w:p>
            <w:pPr>
              <w:pStyle w:val="TableParagraph"/>
              <w:ind w:left="161"/>
              <w:jc w:val="left"/>
              <w:rPr>
                <w:rFonts w:ascii="Times New Roman"/>
                <w:sz w:val="18"/>
              </w:rPr>
            </w:pPr>
            <w:r>
              <w:rPr>
                <w:rFonts w:ascii="Times New Roman"/>
                <w:sz w:val="18"/>
              </w:rPr>
              <w:t>2.04</w:t>
            </w:r>
          </w:p>
        </w:tc>
        <w:tc>
          <w:tcPr>
            <w:tcW w:w="620" w:type="dxa"/>
            <w:tcBorders>
              <w:top w:val="single" w:sz="6" w:space="0" w:color="000000"/>
              <w:left w:val="single" w:sz="6" w:space="0" w:color="000000"/>
              <w:bottom w:val="single" w:sz="6" w:space="0" w:color="000000"/>
            </w:tcBorders>
          </w:tcPr>
          <w:p>
            <w:pPr>
              <w:pStyle w:val="TableParagraph"/>
              <w:spacing w:before="1"/>
              <w:jc w:val="left"/>
              <w:rPr>
                <w:sz w:val="23"/>
              </w:rPr>
            </w:pPr>
          </w:p>
          <w:p>
            <w:pPr>
              <w:pStyle w:val="TableParagraph"/>
              <w:ind w:left="90" w:right="62"/>
              <w:rPr>
                <w:rFonts w:ascii="Times New Roman"/>
                <w:sz w:val="18"/>
              </w:rPr>
            </w:pPr>
            <w:r>
              <w:rPr>
                <w:rFonts w:ascii="Times New Roman"/>
                <w:sz w:val="18"/>
              </w:rPr>
              <w:t>24.48</w:t>
            </w:r>
          </w:p>
        </w:tc>
      </w:tr>
      <w:tr>
        <w:trPr>
          <w:trHeight w:val="707"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2"/>
              <w:ind w:left="124" w:right="96" w:firstLine="91"/>
              <w:jc w:val="left"/>
              <w:rPr>
                <w:sz w:val="18"/>
              </w:rPr>
            </w:pPr>
            <w:r>
              <w:rPr>
                <w:sz w:val="18"/>
              </w:rPr>
              <w:t>精品离心母液、洗涤废水</w:t>
            </w:r>
          </w:p>
          <w:p>
            <w:pPr>
              <w:pStyle w:val="TableParagraph"/>
              <w:spacing w:line="200" w:lineRule="exact"/>
              <w:ind w:left="280"/>
              <w:jc w:val="left"/>
              <w:rPr>
                <w:sz w:val="18"/>
              </w:rPr>
            </w:pPr>
            <w:r>
              <w:rPr>
                <w:sz w:val="18"/>
              </w:rPr>
              <w:t>（</w:t>
            </w:r>
            <w:r>
              <w:rPr>
                <w:rFonts w:ascii="Times New Roman" w:eastAsia="Times New Roman"/>
                <w:sz w:val="18"/>
              </w:rPr>
              <w:t>W2-2</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3"/>
              <w:ind w:left="114"/>
              <w:jc w:val="left"/>
              <w:rPr>
                <w:sz w:val="18"/>
              </w:rPr>
            </w:pPr>
            <w:r>
              <w:rPr>
                <w:sz w:val="18"/>
              </w:rPr>
              <w:t>Σ</w:t>
            </w:r>
            <w:r>
              <w:rPr>
                <w:rFonts w:ascii="Times New Roman" w:hAnsi="Times New Roman" w:eastAsia="Times New Roman"/>
                <w:sz w:val="20"/>
              </w:rPr>
              <w:t>5571.8 </w:t>
            </w:r>
            <w:r>
              <w:rPr>
                <w:sz w:val="18"/>
              </w:rPr>
              <w:t>水 </w:t>
            </w:r>
            <w:r>
              <w:rPr>
                <w:rFonts w:ascii="Times New Roman" w:hAnsi="Times New Roman" w:eastAsia="Times New Roman"/>
                <w:sz w:val="20"/>
              </w:rPr>
              <w:t>3502.7</w:t>
            </w:r>
            <w:r>
              <w:rPr>
                <w:sz w:val="18"/>
              </w:rPr>
              <w:t>、醋酸 </w:t>
            </w:r>
            <w:r>
              <w:rPr>
                <w:rFonts w:ascii="Times New Roman" w:hAnsi="Times New Roman" w:eastAsia="Times New Roman"/>
                <w:sz w:val="20"/>
              </w:rPr>
              <w:t>1854.2</w:t>
            </w:r>
            <w:r>
              <w:rPr>
                <w:sz w:val="18"/>
              </w:rPr>
              <w:t>、</w:t>
            </w:r>
          </w:p>
          <w:p>
            <w:pPr>
              <w:pStyle w:val="TableParagraph"/>
              <w:spacing w:line="311" w:lineRule="exact"/>
              <w:ind w:left="186"/>
              <w:jc w:val="left"/>
              <w:rPr>
                <w:rFonts w:ascii="Times New Roman" w:eastAsia="Times New Roman"/>
                <w:sz w:val="20"/>
              </w:rPr>
            </w:pPr>
            <w:r>
              <w:rPr>
                <w:sz w:val="18"/>
              </w:rPr>
              <w:t>奥沙普秦 </w:t>
            </w:r>
            <w:r>
              <w:rPr>
                <w:rFonts w:ascii="Times New Roman" w:eastAsia="Times New Roman"/>
                <w:sz w:val="20"/>
              </w:rPr>
              <w:t>140.4</w:t>
            </w:r>
            <w:r>
              <w:rPr>
                <w:sz w:val="18"/>
              </w:rPr>
              <w:t>、环合副产物 </w:t>
            </w:r>
            <w:r>
              <w:rPr>
                <w:rFonts w:ascii="Times New Roman" w:eastAsia="Times New Roman"/>
                <w:sz w:val="20"/>
              </w:rPr>
              <w:t>74.5</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44" w:right="44"/>
              <w:rPr>
                <w:sz w:val="18"/>
              </w:rPr>
            </w:pPr>
            <w:r>
              <w:rPr>
                <w:sz w:val="18"/>
              </w:rPr>
              <w:t>Σ</w:t>
            </w:r>
            <w:r>
              <w:rPr>
                <w:rFonts w:ascii="Times New Roman" w:hAnsi="Times New Roman" w:eastAsia="Times New Roman"/>
                <w:sz w:val="20"/>
              </w:rPr>
              <w:t>2067.2</w:t>
            </w:r>
            <w:r>
              <w:rPr>
                <w:rFonts w:ascii="Times New Roman" w:hAnsi="Times New Roman" w:eastAsia="Times New Roman"/>
                <w:spacing w:val="41"/>
                <w:sz w:val="20"/>
              </w:rPr>
              <w:t> </w:t>
            </w:r>
            <w:r>
              <w:rPr>
                <w:spacing w:val="11"/>
                <w:sz w:val="18"/>
              </w:rPr>
              <w:t>醋酸 </w:t>
            </w:r>
            <w:r>
              <w:rPr>
                <w:rFonts w:ascii="Times New Roman" w:hAnsi="Times New Roman" w:eastAsia="Times New Roman"/>
                <w:sz w:val="20"/>
              </w:rPr>
              <w:t>1852.3</w:t>
            </w:r>
            <w:r>
              <w:rPr>
                <w:spacing w:val="-29"/>
                <w:sz w:val="18"/>
              </w:rPr>
              <w:t>、奥</w:t>
            </w:r>
          </w:p>
          <w:p>
            <w:pPr>
              <w:pStyle w:val="TableParagraph"/>
              <w:spacing w:line="276" w:lineRule="exact"/>
              <w:ind w:left="72" w:right="44"/>
              <w:rPr>
                <w:sz w:val="18"/>
              </w:rPr>
            </w:pPr>
            <w:r>
              <w:rPr>
                <w:spacing w:val="1"/>
                <w:sz w:val="18"/>
              </w:rPr>
              <w:t>沙普秦 </w:t>
            </w:r>
            <w:r>
              <w:rPr>
                <w:rFonts w:ascii="Times New Roman" w:eastAsia="Times New Roman"/>
                <w:sz w:val="20"/>
              </w:rPr>
              <w:t>140.4</w:t>
            </w:r>
            <w:r>
              <w:rPr>
                <w:spacing w:val="-10"/>
                <w:sz w:val="18"/>
              </w:rPr>
              <w:t>、环合副产物</w:t>
            </w:r>
          </w:p>
          <w:p>
            <w:pPr>
              <w:pStyle w:val="TableParagraph"/>
              <w:spacing w:line="182" w:lineRule="exact"/>
              <w:ind w:left="68" w:right="44"/>
              <w:rPr>
                <w:rFonts w:ascii="Times New Roman"/>
                <w:sz w:val="20"/>
              </w:rPr>
            </w:pPr>
            <w:r>
              <w:rPr>
                <w:rFonts w:ascii="Times New Roman"/>
                <w:sz w:val="20"/>
              </w:rPr>
              <w:t>74.5</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153"/>
              <w:ind w:left="677"/>
              <w:jc w:val="left"/>
              <w:rPr>
                <w:rFonts w:ascii="Times New Roman" w:eastAsia="Times New Roman"/>
                <w:sz w:val="20"/>
              </w:rPr>
            </w:pPr>
            <w:r>
              <w:rPr>
                <w:sz w:val="18"/>
              </w:rPr>
              <w:t>水 </w:t>
            </w:r>
            <w:r>
              <w:rPr>
                <w:rFonts w:ascii="Times New Roman" w:eastAsia="Times New Roman"/>
                <w:sz w:val="20"/>
              </w:rPr>
              <w:t>700.5</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before="153"/>
              <w:ind w:left="603"/>
              <w:jc w:val="left"/>
              <w:rPr>
                <w:rFonts w:ascii="Times New Roman" w:eastAsia="Times New Roman"/>
                <w:sz w:val="20"/>
              </w:rPr>
            </w:pPr>
            <w:r>
              <w:rPr>
                <w:sz w:val="18"/>
              </w:rPr>
              <w:t>水 </w:t>
            </w:r>
            <w:r>
              <w:rPr>
                <w:rFonts w:ascii="Times New Roman" w:eastAsia="Times New Roman"/>
                <w:sz w:val="20"/>
              </w:rPr>
              <w:t>2802.1</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53"/>
              <w:ind w:left="103" w:right="82"/>
              <w:rPr>
                <w:rFonts w:ascii="Times New Roman" w:eastAsia="Times New Roman"/>
                <w:sz w:val="20"/>
              </w:rPr>
            </w:pPr>
            <w:r>
              <w:rPr>
                <w:sz w:val="18"/>
              </w:rPr>
              <w:t>醋酸 </w:t>
            </w:r>
            <w:r>
              <w:rPr>
                <w:rFonts w:ascii="Times New Roman" w:eastAsia="Times New Roman"/>
                <w:sz w:val="20"/>
              </w:rPr>
              <w:t>1.9</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11"/>
              </w:rPr>
            </w:pPr>
          </w:p>
          <w:p>
            <w:pPr>
              <w:pStyle w:val="TableParagraph"/>
              <w:ind w:left="161"/>
              <w:jc w:val="left"/>
              <w:rPr>
                <w:rFonts w:ascii="Times New Roman"/>
                <w:sz w:val="18"/>
              </w:rPr>
            </w:pPr>
            <w:r>
              <w:rPr>
                <w:rFonts w:ascii="Times New Roman"/>
                <w:sz w:val="18"/>
              </w:rPr>
              <w:t>2.80</w:t>
            </w:r>
          </w:p>
        </w:tc>
        <w:tc>
          <w:tcPr>
            <w:tcW w:w="620" w:type="dxa"/>
            <w:tcBorders>
              <w:top w:val="single" w:sz="6" w:space="0" w:color="000000"/>
              <w:left w:val="single" w:sz="6" w:space="0" w:color="000000"/>
              <w:bottom w:val="single" w:sz="6" w:space="0" w:color="000000"/>
            </w:tcBorders>
          </w:tcPr>
          <w:p>
            <w:pPr>
              <w:pStyle w:val="TableParagraph"/>
              <w:spacing w:before="13"/>
              <w:jc w:val="left"/>
              <w:rPr>
                <w:sz w:val="11"/>
              </w:rPr>
            </w:pPr>
          </w:p>
          <w:p>
            <w:pPr>
              <w:pStyle w:val="TableParagraph"/>
              <w:ind w:left="90" w:right="61"/>
              <w:rPr>
                <w:rFonts w:ascii="Times New Roman"/>
                <w:sz w:val="18"/>
              </w:rPr>
            </w:pPr>
            <w:r>
              <w:rPr>
                <w:rFonts w:ascii="Times New Roman"/>
                <w:sz w:val="18"/>
              </w:rPr>
              <w:t>33.6</w:t>
            </w:r>
          </w:p>
        </w:tc>
      </w:tr>
      <w:tr>
        <w:trPr>
          <w:trHeight w:val="707" w:hRule="atLeast"/>
        </w:trPr>
        <w:tc>
          <w:tcPr>
            <w:tcW w:w="538" w:type="dxa"/>
            <w:vMerge w:val="restart"/>
            <w:tcBorders>
              <w:top w:val="single" w:sz="6" w:space="0" w:color="000000"/>
              <w:bottom w:val="single" w:sz="6" w:space="0" w:color="000000"/>
              <w:right w:val="single" w:sz="6" w:space="0" w:color="000000"/>
            </w:tcBorders>
          </w:tcPr>
          <w:p>
            <w:pPr>
              <w:pStyle w:val="TableParagraph"/>
              <w:spacing w:before="12"/>
              <w:jc w:val="left"/>
              <w:rPr>
                <w:sz w:val="12"/>
              </w:rPr>
            </w:pPr>
          </w:p>
          <w:p>
            <w:pPr>
              <w:pStyle w:val="TableParagraph"/>
              <w:spacing w:line="146" w:lineRule="auto"/>
              <w:ind w:left="176" w:right="156"/>
              <w:jc w:val="both"/>
              <w:rPr>
                <w:sz w:val="18"/>
              </w:rPr>
            </w:pPr>
            <w:r>
              <w:rPr>
                <w:sz w:val="18"/>
              </w:rPr>
              <w:t>甘羟铝</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4"/>
              <w:ind w:left="188" w:right="96" w:hanging="65"/>
              <w:jc w:val="left"/>
              <w:rPr>
                <w:sz w:val="18"/>
              </w:rPr>
            </w:pPr>
            <w:r>
              <w:rPr>
                <w:sz w:val="18"/>
              </w:rPr>
              <w:t>缩合后压滤母液（</w:t>
            </w:r>
            <w:r>
              <w:rPr>
                <w:rFonts w:ascii="Times New Roman" w:eastAsia="Times New Roman"/>
                <w:sz w:val="18"/>
              </w:rPr>
              <w:t>W3-1</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left="114"/>
              <w:jc w:val="left"/>
              <w:rPr>
                <w:sz w:val="18"/>
              </w:rPr>
            </w:pPr>
            <w:r>
              <w:rPr>
                <w:sz w:val="18"/>
              </w:rPr>
              <w:t>Σ</w:t>
            </w:r>
            <w:r>
              <w:rPr>
                <w:rFonts w:ascii="Times New Roman" w:hAnsi="Times New Roman" w:eastAsia="Times New Roman"/>
                <w:sz w:val="18"/>
              </w:rPr>
              <w:t>6055.3 </w:t>
            </w:r>
            <w:r>
              <w:rPr>
                <w:sz w:val="18"/>
              </w:rPr>
              <w:t>水 </w:t>
            </w:r>
            <w:r>
              <w:rPr>
                <w:rFonts w:ascii="Times New Roman" w:hAnsi="Times New Roman" w:eastAsia="Times New Roman"/>
                <w:sz w:val="18"/>
              </w:rPr>
              <w:t>3764.1</w:t>
            </w:r>
            <w:r>
              <w:rPr>
                <w:sz w:val="18"/>
              </w:rPr>
              <w:t>、甘氨酸 </w:t>
            </w:r>
            <w:r>
              <w:rPr>
                <w:rFonts w:ascii="Times New Roman" w:hAnsi="Times New Roman" w:eastAsia="Times New Roman"/>
                <w:sz w:val="18"/>
              </w:rPr>
              <w:t>810.6</w:t>
            </w:r>
            <w:r>
              <w:rPr>
                <w:sz w:val="18"/>
              </w:rPr>
              <w:t>、</w:t>
            </w:r>
          </w:p>
          <w:p>
            <w:pPr>
              <w:pStyle w:val="TableParagraph"/>
              <w:spacing w:line="182" w:lineRule="auto"/>
              <w:ind w:left="1374" w:right="84" w:hanging="1261"/>
              <w:jc w:val="left"/>
              <w:rPr>
                <w:rFonts w:ascii="Times New Roman" w:eastAsia="Times New Roman"/>
                <w:sz w:val="18"/>
              </w:rPr>
            </w:pPr>
            <w:r>
              <w:rPr>
                <w:sz w:val="18"/>
              </w:rPr>
              <w:t>异丙醇 </w:t>
            </w:r>
            <w:r>
              <w:rPr>
                <w:rFonts w:ascii="Times New Roman" w:eastAsia="Times New Roman"/>
                <w:sz w:val="18"/>
              </w:rPr>
              <w:t>1257.2 </w:t>
            </w:r>
            <w:r>
              <w:rPr>
                <w:sz w:val="18"/>
              </w:rPr>
              <w:t>、甲苯 </w:t>
            </w:r>
            <w:r>
              <w:rPr>
                <w:rFonts w:ascii="Times New Roman" w:eastAsia="Times New Roman"/>
                <w:sz w:val="18"/>
              </w:rPr>
              <w:t>145.7</w:t>
            </w:r>
            <w:r>
              <w:rPr>
                <w:sz w:val="18"/>
              </w:rPr>
              <w:t>、甘羟铝</w:t>
            </w:r>
            <w:r>
              <w:rPr>
                <w:rFonts w:ascii="Times New Roman" w:eastAsia="Times New Roman"/>
                <w:sz w:val="18"/>
              </w:rPr>
              <w:t>77.6</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7"/>
              <w:ind w:left="786" w:right="109" w:hanging="648"/>
              <w:jc w:val="left"/>
              <w:rPr>
                <w:rFonts w:ascii="Times New Roman" w:hAnsi="Times New Roman" w:eastAsia="Times New Roman"/>
                <w:sz w:val="18"/>
              </w:rPr>
            </w:pPr>
            <w:r>
              <w:rPr>
                <w:sz w:val="18"/>
              </w:rPr>
              <w:t>Σ</w:t>
            </w:r>
            <w:r>
              <w:rPr>
                <w:rFonts w:ascii="Times New Roman" w:hAnsi="Times New Roman" w:eastAsia="Times New Roman"/>
                <w:sz w:val="20"/>
              </w:rPr>
              <w:t>888.</w:t>
            </w:r>
            <w:r>
              <w:rPr>
                <w:rFonts w:ascii="Times New Roman" w:hAnsi="Times New Roman" w:eastAsia="Times New Roman"/>
                <w:sz w:val="18"/>
              </w:rPr>
              <w:t>2 </w:t>
            </w:r>
            <w:r>
              <w:rPr>
                <w:sz w:val="18"/>
              </w:rPr>
              <w:t>甘氨酸 </w:t>
            </w:r>
            <w:r>
              <w:rPr>
                <w:rFonts w:ascii="Times New Roman" w:hAnsi="Times New Roman" w:eastAsia="Times New Roman"/>
                <w:sz w:val="18"/>
              </w:rPr>
              <w:t>810.6</w:t>
            </w:r>
            <w:r>
              <w:rPr>
                <w:sz w:val="18"/>
              </w:rPr>
              <w:t>、甘羟铝 </w:t>
            </w:r>
            <w:r>
              <w:rPr>
                <w:rFonts w:ascii="Times New Roman" w:hAnsi="Times New Roman" w:eastAsia="Times New Roman"/>
                <w:sz w:val="18"/>
              </w:rPr>
              <w:t>77.6</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3"/>
              <w:ind w:left="113"/>
              <w:jc w:val="left"/>
              <w:rPr>
                <w:sz w:val="18"/>
              </w:rPr>
            </w:pPr>
            <w:r>
              <w:rPr>
                <w:sz w:val="18"/>
              </w:rPr>
              <w:t>Σ</w:t>
            </w:r>
            <w:r>
              <w:rPr>
                <w:rFonts w:ascii="Times New Roman" w:hAnsi="Times New Roman" w:eastAsia="Times New Roman"/>
                <w:sz w:val="20"/>
              </w:rPr>
              <w:t>1120.8  </w:t>
            </w:r>
            <w:r>
              <w:rPr>
                <w:spacing w:val="8"/>
                <w:sz w:val="18"/>
              </w:rPr>
              <w:t>水 </w:t>
            </w:r>
            <w:r>
              <w:rPr>
                <w:rFonts w:ascii="Times New Roman" w:hAnsi="Times New Roman" w:eastAsia="Times New Roman"/>
                <w:sz w:val="20"/>
              </w:rPr>
              <w:t>752.8 </w:t>
            </w:r>
            <w:r>
              <w:rPr>
                <w:spacing w:val="-53"/>
                <w:sz w:val="18"/>
              </w:rPr>
              <w:t>、甲</w:t>
            </w:r>
          </w:p>
          <w:p>
            <w:pPr>
              <w:pStyle w:val="TableParagraph"/>
              <w:spacing w:line="311" w:lineRule="exact"/>
              <w:ind w:left="113"/>
              <w:jc w:val="left"/>
              <w:rPr>
                <w:rFonts w:ascii="Times New Roman" w:eastAsia="Times New Roman"/>
                <w:sz w:val="20"/>
              </w:rPr>
            </w:pPr>
            <w:r>
              <w:rPr>
                <w:sz w:val="18"/>
              </w:rPr>
              <w:t>苯 </w:t>
            </w:r>
            <w:r>
              <w:rPr>
                <w:rFonts w:ascii="Times New Roman" w:eastAsia="Times New Roman"/>
                <w:sz w:val="20"/>
              </w:rPr>
              <w:t>116.6</w:t>
            </w:r>
            <w:r>
              <w:rPr>
                <w:spacing w:val="-17"/>
                <w:sz w:val="18"/>
              </w:rPr>
              <w:t>、异丙醇 </w:t>
            </w:r>
            <w:r>
              <w:rPr>
                <w:rFonts w:ascii="Times New Roman" w:eastAsia="Times New Roman"/>
                <w:sz w:val="20"/>
              </w:rPr>
              <w:t>251.4</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42"/>
              <w:rPr>
                <w:sz w:val="18"/>
              </w:rPr>
            </w:pPr>
            <w:r>
              <w:rPr>
                <w:sz w:val="18"/>
              </w:rPr>
              <w:t>Σ</w:t>
            </w:r>
            <w:r>
              <w:rPr>
                <w:rFonts w:ascii="Times New Roman" w:hAnsi="Times New Roman" w:eastAsia="Times New Roman"/>
                <w:sz w:val="20"/>
              </w:rPr>
              <w:t>4046.1 </w:t>
            </w:r>
            <w:r>
              <w:rPr>
                <w:sz w:val="18"/>
              </w:rPr>
              <w:t>水 </w:t>
            </w:r>
            <w:r>
              <w:rPr>
                <w:rFonts w:ascii="Times New Roman" w:hAnsi="Times New Roman" w:eastAsia="Times New Roman"/>
                <w:sz w:val="20"/>
              </w:rPr>
              <w:t>3011.3 </w:t>
            </w:r>
            <w:r>
              <w:rPr>
                <w:sz w:val="18"/>
              </w:rPr>
              <w:t>、</w:t>
            </w:r>
          </w:p>
          <w:p>
            <w:pPr>
              <w:pStyle w:val="TableParagraph"/>
              <w:spacing w:line="276" w:lineRule="exact"/>
              <w:ind w:left="23"/>
              <w:rPr>
                <w:sz w:val="18"/>
              </w:rPr>
            </w:pPr>
            <w:r>
              <w:rPr>
                <w:sz w:val="18"/>
              </w:rPr>
              <w:t>甲苯 </w:t>
            </w:r>
            <w:r>
              <w:rPr>
                <w:rFonts w:ascii="Times New Roman" w:eastAsia="Times New Roman"/>
                <w:sz w:val="20"/>
              </w:rPr>
              <w:t>29.0</w:t>
            </w:r>
            <w:r>
              <w:rPr>
                <w:sz w:val="18"/>
              </w:rPr>
              <w:t>、异丙醇</w:t>
            </w:r>
          </w:p>
          <w:p>
            <w:pPr>
              <w:pStyle w:val="TableParagraph"/>
              <w:spacing w:line="182" w:lineRule="exact"/>
              <w:ind w:left="22"/>
              <w:rPr>
                <w:rFonts w:ascii="Times New Roman"/>
                <w:sz w:val="20"/>
              </w:rPr>
            </w:pPr>
            <w:r>
              <w:rPr>
                <w:rFonts w:ascii="Times New Roman"/>
                <w:sz w:val="20"/>
              </w:rPr>
              <w:t>1005.8</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51"/>
              <w:ind w:left="103" w:right="82"/>
              <w:rPr>
                <w:rFonts w:ascii="Times New Roman" w:eastAsia="Times New Roman"/>
                <w:sz w:val="18"/>
              </w:rPr>
            </w:pPr>
            <w:r>
              <w:rPr>
                <w:sz w:val="18"/>
              </w:rPr>
              <w:t>甲苯 </w:t>
            </w:r>
            <w:r>
              <w:rPr>
                <w:rFonts w:ascii="Times New Roman" w:eastAsia="Times New Roman"/>
                <w:sz w:val="18"/>
              </w:rPr>
              <w:t>0.1</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11"/>
              </w:rPr>
            </w:pPr>
          </w:p>
          <w:p>
            <w:pPr>
              <w:pStyle w:val="TableParagraph"/>
              <w:ind w:left="161"/>
              <w:jc w:val="left"/>
              <w:rPr>
                <w:rFonts w:ascii="Times New Roman"/>
                <w:sz w:val="18"/>
              </w:rPr>
            </w:pPr>
            <w:r>
              <w:rPr>
                <w:rFonts w:ascii="Times New Roman"/>
                <w:sz w:val="18"/>
              </w:rPr>
              <w:t>4.05</w:t>
            </w:r>
          </w:p>
        </w:tc>
        <w:tc>
          <w:tcPr>
            <w:tcW w:w="620" w:type="dxa"/>
            <w:tcBorders>
              <w:top w:val="single" w:sz="6" w:space="0" w:color="000000"/>
              <w:left w:val="single" w:sz="6" w:space="0" w:color="000000"/>
              <w:bottom w:val="single" w:sz="6" w:space="0" w:color="000000"/>
            </w:tcBorders>
          </w:tcPr>
          <w:p>
            <w:pPr>
              <w:pStyle w:val="TableParagraph"/>
              <w:spacing w:before="13"/>
              <w:jc w:val="left"/>
              <w:rPr>
                <w:sz w:val="11"/>
              </w:rPr>
            </w:pPr>
          </w:p>
          <w:p>
            <w:pPr>
              <w:pStyle w:val="TableParagraph"/>
              <w:ind w:left="90" w:right="62"/>
              <w:rPr>
                <w:rFonts w:ascii="Times New Roman"/>
                <w:sz w:val="18"/>
              </w:rPr>
            </w:pPr>
            <w:r>
              <w:rPr>
                <w:rFonts w:ascii="Times New Roman"/>
                <w:sz w:val="18"/>
              </w:rPr>
              <w:t>14.18</w:t>
            </w:r>
          </w:p>
        </w:tc>
      </w:tr>
      <w:tr>
        <w:trPr>
          <w:trHeight w:val="477"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ind w:left="124"/>
              <w:jc w:val="left"/>
              <w:rPr>
                <w:sz w:val="18"/>
              </w:rPr>
            </w:pPr>
            <w:r>
              <w:rPr>
                <w:sz w:val="18"/>
              </w:rPr>
              <w:t>压滤后洗涤废</w:t>
            </w:r>
          </w:p>
          <w:p>
            <w:pPr>
              <w:pStyle w:val="TableParagraph"/>
              <w:spacing w:line="229" w:lineRule="exact"/>
              <w:ind w:left="188"/>
              <w:jc w:val="left"/>
              <w:rPr>
                <w:sz w:val="18"/>
              </w:rPr>
            </w:pPr>
            <w:r>
              <w:rPr>
                <w:sz w:val="18"/>
              </w:rPr>
              <w:t>水（</w:t>
            </w:r>
            <w:r>
              <w:rPr>
                <w:rFonts w:ascii="Times New Roman" w:eastAsia="Times New Roman"/>
                <w:sz w:val="18"/>
              </w:rPr>
              <w:t>W3-2</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ind w:left="114"/>
              <w:jc w:val="left"/>
              <w:rPr>
                <w:sz w:val="18"/>
              </w:rPr>
            </w:pPr>
            <w:r>
              <w:rPr>
                <w:sz w:val="18"/>
              </w:rPr>
              <w:t>Σ</w:t>
            </w:r>
            <w:r>
              <w:rPr>
                <w:rFonts w:ascii="Times New Roman" w:hAnsi="Times New Roman" w:eastAsia="Times New Roman"/>
                <w:sz w:val="18"/>
              </w:rPr>
              <w:t>2455.8</w:t>
            </w:r>
            <w:r>
              <w:rPr>
                <w:rFonts w:ascii="Times New Roman" w:hAnsi="Times New Roman" w:eastAsia="Times New Roman"/>
                <w:spacing w:val="19"/>
                <w:sz w:val="18"/>
              </w:rPr>
              <w:t>  </w:t>
            </w:r>
            <w:r>
              <w:rPr>
                <w:spacing w:val="9"/>
                <w:sz w:val="18"/>
              </w:rPr>
              <w:t>水 </w:t>
            </w:r>
            <w:r>
              <w:rPr>
                <w:rFonts w:ascii="Times New Roman" w:hAnsi="Times New Roman" w:eastAsia="Times New Roman"/>
                <w:sz w:val="18"/>
              </w:rPr>
              <w:t>2179.6</w:t>
            </w:r>
            <w:r>
              <w:rPr>
                <w:spacing w:val="-6"/>
                <w:sz w:val="18"/>
              </w:rPr>
              <w:t>、甘氨酸 </w:t>
            </w:r>
            <w:r>
              <w:rPr>
                <w:rFonts w:ascii="Times New Roman" w:hAnsi="Times New Roman" w:eastAsia="Times New Roman"/>
                <w:sz w:val="18"/>
              </w:rPr>
              <w:t>90.1</w:t>
            </w:r>
            <w:r>
              <w:rPr>
                <w:spacing w:val="-46"/>
                <w:sz w:val="18"/>
              </w:rPr>
              <w:t>、异</w:t>
            </w:r>
          </w:p>
          <w:p>
            <w:pPr>
              <w:pStyle w:val="TableParagraph"/>
              <w:spacing w:line="229" w:lineRule="exact"/>
              <w:ind w:left="135"/>
              <w:jc w:val="left"/>
              <w:rPr>
                <w:rFonts w:ascii="Times New Roman" w:eastAsia="Times New Roman"/>
                <w:sz w:val="18"/>
              </w:rPr>
            </w:pPr>
            <w:r>
              <w:rPr>
                <w:spacing w:val="1"/>
                <w:sz w:val="18"/>
              </w:rPr>
              <w:t>丙醇 </w:t>
            </w:r>
            <w:r>
              <w:rPr>
                <w:rFonts w:ascii="Times New Roman" w:eastAsia="Times New Roman"/>
                <w:sz w:val="18"/>
              </w:rPr>
              <w:t>139.7</w:t>
            </w:r>
            <w:r>
              <w:rPr>
                <w:spacing w:val="-1"/>
                <w:sz w:val="18"/>
              </w:rPr>
              <w:t>、甲苯 </w:t>
            </w:r>
            <w:r>
              <w:rPr>
                <w:rFonts w:ascii="Times New Roman" w:eastAsia="Times New Roman"/>
                <w:sz w:val="18"/>
              </w:rPr>
              <w:t>16.2</w:t>
            </w:r>
            <w:r>
              <w:rPr>
                <w:sz w:val="18"/>
              </w:rPr>
              <w:t>、甘羟铝 </w:t>
            </w:r>
            <w:r>
              <w:rPr>
                <w:rFonts w:ascii="Times New Roman" w:eastAsia="Times New Roman"/>
                <w:sz w:val="18"/>
              </w:rPr>
              <w:t>30.2</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0" w:right="44"/>
              <w:rPr>
                <w:sz w:val="18"/>
              </w:rPr>
            </w:pPr>
            <w:r>
              <w:rPr>
                <w:sz w:val="18"/>
              </w:rPr>
              <w:t>Σ</w:t>
            </w:r>
            <w:r>
              <w:rPr>
                <w:rFonts w:ascii="Times New Roman" w:hAnsi="Times New Roman" w:eastAsia="Times New Roman"/>
                <w:sz w:val="20"/>
              </w:rPr>
              <w:t>120.3 </w:t>
            </w:r>
            <w:r>
              <w:rPr>
                <w:sz w:val="18"/>
              </w:rPr>
              <w:t>甘氨酸 </w:t>
            </w:r>
            <w:r>
              <w:rPr>
                <w:rFonts w:ascii="Times New Roman" w:hAnsi="Times New Roman" w:eastAsia="Times New Roman"/>
                <w:sz w:val="18"/>
              </w:rPr>
              <w:t>90.1</w:t>
            </w:r>
            <w:r>
              <w:rPr>
                <w:sz w:val="18"/>
              </w:rPr>
              <w:t>、甘羟</w:t>
            </w:r>
          </w:p>
          <w:p>
            <w:pPr>
              <w:pStyle w:val="TableParagraph"/>
              <w:spacing w:line="228" w:lineRule="exact"/>
              <w:ind w:left="71" w:right="44"/>
              <w:rPr>
                <w:rFonts w:ascii="Times New Roman" w:eastAsia="Times New Roman"/>
                <w:sz w:val="18"/>
              </w:rPr>
            </w:pPr>
            <w:r>
              <w:rPr>
                <w:sz w:val="18"/>
              </w:rPr>
              <w:t>铝 </w:t>
            </w:r>
            <w:r>
              <w:rPr>
                <w:rFonts w:ascii="Times New Roman" w:eastAsia="Times New Roman"/>
                <w:sz w:val="18"/>
              </w:rPr>
              <w:t>30.2</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157"/>
              <w:jc w:val="left"/>
              <w:rPr>
                <w:sz w:val="18"/>
              </w:rPr>
            </w:pPr>
            <w:r>
              <w:rPr>
                <w:sz w:val="18"/>
              </w:rPr>
              <w:t>Σ</w:t>
            </w:r>
            <w:r>
              <w:rPr>
                <w:rFonts w:ascii="Times New Roman" w:hAnsi="Times New Roman" w:eastAsia="Times New Roman"/>
                <w:sz w:val="20"/>
              </w:rPr>
              <w:t>476.8 </w:t>
            </w:r>
            <w:r>
              <w:rPr>
                <w:spacing w:val="-7"/>
                <w:sz w:val="18"/>
              </w:rPr>
              <w:t>水 </w:t>
            </w:r>
            <w:r>
              <w:rPr>
                <w:rFonts w:ascii="Times New Roman" w:hAnsi="Times New Roman" w:eastAsia="Times New Roman"/>
                <w:sz w:val="20"/>
              </w:rPr>
              <w:t>435.9 </w:t>
            </w:r>
            <w:r>
              <w:rPr>
                <w:sz w:val="18"/>
              </w:rPr>
              <w:t>、 甲</w:t>
            </w:r>
          </w:p>
          <w:p>
            <w:pPr>
              <w:pStyle w:val="TableParagraph"/>
              <w:spacing w:line="228" w:lineRule="exact"/>
              <w:ind w:left="171"/>
              <w:jc w:val="left"/>
              <w:rPr>
                <w:rFonts w:ascii="Times New Roman" w:eastAsia="Times New Roman"/>
                <w:sz w:val="20"/>
              </w:rPr>
            </w:pPr>
            <w:r>
              <w:rPr>
                <w:spacing w:val="2"/>
                <w:sz w:val="18"/>
              </w:rPr>
              <w:t>苯 </w:t>
            </w:r>
            <w:r>
              <w:rPr>
                <w:rFonts w:ascii="Times New Roman" w:eastAsia="Times New Roman"/>
                <w:sz w:val="20"/>
              </w:rPr>
              <w:t>13.0</w:t>
            </w:r>
            <w:r>
              <w:rPr>
                <w:sz w:val="18"/>
              </w:rPr>
              <w:t>、异丙醇 </w:t>
            </w:r>
            <w:r>
              <w:rPr>
                <w:rFonts w:ascii="Times New Roman" w:eastAsia="Times New Roman"/>
                <w:sz w:val="20"/>
              </w:rPr>
              <w:t>27.9</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111"/>
              <w:jc w:val="left"/>
              <w:rPr>
                <w:sz w:val="18"/>
              </w:rPr>
            </w:pPr>
            <w:r>
              <w:rPr>
                <w:sz w:val="18"/>
              </w:rPr>
              <w:t>Σ</w:t>
            </w:r>
            <w:r>
              <w:rPr>
                <w:rFonts w:ascii="Times New Roman" w:hAnsi="Times New Roman" w:eastAsia="Times New Roman"/>
                <w:sz w:val="20"/>
              </w:rPr>
              <w:t>1858.7</w:t>
            </w:r>
            <w:r>
              <w:rPr>
                <w:rFonts w:ascii="Times New Roman" w:hAnsi="Times New Roman" w:eastAsia="Times New Roman"/>
                <w:spacing w:val="37"/>
                <w:sz w:val="20"/>
              </w:rPr>
              <w:t> </w:t>
            </w:r>
            <w:r>
              <w:rPr>
                <w:sz w:val="18"/>
              </w:rPr>
              <w:t>水  </w:t>
            </w:r>
            <w:r>
              <w:rPr>
                <w:rFonts w:ascii="Times New Roman" w:hAnsi="Times New Roman" w:eastAsia="Times New Roman"/>
                <w:sz w:val="20"/>
              </w:rPr>
              <w:t>1743.7 </w:t>
            </w:r>
            <w:r>
              <w:rPr>
                <w:sz w:val="18"/>
              </w:rPr>
              <w:t>、</w:t>
            </w:r>
          </w:p>
          <w:p>
            <w:pPr>
              <w:pStyle w:val="TableParagraph"/>
              <w:spacing w:line="228" w:lineRule="exact"/>
              <w:ind w:left="111"/>
              <w:jc w:val="left"/>
              <w:rPr>
                <w:rFonts w:ascii="Times New Roman" w:eastAsia="Times New Roman"/>
                <w:sz w:val="20"/>
              </w:rPr>
            </w:pPr>
            <w:r>
              <w:rPr>
                <w:sz w:val="18"/>
              </w:rPr>
              <w:t>甲苯 </w:t>
            </w:r>
            <w:r>
              <w:rPr>
                <w:rFonts w:ascii="Times New Roman" w:eastAsia="Times New Roman"/>
                <w:sz w:val="20"/>
              </w:rPr>
              <w:t>3.2</w:t>
            </w:r>
            <w:r>
              <w:rPr>
                <w:spacing w:val="-19"/>
                <w:sz w:val="18"/>
              </w:rPr>
              <w:t>、异丙醇 </w:t>
            </w:r>
            <w:r>
              <w:rPr>
                <w:rFonts w:ascii="Times New Roman" w:eastAsia="Times New Roman"/>
                <w:spacing w:val="-3"/>
                <w:sz w:val="20"/>
              </w:rPr>
              <w:t>111.8</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35"/>
              <w:ind w:left="100" w:right="82"/>
              <w:rPr>
                <w:rFonts w:ascii="Times New Roman" w:eastAsia="Times New Roman"/>
                <w:sz w:val="18"/>
              </w:rPr>
            </w:pPr>
            <w:r>
              <w:rPr>
                <w:sz w:val="18"/>
              </w:rPr>
              <w:t>甲苯 </w:t>
            </w:r>
            <w:r>
              <w:rPr>
                <w:rFonts w:ascii="Times New Roman" w:eastAsia="Times New Roman"/>
                <w:sz w:val="18"/>
              </w:rPr>
              <w:t>0.02</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61"/>
              <w:jc w:val="left"/>
              <w:rPr>
                <w:rFonts w:ascii="Times New Roman"/>
                <w:sz w:val="18"/>
              </w:rPr>
            </w:pPr>
            <w:r>
              <w:rPr>
                <w:rFonts w:ascii="Times New Roman"/>
                <w:sz w:val="18"/>
              </w:rPr>
              <w:t>1.86</w:t>
            </w:r>
          </w:p>
        </w:tc>
        <w:tc>
          <w:tcPr>
            <w:tcW w:w="620" w:type="dxa"/>
            <w:tcBorders>
              <w:top w:val="single" w:sz="6" w:space="0" w:color="000000"/>
              <w:left w:val="single" w:sz="6" w:space="0" w:color="000000"/>
              <w:bottom w:val="single" w:sz="6" w:space="0" w:color="000000"/>
            </w:tcBorders>
          </w:tcPr>
          <w:p>
            <w:pPr>
              <w:pStyle w:val="TableParagraph"/>
              <w:spacing w:before="131"/>
              <w:ind w:left="90" w:right="62"/>
              <w:rPr>
                <w:rFonts w:ascii="Times New Roman"/>
                <w:sz w:val="18"/>
              </w:rPr>
            </w:pPr>
            <w:r>
              <w:rPr>
                <w:rFonts w:ascii="Times New Roman"/>
                <w:sz w:val="18"/>
              </w:rPr>
              <w:t>6.51</w:t>
            </w:r>
          </w:p>
        </w:tc>
      </w:tr>
      <w:tr>
        <w:trPr>
          <w:trHeight w:val="700" w:hRule="atLeast"/>
        </w:trPr>
        <w:tc>
          <w:tcPr>
            <w:tcW w:w="538" w:type="dxa"/>
            <w:vMerge w:val="restart"/>
            <w:tcBorders>
              <w:top w:val="single" w:sz="6" w:space="0" w:color="000000"/>
              <w:bottom w:val="single" w:sz="6" w:space="0" w:color="000000"/>
              <w:right w:val="single" w:sz="6" w:space="0" w:color="000000"/>
            </w:tcBorders>
          </w:tcPr>
          <w:p>
            <w:pPr>
              <w:pStyle w:val="TableParagraph"/>
              <w:spacing w:line="146" w:lineRule="auto" w:before="154"/>
              <w:ind w:left="176" w:right="156"/>
              <w:jc w:val="both"/>
              <w:rPr>
                <w:sz w:val="18"/>
              </w:rPr>
            </w:pPr>
            <w:r>
              <w:rPr>
                <w:sz w:val="18"/>
              </w:rPr>
              <w:t>盐酸普罗帕酮</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124" w:right="96"/>
              <w:rPr>
                <w:sz w:val="18"/>
              </w:rPr>
            </w:pPr>
            <w:r>
              <w:rPr>
                <w:sz w:val="18"/>
              </w:rPr>
              <w:t>缩合后蒸馏冷凝液水层废水</w:t>
            </w:r>
          </w:p>
          <w:p>
            <w:pPr>
              <w:pStyle w:val="TableParagraph"/>
              <w:spacing w:line="195" w:lineRule="exact"/>
              <w:ind w:left="123" w:right="96"/>
              <w:rPr>
                <w:sz w:val="18"/>
              </w:rPr>
            </w:pPr>
            <w:r>
              <w:rPr>
                <w:sz w:val="18"/>
              </w:rPr>
              <w:t>（</w:t>
            </w:r>
            <w:r>
              <w:rPr>
                <w:rFonts w:ascii="Times New Roman" w:eastAsia="Times New Roman"/>
                <w:sz w:val="18"/>
              </w:rPr>
              <w:t>W5-1</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before="148"/>
              <w:ind w:left="517"/>
              <w:jc w:val="left"/>
              <w:rPr>
                <w:rFonts w:ascii="Times New Roman" w:hAnsi="Times New Roman" w:eastAsia="Times New Roman"/>
                <w:sz w:val="18"/>
              </w:rPr>
            </w:pPr>
            <w:r>
              <w:rPr>
                <w:w w:val="105"/>
                <w:sz w:val="18"/>
              </w:rPr>
              <w:t>Σ</w:t>
            </w:r>
            <w:r>
              <w:rPr>
                <w:rFonts w:ascii="Times New Roman" w:hAnsi="Times New Roman" w:eastAsia="Times New Roman"/>
                <w:w w:val="105"/>
                <w:sz w:val="18"/>
              </w:rPr>
              <w:t>75 </w:t>
            </w:r>
            <w:r>
              <w:rPr>
                <w:w w:val="105"/>
                <w:sz w:val="18"/>
              </w:rPr>
              <w:t>水 </w:t>
            </w:r>
            <w:r>
              <w:rPr>
                <w:rFonts w:ascii="Times New Roman" w:hAnsi="Times New Roman" w:eastAsia="Times New Roman"/>
                <w:w w:val="105"/>
                <w:sz w:val="18"/>
              </w:rPr>
              <w:t>73</w:t>
            </w:r>
            <w:r>
              <w:rPr>
                <w:w w:val="105"/>
                <w:sz w:val="18"/>
              </w:rPr>
              <w:t>、环氧氯丙烷 </w:t>
            </w:r>
            <w:r>
              <w:rPr>
                <w:rFonts w:ascii="Times New Roman" w:hAnsi="Times New Roman" w:eastAsia="Times New Roman"/>
                <w:w w:val="105"/>
                <w:sz w:val="18"/>
              </w:rPr>
              <w:t>2</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26"/>
              <w:rPr>
                <w:rFonts w:ascii="Times New Roman"/>
                <w:sz w:val="18"/>
              </w:rPr>
            </w:pPr>
            <w:r>
              <w:rPr>
                <w:rFonts w:ascii="Times New Roman"/>
                <w:sz w:val="18"/>
              </w:rPr>
              <w:t>/</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598" w:right="114" w:hanging="456"/>
              <w:jc w:val="left"/>
              <w:rPr>
                <w:rFonts w:ascii="Times New Roman" w:hAnsi="Times New Roman" w:eastAsia="Times New Roman"/>
                <w:sz w:val="20"/>
              </w:rPr>
            </w:pPr>
            <w:r>
              <w:rPr>
                <w:sz w:val="18"/>
              </w:rPr>
              <w:t>Σ</w:t>
            </w:r>
            <w:r>
              <w:rPr>
                <w:rFonts w:ascii="Times New Roman" w:hAnsi="Times New Roman" w:eastAsia="Times New Roman"/>
                <w:sz w:val="20"/>
              </w:rPr>
              <w:t>58.8 </w:t>
            </w:r>
            <w:r>
              <w:rPr>
                <w:sz w:val="18"/>
              </w:rPr>
              <w:t>水 </w:t>
            </w:r>
            <w:r>
              <w:rPr>
                <w:rFonts w:ascii="Times New Roman" w:hAnsi="Times New Roman" w:eastAsia="Times New Roman"/>
                <w:sz w:val="20"/>
              </w:rPr>
              <w:t>58.4</w:t>
            </w:r>
            <w:r>
              <w:rPr>
                <w:sz w:val="18"/>
              </w:rPr>
              <w:t>、环氧氯丙烷 </w:t>
            </w:r>
            <w:r>
              <w:rPr>
                <w:rFonts w:ascii="Times New Roman" w:hAnsi="Times New Roman" w:eastAsia="Times New Roman"/>
                <w:sz w:val="20"/>
              </w:rPr>
              <w:t>0.4</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572" w:right="92" w:hanging="454"/>
              <w:jc w:val="left"/>
              <w:rPr>
                <w:rFonts w:ascii="Times New Roman" w:hAnsi="Times New Roman" w:eastAsia="Times New Roman"/>
                <w:sz w:val="20"/>
              </w:rPr>
            </w:pPr>
            <w:r>
              <w:rPr>
                <w:sz w:val="18"/>
              </w:rPr>
              <w:t>Σ</w:t>
            </w:r>
            <w:r>
              <w:rPr>
                <w:rFonts w:ascii="Times New Roman" w:hAnsi="Times New Roman" w:eastAsia="Times New Roman"/>
                <w:sz w:val="20"/>
              </w:rPr>
              <w:t>16.2 </w:t>
            </w:r>
            <w:r>
              <w:rPr>
                <w:sz w:val="18"/>
              </w:rPr>
              <w:t>水 </w:t>
            </w:r>
            <w:r>
              <w:rPr>
                <w:rFonts w:ascii="Times New Roman" w:hAnsi="Times New Roman" w:eastAsia="Times New Roman"/>
                <w:sz w:val="20"/>
              </w:rPr>
              <w:t>14.6</w:t>
            </w:r>
            <w:r>
              <w:rPr>
                <w:sz w:val="18"/>
              </w:rPr>
              <w:t>、环氧氯丙烷 </w:t>
            </w:r>
            <w:r>
              <w:rPr>
                <w:rFonts w:ascii="Times New Roman" w:hAnsi="Times New Roman" w:eastAsia="Times New Roman"/>
                <w:sz w:val="20"/>
              </w:rPr>
              <w:t>1.6</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20"/>
              <w:rPr>
                <w:rFonts w:ascii="Times New Roman"/>
                <w:sz w:val="18"/>
              </w:rPr>
            </w:pPr>
            <w:r>
              <w:rPr>
                <w:rFonts w:ascii="Times New Roman"/>
                <w:sz w:val="18"/>
              </w:rPr>
              <w:t>/</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115"/>
              <w:jc w:val="left"/>
              <w:rPr>
                <w:rFonts w:ascii="Times New Roman"/>
                <w:sz w:val="18"/>
              </w:rPr>
            </w:pPr>
            <w:r>
              <w:rPr>
                <w:rFonts w:ascii="Times New Roman"/>
                <w:sz w:val="18"/>
              </w:rPr>
              <w:t>0.016</w:t>
            </w:r>
          </w:p>
        </w:tc>
        <w:tc>
          <w:tcPr>
            <w:tcW w:w="620" w:type="dxa"/>
            <w:tcBorders>
              <w:top w:val="single" w:sz="6" w:space="0" w:color="000000"/>
              <w:left w:val="single" w:sz="6" w:space="0" w:color="000000"/>
              <w:bottom w:val="single" w:sz="6" w:space="0" w:color="000000"/>
            </w:tcBorders>
          </w:tcPr>
          <w:p>
            <w:pPr>
              <w:pStyle w:val="TableParagraph"/>
              <w:spacing w:before="8"/>
              <w:jc w:val="left"/>
              <w:rPr>
                <w:sz w:val="11"/>
              </w:rPr>
            </w:pPr>
          </w:p>
          <w:p>
            <w:pPr>
              <w:pStyle w:val="TableParagraph"/>
              <w:spacing w:before="1"/>
              <w:ind w:left="90" w:right="62"/>
              <w:rPr>
                <w:rFonts w:ascii="Times New Roman"/>
                <w:sz w:val="18"/>
              </w:rPr>
            </w:pPr>
            <w:r>
              <w:rPr>
                <w:rFonts w:ascii="Times New Roman"/>
                <w:sz w:val="18"/>
              </w:rPr>
              <w:t>0.14</w:t>
            </w:r>
          </w:p>
        </w:tc>
      </w:tr>
      <w:tr>
        <w:trPr>
          <w:trHeight w:val="957"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6"/>
              <w:ind w:left="124" w:right="96"/>
              <w:rPr>
                <w:sz w:val="18"/>
              </w:rPr>
            </w:pPr>
            <w:r>
              <w:rPr>
                <w:sz w:val="18"/>
              </w:rPr>
              <w:t>成盐后离心母液、洗涤废水</w:t>
            </w:r>
          </w:p>
          <w:p>
            <w:pPr>
              <w:pStyle w:val="TableParagraph"/>
              <w:spacing w:line="278" w:lineRule="exact"/>
              <w:ind w:left="123" w:right="96"/>
              <w:rPr>
                <w:sz w:val="18"/>
              </w:rPr>
            </w:pPr>
            <w:r>
              <w:rPr>
                <w:sz w:val="18"/>
              </w:rPr>
              <w:t>（</w:t>
            </w:r>
            <w:r>
              <w:rPr>
                <w:rFonts w:ascii="Times New Roman" w:eastAsia="Times New Roman"/>
                <w:sz w:val="18"/>
              </w:rPr>
              <w:t>W5-2</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ind w:left="114"/>
              <w:jc w:val="left"/>
              <w:rPr>
                <w:sz w:val="18"/>
              </w:rPr>
            </w:pPr>
            <w:r>
              <w:rPr>
                <w:sz w:val="18"/>
              </w:rPr>
              <w:t>Σ</w:t>
            </w:r>
            <w:r>
              <w:rPr>
                <w:rFonts w:ascii="Times New Roman" w:hAnsi="Times New Roman" w:eastAsia="Times New Roman"/>
                <w:sz w:val="20"/>
              </w:rPr>
              <w:t>5907.3</w:t>
            </w:r>
            <w:r>
              <w:rPr>
                <w:rFonts w:ascii="Times New Roman" w:hAnsi="Times New Roman" w:eastAsia="Times New Roman"/>
                <w:spacing w:val="21"/>
                <w:sz w:val="20"/>
              </w:rPr>
              <w:t>  </w:t>
            </w:r>
            <w:r>
              <w:rPr>
                <w:spacing w:val="9"/>
                <w:sz w:val="18"/>
              </w:rPr>
              <w:t>水 </w:t>
            </w:r>
            <w:r>
              <w:rPr>
                <w:rFonts w:ascii="Times New Roman" w:hAnsi="Times New Roman" w:eastAsia="Times New Roman"/>
                <w:sz w:val="20"/>
              </w:rPr>
              <w:t>4759.0</w:t>
            </w:r>
            <w:r>
              <w:rPr>
                <w:spacing w:val="3"/>
                <w:sz w:val="18"/>
              </w:rPr>
              <w:t>、正丙胺 </w:t>
            </w:r>
            <w:r>
              <w:rPr>
                <w:rFonts w:ascii="Times New Roman" w:hAnsi="Times New Roman" w:eastAsia="Times New Roman"/>
                <w:sz w:val="20"/>
              </w:rPr>
              <w:t>29.8</w:t>
            </w:r>
            <w:r>
              <w:rPr>
                <w:sz w:val="18"/>
              </w:rPr>
              <w:t>、</w:t>
            </w:r>
          </w:p>
          <w:p>
            <w:pPr>
              <w:pStyle w:val="TableParagraph"/>
              <w:spacing w:line="151" w:lineRule="auto" w:before="27"/>
              <w:ind w:left="114" w:right="84" w:firstLine="12"/>
              <w:jc w:val="left"/>
              <w:rPr>
                <w:sz w:val="18"/>
              </w:rPr>
            </w:pPr>
            <w:r>
              <w:rPr>
                <w:sz w:val="18"/>
              </w:rPr>
              <w:t>环氧氯丙烷 </w:t>
            </w:r>
            <w:r>
              <w:rPr>
                <w:rFonts w:ascii="Times New Roman" w:eastAsia="Times New Roman"/>
                <w:sz w:val="20"/>
              </w:rPr>
              <w:t>34.5</w:t>
            </w:r>
            <w:r>
              <w:rPr>
                <w:sz w:val="18"/>
              </w:rPr>
              <w:t>、</w:t>
            </w:r>
            <w:r>
              <w:rPr>
                <w:rFonts w:ascii="Times New Roman" w:eastAsia="Times New Roman"/>
                <w:sz w:val="18"/>
              </w:rPr>
              <w:t>HCl</w:t>
            </w:r>
            <w:r>
              <w:rPr>
                <w:rFonts w:ascii="Times New Roman" w:eastAsia="Times New Roman"/>
                <w:spacing w:val="-1"/>
                <w:sz w:val="18"/>
              </w:rPr>
              <w:t> </w:t>
            </w:r>
            <w:r>
              <w:rPr>
                <w:rFonts w:ascii="Times New Roman" w:eastAsia="Times New Roman"/>
                <w:sz w:val="20"/>
              </w:rPr>
              <w:t>369.6</w:t>
            </w:r>
            <w:r>
              <w:rPr>
                <w:spacing w:val="-2"/>
                <w:sz w:val="18"/>
              </w:rPr>
              <w:t>、氯化</w:t>
            </w:r>
            <w:r>
              <w:rPr>
                <w:spacing w:val="1"/>
                <w:sz w:val="18"/>
              </w:rPr>
              <w:t>钾 </w:t>
            </w:r>
            <w:r>
              <w:rPr>
                <w:rFonts w:ascii="Times New Roman" w:eastAsia="Times New Roman"/>
                <w:sz w:val="20"/>
              </w:rPr>
              <w:t>397.8</w:t>
            </w:r>
            <w:r>
              <w:rPr>
                <w:spacing w:val="-3"/>
                <w:sz w:val="18"/>
              </w:rPr>
              <w:t>、聚乙二醇 </w:t>
            </w:r>
            <w:r>
              <w:rPr>
                <w:rFonts w:ascii="Times New Roman" w:eastAsia="Times New Roman"/>
                <w:sz w:val="20"/>
              </w:rPr>
              <w:t>32.5</w:t>
            </w:r>
            <w:r>
              <w:rPr>
                <w:spacing w:val="-5"/>
                <w:sz w:val="18"/>
              </w:rPr>
              <w:t>、盐酸普罗</w:t>
            </w:r>
          </w:p>
          <w:p>
            <w:pPr>
              <w:pStyle w:val="TableParagraph"/>
              <w:spacing w:line="200" w:lineRule="exact"/>
              <w:ind w:left="114" w:right="87"/>
              <w:rPr>
                <w:rFonts w:ascii="Times New Roman" w:eastAsia="Times New Roman"/>
                <w:sz w:val="20"/>
              </w:rPr>
            </w:pPr>
            <w:r>
              <w:rPr>
                <w:sz w:val="18"/>
              </w:rPr>
              <w:t>帕酮 </w:t>
            </w:r>
            <w:r>
              <w:rPr>
                <w:rFonts w:ascii="Times New Roman" w:eastAsia="Times New Roman"/>
                <w:sz w:val="20"/>
              </w:rPr>
              <w:t>268.4</w:t>
            </w:r>
            <w:r>
              <w:rPr>
                <w:sz w:val="18"/>
              </w:rPr>
              <w:t>、成盐副产物 </w:t>
            </w:r>
            <w:r>
              <w:rPr>
                <w:rFonts w:ascii="Times New Roman" w:eastAsia="Times New Roman"/>
                <w:sz w:val="20"/>
              </w:rPr>
              <w:t>15.7</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8"/>
              <w:ind w:left="114"/>
              <w:jc w:val="left"/>
              <w:rPr>
                <w:sz w:val="18"/>
              </w:rPr>
            </w:pPr>
            <w:r>
              <w:rPr>
                <w:sz w:val="18"/>
              </w:rPr>
              <w:t>Σ</w:t>
            </w:r>
            <w:r>
              <w:rPr>
                <w:rFonts w:ascii="Times New Roman" w:hAnsi="Times New Roman" w:eastAsia="Times New Roman"/>
                <w:sz w:val="20"/>
              </w:rPr>
              <w:t>1051.5 </w:t>
            </w:r>
            <w:r>
              <w:rPr>
                <w:rFonts w:ascii="Times New Roman" w:hAnsi="Times New Roman" w:eastAsia="Times New Roman"/>
                <w:sz w:val="18"/>
              </w:rPr>
              <w:t>HCl </w:t>
            </w:r>
            <w:r>
              <w:rPr>
                <w:rFonts w:ascii="Times New Roman" w:hAnsi="Times New Roman" w:eastAsia="Times New Roman"/>
                <w:sz w:val="20"/>
              </w:rPr>
              <w:t>369.6</w:t>
            </w:r>
            <w:r>
              <w:rPr>
                <w:sz w:val="18"/>
              </w:rPr>
              <w:t>、氯化</w:t>
            </w:r>
          </w:p>
          <w:p>
            <w:pPr>
              <w:pStyle w:val="TableParagraph"/>
              <w:spacing w:line="239" w:lineRule="exact"/>
              <w:ind w:left="178"/>
              <w:jc w:val="left"/>
              <w:rPr>
                <w:sz w:val="18"/>
              </w:rPr>
            </w:pPr>
            <w:r>
              <w:rPr>
                <w:spacing w:val="2"/>
                <w:sz w:val="18"/>
              </w:rPr>
              <w:t>钾 </w:t>
            </w:r>
            <w:r>
              <w:rPr>
                <w:rFonts w:ascii="Times New Roman" w:eastAsia="Times New Roman"/>
                <w:sz w:val="20"/>
              </w:rPr>
              <w:t>397.8</w:t>
            </w:r>
            <w:r>
              <w:rPr>
                <w:sz w:val="18"/>
              </w:rPr>
              <w:t>、盐酸普罗帕酮</w:t>
            </w:r>
          </w:p>
          <w:p>
            <w:pPr>
              <w:pStyle w:val="TableParagraph"/>
              <w:spacing w:line="310" w:lineRule="exact"/>
              <w:ind w:left="183"/>
              <w:jc w:val="left"/>
              <w:rPr>
                <w:rFonts w:ascii="Times New Roman" w:eastAsia="Times New Roman"/>
                <w:sz w:val="20"/>
              </w:rPr>
            </w:pPr>
            <w:r>
              <w:rPr>
                <w:rFonts w:ascii="Times New Roman" w:eastAsia="Times New Roman"/>
                <w:sz w:val="20"/>
              </w:rPr>
              <w:t>268.4</w:t>
            </w:r>
            <w:r>
              <w:rPr>
                <w:spacing w:val="-1"/>
                <w:sz w:val="18"/>
              </w:rPr>
              <w:t>、成盐副产物 </w:t>
            </w:r>
            <w:r>
              <w:rPr>
                <w:rFonts w:ascii="Times New Roman" w:eastAsia="Times New Roman"/>
                <w:sz w:val="20"/>
              </w:rPr>
              <w:t>15.7</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8"/>
              <w:ind w:left="42" w:right="71"/>
              <w:rPr>
                <w:sz w:val="18"/>
              </w:rPr>
            </w:pPr>
            <w:r>
              <w:rPr>
                <w:sz w:val="18"/>
              </w:rPr>
              <w:t>Σ</w:t>
            </w:r>
            <w:r>
              <w:rPr>
                <w:rFonts w:ascii="Times New Roman" w:hAnsi="Times New Roman" w:eastAsia="Times New Roman"/>
                <w:sz w:val="20"/>
              </w:rPr>
              <w:t>1009.7</w:t>
            </w:r>
            <w:r>
              <w:rPr>
                <w:rFonts w:ascii="Times New Roman" w:hAnsi="Times New Roman" w:eastAsia="Times New Roman"/>
                <w:spacing w:val="34"/>
                <w:sz w:val="20"/>
              </w:rPr>
              <w:t> </w:t>
            </w:r>
            <w:r>
              <w:rPr>
                <w:sz w:val="18"/>
              </w:rPr>
              <w:t>水  </w:t>
            </w:r>
            <w:r>
              <w:rPr>
                <w:rFonts w:ascii="Times New Roman" w:hAnsi="Times New Roman" w:eastAsia="Times New Roman"/>
                <w:sz w:val="20"/>
              </w:rPr>
              <w:t>951.8 </w:t>
            </w:r>
            <w:r>
              <w:rPr>
                <w:spacing w:val="-60"/>
                <w:sz w:val="18"/>
              </w:rPr>
              <w:t>、正</w:t>
            </w:r>
          </w:p>
          <w:p>
            <w:pPr>
              <w:pStyle w:val="TableParagraph"/>
              <w:spacing w:line="239" w:lineRule="exact"/>
              <w:ind w:left="97" w:right="69"/>
              <w:rPr>
                <w:sz w:val="18"/>
              </w:rPr>
            </w:pPr>
            <w:r>
              <w:rPr>
                <w:spacing w:val="1"/>
                <w:sz w:val="18"/>
              </w:rPr>
              <w:t>丙胺 </w:t>
            </w:r>
            <w:r>
              <w:rPr>
                <w:rFonts w:ascii="Times New Roman" w:eastAsia="Times New Roman"/>
                <w:sz w:val="20"/>
              </w:rPr>
              <w:t>23.8</w:t>
            </w:r>
            <w:r>
              <w:rPr>
                <w:spacing w:val="-7"/>
                <w:sz w:val="18"/>
              </w:rPr>
              <w:t>、环氧氯丙烷</w:t>
            </w:r>
          </w:p>
          <w:p>
            <w:pPr>
              <w:pStyle w:val="TableParagraph"/>
              <w:spacing w:line="310" w:lineRule="exact"/>
              <w:ind w:left="97" w:right="70"/>
              <w:rPr>
                <w:rFonts w:ascii="Times New Roman" w:eastAsia="Times New Roman"/>
                <w:sz w:val="20"/>
              </w:rPr>
            </w:pPr>
            <w:r>
              <w:rPr>
                <w:rFonts w:ascii="Times New Roman" w:eastAsia="Times New Roman"/>
                <w:sz w:val="20"/>
              </w:rPr>
              <w:t>27.6</w:t>
            </w:r>
            <w:r>
              <w:rPr>
                <w:sz w:val="18"/>
              </w:rPr>
              <w:t>、聚乙二醇 </w:t>
            </w:r>
            <w:r>
              <w:rPr>
                <w:rFonts w:ascii="Times New Roman" w:eastAsia="Times New Roman"/>
                <w:sz w:val="20"/>
              </w:rPr>
              <w:t>6.5</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8"/>
              <w:ind w:left="111"/>
              <w:jc w:val="left"/>
              <w:rPr>
                <w:sz w:val="18"/>
              </w:rPr>
            </w:pPr>
            <w:r>
              <w:rPr>
                <w:sz w:val="18"/>
              </w:rPr>
              <w:t>Σ</w:t>
            </w:r>
            <w:r>
              <w:rPr>
                <w:rFonts w:ascii="Times New Roman" w:hAnsi="Times New Roman" w:eastAsia="Times New Roman"/>
                <w:sz w:val="20"/>
              </w:rPr>
              <w:t>3845.9</w:t>
            </w:r>
            <w:r>
              <w:rPr>
                <w:rFonts w:ascii="Times New Roman" w:hAnsi="Times New Roman" w:eastAsia="Times New Roman"/>
                <w:spacing w:val="37"/>
                <w:sz w:val="20"/>
              </w:rPr>
              <w:t> </w:t>
            </w:r>
            <w:r>
              <w:rPr>
                <w:sz w:val="18"/>
              </w:rPr>
              <w:t>水  </w:t>
            </w:r>
            <w:r>
              <w:rPr>
                <w:rFonts w:ascii="Times New Roman" w:hAnsi="Times New Roman" w:eastAsia="Times New Roman"/>
                <w:sz w:val="20"/>
              </w:rPr>
              <w:t>3807.2 </w:t>
            </w:r>
            <w:r>
              <w:rPr>
                <w:sz w:val="18"/>
              </w:rPr>
              <w:t>、</w:t>
            </w:r>
          </w:p>
          <w:p>
            <w:pPr>
              <w:pStyle w:val="TableParagraph"/>
              <w:spacing w:line="148" w:lineRule="auto" w:before="31"/>
              <w:ind w:left="111" w:right="87" w:firstLine="12"/>
              <w:jc w:val="left"/>
              <w:rPr>
                <w:rFonts w:ascii="Times New Roman" w:eastAsia="Times New Roman"/>
                <w:sz w:val="20"/>
              </w:rPr>
            </w:pPr>
            <w:r>
              <w:rPr>
                <w:spacing w:val="1"/>
                <w:sz w:val="18"/>
              </w:rPr>
              <w:t>正丙胺 </w:t>
            </w:r>
            <w:r>
              <w:rPr>
                <w:rFonts w:ascii="Times New Roman" w:eastAsia="Times New Roman"/>
                <w:sz w:val="20"/>
              </w:rPr>
              <w:t>5.8</w:t>
            </w:r>
            <w:r>
              <w:rPr>
                <w:sz w:val="18"/>
              </w:rPr>
              <w:t>、环氧氯丙</w:t>
            </w:r>
            <w:r>
              <w:rPr>
                <w:spacing w:val="2"/>
                <w:sz w:val="18"/>
              </w:rPr>
              <w:t>烷 </w:t>
            </w:r>
            <w:r>
              <w:rPr>
                <w:rFonts w:ascii="Times New Roman" w:eastAsia="Times New Roman"/>
                <w:sz w:val="20"/>
              </w:rPr>
              <w:t>6.9</w:t>
            </w:r>
            <w:r>
              <w:rPr>
                <w:spacing w:val="-3"/>
                <w:sz w:val="18"/>
              </w:rPr>
              <w:t>、聚乙二醇 </w:t>
            </w:r>
            <w:r>
              <w:rPr>
                <w:rFonts w:ascii="Times New Roman" w:eastAsia="Times New Roman"/>
                <w:sz w:val="20"/>
              </w:rPr>
              <w:t>26.0</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sz w:val="13"/>
              </w:rPr>
            </w:pPr>
          </w:p>
          <w:p>
            <w:pPr>
              <w:pStyle w:val="TableParagraph"/>
              <w:ind w:left="103" w:right="82"/>
              <w:rPr>
                <w:rFonts w:ascii="Times New Roman" w:eastAsia="Times New Roman"/>
                <w:sz w:val="20"/>
              </w:rPr>
            </w:pPr>
            <w:r>
              <w:rPr>
                <w:sz w:val="18"/>
              </w:rPr>
              <w:t>正丙胺</w:t>
            </w:r>
            <w:r>
              <w:rPr>
                <w:rFonts w:ascii="Times New Roman" w:eastAsia="Times New Roman"/>
                <w:sz w:val="20"/>
              </w:rPr>
              <w:t>0.1</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7"/>
              </w:rPr>
            </w:pPr>
          </w:p>
          <w:p>
            <w:pPr>
              <w:pStyle w:val="TableParagraph"/>
              <w:ind w:left="161"/>
              <w:jc w:val="left"/>
              <w:rPr>
                <w:rFonts w:ascii="Times New Roman"/>
                <w:sz w:val="18"/>
              </w:rPr>
            </w:pPr>
            <w:r>
              <w:rPr>
                <w:rFonts w:ascii="Times New Roman"/>
                <w:sz w:val="18"/>
              </w:rPr>
              <w:t>3.85</w:t>
            </w:r>
          </w:p>
        </w:tc>
        <w:tc>
          <w:tcPr>
            <w:tcW w:w="620" w:type="dxa"/>
            <w:tcBorders>
              <w:top w:val="single" w:sz="6" w:space="0" w:color="000000"/>
              <w:left w:val="single" w:sz="6" w:space="0" w:color="000000"/>
              <w:bottom w:val="single" w:sz="6" w:space="0" w:color="000000"/>
            </w:tcBorders>
          </w:tcPr>
          <w:p>
            <w:pPr>
              <w:pStyle w:val="TableParagraph"/>
              <w:spacing w:before="9"/>
              <w:jc w:val="left"/>
              <w:rPr>
                <w:sz w:val="17"/>
              </w:rPr>
            </w:pPr>
          </w:p>
          <w:p>
            <w:pPr>
              <w:pStyle w:val="TableParagraph"/>
              <w:ind w:left="90" w:right="62"/>
              <w:rPr>
                <w:rFonts w:ascii="Times New Roman"/>
                <w:sz w:val="18"/>
              </w:rPr>
            </w:pPr>
            <w:r>
              <w:rPr>
                <w:rFonts w:ascii="Times New Roman"/>
                <w:sz w:val="18"/>
              </w:rPr>
              <w:t>34.65</w:t>
            </w:r>
          </w:p>
        </w:tc>
      </w:tr>
      <w:tr>
        <w:trPr>
          <w:trHeight w:val="930" w:hRule="atLeast"/>
        </w:trPr>
        <w:tc>
          <w:tcPr>
            <w:tcW w:w="538" w:type="dxa"/>
            <w:tcBorders>
              <w:top w:val="single" w:sz="6" w:space="0" w:color="000000"/>
              <w:right w:val="single" w:sz="6" w:space="0" w:color="000000"/>
            </w:tcBorders>
          </w:tcPr>
          <w:p>
            <w:pPr>
              <w:pStyle w:val="TableParagraph"/>
              <w:spacing w:line="146" w:lineRule="auto" w:before="17"/>
              <w:ind w:left="176" w:right="156"/>
              <w:jc w:val="both"/>
              <w:rPr>
                <w:sz w:val="18"/>
              </w:rPr>
            </w:pPr>
            <w:r>
              <w:rPr>
                <w:sz w:val="18"/>
              </w:rPr>
              <w:t>盐酸地</w:t>
            </w:r>
          </w:p>
          <w:p>
            <w:pPr>
              <w:pStyle w:val="TableParagraph"/>
              <w:spacing w:line="195" w:lineRule="exact"/>
              <w:ind w:left="176"/>
              <w:jc w:val="both"/>
              <w:rPr>
                <w:sz w:val="18"/>
              </w:rPr>
            </w:pPr>
            <w:r>
              <w:rPr>
                <w:sz w:val="18"/>
              </w:rPr>
              <w:t>芬</w:t>
            </w:r>
          </w:p>
        </w:tc>
        <w:tc>
          <w:tcPr>
            <w:tcW w:w="1318" w:type="dxa"/>
            <w:tcBorders>
              <w:top w:val="single" w:sz="6" w:space="0" w:color="000000"/>
              <w:left w:val="single" w:sz="6" w:space="0" w:color="000000"/>
              <w:right w:val="single" w:sz="6" w:space="0" w:color="000000"/>
            </w:tcBorders>
          </w:tcPr>
          <w:p>
            <w:pPr>
              <w:pStyle w:val="TableParagraph"/>
              <w:spacing w:line="148" w:lineRule="auto" w:before="129"/>
              <w:ind w:left="124" w:right="96"/>
              <w:rPr>
                <w:sz w:val="18"/>
              </w:rPr>
            </w:pPr>
            <w:r>
              <w:rPr>
                <w:sz w:val="18"/>
              </w:rPr>
              <w:t>烷基化分层下层废水</w:t>
            </w:r>
          </w:p>
          <w:p>
            <w:pPr>
              <w:pStyle w:val="TableParagraph"/>
              <w:spacing w:line="275" w:lineRule="exact"/>
              <w:ind w:left="123" w:right="96"/>
              <w:rPr>
                <w:sz w:val="18"/>
              </w:rPr>
            </w:pPr>
            <w:r>
              <w:rPr>
                <w:sz w:val="18"/>
              </w:rPr>
              <w:t>（</w:t>
            </w:r>
            <w:r>
              <w:rPr>
                <w:rFonts w:ascii="Times New Roman" w:eastAsia="Times New Roman"/>
                <w:sz w:val="18"/>
              </w:rPr>
              <w:t>W6-1</w:t>
            </w:r>
            <w:r>
              <w:rPr>
                <w:sz w:val="18"/>
              </w:rPr>
              <w:t>）</w:t>
            </w:r>
          </w:p>
        </w:tc>
        <w:tc>
          <w:tcPr>
            <w:tcW w:w="3051" w:type="dxa"/>
            <w:tcBorders>
              <w:top w:val="single" w:sz="6" w:space="0" w:color="000000"/>
              <w:left w:val="single" w:sz="6" w:space="0" w:color="000000"/>
              <w:right w:val="single" w:sz="6" w:space="0" w:color="000000"/>
            </w:tcBorders>
          </w:tcPr>
          <w:p>
            <w:pPr>
              <w:pStyle w:val="TableParagraph"/>
              <w:spacing w:line="308" w:lineRule="exact" w:before="28"/>
              <w:ind w:left="114"/>
              <w:jc w:val="left"/>
              <w:rPr>
                <w:sz w:val="18"/>
              </w:rPr>
            </w:pPr>
            <w:r>
              <w:rPr>
                <w:sz w:val="18"/>
              </w:rPr>
              <w:t>Σ</w:t>
            </w:r>
            <w:r>
              <w:rPr>
                <w:rFonts w:ascii="Times New Roman" w:hAnsi="Times New Roman" w:eastAsia="Times New Roman"/>
                <w:sz w:val="18"/>
              </w:rPr>
              <w:t>3089.1</w:t>
            </w:r>
            <w:r>
              <w:rPr>
                <w:rFonts w:ascii="Times New Roman" w:hAnsi="Times New Roman" w:eastAsia="Times New Roman"/>
                <w:spacing w:val="36"/>
                <w:sz w:val="18"/>
              </w:rPr>
              <w:t> </w:t>
            </w:r>
            <w:r>
              <w:rPr>
                <w:rFonts w:ascii="Times New Roman" w:hAnsi="Times New Roman" w:eastAsia="Times New Roman"/>
                <w:sz w:val="18"/>
              </w:rPr>
              <w:t>NaOH</w:t>
            </w:r>
            <w:r>
              <w:rPr>
                <w:rFonts w:ascii="Times New Roman" w:hAnsi="Times New Roman" w:eastAsia="Times New Roman"/>
                <w:spacing w:val="33"/>
                <w:sz w:val="18"/>
              </w:rPr>
              <w:t> </w:t>
            </w:r>
            <w:r>
              <w:rPr>
                <w:rFonts w:ascii="Times New Roman" w:hAnsi="Times New Roman" w:eastAsia="Times New Roman"/>
                <w:sz w:val="18"/>
              </w:rPr>
              <w:t>86.6</w:t>
            </w:r>
            <w:r>
              <w:rPr>
                <w:spacing w:val="-1"/>
                <w:sz w:val="18"/>
              </w:rPr>
              <w:t>、溴化钠</w:t>
            </w:r>
            <w:r>
              <w:rPr>
                <w:rFonts w:ascii="Times New Roman" w:hAnsi="Times New Roman" w:eastAsia="Times New Roman"/>
                <w:sz w:val="18"/>
              </w:rPr>
              <w:t>723.9</w:t>
            </w:r>
            <w:r>
              <w:rPr>
                <w:sz w:val="18"/>
              </w:rPr>
              <w:t>、</w:t>
            </w:r>
          </w:p>
          <w:p>
            <w:pPr>
              <w:pStyle w:val="TableParagraph"/>
              <w:spacing w:line="146" w:lineRule="auto" w:before="31"/>
              <w:ind w:left="114" w:right="84" w:firstLine="7"/>
              <w:jc w:val="left"/>
              <w:rPr>
                <w:rFonts w:ascii="Times New Roman" w:eastAsia="Times New Roman"/>
                <w:sz w:val="18"/>
              </w:rPr>
            </w:pPr>
            <w:r>
              <w:rPr>
                <w:sz w:val="18"/>
              </w:rPr>
              <w:t>水</w:t>
            </w:r>
            <w:r>
              <w:rPr>
                <w:rFonts w:ascii="Times New Roman" w:eastAsia="Times New Roman"/>
                <w:sz w:val="18"/>
              </w:rPr>
              <w:t>2212.0</w:t>
            </w:r>
            <w:r>
              <w:rPr>
                <w:sz w:val="18"/>
              </w:rPr>
              <w:t>、</w:t>
            </w:r>
            <w:r>
              <w:rPr>
                <w:rFonts w:ascii="Times New Roman" w:eastAsia="Times New Roman"/>
                <w:sz w:val="18"/>
              </w:rPr>
              <w:t>1-</w:t>
            </w:r>
            <w:r>
              <w:rPr>
                <w:sz w:val="18"/>
              </w:rPr>
              <w:t>溴</w:t>
            </w:r>
            <w:r>
              <w:rPr>
                <w:rFonts w:ascii="Times New Roman" w:eastAsia="Times New Roman"/>
                <w:sz w:val="18"/>
              </w:rPr>
              <w:t>-3-</w:t>
            </w:r>
            <w:r>
              <w:rPr>
                <w:sz w:val="18"/>
              </w:rPr>
              <w:t>氯丙烷</w:t>
            </w:r>
            <w:r>
              <w:rPr>
                <w:rFonts w:ascii="Times New Roman" w:eastAsia="Times New Roman"/>
                <w:sz w:val="18"/>
              </w:rPr>
              <w:t>4.8</w:t>
            </w:r>
            <w:r>
              <w:rPr>
                <w:sz w:val="18"/>
              </w:rPr>
              <w:t>、</w:t>
            </w:r>
            <w:r>
              <w:rPr>
                <w:rFonts w:ascii="Times New Roman" w:eastAsia="Times New Roman"/>
                <w:sz w:val="18"/>
              </w:rPr>
              <w:t>1-</w:t>
            </w:r>
            <w:r>
              <w:rPr>
                <w:sz w:val="18"/>
              </w:rPr>
              <w:t>（</w:t>
            </w:r>
            <w:r>
              <w:rPr>
                <w:rFonts w:ascii="Times New Roman" w:eastAsia="Times New Roman"/>
                <w:sz w:val="18"/>
              </w:rPr>
              <w:t>3- </w:t>
            </w:r>
            <w:r>
              <w:rPr>
                <w:sz w:val="18"/>
              </w:rPr>
              <w:t>氯丙基</w:t>
            </w:r>
            <w:r>
              <w:rPr>
                <w:spacing w:val="-68"/>
                <w:sz w:val="18"/>
              </w:rPr>
              <w:t>）</w:t>
            </w:r>
            <w:r>
              <w:rPr>
                <w:sz w:val="18"/>
              </w:rPr>
              <w:t>哌啶</w:t>
            </w:r>
            <w:r>
              <w:rPr>
                <w:rFonts w:ascii="Times New Roman" w:eastAsia="Times New Roman"/>
                <w:sz w:val="18"/>
              </w:rPr>
              <w:t>49.4</w:t>
            </w:r>
            <w:r>
              <w:rPr>
                <w:spacing w:val="-12"/>
                <w:sz w:val="18"/>
              </w:rPr>
              <w:t>、烷基化副产物</w:t>
            </w:r>
            <w:r>
              <w:rPr>
                <w:rFonts w:ascii="Times New Roman" w:eastAsia="Times New Roman"/>
                <w:sz w:val="18"/>
              </w:rPr>
              <w:t>12.3</w:t>
            </w:r>
          </w:p>
        </w:tc>
        <w:tc>
          <w:tcPr>
            <w:tcW w:w="2283" w:type="dxa"/>
            <w:tcBorders>
              <w:top w:val="single" w:sz="6" w:space="0" w:color="000000"/>
              <w:left w:val="single" w:sz="6" w:space="0" w:color="000000"/>
              <w:right w:val="single" w:sz="6" w:space="0" w:color="000000"/>
            </w:tcBorders>
          </w:tcPr>
          <w:p>
            <w:pPr>
              <w:pStyle w:val="TableParagraph"/>
              <w:spacing w:before="16"/>
              <w:jc w:val="left"/>
              <w:rPr>
                <w:sz w:val="11"/>
              </w:rPr>
            </w:pPr>
          </w:p>
          <w:p>
            <w:pPr>
              <w:pStyle w:val="TableParagraph"/>
              <w:spacing w:line="146" w:lineRule="auto"/>
              <w:ind w:left="831" w:right="116" w:hanging="684"/>
              <w:jc w:val="left"/>
              <w:rPr>
                <w:rFonts w:ascii="Times New Roman" w:hAnsi="Times New Roman" w:eastAsia="Times New Roman"/>
                <w:sz w:val="18"/>
              </w:rPr>
            </w:pPr>
            <w:r>
              <w:rPr>
                <w:sz w:val="18"/>
              </w:rPr>
              <w:t>Σ</w:t>
            </w:r>
            <w:r>
              <w:rPr>
                <w:rFonts w:ascii="Times New Roman" w:hAnsi="Times New Roman" w:eastAsia="Times New Roman"/>
                <w:sz w:val="18"/>
              </w:rPr>
              <w:t>810.5 NaOH 86.6</w:t>
            </w:r>
            <w:r>
              <w:rPr>
                <w:sz w:val="18"/>
              </w:rPr>
              <w:t>、溴化钠 </w:t>
            </w:r>
            <w:r>
              <w:rPr>
                <w:rFonts w:ascii="Times New Roman" w:hAnsi="Times New Roman" w:eastAsia="Times New Roman"/>
                <w:sz w:val="18"/>
              </w:rPr>
              <w:t>723.9</w:t>
            </w:r>
          </w:p>
        </w:tc>
        <w:tc>
          <w:tcPr>
            <w:tcW w:w="2021" w:type="dxa"/>
            <w:tcBorders>
              <w:top w:val="single" w:sz="6" w:space="0" w:color="000000"/>
              <w:left w:val="single" w:sz="6" w:space="0" w:color="000000"/>
              <w:right w:val="single" w:sz="6" w:space="0" w:color="000000"/>
            </w:tcBorders>
          </w:tcPr>
          <w:p>
            <w:pPr>
              <w:pStyle w:val="TableParagraph"/>
              <w:spacing w:line="221" w:lineRule="exact"/>
              <w:ind w:left="97" w:right="69"/>
              <w:rPr>
                <w:sz w:val="18"/>
              </w:rPr>
            </w:pPr>
            <w:r>
              <w:rPr>
                <w:sz w:val="18"/>
              </w:rPr>
              <w:t>Σ</w:t>
            </w:r>
            <w:r>
              <w:rPr>
                <w:rFonts w:ascii="Times New Roman" w:hAnsi="Times New Roman" w:eastAsia="Times New Roman"/>
                <w:sz w:val="18"/>
              </w:rPr>
              <w:t>495.7 </w:t>
            </w:r>
            <w:r>
              <w:rPr>
                <w:sz w:val="18"/>
              </w:rPr>
              <w:t>水 </w:t>
            </w:r>
            <w:r>
              <w:rPr>
                <w:rFonts w:ascii="Times New Roman" w:hAnsi="Times New Roman" w:eastAsia="Times New Roman"/>
                <w:sz w:val="18"/>
              </w:rPr>
              <w:t>442.4</w:t>
            </w:r>
            <w:r>
              <w:rPr>
                <w:sz w:val="18"/>
              </w:rPr>
              <w:t>、</w:t>
            </w:r>
            <w:r>
              <w:rPr>
                <w:rFonts w:ascii="Times New Roman" w:hAnsi="Times New Roman" w:eastAsia="Times New Roman"/>
                <w:sz w:val="18"/>
              </w:rPr>
              <w:t>1-</w:t>
            </w:r>
            <w:r>
              <w:rPr>
                <w:sz w:val="18"/>
              </w:rPr>
              <w:t>溴</w:t>
            </w:r>
          </w:p>
          <w:p>
            <w:pPr>
              <w:pStyle w:val="TableParagraph"/>
              <w:spacing w:line="233" w:lineRule="exact"/>
              <w:ind w:left="97" w:right="69"/>
              <w:rPr>
                <w:rFonts w:ascii="Times New Roman" w:eastAsia="Times New Roman"/>
                <w:sz w:val="18"/>
              </w:rPr>
            </w:pPr>
            <w:r>
              <w:rPr>
                <w:rFonts w:ascii="Times New Roman" w:eastAsia="Times New Roman"/>
                <w:sz w:val="18"/>
              </w:rPr>
              <w:t>-3-</w:t>
            </w:r>
            <w:r>
              <w:rPr>
                <w:sz w:val="18"/>
              </w:rPr>
              <w:t>氯丙烷 </w:t>
            </w:r>
            <w:r>
              <w:rPr>
                <w:rFonts w:ascii="Times New Roman" w:eastAsia="Times New Roman"/>
                <w:sz w:val="18"/>
              </w:rPr>
              <w:t>3.9</w:t>
            </w:r>
            <w:r>
              <w:rPr>
                <w:sz w:val="18"/>
              </w:rPr>
              <w:t>、</w:t>
            </w:r>
            <w:r>
              <w:rPr>
                <w:rFonts w:ascii="Times New Roman" w:eastAsia="Times New Roman"/>
                <w:sz w:val="18"/>
              </w:rPr>
              <w:t>1-</w:t>
            </w:r>
            <w:r>
              <w:rPr>
                <w:sz w:val="18"/>
              </w:rPr>
              <w:t>（</w:t>
            </w:r>
            <w:r>
              <w:rPr>
                <w:rFonts w:ascii="Times New Roman" w:eastAsia="Times New Roman"/>
                <w:sz w:val="18"/>
              </w:rPr>
              <w:t>3-</w:t>
            </w:r>
          </w:p>
          <w:p>
            <w:pPr>
              <w:pStyle w:val="TableParagraph"/>
              <w:spacing w:line="234" w:lineRule="exact"/>
              <w:ind w:left="97" w:right="69"/>
              <w:rPr>
                <w:sz w:val="18"/>
              </w:rPr>
            </w:pPr>
            <w:r>
              <w:rPr>
                <w:sz w:val="18"/>
              </w:rPr>
              <w:t>氯丙基）哌啶 </w:t>
            </w:r>
            <w:r>
              <w:rPr>
                <w:rFonts w:ascii="Times New Roman" w:eastAsia="Times New Roman"/>
                <w:sz w:val="18"/>
              </w:rPr>
              <w:t>39.5</w:t>
            </w:r>
            <w:r>
              <w:rPr>
                <w:sz w:val="18"/>
              </w:rPr>
              <w:t>、烷</w:t>
            </w:r>
          </w:p>
          <w:p>
            <w:pPr>
              <w:pStyle w:val="TableParagraph"/>
              <w:spacing w:line="223" w:lineRule="exact"/>
              <w:ind w:left="97" w:right="70"/>
              <w:rPr>
                <w:rFonts w:ascii="Times New Roman" w:eastAsia="Times New Roman"/>
                <w:sz w:val="18"/>
              </w:rPr>
            </w:pPr>
            <w:r>
              <w:rPr>
                <w:sz w:val="18"/>
              </w:rPr>
              <w:t>基化副产物 </w:t>
            </w:r>
            <w:r>
              <w:rPr>
                <w:rFonts w:ascii="Times New Roman" w:eastAsia="Times New Roman"/>
                <w:sz w:val="18"/>
              </w:rPr>
              <w:t>9.9</w:t>
            </w:r>
          </w:p>
        </w:tc>
        <w:tc>
          <w:tcPr>
            <w:tcW w:w="1976" w:type="dxa"/>
            <w:tcBorders>
              <w:top w:val="single" w:sz="6" w:space="0" w:color="000000"/>
              <w:left w:val="single" w:sz="6" w:space="0" w:color="000000"/>
              <w:right w:val="single" w:sz="6" w:space="0" w:color="000000"/>
            </w:tcBorders>
          </w:tcPr>
          <w:p>
            <w:pPr>
              <w:pStyle w:val="TableParagraph"/>
              <w:spacing w:line="221" w:lineRule="exact"/>
              <w:ind w:left="23"/>
              <w:rPr>
                <w:rFonts w:ascii="Times New Roman" w:hAnsi="Times New Roman" w:eastAsia="Times New Roman"/>
                <w:sz w:val="18"/>
              </w:rPr>
            </w:pPr>
            <w:r>
              <w:rPr>
                <w:sz w:val="18"/>
              </w:rPr>
              <w:t>Σ</w:t>
            </w:r>
            <w:r>
              <w:rPr>
                <w:rFonts w:ascii="Times New Roman" w:hAnsi="Times New Roman" w:eastAsia="Times New Roman"/>
                <w:sz w:val="18"/>
              </w:rPr>
              <w:t>1782.9 </w:t>
            </w:r>
            <w:r>
              <w:rPr>
                <w:spacing w:val="1"/>
                <w:sz w:val="18"/>
              </w:rPr>
              <w:t>水 </w:t>
            </w:r>
            <w:r>
              <w:rPr>
                <w:rFonts w:ascii="Times New Roman" w:hAnsi="Times New Roman" w:eastAsia="Times New Roman"/>
                <w:sz w:val="18"/>
              </w:rPr>
              <w:t>1769.6 </w:t>
            </w:r>
            <w:r>
              <w:rPr>
                <w:spacing w:val="-12"/>
                <w:sz w:val="18"/>
              </w:rPr>
              <w:t>、 </w:t>
            </w:r>
            <w:r>
              <w:rPr>
                <w:rFonts w:ascii="Times New Roman" w:hAnsi="Times New Roman" w:eastAsia="Times New Roman"/>
                <w:sz w:val="18"/>
              </w:rPr>
              <w:t>1-</w:t>
            </w:r>
          </w:p>
          <w:p>
            <w:pPr>
              <w:pStyle w:val="TableParagraph"/>
              <w:spacing w:line="233" w:lineRule="exact"/>
              <w:ind w:left="23"/>
              <w:rPr>
                <w:rFonts w:ascii="Times New Roman" w:eastAsia="Times New Roman"/>
                <w:sz w:val="18"/>
              </w:rPr>
            </w:pPr>
            <w:r>
              <w:rPr>
                <w:sz w:val="18"/>
              </w:rPr>
              <w:t>溴</w:t>
            </w:r>
            <w:r>
              <w:rPr>
                <w:rFonts w:ascii="Times New Roman" w:eastAsia="Times New Roman"/>
                <w:sz w:val="18"/>
              </w:rPr>
              <w:t>-3-</w:t>
            </w:r>
            <w:r>
              <w:rPr>
                <w:spacing w:val="2"/>
                <w:sz w:val="18"/>
              </w:rPr>
              <w:t>氯丙烷 </w:t>
            </w:r>
            <w:r>
              <w:rPr>
                <w:rFonts w:ascii="Times New Roman" w:eastAsia="Times New Roman"/>
                <w:sz w:val="18"/>
              </w:rPr>
              <w:t>0.9</w:t>
            </w:r>
            <w:r>
              <w:rPr>
                <w:spacing w:val="-51"/>
                <w:sz w:val="18"/>
              </w:rPr>
              <w:t>、</w:t>
            </w:r>
            <w:r>
              <w:rPr>
                <w:rFonts w:ascii="Times New Roman" w:eastAsia="Times New Roman"/>
                <w:spacing w:val="-11"/>
                <w:sz w:val="18"/>
              </w:rPr>
              <w:t>1-</w:t>
            </w:r>
            <w:r>
              <w:rPr>
                <w:spacing w:val="-11"/>
                <w:sz w:val="18"/>
              </w:rPr>
              <w:t>（</w:t>
            </w:r>
            <w:r>
              <w:rPr>
                <w:rFonts w:ascii="Times New Roman" w:eastAsia="Times New Roman"/>
                <w:spacing w:val="-11"/>
                <w:sz w:val="18"/>
              </w:rPr>
              <w:t>3-</w:t>
            </w:r>
          </w:p>
          <w:p>
            <w:pPr>
              <w:pStyle w:val="TableParagraph"/>
              <w:spacing w:line="234" w:lineRule="exact"/>
              <w:ind w:left="23"/>
              <w:rPr>
                <w:sz w:val="18"/>
              </w:rPr>
            </w:pPr>
            <w:r>
              <w:rPr>
                <w:sz w:val="18"/>
              </w:rPr>
              <w:t>氯丙基）</w:t>
            </w:r>
            <w:r>
              <w:rPr>
                <w:spacing w:val="2"/>
                <w:sz w:val="18"/>
              </w:rPr>
              <w:t>哌啶 </w:t>
            </w:r>
            <w:r>
              <w:rPr>
                <w:rFonts w:ascii="Times New Roman" w:eastAsia="Times New Roman"/>
                <w:sz w:val="18"/>
              </w:rPr>
              <w:t>9.9</w:t>
            </w:r>
            <w:r>
              <w:rPr>
                <w:sz w:val="18"/>
              </w:rPr>
              <w:t>、烷</w:t>
            </w:r>
          </w:p>
          <w:p>
            <w:pPr>
              <w:pStyle w:val="TableParagraph"/>
              <w:spacing w:line="223" w:lineRule="exact"/>
              <w:ind w:left="19"/>
              <w:rPr>
                <w:rFonts w:ascii="Times New Roman" w:eastAsia="Times New Roman"/>
                <w:sz w:val="18"/>
              </w:rPr>
            </w:pPr>
            <w:r>
              <w:rPr>
                <w:sz w:val="18"/>
              </w:rPr>
              <w:t>基化副产物 </w:t>
            </w:r>
            <w:r>
              <w:rPr>
                <w:rFonts w:ascii="Times New Roman" w:eastAsia="Times New Roman"/>
                <w:sz w:val="18"/>
              </w:rPr>
              <w:t>2.5</w:t>
            </w:r>
          </w:p>
        </w:tc>
        <w:tc>
          <w:tcPr>
            <w:tcW w:w="1030" w:type="dxa"/>
            <w:tcBorders>
              <w:top w:val="single" w:sz="6" w:space="0" w:color="000000"/>
              <w:left w:val="single" w:sz="6" w:space="0" w:color="000000"/>
              <w:right w:val="single" w:sz="6" w:space="0" w:color="000000"/>
            </w:tcBorders>
          </w:tcPr>
          <w:p>
            <w:pPr>
              <w:pStyle w:val="TableParagraph"/>
              <w:spacing w:line="307" w:lineRule="exact" w:before="146"/>
              <w:ind w:left="156"/>
              <w:jc w:val="left"/>
              <w:rPr>
                <w:sz w:val="18"/>
              </w:rPr>
            </w:pPr>
            <w:r>
              <w:rPr>
                <w:rFonts w:ascii="Times New Roman" w:eastAsia="Times New Roman"/>
                <w:sz w:val="18"/>
              </w:rPr>
              <w:t>1-</w:t>
            </w:r>
            <w:r>
              <w:rPr>
                <w:sz w:val="18"/>
              </w:rPr>
              <w:t>溴</w:t>
            </w:r>
            <w:r>
              <w:rPr>
                <w:rFonts w:ascii="Times New Roman" w:eastAsia="Times New Roman"/>
                <w:sz w:val="18"/>
              </w:rPr>
              <w:t>-3-</w:t>
            </w:r>
            <w:r>
              <w:rPr>
                <w:sz w:val="18"/>
              </w:rPr>
              <w:t>氯</w:t>
            </w:r>
          </w:p>
          <w:p>
            <w:pPr>
              <w:pStyle w:val="TableParagraph"/>
              <w:spacing w:line="307" w:lineRule="exact"/>
              <w:ind w:left="156"/>
              <w:jc w:val="left"/>
              <w:rPr>
                <w:rFonts w:ascii="Times New Roman" w:eastAsia="Times New Roman"/>
                <w:sz w:val="18"/>
              </w:rPr>
            </w:pPr>
            <w:r>
              <w:rPr>
                <w:spacing w:val="1"/>
                <w:sz w:val="18"/>
              </w:rPr>
              <w:t>丙烷 </w:t>
            </w:r>
            <w:r>
              <w:rPr>
                <w:rFonts w:ascii="Times New Roman" w:eastAsia="Times New Roman"/>
                <w:sz w:val="18"/>
              </w:rPr>
              <w:t>0.02</w:t>
            </w:r>
          </w:p>
        </w:tc>
        <w:tc>
          <w:tcPr>
            <w:tcW w:w="627" w:type="dxa"/>
            <w:tcBorders>
              <w:top w:val="single" w:sz="6" w:space="0" w:color="000000"/>
              <w:left w:val="single" w:sz="6" w:space="0" w:color="000000"/>
              <w:right w:val="single" w:sz="6" w:space="0" w:color="000000"/>
            </w:tcBorders>
          </w:tcPr>
          <w:p>
            <w:pPr>
              <w:pStyle w:val="TableParagraph"/>
              <w:spacing w:before="18"/>
              <w:jc w:val="left"/>
              <w:rPr>
                <w:sz w:val="16"/>
              </w:rPr>
            </w:pPr>
          </w:p>
          <w:p>
            <w:pPr>
              <w:pStyle w:val="TableParagraph"/>
              <w:ind w:left="161"/>
              <w:jc w:val="left"/>
              <w:rPr>
                <w:rFonts w:ascii="Times New Roman"/>
                <w:sz w:val="18"/>
              </w:rPr>
            </w:pPr>
            <w:r>
              <w:rPr>
                <w:rFonts w:ascii="Times New Roman"/>
                <w:sz w:val="18"/>
              </w:rPr>
              <w:t>1.78</w:t>
            </w:r>
          </w:p>
        </w:tc>
        <w:tc>
          <w:tcPr>
            <w:tcW w:w="620" w:type="dxa"/>
            <w:tcBorders>
              <w:top w:val="single" w:sz="6" w:space="0" w:color="000000"/>
              <w:left w:val="single" w:sz="6" w:space="0" w:color="000000"/>
            </w:tcBorders>
          </w:tcPr>
          <w:p>
            <w:pPr>
              <w:pStyle w:val="TableParagraph"/>
              <w:spacing w:before="18"/>
              <w:jc w:val="left"/>
              <w:rPr>
                <w:sz w:val="16"/>
              </w:rPr>
            </w:pPr>
          </w:p>
          <w:p>
            <w:pPr>
              <w:pStyle w:val="TableParagraph"/>
              <w:ind w:left="90" w:right="61"/>
              <w:rPr>
                <w:rFonts w:ascii="Times New Roman"/>
                <w:sz w:val="18"/>
              </w:rPr>
            </w:pPr>
            <w:r>
              <w:rPr>
                <w:rFonts w:ascii="Times New Roman"/>
                <w:sz w:val="18"/>
              </w:rPr>
              <w:t>35.6</w:t>
            </w:r>
          </w:p>
        </w:tc>
      </w:tr>
    </w:tbl>
    <w:p>
      <w:pPr>
        <w:spacing w:after="0"/>
        <w:rPr>
          <w:rFonts w:ascii="Times New Roman"/>
          <w:sz w:val="18"/>
        </w:rPr>
        <w:sectPr>
          <w:headerReference w:type="default" r:id="rId9"/>
          <w:footerReference w:type="default" r:id="rId10"/>
          <w:pgSz w:w="16840" w:h="11910" w:orient="landscape"/>
          <w:pgMar w:header="877" w:footer="973" w:top="1180" w:bottom="1160" w:left="1560" w:right="1540"/>
          <w:pgNumType w:start="137"/>
        </w:sectPr>
      </w:pPr>
    </w:p>
    <w:p>
      <w:pPr>
        <w:pStyle w:val="BodyText"/>
        <w:spacing w:before="6"/>
        <w:rPr>
          <w:rFonts w:ascii="Times New Roman"/>
          <w:sz w:val="2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1318"/>
        <w:gridCol w:w="656"/>
        <w:gridCol w:w="2397"/>
        <w:gridCol w:w="2284"/>
        <w:gridCol w:w="2022"/>
        <w:gridCol w:w="1977"/>
        <w:gridCol w:w="1031"/>
        <w:gridCol w:w="628"/>
        <w:gridCol w:w="621"/>
      </w:tblGrid>
      <w:tr>
        <w:trPr>
          <w:trHeight w:val="935" w:hRule="atLeast"/>
        </w:trPr>
        <w:tc>
          <w:tcPr>
            <w:tcW w:w="538" w:type="dxa"/>
            <w:vMerge w:val="restart"/>
            <w:tcBorders>
              <w:bottom w:val="single" w:sz="6" w:space="0" w:color="000000"/>
              <w:right w:val="single" w:sz="6" w:space="0" w:color="000000"/>
            </w:tcBorders>
          </w:tcPr>
          <w:p>
            <w:pPr>
              <w:pStyle w:val="TableParagraph"/>
              <w:spacing w:line="146" w:lineRule="auto" w:before="19"/>
              <w:ind w:left="176" w:right="156"/>
              <w:jc w:val="left"/>
              <w:rPr>
                <w:sz w:val="18"/>
              </w:rPr>
            </w:pPr>
            <w:r>
              <w:rPr>
                <w:sz w:val="18"/>
              </w:rPr>
              <w:t>尼多</w:t>
            </w:r>
          </w:p>
        </w:tc>
        <w:tc>
          <w:tcPr>
            <w:tcW w:w="1318" w:type="dxa"/>
            <w:tcBorders>
              <w:left w:val="single" w:sz="6" w:space="0" w:color="000000"/>
              <w:bottom w:val="single" w:sz="6" w:space="0" w:color="000000"/>
              <w:right w:val="single" w:sz="6" w:space="0" w:color="000000"/>
            </w:tcBorders>
          </w:tcPr>
          <w:p>
            <w:pPr>
              <w:pStyle w:val="TableParagraph"/>
              <w:spacing w:line="146" w:lineRule="auto" w:before="134"/>
              <w:ind w:left="124" w:right="96"/>
              <w:jc w:val="both"/>
              <w:rPr>
                <w:sz w:val="18"/>
              </w:rPr>
            </w:pPr>
            <w:r>
              <w:rPr>
                <w:sz w:val="18"/>
              </w:rPr>
              <w:t>烷基化后洗涤分层底层废盐水（</w:t>
            </w:r>
            <w:r>
              <w:rPr>
                <w:rFonts w:ascii="Times New Roman" w:eastAsia="Times New Roman"/>
                <w:sz w:val="18"/>
              </w:rPr>
              <w:t>W6-2</w:t>
            </w:r>
            <w:r>
              <w:rPr>
                <w:sz w:val="18"/>
              </w:rPr>
              <w:t>）</w:t>
            </w:r>
          </w:p>
        </w:tc>
        <w:tc>
          <w:tcPr>
            <w:tcW w:w="3053" w:type="dxa"/>
            <w:gridSpan w:val="2"/>
            <w:tcBorders>
              <w:left w:val="single" w:sz="6" w:space="0" w:color="000000"/>
              <w:bottom w:val="single" w:sz="6" w:space="0" w:color="000000"/>
              <w:right w:val="single" w:sz="6" w:space="0" w:color="000000"/>
            </w:tcBorders>
          </w:tcPr>
          <w:p>
            <w:pPr>
              <w:pStyle w:val="TableParagraph"/>
              <w:spacing w:line="223" w:lineRule="exact"/>
              <w:ind w:left="315"/>
              <w:jc w:val="left"/>
              <w:rPr>
                <w:sz w:val="18"/>
              </w:rPr>
            </w:pPr>
            <w:r>
              <w:rPr>
                <w:sz w:val="18"/>
              </w:rPr>
              <w:t>Σ</w:t>
            </w:r>
            <w:r>
              <w:rPr>
                <w:rFonts w:ascii="Times New Roman" w:hAnsi="Times New Roman" w:eastAsia="Times New Roman"/>
                <w:sz w:val="18"/>
              </w:rPr>
              <w:t>1150.8 </w:t>
            </w:r>
            <w:r>
              <w:rPr>
                <w:sz w:val="18"/>
              </w:rPr>
              <w:t>溴化钠</w:t>
            </w:r>
            <w:r>
              <w:rPr>
                <w:rFonts w:ascii="Times New Roman" w:hAnsi="Times New Roman" w:eastAsia="Times New Roman"/>
                <w:sz w:val="18"/>
              </w:rPr>
              <w:t>63</w:t>
            </w:r>
            <w:r>
              <w:rPr>
                <w:sz w:val="18"/>
              </w:rPr>
              <w:t>、水</w:t>
            </w:r>
            <w:r>
              <w:rPr>
                <w:rFonts w:ascii="Times New Roman" w:hAnsi="Times New Roman" w:eastAsia="Times New Roman"/>
                <w:sz w:val="18"/>
              </w:rPr>
              <w:t>817.3</w:t>
            </w:r>
            <w:r>
              <w:rPr>
                <w:sz w:val="18"/>
              </w:rPr>
              <w:t>、</w:t>
            </w:r>
          </w:p>
          <w:p>
            <w:pPr>
              <w:pStyle w:val="TableParagraph"/>
              <w:spacing w:line="146" w:lineRule="auto" w:before="29"/>
              <w:ind w:left="27"/>
              <w:rPr>
                <w:sz w:val="18"/>
              </w:rPr>
            </w:pPr>
            <w:r>
              <w:rPr>
                <w:rFonts w:ascii="Times New Roman" w:eastAsia="Times New Roman"/>
                <w:sz w:val="18"/>
              </w:rPr>
              <w:t>NaOH7.5</w:t>
            </w:r>
            <w:r>
              <w:rPr>
                <w:sz w:val="18"/>
              </w:rPr>
              <w:t>、</w:t>
            </w:r>
            <w:r>
              <w:rPr>
                <w:rFonts w:ascii="Times New Roman" w:eastAsia="Times New Roman"/>
                <w:sz w:val="18"/>
              </w:rPr>
              <w:t>NaCl 225</w:t>
            </w:r>
            <w:r>
              <w:rPr>
                <w:sz w:val="18"/>
              </w:rPr>
              <w:t>、</w:t>
            </w:r>
            <w:r>
              <w:rPr>
                <w:rFonts w:ascii="Times New Roman" w:eastAsia="Times New Roman"/>
                <w:sz w:val="18"/>
              </w:rPr>
              <w:t>1-</w:t>
            </w:r>
            <w:r>
              <w:rPr>
                <w:sz w:val="18"/>
              </w:rPr>
              <w:t>溴</w:t>
            </w:r>
            <w:r>
              <w:rPr>
                <w:rFonts w:ascii="Times New Roman" w:eastAsia="Times New Roman"/>
                <w:sz w:val="18"/>
              </w:rPr>
              <w:t>-3-</w:t>
            </w:r>
            <w:r>
              <w:rPr>
                <w:sz w:val="18"/>
              </w:rPr>
              <w:t>氯丙烷</w:t>
            </w:r>
            <w:r>
              <w:rPr>
                <w:rFonts w:ascii="Times New Roman" w:eastAsia="Times New Roman"/>
                <w:sz w:val="18"/>
              </w:rPr>
              <w:t>2.8</w:t>
            </w:r>
            <w:r>
              <w:rPr>
                <w:sz w:val="18"/>
              </w:rPr>
              <w:t>、</w:t>
            </w:r>
            <w:r>
              <w:rPr>
                <w:rFonts w:ascii="Times New Roman" w:eastAsia="Times New Roman"/>
                <w:sz w:val="18"/>
              </w:rPr>
              <w:t>1-</w:t>
            </w:r>
            <w:r>
              <w:rPr>
                <w:sz w:val="18"/>
              </w:rPr>
              <w:t>（</w:t>
            </w:r>
            <w:r>
              <w:rPr>
                <w:rFonts w:ascii="Times New Roman" w:eastAsia="Times New Roman"/>
                <w:sz w:val="18"/>
              </w:rPr>
              <w:t>3-</w:t>
            </w:r>
            <w:r>
              <w:rPr>
                <w:sz w:val="18"/>
              </w:rPr>
              <w:t>氯丙基）哌啶</w:t>
            </w:r>
            <w:r>
              <w:rPr>
                <w:rFonts w:ascii="Times New Roman" w:eastAsia="Times New Roman"/>
                <w:sz w:val="18"/>
              </w:rPr>
              <w:t>28.1</w:t>
            </w:r>
            <w:r>
              <w:rPr>
                <w:sz w:val="18"/>
              </w:rPr>
              <w:t>、烷基</w:t>
            </w:r>
          </w:p>
          <w:p>
            <w:pPr>
              <w:pStyle w:val="TableParagraph"/>
              <w:spacing w:line="197" w:lineRule="exact"/>
              <w:ind w:left="21"/>
              <w:rPr>
                <w:rFonts w:ascii="Times New Roman" w:eastAsia="Times New Roman"/>
                <w:sz w:val="18"/>
              </w:rPr>
            </w:pPr>
            <w:r>
              <w:rPr>
                <w:sz w:val="18"/>
              </w:rPr>
              <w:t>化副产物</w:t>
            </w:r>
            <w:r>
              <w:rPr>
                <w:rFonts w:ascii="Times New Roman" w:eastAsia="Times New Roman"/>
                <w:sz w:val="18"/>
              </w:rPr>
              <w:t>7</w:t>
            </w:r>
          </w:p>
        </w:tc>
        <w:tc>
          <w:tcPr>
            <w:tcW w:w="2284" w:type="dxa"/>
            <w:tcBorders>
              <w:left w:val="single" w:sz="6" w:space="0" w:color="000000"/>
              <w:bottom w:val="single" w:sz="6" w:space="0" w:color="000000"/>
              <w:right w:val="single" w:sz="6" w:space="0" w:color="000000"/>
            </w:tcBorders>
          </w:tcPr>
          <w:p>
            <w:pPr>
              <w:pStyle w:val="TableParagraph"/>
              <w:spacing w:line="307" w:lineRule="exact" w:before="148"/>
              <w:ind w:left="335"/>
              <w:jc w:val="left"/>
              <w:rPr>
                <w:sz w:val="18"/>
              </w:rPr>
            </w:pPr>
            <w:r>
              <w:rPr>
                <w:sz w:val="18"/>
              </w:rPr>
              <w:t>Σ</w:t>
            </w:r>
            <w:r>
              <w:rPr>
                <w:rFonts w:ascii="Times New Roman" w:hAnsi="Times New Roman" w:eastAsia="Times New Roman"/>
                <w:sz w:val="18"/>
              </w:rPr>
              <w:t>295.5   </w:t>
            </w:r>
            <w:r>
              <w:rPr>
                <w:spacing w:val="7"/>
                <w:sz w:val="18"/>
              </w:rPr>
              <w:t>溴化钠 </w:t>
            </w:r>
            <w:r>
              <w:rPr>
                <w:rFonts w:ascii="Times New Roman" w:hAnsi="Times New Roman" w:eastAsia="Times New Roman"/>
                <w:sz w:val="18"/>
              </w:rPr>
              <w:t>63</w:t>
            </w:r>
            <w:r>
              <w:rPr>
                <w:sz w:val="18"/>
              </w:rPr>
              <w:t>、</w:t>
            </w:r>
          </w:p>
          <w:p>
            <w:pPr>
              <w:pStyle w:val="TableParagraph"/>
              <w:spacing w:line="307" w:lineRule="exact"/>
              <w:ind w:left="359"/>
              <w:jc w:val="left"/>
              <w:rPr>
                <w:rFonts w:ascii="Times New Roman" w:eastAsia="Times New Roman"/>
                <w:sz w:val="18"/>
              </w:rPr>
            </w:pPr>
            <w:r>
              <w:rPr>
                <w:rFonts w:ascii="Times New Roman" w:eastAsia="Times New Roman"/>
                <w:sz w:val="18"/>
              </w:rPr>
              <w:t>NaOH7.5</w:t>
            </w:r>
            <w:r>
              <w:rPr>
                <w:sz w:val="18"/>
              </w:rPr>
              <w:t>、</w:t>
            </w:r>
            <w:r>
              <w:rPr>
                <w:rFonts w:ascii="Times New Roman" w:eastAsia="Times New Roman"/>
                <w:sz w:val="18"/>
              </w:rPr>
              <w:t>NaCl</w:t>
            </w:r>
            <w:r>
              <w:rPr>
                <w:rFonts w:ascii="Times New Roman" w:eastAsia="Times New Roman"/>
                <w:spacing w:val="-6"/>
                <w:sz w:val="18"/>
              </w:rPr>
              <w:t> </w:t>
            </w:r>
            <w:r>
              <w:rPr>
                <w:rFonts w:ascii="Times New Roman" w:eastAsia="Times New Roman"/>
                <w:sz w:val="18"/>
              </w:rPr>
              <w:t>225</w:t>
            </w:r>
          </w:p>
        </w:tc>
        <w:tc>
          <w:tcPr>
            <w:tcW w:w="2022" w:type="dxa"/>
            <w:tcBorders>
              <w:left w:val="single" w:sz="6" w:space="0" w:color="000000"/>
              <w:bottom w:val="single" w:sz="6" w:space="0" w:color="000000"/>
              <w:right w:val="single" w:sz="6" w:space="0" w:color="000000"/>
            </w:tcBorders>
          </w:tcPr>
          <w:p>
            <w:pPr>
              <w:pStyle w:val="TableParagraph"/>
              <w:spacing w:line="223" w:lineRule="exact"/>
              <w:ind w:left="96" w:right="75"/>
              <w:rPr>
                <w:sz w:val="18"/>
              </w:rPr>
            </w:pPr>
            <w:r>
              <w:rPr>
                <w:sz w:val="18"/>
              </w:rPr>
              <w:t>Σ</w:t>
            </w:r>
            <w:r>
              <w:rPr>
                <w:rFonts w:ascii="Times New Roman" w:hAnsi="Times New Roman" w:eastAsia="Times New Roman"/>
                <w:sz w:val="18"/>
              </w:rPr>
              <w:t>193.8 </w:t>
            </w:r>
            <w:r>
              <w:rPr>
                <w:sz w:val="18"/>
              </w:rPr>
              <w:t>水 </w:t>
            </w:r>
            <w:r>
              <w:rPr>
                <w:rFonts w:ascii="Times New Roman" w:hAnsi="Times New Roman" w:eastAsia="Times New Roman"/>
                <w:sz w:val="18"/>
              </w:rPr>
              <w:t>163.5</w:t>
            </w:r>
            <w:r>
              <w:rPr>
                <w:sz w:val="18"/>
              </w:rPr>
              <w:t>、</w:t>
            </w:r>
            <w:r>
              <w:rPr>
                <w:rFonts w:ascii="Times New Roman" w:hAnsi="Times New Roman" w:eastAsia="Times New Roman"/>
                <w:sz w:val="18"/>
              </w:rPr>
              <w:t>1-</w:t>
            </w:r>
            <w:r>
              <w:rPr>
                <w:sz w:val="18"/>
              </w:rPr>
              <w:t>溴</w:t>
            </w:r>
          </w:p>
          <w:p>
            <w:pPr>
              <w:pStyle w:val="TableParagraph"/>
              <w:spacing w:line="233" w:lineRule="exact"/>
              <w:ind w:left="96" w:right="75"/>
              <w:rPr>
                <w:rFonts w:ascii="Times New Roman" w:eastAsia="Times New Roman"/>
                <w:sz w:val="18"/>
              </w:rPr>
            </w:pPr>
            <w:r>
              <w:rPr>
                <w:rFonts w:ascii="Times New Roman" w:eastAsia="Times New Roman"/>
                <w:sz w:val="18"/>
              </w:rPr>
              <w:t>-3-</w:t>
            </w:r>
            <w:r>
              <w:rPr>
                <w:sz w:val="18"/>
              </w:rPr>
              <w:t>氯丙烷 </w:t>
            </w:r>
            <w:r>
              <w:rPr>
                <w:rFonts w:ascii="Times New Roman" w:eastAsia="Times New Roman"/>
                <w:sz w:val="18"/>
              </w:rPr>
              <w:t>2.2</w:t>
            </w:r>
            <w:r>
              <w:rPr>
                <w:sz w:val="18"/>
              </w:rPr>
              <w:t>、</w:t>
            </w:r>
            <w:r>
              <w:rPr>
                <w:rFonts w:ascii="Times New Roman" w:eastAsia="Times New Roman"/>
                <w:sz w:val="18"/>
              </w:rPr>
              <w:t>1-</w:t>
            </w:r>
            <w:r>
              <w:rPr>
                <w:sz w:val="18"/>
              </w:rPr>
              <w:t>（</w:t>
            </w:r>
            <w:r>
              <w:rPr>
                <w:rFonts w:ascii="Times New Roman" w:eastAsia="Times New Roman"/>
                <w:sz w:val="18"/>
              </w:rPr>
              <w:t>3-</w:t>
            </w:r>
          </w:p>
          <w:p>
            <w:pPr>
              <w:pStyle w:val="TableParagraph"/>
              <w:spacing w:line="233" w:lineRule="exact"/>
              <w:ind w:left="96" w:right="75"/>
              <w:rPr>
                <w:sz w:val="18"/>
              </w:rPr>
            </w:pPr>
            <w:r>
              <w:rPr>
                <w:sz w:val="18"/>
              </w:rPr>
              <w:t>氯丙基）哌啶 </w:t>
            </w:r>
            <w:r>
              <w:rPr>
                <w:rFonts w:ascii="Times New Roman" w:eastAsia="Times New Roman"/>
                <w:sz w:val="18"/>
              </w:rPr>
              <w:t>22.5</w:t>
            </w:r>
            <w:r>
              <w:rPr>
                <w:sz w:val="18"/>
              </w:rPr>
              <w:t>、烷</w:t>
            </w:r>
          </w:p>
          <w:p>
            <w:pPr>
              <w:pStyle w:val="TableParagraph"/>
              <w:spacing w:line="227" w:lineRule="exact"/>
              <w:ind w:left="95" w:right="75"/>
              <w:rPr>
                <w:rFonts w:ascii="Times New Roman" w:eastAsia="Times New Roman"/>
                <w:sz w:val="18"/>
              </w:rPr>
            </w:pPr>
            <w:r>
              <w:rPr>
                <w:sz w:val="18"/>
              </w:rPr>
              <w:t>基化副产物 </w:t>
            </w:r>
            <w:r>
              <w:rPr>
                <w:rFonts w:ascii="Times New Roman" w:eastAsia="Times New Roman"/>
                <w:sz w:val="18"/>
              </w:rPr>
              <w:t>5.6</w:t>
            </w:r>
          </w:p>
        </w:tc>
        <w:tc>
          <w:tcPr>
            <w:tcW w:w="1977" w:type="dxa"/>
            <w:tcBorders>
              <w:left w:val="single" w:sz="6" w:space="0" w:color="000000"/>
              <w:bottom w:val="single" w:sz="6" w:space="0" w:color="000000"/>
              <w:right w:val="single" w:sz="6" w:space="0" w:color="000000"/>
            </w:tcBorders>
          </w:tcPr>
          <w:p>
            <w:pPr>
              <w:pStyle w:val="TableParagraph"/>
              <w:spacing w:line="223" w:lineRule="exact"/>
              <w:ind w:left="85" w:right="71"/>
              <w:rPr>
                <w:sz w:val="18"/>
              </w:rPr>
            </w:pPr>
            <w:r>
              <w:rPr>
                <w:sz w:val="18"/>
              </w:rPr>
              <w:t>Σ</w:t>
            </w:r>
            <w:r>
              <w:rPr>
                <w:rFonts w:ascii="Times New Roman" w:hAnsi="Times New Roman" w:eastAsia="Times New Roman"/>
                <w:sz w:val="18"/>
              </w:rPr>
              <w:t>661.5 </w:t>
            </w:r>
            <w:r>
              <w:rPr>
                <w:sz w:val="18"/>
              </w:rPr>
              <w:t>水 </w:t>
            </w:r>
            <w:r>
              <w:rPr>
                <w:rFonts w:ascii="Times New Roman" w:hAnsi="Times New Roman" w:eastAsia="Times New Roman"/>
                <w:sz w:val="18"/>
              </w:rPr>
              <w:t>653.9</w:t>
            </w:r>
            <w:r>
              <w:rPr>
                <w:sz w:val="18"/>
              </w:rPr>
              <w:t>、</w:t>
            </w:r>
            <w:r>
              <w:rPr>
                <w:rFonts w:ascii="Times New Roman" w:hAnsi="Times New Roman" w:eastAsia="Times New Roman"/>
                <w:sz w:val="18"/>
              </w:rPr>
              <w:t>1-</w:t>
            </w:r>
            <w:r>
              <w:rPr>
                <w:sz w:val="18"/>
              </w:rPr>
              <w:t>溴</w:t>
            </w:r>
          </w:p>
          <w:p>
            <w:pPr>
              <w:pStyle w:val="TableParagraph"/>
              <w:spacing w:line="233" w:lineRule="exact"/>
              <w:ind w:left="83" w:right="71"/>
              <w:rPr>
                <w:rFonts w:ascii="Times New Roman" w:eastAsia="Times New Roman"/>
                <w:sz w:val="18"/>
              </w:rPr>
            </w:pPr>
            <w:r>
              <w:rPr>
                <w:rFonts w:ascii="Times New Roman" w:eastAsia="Times New Roman"/>
                <w:sz w:val="18"/>
              </w:rPr>
              <w:t>-3-</w:t>
            </w:r>
            <w:r>
              <w:rPr>
                <w:spacing w:val="1"/>
                <w:sz w:val="18"/>
              </w:rPr>
              <w:t>氯丙烷 </w:t>
            </w:r>
            <w:r>
              <w:rPr>
                <w:rFonts w:ascii="Times New Roman" w:eastAsia="Times New Roman"/>
                <w:sz w:val="18"/>
              </w:rPr>
              <w:t>0.5</w:t>
            </w:r>
            <w:r>
              <w:rPr>
                <w:spacing w:val="-3"/>
                <w:sz w:val="18"/>
              </w:rPr>
              <w:t>、</w:t>
            </w:r>
            <w:r>
              <w:rPr>
                <w:rFonts w:ascii="Times New Roman" w:eastAsia="Times New Roman"/>
                <w:sz w:val="18"/>
              </w:rPr>
              <w:t>1-</w:t>
            </w:r>
            <w:r>
              <w:rPr>
                <w:sz w:val="18"/>
              </w:rPr>
              <w:t>（</w:t>
            </w:r>
            <w:r>
              <w:rPr>
                <w:rFonts w:ascii="Times New Roman" w:eastAsia="Times New Roman"/>
                <w:sz w:val="18"/>
              </w:rPr>
              <w:t>3-</w:t>
            </w:r>
          </w:p>
          <w:p>
            <w:pPr>
              <w:pStyle w:val="TableParagraph"/>
              <w:spacing w:line="233" w:lineRule="exact"/>
              <w:ind w:left="85" w:right="71"/>
              <w:rPr>
                <w:sz w:val="18"/>
              </w:rPr>
            </w:pPr>
            <w:r>
              <w:rPr>
                <w:sz w:val="18"/>
              </w:rPr>
              <w:t>氯丙基）</w:t>
            </w:r>
            <w:r>
              <w:rPr>
                <w:spacing w:val="2"/>
                <w:sz w:val="18"/>
              </w:rPr>
              <w:t>哌啶 </w:t>
            </w:r>
            <w:r>
              <w:rPr>
                <w:rFonts w:ascii="Times New Roman" w:eastAsia="Times New Roman"/>
                <w:sz w:val="18"/>
              </w:rPr>
              <w:t>5.6</w:t>
            </w:r>
            <w:r>
              <w:rPr>
                <w:sz w:val="18"/>
              </w:rPr>
              <w:t>、烷</w:t>
            </w:r>
          </w:p>
          <w:p>
            <w:pPr>
              <w:pStyle w:val="TableParagraph"/>
              <w:spacing w:line="227" w:lineRule="exact"/>
              <w:ind w:left="81" w:right="71"/>
              <w:rPr>
                <w:rFonts w:ascii="Times New Roman" w:eastAsia="Times New Roman"/>
                <w:sz w:val="18"/>
              </w:rPr>
            </w:pPr>
            <w:r>
              <w:rPr>
                <w:sz w:val="18"/>
              </w:rPr>
              <w:t>基化副产物 </w:t>
            </w:r>
            <w:r>
              <w:rPr>
                <w:rFonts w:ascii="Times New Roman" w:eastAsia="Times New Roman"/>
                <w:sz w:val="18"/>
              </w:rPr>
              <w:t>1.4</w:t>
            </w:r>
          </w:p>
        </w:tc>
        <w:tc>
          <w:tcPr>
            <w:tcW w:w="1031" w:type="dxa"/>
            <w:tcBorders>
              <w:left w:val="single" w:sz="6" w:space="0" w:color="000000"/>
              <w:bottom w:val="single" w:sz="6" w:space="0" w:color="000000"/>
              <w:right w:val="single" w:sz="6" w:space="0" w:color="000000"/>
            </w:tcBorders>
          </w:tcPr>
          <w:p>
            <w:pPr>
              <w:pStyle w:val="TableParagraph"/>
              <w:spacing w:line="307" w:lineRule="exact" w:before="148"/>
              <w:ind w:left="151"/>
              <w:jc w:val="left"/>
              <w:rPr>
                <w:sz w:val="18"/>
              </w:rPr>
            </w:pPr>
            <w:r>
              <w:rPr>
                <w:rFonts w:ascii="Times New Roman" w:eastAsia="Times New Roman"/>
                <w:sz w:val="18"/>
              </w:rPr>
              <w:t>1-</w:t>
            </w:r>
            <w:r>
              <w:rPr>
                <w:sz w:val="18"/>
              </w:rPr>
              <w:t>溴</w:t>
            </w:r>
            <w:r>
              <w:rPr>
                <w:rFonts w:ascii="Times New Roman" w:eastAsia="Times New Roman"/>
                <w:sz w:val="18"/>
              </w:rPr>
              <w:t>-3-</w:t>
            </w:r>
            <w:r>
              <w:rPr>
                <w:sz w:val="18"/>
              </w:rPr>
              <w:t>氯</w:t>
            </w:r>
          </w:p>
          <w:p>
            <w:pPr>
              <w:pStyle w:val="TableParagraph"/>
              <w:spacing w:line="307" w:lineRule="exact"/>
              <w:ind w:left="151"/>
              <w:jc w:val="left"/>
              <w:rPr>
                <w:rFonts w:ascii="Times New Roman" w:eastAsia="Times New Roman"/>
                <w:sz w:val="18"/>
              </w:rPr>
            </w:pPr>
            <w:r>
              <w:rPr>
                <w:spacing w:val="1"/>
                <w:sz w:val="18"/>
              </w:rPr>
              <w:t>丙烷 </w:t>
            </w:r>
            <w:r>
              <w:rPr>
                <w:rFonts w:ascii="Times New Roman" w:eastAsia="Times New Roman"/>
                <w:sz w:val="18"/>
              </w:rPr>
              <w:t>0.01</w:t>
            </w:r>
          </w:p>
        </w:tc>
        <w:tc>
          <w:tcPr>
            <w:tcW w:w="628" w:type="dxa"/>
            <w:tcBorders>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29"/>
              <w:ind w:left="155"/>
              <w:jc w:val="left"/>
              <w:rPr>
                <w:rFonts w:ascii="Times New Roman"/>
                <w:sz w:val="18"/>
              </w:rPr>
            </w:pPr>
            <w:r>
              <w:rPr>
                <w:rFonts w:ascii="Times New Roman"/>
                <w:sz w:val="18"/>
              </w:rPr>
              <w:t>0.66</w:t>
            </w:r>
          </w:p>
        </w:tc>
        <w:tc>
          <w:tcPr>
            <w:tcW w:w="621" w:type="dxa"/>
            <w:tcBorders>
              <w:left w:val="single" w:sz="6" w:space="0" w:color="000000"/>
              <w:bottom w:val="single" w:sz="6" w:space="0" w:color="000000"/>
            </w:tcBorders>
          </w:tcPr>
          <w:p>
            <w:pPr>
              <w:pStyle w:val="TableParagraph"/>
              <w:jc w:val="left"/>
              <w:rPr>
                <w:rFonts w:ascii="Times New Roman"/>
                <w:sz w:val="20"/>
              </w:rPr>
            </w:pPr>
          </w:p>
          <w:p>
            <w:pPr>
              <w:pStyle w:val="TableParagraph"/>
              <w:spacing w:before="129"/>
              <w:ind w:left="82" w:right="68"/>
              <w:rPr>
                <w:rFonts w:ascii="Times New Roman"/>
                <w:sz w:val="18"/>
              </w:rPr>
            </w:pPr>
            <w:r>
              <w:rPr>
                <w:rFonts w:ascii="Times New Roman"/>
                <w:sz w:val="18"/>
              </w:rPr>
              <w:t>13.2</w:t>
            </w:r>
          </w:p>
        </w:tc>
      </w:tr>
      <w:tr>
        <w:trPr>
          <w:trHeight w:val="932"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Times New Roman"/>
                <w:sz w:val="21"/>
              </w:rPr>
            </w:pPr>
          </w:p>
          <w:p>
            <w:pPr>
              <w:pStyle w:val="TableParagraph"/>
              <w:spacing w:line="146" w:lineRule="auto"/>
              <w:ind w:left="188" w:right="96" w:hanging="65"/>
              <w:jc w:val="left"/>
              <w:rPr>
                <w:sz w:val="18"/>
              </w:rPr>
            </w:pPr>
            <w:r>
              <w:rPr>
                <w:sz w:val="18"/>
              </w:rPr>
              <w:t>水解后离心母液（</w:t>
            </w:r>
            <w:r>
              <w:rPr>
                <w:rFonts w:ascii="Times New Roman" w:eastAsia="Times New Roman"/>
                <w:sz w:val="18"/>
              </w:rPr>
              <w:t>W6-3</w:t>
            </w:r>
            <w:r>
              <w:rPr>
                <w:sz w:val="18"/>
              </w:rPr>
              <w:t>）</w:t>
            </w:r>
          </w:p>
        </w:tc>
        <w:tc>
          <w:tcPr>
            <w:tcW w:w="3053" w:type="dxa"/>
            <w:gridSpan w:val="2"/>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14"/>
              <w:jc w:val="left"/>
              <w:rPr>
                <w:sz w:val="18"/>
              </w:rPr>
            </w:pPr>
            <w:r>
              <w:rPr>
                <w:sz w:val="18"/>
              </w:rPr>
              <w:t>Σ</w:t>
            </w:r>
            <w:r>
              <w:rPr>
                <w:rFonts w:ascii="Times New Roman" w:hAnsi="Times New Roman" w:eastAsia="Times New Roman"/>
                <w:sz w:val="18"/>
              </w:rPr>
              <w:t>4192.4 </w:t>
            </w:r>
            <w:r>
              <w:rPr>
                <w:sz w:val="18"/>
              </w:rPr>
              <w:t>四氢呋喃 </w:t>
            </w:r>
            <w:r>
              <w:rPr>
                <w:rFonts w:ascii="Times New Roman" w:hAnsi="Times New Roman" w:eastAsia="Times New Roman"/>
                <w:sz w:val="18"/>
              </w:rPr>
              <w:t>252.5</w:t>
            </w:r>
            <w:r>
              <w:rPr>
                <w:sz w:val="18"/>
              </w:rPr>
              <w:t>、水解产物</w:t>
            </w:r>
          </w:p>
          <w:p>
            <w:pPr>
              <w:pStyle w:val="TableParagraph"/>
              <w:spacing w:line="146" w:lineRule="auto" w:before="29"/>
              <w:ind w:left="114" w:right="-15"/>
              <w:jc w:val="left"/>
              <w:rPr>
                <w:sz w:val="18"/>
              </w:rPr>
            </w:pPr>
            <w:r>
              <w:rPr>
                <w:rFonts w:ascii="Times New Roman" w:eastAsia="Times New Roman"/>
                <w:sz w:val="18"/>
              </w:rPr>
              <w:t>219.5</w:t>
            </w:r>
            <w:r>
              <w:rPr>
                <w:spacing w:val="-8"/>
                <w:sz w:val="18"/>
              </w:rPr>
              <w:t>、氨水 </w:t>
            </w:r>
            <w:r>
              <w:rPr>
                <w:rFonts w:ascii="Times New Roman" w:eastAsia="Times New Roman"/>
                <w:sz w:val="18"/>
              </w:rPr>
              <w:t>150.9</w:t>
            </w:r>
            <w:r>
              <w:rPr>
                <w:spacing w:val="-7"/>
                <w:sz w:val="18"/>
              </w:rPr>
              <w:t>、氯化镁 </w:t>
            </w:r>
            <w:r>
              <w:rPr>
                <w:rFonts w:ascii="Times New Roman" w:eastAsia="Times New Roman"/>
                <w:sz w:val="18"/>
              </w:rPr>
              <w:t>410.6</w:t>
            </w:r>
            <w:r>
              <w:rPr>
                <w:spacing w:val="-32"/>
                <w:sz w:val="18"/>
              </w:rPr>
              <w:t>、二</w:t>
            </w:r>
            <w:r>
              <w:rPr>
                <w:spacing w:val="10"/>
                <w:sz w:val="18"/>
              </w:rPr>
              <w:t>苯甲酮</w:t>
            </w:r>
            <w:r>
              <w:rPr>
                <w:rFonts w:ascii="Times New Roman" w:eastAsia="Times New Roman"/>
                <w:sz w:val="18"/>
              </w:rPr>
              <w:t>65.1</w:t>
            </w:r>
            <w:r>
              <w:rPr>
                <w:spacing w:val="-16"/>
                <w:sz w:val="18"/>
              </w:rPr>
              <w:t>、氯化铵</w:t>
            </w:r>
            <w:r>
              <w:rPr>
                <w:rFonts w:ascii="Times New Roman" w:eastAsia="Times New Roman"/>
                <w:sz w:val="18"/>
              </w:rPr>
              <w:t>194.5</w:t>
            </w:r>
            <w:r>
              <w:rPr>
                <w:spacing w:val="-32"/>
                <w:sz w:val="18"/>
              </w:rPr>
              <w:t>、水</w:t>
            </w:r>
            <w:r>
              <w:rPr>
                <w:rFonts w:ascii="Times New Roman" w:eastAsia="Times New Roman"/>
                <w:sz w:val="18"/>
              </w:rPr>
              <w:t>2897.4</w:t>
            </w:r>
            <w:r>
              <w:rPr>
                <w:sz w:val="18"/>
              </w:rPr>
              <w:t>、</w:t>
            </w:r>
          </w:p>
          <w:p>
            <w:pPr>
              <w:pStyle w:val="TableParagraph"/>
              <w:spacing w:line="197" w:lineRule="exact"/>
              <w:ind w:left="23"/>
              <w:rPr>
                <w:rFonts w:ascii="Times New Roman" w:eastAsia="Times New Roman"/>
                <w:sz w:val="18"/>
              </w:rPr>
            </w:pPr>
            <w:r>
              <w:rPr>
                <w:sz w:val="18"/>
              </w:rPr>
              <w:t>溴乙烷 </w:t>
            </w:r>
            <w:r>
              <w:rPr>
                <w:rFonts w:ascii="Times New Roman" w:eastAsia="Times New Roman"/>
                <w:sz w:val="18"/>
              </w:rPr>
              <w:t>2.0</w:t>
            </w:r>
          </w:p>
        </w:tc>
        <w:tc>
          <w:tcPr>
            <w:tcW w:w="2284"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12" w:right="71"/>
              <w:rPr>
                <w:sz w:val="18"/>
              </w:rPr>
            </w:pPr>
            <w:r>
              <w:rPr>
                <w:sz w:val="18"/>
              </w:rPr>
              <w:t>Σ</w:t>
            </w:r>
            <w:r>
              <w:rPr>
                <w:rFonts w:ascii="Times New Roman" w:hAnsi="Times New Roman" w:eastAsia="Times New Roman"/>
                <w:sz w:val="20"/>
              </w:rPr>
              <w:t>889.6 </w:t>
            </w:r>
            <w:r>
              <w:rPr>
                <w:sz w:val="18"/>
              </w:rPr>
              <w:t>水解产物 </w:t>
            </w:r>
            <w:r>
              <w:rPr>
                <w:rFonts w:ascii="Times New Roman" w:hAnsi="Times New Roman" w:eastAsia="Times New Roman"/>
                <w:sz w:val="18"/>
              </w:rPr>
              <w:t>219.5</w:t>
            </w:r>
            <w:r>
              <w:rPr>
                <w:sz w:val="18"/>
              </w:rPr>
              <w:t>、氯化镁 </w:t>
            </w:r>
            <w:r>
              <w:rPr>
                <w:rFonts w:ascii="Times New Roman" w:hAnsi="Times New Roman" w:eastAsia="Times New Roman"/>
                <w:sz w:val="18"/>
              </w:rPr>
              <w:t>410.6</w:t>
            </w:r>
            <w:r>
              <w:rPr>
                <w:sz w:val="18"/>
              </w:rPr>
              <w:t>、二苯甲酮</w:t>
            </w:r>
          </w:p>
          <w:p>
            <w:pPr>
              <w:pStyle w:val="TableParagraph"/>
              <w:spacing w:line="275" w:lineRule="exact"/>
              <w:ind w:left="93" w:right="71"/>
              <w:rPr>
                <w:rFonts w:ascii="Times New Roman" w:eastAsia="Times New Roman"/>
                <w:sz w:val="18"/>
              </w:rPr>
            </w:pPr>
            <w:r>
              <w:rPr>
                <w:rFonts w:ascii="Times New Roman" w:eastAsia="Times New Roman"/>
                <w:sz w:val="18"/>
              </w:rPr>
              <w:t>65.1</w:t>
            </w:r>
            <w:r>
              <w:rPr>
                <w:sz w:val="18"/>
              </w:rPr>
              <w:t>、氯化铵 </w:t>
            </w:r>
            <w:r>
              <w:rPr>
                <w:rFonts w:ascii="Times New Roman" w:eastAsia="Times New Roman"/>
                <w:sz w:val="18"/>
              </w:rPr>
              <w:t>194.5</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26"/>
              <w:ind w:left="293"/>
              <w:jc w:val="left"/>
              <w:rPr>
                <w:sz w:val="18"/>
              </w:rPr>
            </w:pPr>
            <w:r>
              <w:rPr>
                <w:sz w:val="18"/>
              </w:rPr>
              <w:t>Σ</w:t>
            </w:r>
            <w:r>
              <w:rPr>
                <w:rFonts w:ascii="Times New Roman" w:hAnsi="Times New Roman" w:eastAsia="Times New Roman"/>
                <w:sz w:val="20"/>
              </w:rPr>
              <w:t>813.6</w:t>
            </w:r>
            <w:r>
              <w:rPr>
                <w:rFonts w:ascii="Times New Roman" w:hAnsi="Times New Roman" w:eastAsia="Times New Roman"/>
                <w:spacing w:val="4"/>
                <w:sz w:val="20"/>
              </w:rPr>
              <w:t>   </w:t>
            </w:r>
            <w:r>
              <w:rPr>
                <w:sz w:val="18"/>
              </w:rPr>
              <w:t>四氢呋喃</w:t>
            </w:r>
          </w:p>
          <w:p>
            <w:pPr>
              <w:pStyle w:val="TableParagraph"/>
              <w:spacing w:line="239" w:lineRule="exact"/>
              <w:ind w:left="214"/>
              <w:jc w:val="left"/>
              <w:rPr>
                <w:sz w:val="18"/>
              </w:rPr>
            </w:pPr>
            <w:r>
              <w:rPr>
                <w:rFonts w:ascii="Times New Roman" w:eastAsia="Times New Roman"/>
                <w:sz w:val="20"/>
              </w:rPr>
              <w:t>202</w:t>
            </w:r>
            <w:r>
              <w:rPr>
                <w:spacing w:val="1"/>
                <w:sz w:val="18"/>
              </w:rPr>
              <w:t>、氨水 </w:t>
            </w:r>
            <w:r>
              <w:rPr>
                <w:rFonts w:ascii="Times New Roman" w:eastAsia="Times New Roman"/>
                <w:sz w:val="20"/>
              </w:rPr>
              <w:t>30.2</w:t>
            </w:r>
            <w:r>
              <w:rPr>
                <w:sz w:val="18"/>
              </w:rPr>
              <w:t>、水</w:t>
            </w:r>
          </w:p>
          <w:p>
            <w:pPr>
              <w:pStyle w:val="TableParagraph"/>
              <w:spacing w:line="310" w:lineRule="exact"/>
              <w:ind w:left="293"/>
              <w:jc w:val="left"/>
              <w:rPr>
                <w:rFonts w:ascii="Times New Roman" w:eastAsia="Times New Roman"/>
                <w:sz w:val="18"/>
              </w:rPr>
            </w:pPr>
            <w:r>
              <w:rPr>
                <w:rFonts w:ascii="Times New Roman" w:eastAsia="Times New Roman"/>
                <w:sz w:val="20"/>
              </w:rPr>
              <w:t>579.5</w:t>
            </w:r>
            <w:r>
              <w:rPr>
                <w:sz w:val="18"/>
              </w:rPr>
              <w:t>、溴乙烷 </w:t>
            </w:r>
            <w:r>
              <w:rPr>
                <w:rFonts w:ascii="Times New Roman" w:eastAsia="Times New Roman"/>
                <w:sz w:val="18"/>
              </w:rPr>
              <w:t>2.0</w:t>
            </w:r>
          </w:p>
        </w:tc>
        <w:tc>
          <w:tcPr>
            <w:tcW w:w="1977"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31"/>
              <w:ind w:left="83" w:right="71"/>
              <w:rPr>
                <w:sz w:val="18"/>
              </w:rPr>
            </w:pPr>
            <w:r>
              <w:rPr>
                <w:w w:val="105"/>
                <w:sz w:val="18"/>
              </w:rPr>
              <w:t>Σ</w:t>
            </w:r>
            <w:r>
              <w:rPr>
                <w:rFonts w:ascii="Times New Roman" w:hAnsi="Times New Roman" w:eastAsia="Times New Roman"/>
                <w:w w:val="105"/>
                <w:sz w:val="20"/>
              </w:rPr>
              <w:t>2488.8</w:t>
            </w:r>
            <w:r>
              <w:rPr>
                <w:rFonts w:ascii="Times New Roman" w:hAnsi="Times New Roman" w:eastAsia="Times New Roman"/>
                <w:spacing w:val="51"/>
                <w:w w:val="105"/>
                <w:sz w:val="20"/>
              </w:rPr>
              <w:t> </w:t>
            </w:r>
            <w:r>
              <w:rPr>
                <w:w w:val="105"/>
                <w:sz w:val="18"/>
              </w:rPr>
              <w:t>四氢呋喃</w:t>
            </w:r>
          </w:p>
          <w:p>
            <w:pPr>
              <w:pStyle w:val="TableParagraph"/>
              <w:spacing w:line="276" w:lineRule="exact"/>
              <w:ind w:left="85" w:right="71"/>
              <w:rPr>
                <w:sz w:val="18"/>
              </w:rPr>
            </w:pPr>
            <w:r>
              <w:rPr>
                <w:rFonts w:ascii="Times New Roman" w:eastAsia="Times New Roman"/>
                <w:sz w:val="20"/>
              </w:rPr>
              <w:t>50.2</w:t>
            </w:r>
            <w:r>
              <w:rPr>
                <w:sz w:val="18"/>
              </w:rPr>
              <w:t>、氨水 </w:t>
            </w:r>
            <w:r>
              <w:rPr>
                <w:rFonts w:ascii="Times New Roman" w:eastAsia="Times New Roman"/>
                <w:sz w:val="20"/>
              </w:rPr>
              <w:t>120.8</w:t>
            </w:r>
            <w:r>
              <w:rPr>
                <w:sz w:val="18"/>
              </w:rPr>
              <w:t>、水</w:t>
            </w:r>
          </w:p>
          <w:p>
            <w:pPr>
              <w:pStyle w:val="TableParagraph"/>
              <w:spacing w:line="197" w:lineRule="exact"/>
              <w:ind w:left="84" w:right="71"/>
              <w:rPr>
                <w:rFonts w:ascii="Times New Roman"/>
                <w:sz w:val="20"/>
              </w:rPr>
            </w:pPr>
            <w:r>
              <w:rPr>
                <w:rFonts w:ascii="Times New Roman"/>
                <w:sz w:val="20"/>
              </w:rPr>
              <w:t>2317.9</w:t>
            </w:r>
          </w:p>
        </w:tc>
        <w:tc>
          <w:tcPr>
            <w:tcW w:w="1031" w:type="dxa"/>
            <w:tcBorders>
              <w:top w:val="single" w:sz="6" w:space="0" w:color="000000"/>
              <w:left w:val="single" w:sz="6" w:space="0" w:color="000000"/>
              <w:bottom w:val="single" w:sz="6" w:space="0" w:color="000000"/>
              <w:right w:val="single" w:sz="6" w:space="0" w:color="000000"/>
            </w:tcBorders>
          </w:tcPr>
          <w:p>
            <w:pPr>
              <w:pStyle w:val="TableParagraph"/>
              <w:spacing w:line="386" w:lineRule="exact" w:before="138"/>
              <w:ind w:left="63" w:right="56"/>
              <w:rPr>
                <w:sz w:val="20"/>
              </w:rPr>
            </w:pPr>
            <w:r>
              <w:rPr>
                <w:sz w:val="20"/>
              </w:rPr>
              <w:t>四氢呋喃</w:t>
            </w:r>
          </w:p>
          <w:p>
            <w:pPr>
              <w:pStyle w:val="TableParagraph"/>
              <w:spacing w:line="169" w:lineRule="exact"/>
              <w:ind w:left="64" w:right="56"/>
              <w:rPr>
                <w:rFonts w:ascii="Times New Roman"/>
                <w:sz w:val="18"/>
              </w:rPr>
            </w:pPr>
            <w:r>
              <w:rPr>
                <w:rFonts w:ascii="Times New Roman"/>
                <w:sz w:val="18"/>
              </w:rPr>
              <w:t>0.3</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27"/>
              <w:ind w:left="155"/>
              <w:jc w:val="left"/>
              <w:rPr>
                <w:rFonts w:ascii="Times New Roman"/>
                <w:sz w:val="18"/>
              </w:rPr>
            </w:pPr>
            <w:r>
              <w:rPr>
                <w:rFonts w:ascii="Times New Roman"/>
                <w:sz w:val="18"/>
              </w:rPr>
              <w:t>2.49</w:t>
            </w:r>
          </w:p>
        </w:tc>
        <w:tc>
          <w:tcPr>
            <w:tcW w:w="621"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127"/>
              <w:ind w:left="82" w:right="68"/>
              <w:rPr>
                <w:rFonts w:ascii="Times New Roman"/>
                <w:sz w:val="18"/>
              </w:rPr>
            </w:pPr>
            <w:r>
              <w:rPr>
                <w:rFonts w:ascii="Times New Roman"/>
                <w:sz w:val="18"/>
              </w:rPr>
              <w:t>49.8</w:t>
            </w:r>
          </w:p>
        </w:tc>
      </w:tr>
      <w:tr>
        <w:trPr>
          <w:trHeight w:val="912"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Times New Roman"/>
                <w:sz w:val="20"/>
              </w:rPr>
            </w:pPr>
          </w:p>
          <w:p>
            <w:pPr>
              <w:pStyle w:val="TableParagraph"/>
              <w:spacing w:line="146" w:lineRule="auto"/>
              <w:ind w:left="188" w:right="96" w:hanging="65"/>
              <w:jc w:val="left"/>
              <w:rPr>
                <w:sz w:val="18"/>
              </w:rPr>
            </w:pPr>
            <w:r>
              <w:rPr>
                <w:sz w:val="18"/>
              </w:rPr>
              <w:t>压滤后离心母液（</w:t>
            </w:r>
            <w:r>
              <w:rPr>
                <w:rFonts w:ascii="Times New Roman" w:eastAsia="Times New Roman"/>
                <w:sz w:val="18"/>
              </w:rPr>
              <w:t>W6-4</w:t>
            </w:r>
            <w:r>
              <w:rPr>
                <w:sz w:val="18"/>
              </w:rPr>
              <w:t>）</w:t>
            </w:r>
          </w:p>
        </w:tc>
        <w:tc>
          <w:tcPr>
            <w:tcW w:w="3053" w:type="dxa"/>
            <w:gridSpan w:val="2"/>
            <w:tcBorders>
              <w:top w:val="single" w:sz="6" w:space="0" w:color="000000"/>
              <w:left w:val="single" w:sz="6" w:space="0" w:color="000000"/>
              <w:bottom w:val="single" w:sz="6" w:space="0" w:color="000000"/>
              <w:right w:val="single" w:sz="6" w:space="0" w:color="000000"/>
            </w:tcBorders>
          </w:tcPr>
          <w:p>
            <w:pPr>
              <w:pStyle w:val="TableParagraph"/>
              <w:spacing w:line="146" w:lineRule="auto" w:before="123"/>
              <w:ind w:left="114" w:right="86"/>
              <w:jc w:val="both"/>
              <w:rPr>
                <w:rFonts w:ascii="Times New Roman" w:hAnsi="Times New Roman" w:eastAsia="Times New Roman"/>
                <w:sz w:val="18"/>
              </w:rPr>
            </w:pPr>
            <w:r>
              <w:rPr>
                <w:sz w:val="18"/>
              </w:rPr>
              <w:t>Σ</w:t>
            </w:r>
            <w:r>
              <w:rPr>
                <w:rFonts w:ascii="Times New Roman" w:hAnsi="Times New Roman" w:eastAsia="Times New Roman"/>
                <w:sz w:val="18"/>
              </w:rPr>
              <w:t>6043.4 </w:t>
            </w:r>
            <w:r>
              <w:rPr>
                <w:spacing w:val="3"/>
                <w:sz w:val="18"/>
              </w:rPr>
              <w:t>盐酸地芬尼多 </w:t>
            </w:r>
            <w:r>
              <w:rPr>
                <w:rFonts w:ascii="Times New Roman" w:hAnsi="Times New Roman" w:eastAsia="Times New Roman"/>
                <w:sz w:val="18"/>
              </w:rPr>
              <w:t>223.8</w:t>
            </w:r>
            <w:r>
              <w:rPr>
                <w:sz w:val="18"/>
              </w:rPr>
              <w:t>、氯化</w:t>
            </w:r>
            <w:r>
              <w:rPr>
                <w:spacing w:val="2"/>
                <w:sz w:val="18"/>
              </w:rPr>
              <w:t>铵 </w:t>
            </w:r>
            <w:r>
              <w:rPr>
                <w:rFonts w:ascii="Times New Roman" w:hAnsi="Times New Roman" w:eastAsia="Times New Roman"/>
                <w:sz w:val="18"/>
              </w:rPr>
              <w:t>66.8</w:t>
            </w:r>
            <w:r>
              <w:rPr>
                <w:spacing w:val="-5"/>
                <w:sz w:val="18"/>
              </w:rPr>
              <w:t>、水 </w:t>
            </w:r>
            <w:r>
              <w:rPr>
                <w:rFonts w:ascii="Times New Roman" w:hAnsi="Times New Roman" w:eastAsia="Times New Roman"/>
                <w:sz w:val="18"/>
              </w:rPr>
              <w:t>5635.6</w:t>
            </w:r>
            <w:r>
              <w:rPr>
                <w:spacing w:val="-4"/>
                <w:sz w:val="18"/>
              </w:rPr>
              <w:t>、氯化镁 </w:t>
            </w:r>
            <w:r>
              <w:rPr>
                <w:rFonts w:ascii="Times New Roman" w:hAnsi="Times New Roman" w:eastAsia="Times New Roman"/>
                <w:sz w:val="18"/>
              </w:rPr>
              <w:t>64.6</w:t>
            </w:r>
            <w:r>
              <w:rPr>
                <w:spacing w:val="-15"/>
                <w:sz w:val="18"/>
              </w:rPr>
              <w:t>、二</w:t>
            </w:r>
            <w:r>
              <w:rPr>
                <w:spacing w:val="1"/>
                <w:sz w:val="18"/>
              </w:rPr>
              <w:t>苯甲酮 </w:t>
            </w:r>
            <w:r>
              <w:rPr>
                <w:rFonts w:ascii="Times New Roman" w:hAnsi="Times New Roman" w:eastAsia="Times New Roman"/>
                <w:sz w:val="18"/>
              </w:rPr>
              <w:t>10.2</w:t>
            </w:r>
            <w:r>
              <w:rPr>
                <w:spacing w:val="-10"/>
                <w:sz w:val="18"/>
              </w:rPr>
              <w:t>、四氢呋喃 </w:t>
            </w:r>
            <w:r>
              <w:rPr>
                <w:rFonts w:ascii="Times New Roman" w:hAnsi="Times New Roman" w:eastAsia="Times New Roman"/>
                <w:sz w:val="18"/>
              </w:rPr>
              <w:t>30.8</w:t>
            </w:r>
            <w:r>
              <w:rPr>
                <w:spacing w:val="-60"/>
                <w:sz w:val="18"/>
              </w:rPr>
              <w:t>、</w:t>
            </w:r>
            <w:r>
              <w:rPr>
                <w:rFonts w:ascii="Times New Roman" w:hAnsi="Times New Roman" w:eastAsia="Times New Roman"/>
                <w:sz w:val="18"/>
              </w:rPr>
              <w:t>HCl11.6</w:t>
            </w:r>
          </w:p>
        </w:tc>
        <w:tc>
          <w:tcPr>
            <w:tcW w:w="2284"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ind w:left="193"/>
              <w:jc w:val="left"/>
              <w:rPr>
                <w:sz w:val="18"/>
              </w:rPr>
            </w:pPr>
            <w:r>
              <w:rPr>
                <w:sz w:val="18"/>
              </w:rPr>
              <w:t>Σ</w:t>
            </w:r>
            <w:r>
              <w:rPr>
                <w:rFonts w:ascii="Times New Roman" w:hAnsi="Times New Roman" w:eastAsia="Times New Roman"/>
                <w:sz w:val="20"/>
              </w:rPr>
              <w:t>377.1</w:t>
            </w:r>
            <w:r>
              <w:rPr>
                <w:rFonts w:ascii="Times New Roman" w:hAnsi="Times New Roman" w:eastAsia="Times New Roman"/>
                <w:spacing w:val="2"/>
                <w:sz w:val="20"/>
              </w:rPr>
              <w:t>     </w:t>
            </w:r>
            <w:r>
              <w:rPr>
                <w:sz w:val="18"/>
              </w:rPr>
              <w:t>盐酸地芬尼多</w:t>
            </w:r>
          </w:p>
          <w:p>
            <w:pPr>
              <w:pStyle w:val="TableParagraph"/>
              <w:spacing w:line="146" w:lineRule="auto" w:before="30"/>
              <w:ind w:left="131" w:right="107"/>
              <w:rPr>
                <w:sz w:val="18"/>
              </w:rPr>
            </w:pPr>
            <w:r>
              <w:rPr>
                <w:rFonts w:ascii="Times New Roman" w:eastAsia="Times New Roman"/>
                <w:sz w:val="18"/>
              </w:rPr>
              <w:t>223.8</w:t>
            </w:r>
            <w:r>
              <w:rPr>
                <w:sz w:val="18"/>
              </w:rPr>
              <w:t>、氯化铵 </w:t>
            </w:r>
            <w:r>
              <w:rPr>
                <w:rFonts w:ascii="Times New Roman" w:eastAsia="Times New Roman"/>
                <w:sz w:val="18"/>
              </w:rPr>
              <w:t>66.8</w:t>
            </w:r>
            <w:r>
              <w:rPr>
                <w:sz w:val="18"/>
              </w:rPr>
              <w:t>、氯化</w:t>
            </w:r>
            <w:r>
              <w:rPr>
                <w:spacing w:val="3"/>
                <w:sz w:val="18"/>
              </w:rPr>
              <w:t>镁 </w:t>
            </w:r>
            <w:r>
              <w:rPr>
                <w:rFonts w:ascii="Times New Roman" w:eastAsia="Times New Roman"/>
                <w:sz w:val="18"/>
              </w:rPr>
              <w:t>64.6</w:t>
            </w:r>
            <w:r>
              <w:rPr>
                <w:sz w:val="18"/>
              </w:rPr>
              <w:t>、二苯甲酮 </w:t>
            </w:r>
            <w:r>
              <w:rPr>
                <w:rFonts w:ascii="Times New Roman" w:eastAsia="Times New Roman"/>
                <w:sz w:val="18"/>
              </w:rPr>
              <w:t>10.2</w:t>
            </w:r>
            <w:r>
              <w:rPr>
                <w:sz w:val="18"/>
              </w:rPr>
              <w:t>、</w:t>
            </w:r>
          </w:p>
          <w:p>
            <w:pPr>
              <w:pStyle w:val="TableParagraph"/>
              <w:spacing w:line="169" w:lineRule="exact"/>
              <w:ind w:left="93" w:right="71"/>
              <w:rPr>
                <w:rFonts w:ascii="Times New Roman"/>
                <w:sz w:val="18"/>
              </w:rPr>
            </w:pPr>
            <w:r>
              <w:rPr>
                <w:rFonts w:ascii="Times New Roman"/>
                <w:sz w:val="18"/>
              </w:rPr>
              <w:t>HCl 11.6</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137"/>
              <w:ind w:left="94" w:right="75"/>
              <w:rPr>
                <w:sz w:val="18"/>
              </w:rPr>
            </w:pPr>
            <w:r>
              <w:rPr>
                <w:w w:val="105"/>
                <w:sz w:val="18"/>
              </w:rPr>
              <w:t>Σ</w:t>
            </w:r>
            <w:r>
              <w:rPr>
                <w:rFonts w:ascii="Times New Roman" w:hAnsi="Times New Roman" w:eastAsia="Times New Roman"/>
                <w:w w:val="105"/>
                <w:sz w:val="20"/>
              </w:rPr>
              <w:t>1151.7 </w:t>
            </w:r>
            <w:r>
              <w:rPr>
                <w:w w:val="105"/>
                <w:sz w:val="18"/>
              </w:rPr>
              <w:t>四氢呋喃</w:t>
            </w:r>
          </w:p>
          <w:p>
            <w:pPr>
              <w:pStyle w:val="TableParagraph"/>
              <w:spacing w:line="310" w:lineRule="exact"/>
              <w:ind w:left="92" w:right="75"/>
              <w:rPr>
                <w:rFonts w:ascii="Times New Roman" w:eastAsia="Times New Roman"/>
                <w:sz w:val="20"/>
              </w:rPr>
            </w:pPr>
            <w:r>
              <w:rPr>
                <w:rFonts w:ascii="Times New Roman" w:eastAsia="Times New Roman"/>
                <w:sz w:val="20"/>
              </w:rPr>
              <w:t>24.6</w:t>
            </w:r>
            <w:r>
              <w:rPr>
                <w:sz w:val="18"/>
              </w:rPr>
              <w:t>、水 </w:t>
            </w:r>
            <w:r>
              <w:rPr>
                <w:rFonts w:ascii="Times New Roman" w:eastAsia="Times New Roman"/>
                <w:sz w:val="20"/>
              </w:rPr>
              <w:t>1127.1</w:t>
            </w:r>
          </w:p>
        </w:tc>
        <w:tc>
          <w:tcPr>
            <w:tcW w:w="1977"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137"/>
              <w:ind w:left="83" w:right="71"/>
              <w:rPr>
                <w:sz w:val="18"/>
              </w:rPr>
            </w:pPr>
            <w:r>
              <w:rPr>
                <w:w w:val="105"/>
                <w:sz w:val="18"/>
              </w:rPr>
              <w:t>Σ</w:t>
            </w:r>
            <w:r>
              <w:rPr>
                <w:rFonts w:ascii="Times New Roman" w:hAnsi="Times New Roman" w:eastAsia="Times New Roman"/>
                <w:w w:val="105"/>
                <w:sz w:val="20"/>
              </w:rPr>
              <w:t>4514.5</w:t>
            </w:r>
            <w:r>
              <w:rPr>
                <w:rFonts w:ascii="Times New Roman" w:hAnsi="Times New Roman" w:eastAsia="Times New Roman"/>
                <w:spacing w:val="51"/>
                <w:w w:val="105"/>
                <w:sz w:val="20"/>
              </w:rPr>
              <w:t> </w:t>
            </w:r>
            <w:r>
              <w:rPr>
                <w:w w:val="105"/>
                <w:sz w:val="18"/>
              </w:rPr>
              <w:t>四氢呋喃</w:t>
            </w:r>
          </w:p>
          <w:p>
            <w:pPr>
              <w:pStyle w:val="TableParagraph"/>
              <w:spacing w:line="310" w:lineRule="exact"/>
              <w:ind w:left="81" w:right="71"/>
              <w:rPr>
                <w:rFonts w:ascii="Times New Roman" w:eastAsia="Times New Roman"/>
                <w:sz w:val="20"/>
              </w:rPr>
            </w:pPr>
            <w:r>
              <w:rPr>
                <w:rFonts w:ascii="Times New Roman" w:eastAsia="Times New Roman"/>
                <w:sz w:val="20"/>
              </w:rPr>
              <w:t>6.0</w:t>
            </w:r>
            <w:r>
              <w:rPr>
                <w:sz w:val="18"/>
              </w:rPr>
              <w:t>、水 </w:t>
            </w:r>
            <w:r>
              <w:rPr>
                <w:rFonts w:ascii="Times New Roman" w:eastAsia="Times New Roman"/>
                <w:sz w:val="20"/>
              </w:rPr>
              <w:t>4508.5</w:t>
            </w:r>
          </w:p>
        </w:tc>
        <w:tc>
          <w:tcPr>
            <w:tcW w:w="1031" w:type="dxa"/>
            <w:tcBorders>
              <w:top w:val="single" w:sz="6" w:space="0" w:color="000000"/>
              <w:left w:val="single" w:sz="6" w:space="0" w:color="000000"/>
              <w:bottom w:val="single" w:sz="6" w:space="0" w:color="000000"/>
              <w:right w:val="single" w:sz="6" w:space="0" w:color="000000"/>
            </w:tcBorders>
          </w:tcPr>
          <w:p>
            <w:pPr>
              <w:pStyle w:val="TableParagraph"/>
              <w:spacing w:line="386" w:lineRule="exact" w:before="129"/>
              <w:ind w:left="63" w:right="56"/>
              <w:rPr>
                <w:sz w:val="20"/>
              </w:rPr>
            </w:pPr>
            <w:r>
              <w:rPr>
                <w:sz w:val="20"/>
              </w:rPr>
              <w:t>四氢呋喃</w:t>
            </w:r>
          </w:p>
          <w:p>
            <w:pPr>
              <w:pStyle w:val="TableParagraph"/>
              <w:spacing w:line="169" w:lineRule="exact"/>
              <w:ind w:left="64" w:right="56"/>
              <w:rPr>
                <w:rFonts w:ascii="Times New Roman"/>
                <w:sz w:val="18"/>
              </w:rPr>
            </w:pPr>
            <w:r>
              <w:rPr>
                <w:rFonts w:ascii="Times New Roman"/>
                <w:sz w:val="18"/>
              </w:rPr>
              <w:t>0.2</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18"/>
              <w:ind w:left="155"/>
              <w:jc w:val="left"/>
              <w:rPr>
                <w:rFonts w:ascii="Times New Roman"/>
                <w:sz w:val="18"/>
              </w:rPr>
            </w:pPr>
            <w:r>
              <w:rPr>
                <w:rFonts w:ascii="Times New Roman"/>
                <w:sz w:val="18"/>
              </w:rPr>
              <w:t>4.51</w:t>
            </w:r>
          </w:p>
        </w:tc>
        <w:tc>
          <w:tcPr>
            <w:tcW w:w="621"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118"/>
              <w:ind w:left="82" w:right="68"/>
              <w:rPr>
                <w:rFonts w:ascii="Times New Roman"/>
                <w:sz w:val="18"/>
              </w:rPr>
            </w:pPr>
            <w:r>
              <w:rPr>
                <w:rFonts w:ascii="Times New Roman"/>
                <w:sz w:val="18"/>
              </w:rPr>
              <w:t>90.2</w:t>
            </w:r>
          </w:p>
        </w:tc>
      </w:tr>
      <w:tr>
        <w:trPr>
          <w:trHeight w:val="224"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nil"/>
              <w:right w:val="single" w:sz="6" w:space="0" w:color="000000"/>
            </w:tcBorders>
          </w:tcPr>
          <w:p>
            <w:pPr>
              <w:pStyle w:val="TableParagraph"/>
              <w:jc w:val="left"/>
              <w:rPr>
                <w:rFonts w:ascii="Times New Roman"/>
                <w:sz w:val="16"/>
              </w:rPr>
            </w:pPr>
          </w:p>
        </w:tc>
        <w:tc>
          <w:tcPr>
            <w:tcW w:w="656" w:type="dxa"/>
            <w:tcBorders>
              <w:top w:val="single" w:sz="6" w:space="0" w:color="000000"/>
              <w:left w:val="single" w:sz="6" w:space="0" w:color="000000"/>
              <w:bottom w:val="nil"/>
              <w:right w:val="single" w:sz="6" w:space="0" w:color="000000"/>
            </w:tcBorders>
          </w:tcPr>
          <w:p>
            <w:pPr>
              <w:pStyle w:val="TableParagraph"/>
              <w:jc w:val="left"/>
              <w:rPr>
                <w:rFonts w:ascii="Times New Roman"/>
                <w:sz w:val="16"/>
              </w:rPr>
            </w:pPr>
          </w:p>
        </w:tc>
        <w:tc>
          <w:tcPr>
            <w:tcW w:w="2397" w:type="dxa"/>
            <w:tcBorders>
              <w:top w:val="single" w:sz="6" w:space="0" w:color="000000"/>
              <w:left w:val="single" w:sz="6" w:space="0" w:color="000000"/>
              <w:bottom w:val="nil"/>
              <w:right w:val="single" w:sz="6" w:space="0" w:color="000000"/>
            </w:tcBorders>
          </w:tcPr>
          <w:p>
            <w:pPr>
              <w:pStyle w:val="TableParagraph"/>
              <w:spacing w:line="204" w:lineRule="exact"/>
              <w:ind w:right="212"/>
              <w:jc w:val="right"/>
              <w:rPr>
                <w:rFonts w:ascii="Times New Roman" w:hAnsi="Times New Roman" w:eastAsia="Times New Roman"/>
                <w:sz w:val="18"/>
              </w:rPr>
            </w:pPr>
            <w:r>
              <w:rPr>
                <w:sz w:val="18"/>
              </w:rPr>
              <w:t>蒸出乙醇后残液Σ</w:t>
            </w:r>
            <w:r>
              <w:rPr>
                <w:rFonts w:ascii="Times New Roman" w:hAnsi="Times New Roman" w:eastAsia="Times New Roman"/>
                <w:sz w:val="18"/>
              </w:rPr>
              <w:t>2033.9</w:t>
            </w:r>
          </w:p>
        </w:tc>
        <w:tc>
          <w:tcPr>
            <w:tcW w:w="2284" w:type="dxa"/>
            <w:tcBorders>
              <w:top w:val="single" w:sz="6" w:space="0" w:color="000000"/>
              <w:left w:val="single" w:sz="6" w:space="0" w:color="000000"/>
              <w:bottom w:val="nil"/>
              <w:right w:val="single" w:sz="6" w:space="0" w:color="000000"/>
            </w:tcBorders>
          </w:tcPr>
          <w:p>
            <w:pPr>
              <w:pStyle w:val="TableParagraph"/>
              <w:jc w:val="left"/>
              <w:rPr>
                <w:rFonts w:ascii="Times New Roman"/>
                <w:sz w:val="16"/>
              </w:rPr>
            </w:pPr>
          </w:p>
        </w:tc>
        <w:tc>
          <w:tcPr>
            <w:tcW w:w="20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Times New Roman"/>
                <w:sz w:val="23"/>
              </w:rPr>
            </w:pPr>
          </w:p>
          <w:p>
            <w:pPr>
              <w:pStyle w:val="TableParagraph"/>
              <w:spacing w:line="310" w:lineRule="exact" w:before="1"/>
              <w:ind w:left="154"/>
              <w:jc w:val="left"/>
              <w:rPr>
                <w:sz w:val="18"/>
              </w:rPr>
            </w:pPr>
            <w:r>
              <w:rPr>
                <w:w w:val="105"/>
                <w:sz w:val="18"/>
              </w:rPr>
              <w:t>Σ</w:t>
            </w:r>
            <w:r>
              <w:rPr>
                <w:rFonts w:ascii="Times New Roman" w:hAnsi="Times New Roman" w:eastAsia="Times New Roman"/>
                <w:w w:val="105"/>
                <w:sz w:val="20"/>
              </w:rPr>
              <w:t>1024.6</w:t>
            </w:r>
            <w:r>
              <w:rPr>
                <w:rFonts w:ascii="Times New Roman" w:hAnsi="Times New Roman" w:eastAsia="Times New Roman"/>
                <w:spacing w:val="48"/>
                <w:w w:val="105"/>
                <w:sz w:val="20"/>
              </w:rPr>
              <w:t> </w:t>
            </w:r>
            <w:r>
              <w:rPr>
                <w:w w:val="105"/>
                <w:sz w:val="18"/>
              </w:rPr>
              <w:t>乙醇 </w:t>
            </w:r>
            <w:r>
              <w:rPr>
                <w:rFonts w:ascii="Times New Roman" w:hAnsi="Times New Roman" w:eastAsia="Times New Roman"/>
                <w:w w:val="105"/>
                <w:sz w:val="20"/>
              </w:rPr>
              <w:t>897</w:t>
            </w:r>
            <w:r>
              <w:rPr>
                <w:w w:val="105"/>
                <w:sz w:val="18"/>
              </w:rPr>
              <w:t>、</w:t>
            </w:r>
          </w:p>
          <w:p>
            <w:pPr>
              <w:pStyle w:val="TableParagraph"/>
              <w:spacing w:line="310" w:lineRule="exact"/>
              <w:ind w:left="110"/>
              <w:jc w:val="left"/>
              <w:rPr>
                <w:rFonts w:ascii="Times New Roman" w:eastAsia="Times New Roman"/>
                <w:sz w:val="20"/>
              </w:rPr>
            </w:pPr>
            <w:r>
              <w:rPr>
                <w:spacing w:val="2"/>
                <w:sz w:val="18"/>
              </w:rPr>
              <w:t>水 </w:t>
            </w:r>
            <w:r>
              <w:rPr>
                <w:rFonts w:ascii="Times New Roman" w:eastAsia="Times New Roman"/>
                <w:sz w:val="20"/>
              </w:rPr>
              <w:t>125.1</w:t>
            </w:r>
            <w:r>
              <w:rPr>
                <w:spacing w:val="-12"/>
                <w:sz w:val="18"/>
              </w:rPr>
              <w:t>、四氢呋喃 </w:t>
            </w:r>
            <w:r>
              <w:rPr>
                <w:rFonts w:ascii="Times New Roman" w:eastAsia="Times New Roman"/>
                <w:sz w:val="20"/>
              </w:rPr>
              <w:t>2.5</w:t>
            </w:r>
          </w:p>
        </w:tc>
        <w:tc>
          <w:tcPr>
            <w:tcW w:w="19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Times New Roman"/>
                <w:sz w:val="23"/>
              </w:rPr>
            </w:pPr>
          </w:p>
          <w:p>
            <w:pPr>
              <w:pStyle w:val="TableParagraph"/>
              <w:spacing w:line="310" w:lineRule="exact" w:before="1"/>
              <w:ind w:left="107"/>
              <w:jc w:val="left"/>
              <w:rPr>
                <w:sz w:val="18"/>
              </w:rPr>
            </w:pPr>
            <w:r>
              <w:rPr>
                <w:sz w:val="18"/>
              </w:rPr>
              <w:t>Σ</w:t>
            </w:r>
            <w:r>
              <w:rPr>
                <w:rFonts w:ascii="Times New Roman" w:hAnsi="Times New Roman" w:eastAsia="Times New Roman"/>
                <w:sz w:val="20"/>
              </w:rPr>
              <w:t>719.8</w:t>
            </w:r>
            <w:r>
              <w:rPr>
                <w:rFonts w:ascii="Times New Roman" w:hAnsi="Times New Roman" w:eastAsia="Times New Roman"/>
                <w:spacing w:val="-5"/>
                <w:sz w:val="20"/>
              </w:rPr>
              <w:t> </w:t>
            </w:r>
            <w:r>
              <w:rPr>
                <w:sz w:val="18"/>
              </w:rPr>
              <w:t>乙 醇  </w:t>
            </w:r>
            <w:r>
              <w:rPr>
                <w:rFonts w:ascii="Times New Roman" w:hAnsi="Times New Roman" w:eastAsia="Times New Roman"/>
                <w:sz w:val="20"/>
              </w:rPr>
              <w:t>218.7 </w:t>
            </w:r>
            <w:r>
              <w:rPr>
                <w:sz w:val="18"/>
              </w:rPr>
              <w:t>、</w:t>
            </w:r>
          </w:p>
          <w:p>
            <w:pPr>
              <w:pStyle w:val="TableParagraph"/>
              <w:spacing w:line="310" w:lineRule="exact"/>
              <w:ind w:left="107"/>
              <w:jc w:val="left"/>
              <w:rPr>
                <w:rFonts w:ascii="Times New Roman" w:eastAsia="Times New Roman"/>
                <w:sz w:val="20"/>
              </w:rPr>
            </w:pPr>
            <w:r>
              <w:rPr>
                <w:spacing w:val="-3"/>
                <w:sz w:val="18"/>
              </w:rPr>
              <w:t>水 </w:t>
            </w:r>
            <w:r>
              <w:rPr>
                <w:rFonts w:ascii="Times New Roman" w:eastAsia="Times New Roman"/>
                <w:sz w:val="20"/>
              </w:rPr>
              <w:t>500.4</w:t>
            </w:r>
            <w:r>
              <w:rPr>
                <w:spacing w:val="-18"/>
                <w:sz w:val="18"/>
              </w:rPr>
              <w:t>、四氢呋喃 </w:t>
            </w:r>
            <w:r>
              <w:rPr>
                <w:rFonts w:ascii="Times New Roman" w:eastAsia="Times New Roman"/>
                <w:sz w:val="20"/>
              </w:rPr>
              <w:t>0.6</w:t>
            </w:r>
          </w:p>
        </w:tc>
        <w:tc>
          <w:tcPr>
            <w:tcW w:w="1031" w:type="dxa"/>
            <w:tcBorders>
              <w:top w:val="single" w:sz="6" w:space="0" w:color="000000"/>
              <w:left w:val="single" w:sz="6" w:space="0" w:color="000000"/>
              <w:bottom w:val="nil"/>
              <w:right w:val="single" w:sz="6" w:space="0" w:color="000000"/>
            </w:tcBorders>
          </w:tcPr>
          <w:p>
            <w:pPr>
              <w:pStyle w:val="TableParagraph"/>
              <w:jc w:val="left"/>
              <w:rPr>
                <w:rFonts w:ascii="Times New Roman"/>
                <w:sz w:val="16"/>
              </w:rPr>
            </w:pPr>
          </w:p>
        </w:tc>
        <w:tc>
          <w:tcPr>
            <w:tcW w:w="628" w:type="dxa"/>
            <w:tcBorders>
              <w:top w:val="single" w:sz="6" w:space="0" w:color="000000"/>
              <w:left w:val="single" w:sz="6" w:space="0" w:color="000000"/>
              <w:bottom w:val="nil"/>
              <w:right w:val="single" w:sz="6" w:space="0" w:color="000000"/>
            </w:tcBorders>
          </w:tcPr>
          <w:p>
            <w:pPr>
              <w:pStyle w:val="TableParagraph"/>
              <w:jc w:val="left"/>
              <w:rPr>
                <w:rFonts w:ascii="Times New Roman"/>
                <w:sz w:val="16"/>
              </w:rPr>
            </w:pPr>
          </w:p>
        </w:tc>
        <w:tc>
          <w:tcPr>
            <w:tcW w:w="621" w:type="dxa"/>
            <w:tcBorders>
              <w:top w:val="single" w:sz="6" w:space="0" w:color="000000"/>
              <w:left w:val="single" w:sz="6" w:space="0" w:color="000000"/>
              <w:bottom w:val="nil"/>
            </w:tcBorders>
          </w:tcPr>
          <w:p>
            <w:pPr>
              <w:pStyle w:val="TableParagraph"/>
              <w:jc w:val="left"/>
              <w:rPr>
                <w:rFonts w:ascii="Times New Roman"/>
                <w:sz w:val="16"/>
              </w:rPr>
            </w:pPr>
          </w:p>
        </w:tc>
      </w:tr>
      <w:tr>
        <w:trPr>
          <w:trHeight w:val="225"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nil"/>
              <w:left w:val="single" w:sz="6" w:space="0" w:color="000000"/>
              <w:bottom w:val="nil"/>
              <w:right w:val="single" w:sz="6" w:space="0" w:color="000000"/>
            </w:tcBorders>
          </w:tcPr>
          <w:p>
            <w:pPr>
              <w:pStyle w:val="TableParagraph"/>
              <w:spacing w:line="206" w:lineRule="exact"/>
              <w:ind w:left="104" w:right="79"/>
              <w:rPr>
                <w:sz w:val="18"/>
              </w:rPr>
            </w:pPr>
            <w:r>
              <w:rPr>
                <w:sz w:val="18"/>
              </w:rPr>
              <w:t>精制后离心母</w:t>
            </w:r>
          </w:p>
        </w:tc>
        <w:tc>
          <w:tcPr>
            <w:tcW w:w="656" w:type="dxa"/>
            <w:tcBorders>
              <w:top w:val="nil"/>
              <w:left w:val="single" w:sz="6" w:space="0" w:color="000000"/>
              <w:bottom w:val="nil"/>
              <w:right w:val="single" w:sz="6" w:space="0" w:color="000000"/>
            </w:tcBorders>
          </w:tcPr>
          <w:p>
            <w:pPr>
              <w:pStyle w:val="TableParagraph"/>
              <w:spacing w:line="206" w:lineRule="exact"/>
              <w:ind w:left="131" w:right="108"/>
              <w:rPr>
                <w:sz w:val="18"/>
              </w:rPr>
            </w:pPr>
            <w:r>
              <w:rPr>
                <w:sz w:val="18"/>
              </w:rPr>
              <w:t>蒸出</w:t>
            </w:r>
          </w:p>
        </w:tc>
        <w:tc>
          <w:tcPr>
            <w:tcW w:w="2397" w:type="dxa"/>
            <w:tcBorders>
              <w:top w:val="nil"/>
              <w:left w:val="single" w:sz="6" w:space="0" w:color="000000"/>
              <w:bottom w:val="nil"/>
              <w:right w:val="single" w:sz="6" w:space="0" w:color="000000"/>
            </w:tcBorders>
          </w:tcPr>
          <w:p>
            <w:pPr>
              <w:pStyle w:val="TableParagraph"/>
              <w:spacing w:line="206" w:lineRule="exact"/>
              <w:ind w:right="161"/>
              <w:jc w:val="right"/>
              <w:rPr>
                <w:sz w:val="18"/>
              </w:rPr>
            </w:pPr>
            <w:r>
              <w:rPr>
                <w:sz w:val="18"/>
              </w:rPr>
              <w:t>盐酸地芬尼多</w:t>
            </w:r>
            <w:r>
              <w:rPr>
                <w:rFonts w:ascii="Times New Roman" w:eastAsia="Times New Roman"/>
                <w:sz w:val="18"/>
              </w:rPr>
              <w:t>267.1</w:t>
            </w:r>
            <w:r>
              <w:rPr>
                <w:sz w:val="18"/>
              </w:rPr>
              <w:t>、乙醇</w:t>
            </w:r>
          </w:p>
        </w:tc>
        <w:tc>
          <w:tcPr>
            <w:tcW w:w="2284" w:type="dxa"/>
            <w:tcBorders>
              <w:top w:val="nil"/>
              <w:left w:val="single" w:sz="6" w:space="0" w:color="000000"/>
              <w:bottom w:val="nil"/>
              <w:right w:val="single" w:sz="6" w:space="0" w:color="000000"/>
            </w:tcBorders>
          </w:tcPr>
          <w:p>
            <w:pPr>
              <w:pStyle w:val="TableParagraph"/>
              <w:spacing w:line="206" w:lineRule="exact"/>
              <w:ind w:left="92" w:right="71"/>
              <w:rPr>
                <w:sz w:val="18"/>
              </w:rPr>
            </w:pPr>
            <w:r>
              <w:rPr>
                <w:sz w:val="18"/>
              </w:rPr>
              <w:t>Σ</w:t>
            </w:r>
            <w:r>
              <w:rPr>
                <w:rFonts w:ascii="Times New Roman" w:hAnsi="Times New Roman" w:eastAsia="Times New Roman"/>
                <w:sz w:val="20"/>
              </w:rPr>
              <w:t>284.1 </w:t>
            </w:r>
            <w:r>
              <w:rPr>
                <w:sz w:val="18"/>
              </w:rPr>
              <w:t>盐酸地芬尼多</w:t>
            </w:r>
          </w:p>
        </w:tc>
        <w:tc>
          <w:tcPr>
            <w:tcW w:w="2022" w:type="dxa"/>
            <w:vMerge/>
            <w:tcBorders>
              <w:top w:val="nil"/>
              <w:left w:val="single" w:sz="6" w:space="0" w:color="000000"/>
              <w:bottom w:val="single" w:sz="6" w:space="0" w:color="000000"/>
              <w:right w:val="single" w:sz="6" w:space="0" w:color="000000"/>
            </w:tcBorders>
          </w:tcPr>
          <w:p>
            <w:pPr>
              <w:rPr>
                <w:sz w:val="2"/>
                <w:szCs w:val="2"/>
              </w:rPr>
            </w:pPr>
          </w:p>
        </w:tc>
        <w:tc>
          <w:tcPr>
            <w:tcW w:w="1977" w:type="dxa"/>
            <w:vMerge/>
            <w:tcBorders>
              <w:top w:val="nil"/>
              <w:left w:val="single" w:sz="6" w:space="0" w:color="000000"/>
              <w:bottom w:val="single" w:sz="6" w:space="0" w:color="000000"/>
              <w:right w:val="single" w:sz="6" w:space="0" w:color="000000"/>
            </w:tcBorders>
          </w:tcPr>
          <w:p>
            <w:pPr>
              <w:rPr>
                <w:sz w:val="2"/>
                <w:szCs w:val="2"/>
              </w:rPr>
            </w:pPr>
          </w:p>
        </w:tc>
        <w:tc>
          <w:tcPr>
            <w:tcW w:w="1031" w:type="dxa"/>
            <w:tcBorders>
              <w:top w:val="nil"/>
              <w:left w:val="single" w:sz="6" w:space="0" w:color="000000"/>
              <w:bottom w:val="nil"/>
              <w:right w:val="single" w:sz="6" w:space="0" w:color="000000"/>
            </w:tcBorders>
          </w:tcPr>
          <w:p>
            <w:pPr>
              <w:pStyle w:val="TableParagraph"/>
              <w:spacing w:line="206" w:lineRule="exact"/>
              <w:ind w:left="87" w:right="54"/>
              <w:rPr>
                <w:sz w:val="18"/>
              </w:rPr>
            </w:pPr>
            <w:r>
              <w:rPr>
                <w:sz w:val="18"/>
              </w:rPr>
              <w:t>乙醇 </w:t>
            </w:r>
            <w:r>
              <w:rPr>
                <w:rFonts w:ascii="Times New Roman" w:eastAsia="Times New Roman"/>
                <w:sz w:val="20"/>
              </w:rPr>
              <w:t>5.5</w:t>
            </w:r>
            <w:r>
              <w:rPr>
                <w:sz w:val="18"/>
              </w:rPr>
              <w:t>、</w:t>
            </w:r>
          </w:p>
        </w:tc>
        <w:tc>
          <w:tcPr>
            <w:tcW w:w="628" w:type="dxa"/>
            <w:tcBorders>
              <w:top w:val="nil"/>
              <w:left w:val="single" w:sz="6" w:space="0" w:color="000000"/>
              <w:bottom w:val="nil"/>
              <w:right w:val="single" w:sz="6" w:space="0" w:color="000000"/>
            </w:tcBorders>
          </w:tcPr>
          <w:p>
            <w:pPr>
              <w:pStyle w:val="TableParagraph"/>
              <w:jc w:val="left"/>
              <w:rPr>
                <w:rFonts w:ascii="Times New Roman"/>
                <w:sz w:val="16"/>
              </w:rPr>
            </w:pPr>
          </w:p>
        </w:tc>
        <w:tc>
          <w:tcPr>
            <w:tcW w:w="621" w:type="dxa"/>
            <w:tcBorders>
              <w:top w:val="nil"/>
              <w:left w:val="single" w:sz="6" w:space="0" w:color="000000"/>
              <w:bottom w:val="nil"/>
            </w:tcBorders>
          </w:tcPr>
          <w:p>
            <w:pPr>
              <w:pStyle w:val="TableParagraph"/>
              <w:jc w:val="left"/>
              <w:rPr>
                <w:rFonts w:ascii="Times New Roman"/>
                <w:sz w:val="16"/>
              </w:rPr>
            </w:pPr>
          </w:p>
        </w:tc>
      </w:tr>
      <w:tr>
        <w:trPr>
          <w:trHeight w:val="220"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nil"/>
              <w:left w:val="single" w:sz="6" w:space="0" w:color="000000"/>
              <w:bottom w:val="nil"/>
              <w:right w:val="single" w:sz="6" w:space="0" w:color="000000"/>
            </w:tcBorders>
          </w:tcPr>
          <w:p>
            <w:pPr>
              <w:pStyle w:val="TableParagraph"/>
              <w:spacing w:line="200" w:lineRule="exact"/>
              <w:ind w:left="104" w:right="79"/>
              <w:rPr>
                <w:sz w:val="18"/>
              </w:rPr>
            </w:pPr>
            <w:r>
              <w:rPr>
                <w:sz w:val="18"/>
              </w:rPr>
              <w:t>液、洗涤废水</w:t>
            </w:r>
          </w:p>
        </w:tc>
        <w:tc>
          <w:tcPr>
            <w:tcW w:w="656" w:type="dxa"/>
            <w:tcBorders>
              <w:top w:val="nil"/>
              <w:left w:val="single" w:sz="6" w:space="0" w:color="000000"/>
              <w:bottom w:val="nil"/>
              <w:right w:val="single" w:sz="6" w:space="0" w:color="000000"/>
            </w:tcBorders>
          </w:tcPr>
          <w:p>
            <w:pPr>
              <w:pStyle w:val="TableParagraph"/>
              <w:spacing w:line="200" w:lineRule="exact"/>
              <w:ind w:left="131" w:right="108"/>
              <w:rPr>
                <w:sz w:val="18"/>
              </w:rPr>
            </w:pPr>
            <w:r>
              <w:rPr>
                <w:sz w:val="18"/>
              </w:rPr>
              <w:t>乙醇</w:t>
            </w:r>
          </w:p>
        </w:tc>
        <w:tc>
          <w:tcPr>
            <w:tcW w:w="2397" w:type="dxa"/>
            <w:tcBorders>
              <w:top w:val="nil"/>
              <w:left w:val="single" w:sz="6" w:space="0" w:color="000000"/>
              <w:bottom w:val="nil"/>
              <w:right w:val="single" w:sz="6" w:space="0" w:color="000000"/>
            </w:tcBorders>
          </w:tcPr>
          <w:p>
            <w:pPr>
              <w:pStyle w:val="TableParagraph"/>
              <w:spacing w:line="200" w:lineRule="exact"/>
              <w:ind w:right="137"/>
              <w:jc w:val="right"/>
              <w:rPr>
                <w:sz w:val="18"/>
              </w:rPr>
            </w:pPr>
            <w:r>
              <w:rPr>
                <w:rFonts w:ascii="Times New Roman" w:eastAsia="Times New Roman"/>
                <w:w w:val="95"/>
                <w:sz w:val="20"/>
              </w:rPr>
              <w:t>1121.2</w:t>
            </w:r>
            <w:r>
              <w:rPr>
                <w:w w:val="95"/>
                <w:sz w:val="18"/>
              </w:rPr>
              <w:t>、水</w:t>
            </w:r>
            <w:r>
              <w:rPr>
                <w:rFonts w:ascii="Times New Roman" w:eastAsia="Times New Roman"/>
                <w:w w:val="95"/>
                <w:sz w:val="20"/>
              </w:rPr>
              <w:t>625.5</w:t>
            </w:r>
            <w:r>
              <w:rPr>
                <w:w w:val="95"/>
                <w:sz w:val="18"/>
              </w:rPr>
              <w:t>、氯化铵</w:t>
            </w:r>
          </w:p>
        </w:tc>
        <w:tc>
          <w:tcPr>
            <w:tcW w:w="2284" w:type="dxa"/>
            <w:tcBorders>
              <w:top w:val="nil"/>
              <w:left w:val="single" w:sz="6" w:space="0" w:color="000000"/>
              <w:bottom w:val="nil"/>
              <w:right w:val="single" w:sz="6" w:space="0" w:color="000000"/>
            </w:tcBorders>
          </w:tcPr>
          <w:p>
            <w:pPr>
              <w:pStyle w:val="TableParagraph"/>
              <w:spacing w:line="200" w:lineRule="exact"/>
              <w:ind w:left="58" w:right="35"/>
              <w:rPr>
                <w:sz w:val="18"/>
              </w:rPr>
            </w:pPr>
            <w:r>
              <w:rPr>
                <w:rFonts w:ascii="Times New Roman" w:eastAsia="Times New Roman"/>
                <w:sz w:val="18"/>
              </w:rPr>
              <w:t>267.1</w:t>
            </w:r>
            <w:r>
              <w:rPr>
                <w:sz w:val="18"/>
              </w:rPr>
              <w:t>、氯化铵 </w:t>
            </w:r>
            <w:r>
              <w:rPr>
                <w:rFonts w:ascii="Times New Roman" w:eastAsia="Times New Roman"/>
                <w:sz w:val="20"/>
              </w:rPr>
              <w:t>7.4</w:t>
            </w:r>
            <w:r>
              <w:rPr>
                <w:sz w:val="18"/>
              </w:rPr>
              <w:t>、氯化镁</w:t>
            </w:r>
          </w:p>
        </w:tc>
        <w:tc>
          <w:tcPr>
            <w:tcW w:w="2022" w:type="dxa"/>
            <w:vMerge/>
            <w:tcBorders>
              <w:top w:val="nil"/>
              <w:left w:val="single" w:sz="6" w:space="0" w:color="000000"/>
              <w:bottom w:val="single" w:sz="6" w:space="0" w:color="000000"/>
              <w:right w:val="single" w:sz="6" w:space="0" w:color="000000"/>
            </w:tcBorders>
          </w:tcPr>
          <w:p>
            <w:pPr>
              <w:rPr>
                <w:sz w:val="2"/>
                <w:szCs w:val="2"/>
              </w:rPr>
            </w:pPr>
          </w:p>
        </w:tc>
        <w:tc>
          <w:tcPr>
            <w:tcW w:w="1977" w:type="dxa"/>
            <w:vMerge/>
            <w:tcBorders>
              <w:top w:val="nil"/>
              <w:left w:val="single" w:sz="6" w:space="0" w:color="000000"/>
              <w:bottom w:val="single" w:sz="6" w:space="0" w:color="000000"/>
              <w:right w:val="single" w:sz="6" w:space="0" w:color="000000"/>
            </w:tcBorders>
          </w:tcPr>
          <w:p>
            <w:pPr>
              <w:rPr>
                <w:sz w:val="2"/>
                <w:szCs w:val="2"/>
              </w:rPr>
            </w:pPr>
          </w:p>
        </w:tc>
        <w:tc>
          <w:tcPr>
            <w:tcW w:w="1031" w:type="dxa"/>
            <w:tcBorders>
              <w:top w:val="nil"/>
              <w:left w:val="single" w:sz="6" w:space="0" w:color="000000"/>
              <w:bottom w:val="nil"/>
              <w:right w:val="single" w:sz="6" w:space="0" w:color="000000"/>
            </w:tcBorders>
          </w:tcPr>
          <w:p>
            <w:pPr>
              <w:pStyle w:val="TableParagraph"/>
              <w:spacing w:line="200" w:lineRule="exact"/>
              <w:ind w:left="63" w:right="56"/>
              <w:rPr>
                <w:sz w:val="18"/>
              </w:rPr>
            </w:pPr>
            <w:r>
              <w:rPr>
                <w:sz w:val="18"/>
              </w:rPr>
              <w:t>四氢呋喃</w:t>
            </w:r>
          </w:p>
        </w:tc>
        <w:tc>
          <w:tcPr>
            <w:tcW w:w="628" w:type="dxa"/>
            <w:tcBorders>
              <w:top w:val="nil"/>
              <w:left w:val="single" w:sz="6" w:space="0" w:color="000000"/>
              <w:bottom w:val="nil"/>
              <w:right w:val="single" w:sz="6" w:space="0" w:color="000000"/>
            </w:tcBorders>
          </w:tcPr>
          <w:p>
            <w:pPr>
              <w:pStyle w:val="TableParagraph"/>
              <w:spacing w:line="196" w:lineRule="exact" w:before="4"/>
              <w:ind w:left="155"/>
              <w:jc w:val="left"/>
              <w:rPr>
                <w:rFonts w:ascii="Times New Roman"/>
                <w:sz w:val="18"/>
              </w:rPr>
            </w:pPr>
            <w:r>
              <w:rPr>
                <w:rFonts w:ascii="Times New Roman"/>
                <w:sz w:val="18"/>
              </w:rPr>
              <w:t>0.72</w:t>
            </w:r>
          </w:p>
        </w:tc>
        <w:tc>
          <w:tcPr>
            <w:tcW w:w="621" w:type="dxa"/>
            <w:tcBorders>
              <w:top w:val="nil"/>
              <w:left w:val="single" w:sz="6" w:space="0" w:color="000000"/>
              <w:bottom w:val="nil"/>
            </w:tcBorders>
          </w:tcPr>
          <w:p>
            <w:pPr>
              <w:pStyle w:val="TableParagraph"/>
              <w:spacing w:line="196" w:lineRule="exact" w:before="4"/>
              <w:ind w:left="82" w:right="68"/>
              <w:rPr>
                <w:rFonts w:ascii="Times New Roman"/>
                <w:sz w:val="18"/>
              </w:rPr>
            </w:pPr>
            <w:r>
              <w:rPr>
                <w:rFonts w:ascii="Times New Roman"/>
                <w:sz w:val="18"/>
              </w:rPr>
              <w:t>14.4</w:t>
            </w:r>
          </w:p>
        </w:tc>
      </w:tr>
      <w:tr>
        <w:trPr>
          <w:trHeight w:val="223"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nil"/>
              <w:left w:val="single" w:sz="6" w:space="0" w:color="000000"/>
              <w:bottom w:val="nil"/>
              <w:right w:val="single" w:sz="6" w:space="0" w:color="000000"/>
            </w:tcBorders>
          </w:tcPr>
          <w:p>
            <w:pPr>
              <w:pStyle w:val="TableParagraph"/>
              <w:spacing w:line="204" w:lineRule="exact"/>
              <w:ind w:left="123" w:right="96"/>
              <w:rPr>
                <w:sz w:val="18"/>
              </w:rPr>
            </w:pPr>
            <w:r>
              <w:rPr>
                <w:sz w:val="18"/>
              </w:rPr>
              <w:t>（</w:t>
            </w:r>
            <w:r>
              <w:rPr>
                <w:rFonts w:ascii="Times New Roman" w:eastAsia="Times New Roman"/>
                <w:sz w:val="18"/>
              </w:rPr>
              <w:t>W6-5</w:t>
            </w:r>
            <w:r>
              <w:rPr>
                <w:sz w:val="18"/>
              </w:rPr>
              <w:t>）</w:t>
            </w:r>
          </w:p>
        </w:tc>
        <w:tc>
          <w:tcPr>
            <w:tcW w:w="656" w:type="dxa"/>
            <w:tcBorders>
              <w:top w:val="nil"/>
              <w:left w:val="single" w:sz="6" w:space="0" w:color="000000"/>
              <w:bottom w:val="nil"/>
              <w:right w:val="single" w:sz="6" w:space="0" w:color="000000"/>
            </w:tcBorders>
          </w:tcPr>
          <w:p>
            <w:pPr>
              <w:pStyle w:val="TableParagraph"/>
              <w:spacing w:line="202" w:lineRule="exact" w:before="2"/>
              <w:ind w:left="132" w:right="108"/>
              <w:rPr>
                <w:rFonts w:ascii="Times New Roman"/>
                <w:sz w:val="18"/>
              </w:rPr>
            </w:pPr>
            <w:r>
              <w:rPr>
                <w:rFonts w:ascii="Times New Roman"/>
                <w:sz w:val="18"/>
              </w:rPr>
              <w:t>8700</w:t>
            </w:r>
          </w:p>
        </w:tc>
        <w:tc>
          <w:tcPr>
            <w:tcW w:w="2397" w:type="dxa"/>
            <w:tcBorders>
              <w:top w:val="nil"/>
              <w:left w:val="single" w:sz="6" w:space="0" w:color="000000"/>
              <w:bottom w:val="nil"/>
              <w:right w:val="single" w:sz="6" w:space="0" w:color="000000"/>
            </w:tcBorders>
          </w:tcPr>
          <w:p>
            <w:pPr>
              <w:pStyle w:val="TableParagraph"/>
              <w:spacing w:line="204" w:lineRule="exact"/>
              <w:ind w:right="115"/>
              <w:jc w:val="right"/>
              <w:rPr>
                <w:sz w:val="18"/>
              </w:rPr>
            </w:pPr>
            <w:r>
              <w:rPr>
                <w:rFonts w:ascii="Times New Roman" w:eastAsia="Times New Roman"/>
                <w:sz w:val="20"/>
              </w:rPr>
              <w:t>7.4</w:t>
            </w:r>
            <w:r>
              <w:rPr>
                <w:sz w:val="18"/>
              </w:rPr>
              <w:t>、氯化镁</w:t>
            </w:r>
            <w:r>
              <w:rPr>
                <w:rFonts w:ascii="Times New Roman" w:eastAsia="Times New Roman"/>
                <w:sz w:val="20"/>
              </w:rPr>
              <w:t>7.2</w:t>
            </w:r>
            <w:r>
              <w:rPr>
                <w:sz w:val="18"/>
              </w:rPr>
              <w:t>、二苯甲酮</w:t>
            </w:r>
          </w:p>
        </w:tc>
        <w:tc>
          <w:tcPr>
            <w:tcW w:w="2284" w:type="dxa"/>
            <w:tcBorders>
              <w:top w:val="nil"/>
              <w:left w:val="single" w:sz="6" w:space="0" w:color="000000"/>
              <w:bottom w:val="nil"/>
              <w:right w:val="single" w:sz="6" w:space="0" w:color="000000"/>
            </w:tcBorders>
          </w:tcPr>
          <w:p>
            <w:pPr>
              <w:pStyle w:val="TableParagraph"/>
              <w:spacing w:line="204" w:lineRule="exact"/>
              <w:ind w:left="58" w:right="36"/>
              <w:rPr>
                <w:rFonts w:ascii="Times New Roman" w:eastAsia="Times New Roman"/>
                <w:sz w:val="18"/>
              </w:rPr>
            </w:pPr>
            <w:r>
              <w:rPr>
                <w:rFonts w:ascii="Times New Roman" w:eastAsia="Times New Roman"/>
                <w:sz w:val="20"/>
              </w:rPr>
              <w:t>7.2</w:t>
            </w:r>
            <w:r>
              <w:rPr>
                <w:spacing w:val="-11"/>
                <w:sz w:val="18"/>
              </w:rPr>
              <w:t>、二苯甲酮 </w:t>
            </w:r>
            <w:r>
              <w:rPr>
                <w:rFonts w:ascii="Times New Roman" w:eastAsia="Times New Roman"/>
                <w:sz w:val="20"/>
              </w:rPr>
              <w:t>1.1</w:t>
            </w:r>
            <w:r>
              <w:rPr>
                <w:spacing w:val="-65"/>
                <w:sz w:val="18"/>
              </w:rPr>
              <w:t>、</w:t>
            </w:r>
            <w:r>
              <w:rPr>
                <w:rFonts w:ascii="Times New Roman" w:eastAsia="Times New Roman"/>
                <w:sz w:val="18"/>
              </w:rPr>
              <w:t>HCl 1.2</w:t>
            </w:r>
          </w:p>
        </w:tc>
        <w:tc>
          <w:tcPr>
            <w:tcW w:w="2022" w:type="dxa"/>
            <w:vMerge/>
            <w:tcBorders>
              <w:top w:val="nil"/>
              <w:left w:val="single" w:sz="6" w:space="0" w:color="000000"/>
              <w:bottom w:val="single" w:sz="6" w:space="0" w:color="000000"/>
              <w:right w:val="single" w:sz="6" w:space="0" w:color="000000"/>
            </w:tcBorders>
          </w:tcPr>
          <w:p>
            <w:pPr>
              <w:rPr>
                <w:sz w:val="2"/>
                <w:szCs w:val="2"/>
              </w:rPr>
            </w:pPr>
          </w:p>
        </w:tc>
        <w:tc>
          <w:tcPr>
            <w:tcW w:w="1977" w:type="dxa"/>
            <w:vMerge/>
            <w:tcBorders>
              <w:top w:val="nil"/>
              <w:left w:val="single" w:sz="6" w:space="0" w:color="000000"/>
              <w:bottom w:val="single" w:sz="6" w:space="0" w:color="000000"/>
              <w:right w:val="single" w:sz="6" w:space="0" w:color="000000"/>
            </w:tcBorders>
          </w:tcPr>
          <w:p>
            <w:pPr>
              <w:rPr>
                <w:sz w:val="2"/>
                <w:szCs w:val="2"/>
              </w:rPr>
            </w:pPr>
          </w:p>
        </w:tc>
        <w:tc>
          <w:tcPr>
            <w:tcW w:w="1031" w:type="dxa"/>
            <w:tcBorders>
              <w:top w:val="nil"/>
              <w:left w:val="single" w:sz="6" w:space="0" w:color="000000"/>
              <w:bottom w:val="nil"/>
              <w:right w:val="single" w:sz="6" w:space="0" w:color="000000"/>
            </w:tcBorders>
          </w:tcPr>
          <w:p>
            <w:pPr>
              <w:pStyle w:val="TableParagraph"/>
              <w:spacing w:line="204" w:lineRule="exact"/>
              <w:ind w:left="63" w:right="56"/>
              <w:rPr>
                <w:rFonts w:ascii="Times New Roman"/>
                <w:sz w:val="20"/>
              </w:rPr>
            </w:pPr>
            <w:r>
              <w:rPr>
                <w:rFonts w:ascii="Times New Roman"/>
                <w:sz w:val="20"/>
              </w:rPr>
              <w:t>0.02</w:t>
            </w:r>
          </w:p>
        </w:tc>
        <w:tc>
          <w:tcPr>
            <w:tcW w:w="628" w:type="dxa"/>
            <w:tcBorders>
              <w:top w:val="nil"/>
              <w:left w:val="single" w:sz="6" w:space="0" w:color="000000"/>
              <w:bottom w:val="nil"/>
              <w:right w:val="single" w:sz="6" w:space="0" w:color="000000"/>
            </w:tcBorders>
          </w:tcPr>
          <w:p>
            <w:pPr>
              <w:pStyle w:val="TableParagraph"/>
              <w:jc w:val="left"/>
              <w:rPr>
                <w:rFonts w:ascii="Times New Roman"/>
                <w:sz w:val="14"/>
              </w:rPr>
            </w:pPr>
          </w:p>
        </w:tc>
        <w:tc>
          <w:tcPr>
            <w:tcW w:w="621" w:type="dxa"/>
            <w:tcBorders>
              <w:top w:val="nil"/>
              <w:left w:val="single" w:sz="6" w:space="0" w:color="000000"/>
              <w:bottom w:val="nil"/>
            </w:tcBorders>
          </w:tcPr>
          <w:p>
            <w:pPr>
              <w:pStyle w:val="TableParagraph"/>
              <w:jc w:val="left"/>
              <w:rPr>
                <w:rFonts w:ascii="Times New Roman"/>
                <w:sz w:val="14"/>
              </w:rPr>
            </w:pPr>
          </w:p>
        </w:tc>
      </w:tr>
      <w:tr>
        <w:trPr>
          <w:trHeight w:val="231"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656"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2397" w:type="dxa"/>
            <w:tcBorders>
              <w:top w:val="nil"/>
              <w:left w:val="single" w:sz="6" w:space="0" w:color="000000"/>
              <w:bottom w:val="single" w:sz="6" w:space="0" w:color="000000"/>
              <w:right w:val="single" w:sz="6" w:space="0" w:color="000000"/>
            </w:tcBorders>
          </w:tcPr>
          <w:p>
            <w:pPr>
              <w:pStyle w:val="TableParagraph"/>
              <w:spacing w:line="211" w:lineRule="exact"/>
              <w:ind w:right="124"/>
              <w:jc w:val="right"/>
              <w:rPr>
                <w:rFonts w:ascii="Times New Roman" w:eastAsia="Times New Roman"/>
                <w:sz w:val="18"/>
              </w:rPr>
            </w:pPr>
            <w:r>
              <w:rPr>
                <w:rFonts w:ascii="Times New Roman" w:eastAsia="Times New Roman"/>
                <w:w w:val="95"/>
                <w:sz w:val="20"/>
              </w:rPr>
              <w:t>1.1</w:t>
            </w:r>
            <w:r>
              <w:rPr>
                <w:w w:val="95"/>
                <w:sz w:val="18"/>
              </w:rPr>
              <w:t>、四氢呋喃</w:t>
            </w:r>
            <w:r>
              <w:rPr>
                <w:rFonts w:ascii="Times New Roman" w:eastAsia="Times New Roman"/>
                <w:w w:val="95"/>
                <w:sz w:val="20"/>
              </w:rPr>
              <w:t>3.1</w:t>
            </w:r>
            <w:r>
              <w:rPr>
                <w:w w:val="95"/>
                <w:sz w:val="18"/>
              </w:rPr>
              <w:t>、</w:t>
            </w:r>
            <w:r>
              <w:rPr>
                <w:rFonts w:ascii="Times New Roman" w:eastAsia="Times New Roman"/>
                <w:w w:val="95"/>
                <w:sz w:val="18"/>
              </w:rPr>
              <w:t>HCl1.2</w:t>
            </w:r>
          </w:p>
        </w:tc>
        <w:tc>
          <w:tcPr>
            <w:tcW w:w="2284"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2022" w:type="dxa"/>
            <w:vMerge/>
            <w:tcBorders>
              <w:top w:val="nil"/>
              <w:left w:val="single" w:sz="6" w:space="0" w:color="000000"/>
              <w:bottom w:val="single" w:sz="6" w:space="0" w:color="000000"/>
              <w:right w:val="single" w:sz="6" w:space="0" w:color="000000"/>
            </w:tcBorders>
          </w:tcPr>
          <w:p>
            <w:pPr>
              <w:rPr>
                <w:sz w:val="2"/>
                <w:szCs w:val="2"/>
              </w:rPr>
            </w:pPr>
          </w:p>
        </w:tc>
        <w:tc>
          <w:tcPr>
            <w:tcW w:w="1977" w:type="dxa"/>
            <w:vMerge/>
            <w:tcBorders>
              <w:top w:val="nil"/>
              <w:left w:val="single" w:sz="6" w:space="0" w:color="000000"/>
              <w:bottom w:val="single" w:sz="6" w:space="0" w:color="000000"/>
              <w:right w:val="single" w:sz="6" w:space="0" w:color="000000"/>
            </w:tcBorders>
          </w:tcPr>
          <w:p>
            <w:pPr>
              <w:rPr>
                <w:sz w:val="2"/>
                <w:szCs w:val="2"/>
              </w:rPr>
            </w:pPr>
          </w:p>
        </w:tc>
        <w:tc>
          <w:tcPr>
            <w:tcW w:w="1031"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628"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621" w:type="dxa"/>
            <w:tcBorders>
              <w:top w:val="nil"/>
              <w:left w:val="single" w:sz="6" w:space="0" w:color="000000"/>
              <w:bottom w:val="single" w:sz="6" w:space="0" w:color="000000"/>
            </w:tcBorders>
          </w:tcPr>
          <w:p>
            <w:pPr>
              <w:pStyle w:val="TableParagraph"/>
              <w:jc w:val="left"/>
              <w:rPr>
                <w:rFonts w:ascii="Times New Roman"/>
                <w:sz w:val="16"/>
              </w:rPr>
            </w:pPr>
          </w:p>
        </w:tc>
      </w:tr>
      <w:tr>
        <w:trPr>
          <w:trHeight w:val="938" w:hRule="atLeast"/>
        </w:trPr>
        <w:tc>
          <w:tcPr>
            <w:tcW w:w="538"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spacing w:before="1"/>
              <w:jc w:val="left"/>
              <w:rPr>
                <w:rFonts w:ascii="Times New Roman"/>
                <w:sz w:val="26"/>
              </w:rPr>
            </w:pPr>
          </w:p>
          <w:p>
            <w:pPr>
              <w:pStyle w:val="TableParagraph"/>
              <w:spacing w:line="146" w:lineRule="auto"/>
              <w:ind w:left="176" w:right="156"/>
              <w:jc w:val="both"/>
              <w:rPr>
                <w:sz w:val="18"/>
              </w:rPr>
            </w:pPr>
            <w:r>
              <w:rPr>
                <w:sz w:val="18"/>
              </w:rPr>
              <w:t>单硝酸异山梨酯</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7"/>
              <w:ind w:left="124" w:right="96"/>
              <w:rPr>
                <w:sz w:val="18"/>
              </w:rPr>
            </w:pPr>
            <w:r>
              <w:rPr>
                <w:sz w:val="18"/>
              </w:rPr>
              <w:t>中和后萃取水层废水</w:t>
            </w:r>
          </w:p>
          <w:p>
            <w:pPr>
              <w:pStyle w:val="TableParagraph"/>
              <w:spacing w:line="278" w:lineRule="exact"/>
              <w:ind w:left="123" w:right="96"/>
              <w:rPr>
                <w:sz w:val="18"/>
              </w:rPr>
            </w:pPr>
            <w:r>
              <w:rPr>
                <w:sz w:val="18"/>
              </w:rPr>
              <w:t>（</w:t>
            </w:r>
            <w:r>
              <w:rPr>
                <w:rFonts w:ascii="Times New Roman" w:eastAsia="Times New Roman"/>
                <w:sz w:val="18"/>
              </w:rPr>
              <w:t>W7-1</w:t>
            </w:r>
            <w:r>
              <w:rPr>
                <w:sz w:val="18"/>
              </w:rPr>
              <w:t>）</w:t>
            </w:r>
          </w:p>
        </w:tc>
        <w:tc>
          <w:tcPr>
            <w:tcW w:w="3053" w:type="dxa"/>
            <w:gridSpan w:val="2"/>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29"/>
              <w:rPr>
                <w:sz w:val="18"/>
              </w:rPr>
            </w:pPr>
            <w:r>
              <w:rPr>
                <w:sz w:val="18"/>
              </w:rPr>
              <w:t>Σ</w:t>
            </w:r>
            <w:r>
              <w:rPr>
                <w:rFonts w:ascii="Times New Roman" w:hAnsi="Times New Roman" w:eastAsia="Times New Roman"/>
                <w:sz w:val="18"/>
              </w:rPr>
              <w:t>49087.7</w:t>
            </w:r>
            <w:r>
              <w:rPr>
                <w:rFonts w:ascii="Times New Roman" w:hAnsi="Times New Roman" w:eastAsia="Times New Roman"/>
                <w:spacing w:val="32"/>
                <w:sz w:val="18"/>
              </w:rPr>
              <w:t> </w:t>
            </w:r>
            <w:r>
              <w:rPr>
                <w:spacing w:val="11"/>
                <w:sz w:val="18"/>
              </w:rPr>
              <w:t>水 </w:t>
            </w:r>
            <w:r>
              <w:rPr>
                <w:rFonts w:ascii="Times New Roman" w:hAnsi="Times New Roman" w:eastAsia="Times New Roman"/>
                <w:sz w:val="18"/>
              </w:rPr>
              <w:t>35803.4</w:t>
            </w:r>
            <w:r>
              <w:rPr>
                <w:spacing w:val="-15"/>
                <w:sz w:val="18"/>
              </w:rPr>
              <w:t>、硝酸钠 </w:t>
            </w:r>
            <w:r>
              <w:rPr>
                <w:rFonts w:ascii="Times New Roman" w:hAnsi="Times New Roman" w:eastAsia="Times New Roman"/>
                <w:sz w:val="18"/>
              </w:rPr>
              <w:t>270.9</w:t>
            </w:r>
            <w:r>
              <w:rPr>
                <w:sz w:val="18"/>
              </w:rPr>
              <w:t>、</w:t>
            </w:r>
          </w:p>
          <w:p>
            <w:pPr>
              <w:pStyle w:val="TableParagraph"/>
              <w:spacing w:line="233" w:lineRule="exact"/>
              <w:ind w:left="22"/>
              <w:rPr>
                <w:sz w:val="18"/>
              </w:rPr>
            </w:pPr>
            <w:r>
              <w:rPr>
                <w:sz w:val="18"/>
              </w:rPr>
              <w:t>醋酸钠 </w:t>
            </w:r>
            <w:r>
              <w:rPr>
                <w:rFonts w:ascii="Times New Roman" w:eastAsia="Times New Roman"/>
                <w:sz w:val="18"/>
              </w:rPr>
              <w:t>12183.8</w:t>
            </w:r>
            <w:r>
              <w:rPr>
                <w:sz w:val="18"/>
              </w:rPr>
              <w:t>、单硝酸异山梨酯</w:t>
            </w:r>
          </w:p>
          <w:p>
            <w:pPr>
              <w:pStyle w:val="TableParagraph"/>
              <w:spacing w:line="234" w:lineRule="exact"/>
              <w:ind w:left="25"/>
              <w:rPr>
                <w:sz w:val="18"/>
              </w:rPr>
            </w:pPr>
            <w:r>
              <w:rPr>
                <w:rFonts w:ascii="Times New Roman" w:eastAsia="Times New Roman"/>
                <w:sz w:val="18"/>
              </w:rPr>
              <w:t>304.6</w:t>
            </w:r>
            <w:r>
              <w:rPr>
                <w:sz w:val="18"/>
              </w:rPr>
              <w:t>、乙酸乙酯 </w:t>
            </w:r>
            <w:r>
              <w:rPr>
                <w:rFonts w:ascii="Times New Roman" w:eastAsia="Times New Roman"/>
                <w:sz w:val="18"/>
              </w:rPr>
              <w:t>450</w:t>
            </w:r>
            <w:r>
              <w:rPr>
                <w:sz w:val="18"/>
              </w:rPr>
              <w:t>、硝酸 </w:t>
            </w:r>
            <w:r>
              <w:rPr>
                <w:rFonts w:ascii="Times New Roman" w:eastAsia="Times New Roman"/>
                <w:sz w:val="18"/>
              </w:rPr>
              <w:t>2.3</w:t>
            </w:r>
            <w:r>
              <w:rPr>
                <w:sz w:val="18"/>
              </w:rPr>
              <w:t>、乙</w:t>
            </w:r>
          </w:p>
          <w:p>
            <w:pPr>
              <w:pStyle w:val="TableParagraph"/>
              <w:spacing w:line="228" w:lineRule="exact"/>
              <w:ind w:left="26"/>
              <w:rPr>
                <w:rFonts w:ascii="Times New Roman" w:eastAsia="Times New Roman"/>
                <w:sz w:val="18"/>
              </w:rPr>
            </w:pPr>
            <w:r>
              <w:rPr>
                <w:sz w:val="18"/>
              </w:rPr>
              <w:t>酸 </w:t>
            </w:r>
            <w:r>
              <w:rPr>
                <w:rFonts w:ascii="Times New Roman" w:eastAsia="Times New Roman"/>
                <w:sz w:val="18"/>
              </w:rPr>
              <w:t>72.8</w:t>
            </w:r>
          </w:p>
        </w:tc>
        <w:tc>
          <w:tcPr>
            <w:tcW w:w="2284"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ind w:left="112"/>
              <w:jc w:val="left"/>
              <w:rPr>
                <w:sz w:val="18"/>
              </w:rPr>
            </w:pPr>
            <w:r>
              <w:rPr>
                <w:w w:val="105"/>
                <w:sz w:val="18"/>
              </w:rPr>
              <w:t>Σ</w:t>
            </w:r>
            <w:r>
              <w:rPr>
                <w:rFonts w:ascii="Times New Roman" w:hAnsi="Times New Roman" w:eastAsia="Times New Roman"/>
                <w:w w:val="105"/>
                <w:sz w:val="20"/>
              </w:rPr>
              <w:t>12834.2 </w:t>
            </w:r>
            <w:r>
              <w:rPr>
                <w:w w:val="105"/>
                <w:sz w:val="18"/>
              </w:rPr>
              <w:t>硝酸钠 </w:t>
            </w:r>
            <w:r>
              <w:rPr>
                <w:rFonts w:ascii="Times New Roman" w:hAnsi="Times New Roman" w:eastAsia="Times New Roman"/>
                <w:w w:val="105"/>
                <w:sz w:val="18"/>
              </w:rPr>
              <w:t>270.9</w:t>
            </w:r>
            <w:r>
              <w:rPr>
                <w:w w:val="105"/>
                <w:sz w:val="18"/>
              </w:rPr>
              <w:t>、</w:t>
            </w:r>
          </w:p>
          <w:p>
            <w:pPr>
              <w:pStyle w:val="TableParagraph"/>
              <w:spacing w:line="148" w:lineRule="auto" w:before="27"/>
              <w:ind w:left="112" w:right="86"/>
              <w:rPr>
                <w:sz w:val="18"/>
              </w:rPr>
            </w:pPr>
            <w:r>
              <w:rPr>
                <w:sz w:val="18"/>
              </w:rPr>
              <w:t>醋酸钠 </w:t>
            </w:r>
            <w:r>
              <w:rPr>
                <w:rFonts w:ascii="Times New Roman" w:eastAsia="Times New Roman"/>
                <w:sz w:val="18"/>
              </w:rPr>
              <w:t>12183.8</w:t>
            </w:r>
            <w:r>
              <w:rPr>
                <w:sz w:val="18"/>
              </w:rPr>
              <w:t>、单硝酸异山梨酯 </w:t>
            </w:r>
            <w:r>
              <w:rPr>
                <w:rFonts w:ascii="Times New Roman" w:eastAsia="Times New Roman"/>
                <w:sz w:val="18"/>
              </w:rPr>
              <w:t>304.6</w:t>
            </w:r>
            <w:r>
              <w:rPr>
                <w:sz w:val="18"/>
              </w:rPr>
              <w:t>、硝酸 </w:t>
            </w:r>
            <w:r>
              <w:rPr>
                <w:rFonts w:ascii="Times New Roman" w:eastAsia="Times New Roman"/>
                <w:sz w:val="18"/>
              </w:rPr>
              <w:t>2.3</w:t>
            </w:r>
            <w:r>
              <w:rPr>
                <w:sz w:val="18"/>
              </w:rPr>
              <w:t>、</w:t>
            </w:r>
          </w:p>
          <w:p>
            <w:pPr>
              <w:pStyle w:val="TableParagraph"/>
              <w:spacing w:line="193" w:lineRule="exact"/>
              <w:ind w:left="91" w:right="71"/>
              <w:rPr>
                <w:rFonts w:ascii="Times New Roman" w:eastAsia="Times New Roman"/>
                <w:sz w:val="18"/>
              </w:rPr>
            </w:pPr>
            <w:r>
              <w:rPr>
                <w:sz w:val="18"/>
              </w:rPr>
              <w:t>乙酸 </w:t>
            </w:r>
            <w:r>
              <w:rPr>
                <w:rFonts w:ascii="Times New Roman" w:eastAsia="Times New Roman"/>
                <w:sz w:val="18"/>
              </w:rPr>
              <w:t>72.7</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148"/>
              <w:ind w:left="96" w:right="75"/>
              <w:rPr>
                <w:sz w:val="18"/>
              </w:rPr>
            </w:pPr>
            <w:r>
              <w:rPr>
                <w:sz w:val="18"/>
              </w:rPr>
              <w:t>Σ</w:t>
            </w:r>
            <w:r>
              <w:rPr>
                <w:rFonts w:ascii="Times New Roman" w:hAnsi="Times New Roman" w:eastAsia="Times New Roman"/>
                <w:sz w:val="20"/>
              </w:rPr>
              <w:t>7520.2 </w:t>
            </w:r>
            <w:r>
              <w:rPr>
                <w:sz w:val="18"/>
              </w:rPr>
              <w:t>水 </w:t>
            </w:r>
            <w:r>
              <w:rPr>
                <w:rFonts w:ascii="Times New Roman" w:hAnsi="Times New Roman" w:eastAsia="Times New Roman"/>
                <w:sz w:val="20"/>
              </w:rPr>
              <w:t>7160.7 </w:t>
            </w:r>
            <w:r>
              <w:rPr>
                <w:sz w:val="18"/>
              </w:rPr>
              <w:t>、</w:t>
            </w:r>
          </w:p>
          <w:p>
            <w:pPr>
              <w:pStyle w:val="TableParagraph"/>
              <w:spacing w:line="310" w:lineRule="exact"/>
              <w:ind w:left="95" w:right="75"/>
              <w:rPr>
                <w:rFonts w:ascii="Times New Roman" w:eastAsia="Times New Roman"/>
                <w:sz w:val="20"/>
              </w:rPr>
            </w:pPr>
            <w:r>
              <w:rPr>
                <w:sz w:val="18"/>
              </w:rPr>
              <w:t>乙酸乙酯 </w:t>
            </w:r>
            <w:r>
              <w:rPr>
                <w:rFonts w:ascii="Times New Roman" w:eastAsia="Times New Roman"/>
                <w:sz w:val="20"/>
              </w:rPr>
              <w:t>359.5</w:t>
            </w:r>
          </w:p>
        </w:tc>
        <w:tc>
          <w:tcPr>
            <w:tcW w:w="1977"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3"/>
              <w:ind w:left="85" w:right="71"/>
              <w:rPr>
                <w:sz w:val="18"/>
              </w:rPr>
            </w:pPr>
            <w:r>
              <w:rPr>
                <w:w w:val="105"/>
                <w:sz w:val="18"/>
              </w:rPr>
              <w:t>Σ</w:t>
            </w:r>
            <w:r>
              <w:rPr>
                <w:rFonts w:ascii="Times New Roman" w:hAnsi="Times New Roman" w:eastAsia="Times New Roman"/>
                <w:w w:val="105"/>
                <w:sz w:val="20"/>
              </w:rPr>
              <w:t>28732.2 </w:t>
            </w:r>
            <w:r>
              <w:rPr>
                <w:w w:val="105"/>
                <w:sz w:val="18"/>
              </w:rPr>
              <w:t>水</w:t>
            </w:r>
          </w:p>
          <w:p>
            <w:pPr>
              <w:pStyle w:val="TableParagraph"/>
              <w:spacing w:line="276" w:lineRule="exact"/>
              <w:ind w:left="83" w:right="71"/>
              <w:rPr>
                <w:sz w:val="18"/>
              </w:rPr>
            </w:pPr>
            <w:r>
              <w:rPr>
                <w:rFonts w:ascii="Times New Roman" w:eastAsia="Times New Roman"/>
                <w:sz w:val="20"/>
              </w:rPr>
              <w:t>28642.7</w:t>
            </w:r>
            <w:r>
              <w:rPr>
                <w:sz w:val="18"/>
              </w:rPr>
              <w:t>、乙酸乙酯</w:t>
            </w:r>
          </w:p>
          <w:p>
            <w:pPr>
              <w:pStyle w:val="TableParagraph"/>
              <w:spacing w:line="195" w:lineRule="exact"/>
              <w:ind w:left="82" w:right="71"/>
              <w:rPr>
                <w:rFonts w:ascii="Times New Roman"/>
                <w:sz w:val="20"/>
              </w:rPr>
            </w:pPr>
            <w:r>
              <w:rPr>
                <w:rFonts w:ascii="Times New Roman"/>
                <w:sz w:val="20"/>
              </w:rPr>
              <w:t>89.4</w:t>
            </w:r>
          </w:p>
        </w:tc>
        <w:tc>
          <w:tcPr>
            <w:tcW w:w="1031" w:type="dxa"/>
            <w:tcBorders>
              <w:top w:val="single" w:sz="6" w:space="0" w:color="000000"/>
              <w:left w:val="single" w:sz="6" w:space="0" w:color="000000"/>
              <w:bottom w:val="single" w:sz="6" w:space="0" w:color="000000"/>
              <w:right w:val="single" w:sz="6" w:space="0" w:color="000000"/>
            </w:tcBorders>
          </w:tcPr>
          <w:p>
            <w:pPr>
              <w:pStyle w:val="TableParagraph"/>
              <w:spacing w:line="165" w:lineRule="auto" w:before="116"/>
              <w:ind w:left="106" w:right="94"/>
              <w:rPr>
                <w:rFonts w:ascii="Times New Roman" w:eastAsia="Times New Roman"/>
                <w:sz w:val="20"/>
              </w:rPr>
            </w:pPr>
            <w:r>
              <w:rPr>
                <w:sz w:val="18"/>
              </w:rPr>
              <w:t>醋酸 </w:t>
            </w:r>
            <w:r>
              <w:rPr>
                <w:rFonts w:ascii="Times New Roman" w:eastAsia="Times New Roman"/>
                <w:sz w:val="18"/>
              </w:rPr>
              <w:t>0.1</w:t>
            </w:r>
            <w:r>
              <w:rPr>
                <w:sz w:val="18"/>
              </w:rPr>
              <w:t>、乙酸乙酯</w:t>
            </w:r>
            <w:r>
              <w:rPr>
                <w:rFonts w:ascii="Times New Roman" w:eastAsia="Times New Roman"/>
                <w:sz w:val="20"/>
              </w:rPr>
              <w:t>0.4</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30"/>
              <w:ind w:left="109"/>
              <w:jc w:val="left"/>
              <w:rPr>
                <w:rFonts w:ascii="Times New Roman"/>
                <w:sz w:val="18"/>
              </w:rPr>
            </w:pPr>
            <w:r>
              <w:rPr>
                <w:rFonts w:ascii="Times New Roman"/>
                <w:sz w:val="18"/>
              </w:rPr>
              <w:t>28.73</w:t>
            </w:r>
          </w:p>
        </w:tc>
        <w:tc>
          <w:tcPr>
            <w:tcW w:w="621"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130"/>
              <w:ind w:left="82" w:right="69"/>
              <w:rPr>
                <w:rFonts w:ascii="Times New Roman"/>
                <w:sz w:val="18"/>
              </w:rPr>
            </w:pPr>
            <w:r>
              <w:rPr>
                <w:rFonts w:ascii="Times New Roman"/>
                <w:sz w:val="18"/>
              </w:rPr>
              <w:t>287.3</w:t>
            </w:r>
          </w:p>
        </w:tc>
      </w:tr>
      <w:tr>
        <w:trPr>
          <w:trHeight w:val="707"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2"/>
              <w:ind w:left="124" w:right="96"/>
              <w:rPr>
                <w:sz w:val="18"/>
              </w:rPr>
            </w:pPr>
            <w:r>
              <w:rPr>
                <w:sz w:val="18"/>
              </w:rPr>
              <w:t>成盐结晶后离心母液</w:t>
            </w:r>
          </w:p>
          <w:p>
            <w:pPr>
              <w:pStyle w:val="TableParagraph"/>
              <w:spacing w:line="200" w:lineRule="exact"/>
              <w:ind w:left="123" w:right="96"/>
              <w:rPr>
                <w:sz w:val="18"/>
              </w:rPr>
            </w:pPr>
            <w:r>
              <w:rPr>
                <w:sz w:val="18"/>
              </w:rPr>
              <w:t>（</w:t>
            </w:r>
            <w:r>
              <w:rPr>
                <w:rFonts w:ascii="Times New Roman" w:eastAsia="Times New Roman"/>
                <w:sz w:val="18"/>
              </w:rPr>
              <w:t>W7-2</w:t>
            </w:r>
            <w:r>
              <w:rPr>
                <w:sz w:val="18"/>
              </w:rPr>
              <w:t>）</w:t>
            </w:r>
          </w:p>
        </w:tc>
        <w:tc>
          <w:tcPr>
            <w:tcW w:w="3053" w:type="dxa"/>
            <w:gridSpan w:val="2"/>
            <w:tcBorders>
              <w:top w:val="single" w:sz="6" w:space="0" w:color="000000"/>
              <w:left w:val="single" w:sz="6" w:space="0" w:color="000000"/>
              <w:bottom w:val="single" w:sz="6" w:space="0" w:color="000000"/>
              <w:right w:val="single" w:sz="6" w:space="0" w:color="000000"/>
            </w:tcBorders>
          </w:tcPr>
          <w:p>
            <w:pPr>
              <w:pStyle w:val="TableParagraph"/>
              <w:spacing w:line="163" w:lineRule="auto" w:before="15"/>
              <w:ind w:left="135" w:right="108"/>
              <w:rPr>
                <w:rFonts w:ascii="Times New Roman" w:hAnsi="Times New Roman" w:eastAsia="Times New Roman"/>
                <w:sz w:val="18"/>
              </w:rPr>
            </w:pPr>
            <w:r>
              <w:rPr>
                <w:sz w:val="18"/>
              </w:rPr>
              <w:t>Σ</w:t>
            </w:r>
            <w:r>
              <w:rPr>
                <w:rFonts w:ascii="Times New Roman" w:hAnsi="Times New Roman" w:eastAsia="Times New Roman"/>
                <w:sz w:val="18"/>
              </w:rPr>
              <w:t>16464.8 </w:t>
            </w:r>
            <w:r>
              <w:rPr>
                <w:sz w:val="18"/>
              </w:rPr>
              <w:t>水 </w:t>
            </w:r>
            <w:r>
              <w:rPr>
                <w:rFonts w:ascii="Times New Roman" w:hAnsi="Times New Roman" w:eastAsia="Times New Roman"/>
                <w:sz w:val="18"/>
              </w:rPr>
              <w:t>13949</w:t>
            </w:r>
            <w:r>
              <w:rPr>
                <w:sz w:val="18"/>
              </w:rPr>
              <w:t>、单硝酸山梨酯钠盐 </w:t>
            </w:r>
            <w:r>
              <w:rPr>
                <w:rFonts w:ascii="Times New Roman" w:hAnsi="Times New Roman" w:eastAsia="Times New Roman"/>
                <w:sz w:val="18"/>
              </w:rPr>
              <w:t>611.3</w:t>
            </w:r>
            <w:r>
              <w:rPr>
                <w:sz w:val="18"/>
              </w:rPr>
              <w:t>、乙酸乙酯 </w:t>
            </w:r>
            <w:r>
              <w:rPr>
                <w:rFonts w:ascii="Times New Roman" w:hAnsi="Times New Roman" w:eastAsia="Times New Roman"/>
                <w:sz w:val="18"/>
              </w:rPr>
              <w:t>1791</w:t>
            </w:r>
            <w:r>
              <w:rPr>
                <w:sz w:val="18"/>
              </w:rPr>
              <w:t>、</w:t>
            </w:r>
            <w:r>
              <w:rPr>
                <w:rFonts w:ascii="Times New Roman" w:hAnsi="Times New Roman" w:eastAsia="Times New Roman"/>
                <w:sz w:val="18"/>
              </w:rPr>
              <w:t>NaOH113.4</w:t>
            </w:r>
          </w:p>
        </w:tc>
        <w:tc>
          <w:tcPr>
            <w:tcW w:w="2284"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7"/>
              <w:ind w:left="280" w:right="150" w:hanging="106"/>
              <w:jc w:val="left"/>
              <w:rPr>
                <w:rFonts w:ascii="Times New Roman" w:hAnsi="Times New Roman" w:eastAsia="Times New Roman"/>
                <w:sz w:val="18"/>
              </w:rPr>
            </w:pPr>
            <w:r>
              <w:rPr>
                <w:sz w:val="18"/>
              </w:rPr>
              <w:t>Σ</w:t>
            </w:r>
            <w:r>
              <w:rPr>
                <w:rFonts w:ascii="Times New Roman" w:hAnsi="Times New Roman" w:eastAsia="Times New Roman"/>
                <w:sz w:val="20"/>
              </w:rPr>
              <w:t>724.7 </w:t>
            </w:r>
            <w:r>
              <w:rPr>
                <w:sz w:val="18"/>
              </w:rPr>
              <w:t>单硝酸山梨酯钠盐 </w:t>
            </w:r>
            <w:r>
              <w:rPr>
                <w:rFonts w:ascii="Times New Roman" w:hAnsi="Times New Roman" w:eastAsia="Times New Roman"/>
                <w:sz w:val="18"/>
              </w:rPr>
              <w:t>611.3</w:t>
            </w:r>
            <w:r>
              <w:rPr>
                <w:sz w:val="18"/>
              </w:rPr>
              <w:t>、</w:t>
            </w:r>
            <w:r>
              <w:rPr>
                <w:rFonts w:ascii="Times New Roman" w:hAnsi="Times New Roman" w:eastAsia="Times New Roman"/>
                <w:sz w:val="18"/>
              </w:rPr>
              <w:t>NaOH 113.4</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33"/>
              <w:ind w:left="96" w:right="75"/>
              <w:rPr>
                <w:sz w:val="18"/>
              </w:rPr>
            </w:pPr>
            <w:r>
              <w:rPr>
                <w:sz w:val="18"/>
              </w:rPr>
              <w:t>Σ</w:t>
            </w:r>
            <w:r>
              <w:rPr>
                <w:rFonts w:ascii="Times New Roman" w:hAnsi="Times New Roman" w:eastAsia="Times New Roman"/>
                <w:sz w:val="20"/>
              </w:rPr>
              <w:t>4222.6 </w:t>
            </w:r>
            <w:r>
              <w:rPr>
                <w:sz w:val="18"/>
              </w:rPr>
              <w:t>水 </w:t>
            </w:r>
            <w:r>
              <w:rPr>
                <w:rFonts w:ascii="Times New Roman" w:hAnsi="Times New Roman" w:eastAsia="Times New Roman"/>
                <w:sz w:val="20"/>
              </w:rPr>
              <w:t>2789.8 </w:t>
            </w:r>
            <w:r>
              <w:rPr>
                <w:sz w:val="18"/>
              </w:rPr>
              <w:t>、</w:t>
            </w:r>
          </w:p>
          <w:p>
            <w:pPr>
              <w:pStyle w:val="TableParagraph"/>
              <w:spacing w:line="311" w:lineRule="exact"/>
              <w:ind w:left="94" w:right="75"/>
              <w:rPr>
                <w:rFonts w:ascii="Times New Roman" w:eastAsia="Times New Roman"/>
                <w:sz w:val="20"/>
              </w:rPr>
            </w:pPr>
            <w:r>
              <w:rPr>
                <w:sz w:val="18"/>
              </w:rPr>
              <w:t>乙酸乙酯 </w:t>
            </w:r>
            <w:r>
              <w:rPr>
                <w:rFonts w:ascii="Times New Roman" w:eastAsia="Times New Roman"/>
                <w:sz w:val="20"/>
              </w:rPr>
              <w:t>1432.8</w:t>
            </w:r>
          </w:p>
        </w:tc>
        <w:tc>
          <w:tcPr>
            <w:tcW w:w="1977"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85" w:right="71"/>
              <w:rPr>
                <w:sz w:val="18"/>
              </w:rPr>
            </w:pPr>
            <w:r>
              <w:rPr>
                <w:w w:val="105"/>
                <w:sz w:val="18"/>
              </w:rPr>
              <w:t>Σ</w:t>
            </w:r>
            <w:r>
              <w:rPr>
                <w:rFonts w:ascii="Times New Roman" w:hAnsi="Times New Roman" w:eastAsia="Times New Roman"/>
                <w:w w:val="105"/>
                <w:sz w:val="20"/>
              </w:rPr>
              <w:t>11515.6 </w:t>
            </w:r>
            <w:r>
              <w:rPr>
                <w:w w:val="105"/>
                <w:sz w:val="18"/>
              </w:rPr>
              <w:t>水</w:t>
            </w:r>
          </w:p>
          <w:p>
            <w:pPr>
              <w:pStyle w:val="TableParagraph"/>
              <w:spacing w:line="276" w:lineRule="exact"/>
              <w:ind w:left="83" w:right="71"/>
              <w:rPr>
                <w:sz w:val="18"/>
              </w:rPr>
            </w:pPr>
            <w:r>
              <w:rPr>
                <w:rFonts w:ascii="Times New Roman" w:eastAsia="Times New Roman"/>
                <w:sz w:val="20"/>
              </w:rPr>
              <w:t>11159.2</w:t>
            </w:r>
            <w:r>
              <w:rPr>
                <w:sz w:val="18"/>
              </w:rPr>
              <w:t>、乙酸乙酯</w:t>
            </w:r>
          </w:p>
          <w:p>
            <w:pPr>
              <w:pStyle w:val="TableParagraph"/>
              <w:spacing w:line="182" w:lineRule="exact"/>
              <w:ind w:left="81" w:right="71"/>
              <w:rPr>
                <w:rFonts w:ascii="Times New Roman"/>
                <w:sz w:val="20"/>
              </w:rPr>
            </w:pPr>
            <w:r>
              <w:rPr>
                <w:rFonts w:ascii="Times New Roman"/>
                <w:sz w:val="20"/>
              </w:rPr>
              <w:t>356.4</w:t>
            </w:r>
          </w:p>
        </w:tc>
        <w:tc>
          <w:tcPr>
            <w:tcW w:w="1031" w:type="dxa"/>
            <w:tcBorders>
              <w:top w:val="single" w:sz="6" w:space="0" w:color="000000"/>
              <w:left w:val="single" w:sz="6" w:space="0" w:color="000000"/>
              <w:bottom w:val="single" w:sz="6" w:space="0" w:color="000000"/>
              <w:right w:val="single" w:sz="6" w:space="0" w:color="000000"/>
            </w:tcBorders>
          </w:tcPr>
          <w:p>
            <w:pPr>
              <w:pStyle w:val="TableParagraph"/>
              <w:spacing w:line="347" w:lineRule="exact" w:before="35"/>
              <w:ind w:left="63" w:right="56"/>
              <w:rPr>
                <w:sz w:val="18"/>
              </w:rPr>
            </w:pPr>
            <w:r>
              <w:rPr>
                <w:sz w:val="18"/>
              </w:rPr>
              <w:t>乙酸乙酯</w:t>
            </w:r>
          </w:p>
          <w:p>
            <w:pPr>
              <w:pStyle w:val="TableParagraph"/>
              <w:spacing w:line="195" w:lineRule="exact"/>
              <w:ind w:left="64" w:right="56"/>
              <w:rPr>
                <w:rFonts w:ascii="Times New Roman"/>
                <w:sz w:val="20"/>
              </w:rPr>
            </w:pPr>
            <w:r>
              <w:rPr>
                <w:rFonts w:ascii="Times New Roman"/>
                <w:sz w:val="20"/>
              </w:rPr>
              <w:t>1.8</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1"/>
              </w:rPr>
            </w:pPr>
          </w:p>
          <w:p>
            <w:pPr>
              <w:pStyle w:val="TableParagraph"/>
              <w:ind w:left="109"/>
              <w:jc w:val="left"/>
              <w:rPr>
                <w:rFonts w:ascii="Times New Roman"/>
                <w:sz w:val="18"/>
              </w:rPr>
            </w:pPr>
            <w:r>
              <w:rPr>
                <w:rFonts w:ascii="Times New Roman"/>
                <w:sz w:val="18"/>
              </w:rPr>
              <w:t>11.52</w:t>
            </w:r>
          </w:p>
        </w:tc>
        <w:tc>
          <w:tcPr>
            <w:tcW w:w="621" w:type="dxa"/>
            <w:tcBorders>
              <w:top w:val="single" w:sz="6" w:space="0" w:color="000000"/>
              <w:left w:val="single" w:sz="6" w:space="0" w:color="000000"/>
              <w:bottom w:val="single" w:sz="6" w:space="0" w:color="000000"/>
            </w:tcBorders>
          </w:tcPr>
          <w:p>
            <w:pPr>
              <w:pStyle w:val="TableParagraph"/>
              <w:spacing w:before="5"/>
              <w:jc w:val="left"/>
              <w:rPr>
                <w:rFonts w:ascii="Times New Roman"/>
                <w:sz w:val="21"/>
              </w:rPr>
            </w:pPr>
          </w:p>
          <w:p>
            <w:pPr>
              <w:pStyle w:val="TableParagraph"/>
              <w:ind w:left="81" w:right="70"/>
              <w:rPr>
                <w:rFonts w:ascii="Times New Roman"/>
                <w:sz w:val="18"/>
              </w:rPr>
            </w:pPr>
            <w:r>
              <w:rPr>
                <w:rFonts w:ascii="Times New Roman"/>
                <w:sz w:val="18"/>
              </w:rPr>
              <w:t>115.2</w:t>
            </w:r>
          </w:p>
        </w:tc>
      </w:tr>
      <w:tr>
        <w:trPr>
          <w:trHeight w:val="940" w:hRule="atLeast"/>
        </w:trPr>
        <w:tc>
          <w:tcPr>
            <w:tcW w:w="538" w:type="dxa"/>
            <w:vMerge/>
            <w:tcBorders>
              <w:top w:val="nil"/>
              <w:bottom w:val="single" w:sz="6" w:space="0" w:color="000000"/>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7"/>
              <w:ind w:left="124" w:right="96"/>
              <w:rPr>
                <w:sz w:val="18"/>
              </w:rPr>
            </w:pPr>
            <w:r>
              <w:rPr>
                <w:sz w:val="18"/>
              </w:rPr>
              <w:t>粗品制备后分层水层废水</w:t>
            </w:r>
          </w:p>
          <w:p>
            <w:pPr>
              <w:pStyle w:val="TableParagraph"/>
              <w:spacing w:line="280" w:lineRule="exact"/>
              <w:ind w:left="123" w:right="96"/>
              <w:rPr>
                <w:sz w:val="18"/>
              </w:rPr>
            </w:pPr>
            <w:r>
              <w:rPr>
                <w:sz w:val="18"/>
              </w:rPr>
              <w:t>（</w:t>
            </w:r>
            <w:r>
              <w:rPr>
                <w:rFonts w:ascii="Times New Roman" w:eastAsia="Times New Roman"/>
                <w:sz w:val="18"/>
              </w:rPr>
              <w:t>W7-3</w:t>
            </w:r>
            <w:r>
              <w:rPr>
                <w:sz w:val="18"/>
              </w:rPr>
              <w:t>）</w:t>
            </w:r>
          </w:p>
        </w:tc>
        <w:tc>
          <w:tcPr>
            <w:tcW w:w="3053" w:type="dxa"/>
            <w:gridSpan w:val="2"/>
            <w:tcBorders>
              <w:top w:val="single" w:sz="6" w:space="0" w:color="000000"/>
              <w:left w:val="single" w:sz="6" w:space="0" w:color="000000"/>
              <w:bottom w:val="single" w:sz="6" w:space="0" w:color="000000"/>
              <w:right w:val="single" w:sz="6" w:space="0" w:color="000000"/>
            </w:tcBorders>
          </w:tcPr>
          <w:p>
            <w:pPr>
              <w:pStyle w:val="TableParagraph"/>
              <w:spacing w:line="307" w:lineRule="exact" w:before="33"/>
              <w:ind w:left="114"/>
              <w:jc w:val="left"/>
              <w:rPr>
                <w:sz w:val="18"/>
              </w:rPr>
            </w:pPr>
            <w:r>
              <w:rPr>
                <w:sz w:val="18"/>
              </w:rPr>
              <w:t>Σ</w:t>
            </w:r>
            <w:r>
              <w:rPr>
                <w:rFonts w:ascii="Times New Roman" w:hAnsi="Times New Roman" w:eastAsia="Times New Roman"/>
                <w:sz w:val="18"/>
              </w:rPr>
              <w:t>9120.9 </w:t>
            </w:r>
            <w:r>
              <w:rPr>
                <w:sz w:val="18"/>
              </w:rPr>
              <w:t>水 </w:t>
            </w:r>
            <w:r>
              <w:rPr>
                <w:rFonts w:ascii="Times New Roman" w:hAnsi="Times New Roman" w:eastAsia="Times New Roman"/>
                <w:sz w:val="18"/>
              </w:rPr>
              <w:t>7295</w:t>
            </w:r>
            <w:r>
              <w:rPr>
                <w:sz w:val="18"/>
              </w:rPr>
              <w:t>、</w:t>
            </w:r>
            <w:r>
              <w:rPr>
                <w:rFonts w:ascii="Times New Roman" w:hAnsi="Times New Roman" w:eastAsia="Times New Roman"/>
                <w:sz w:val="18"/>
              </w:rPr>
              <w:t>HCl 20.1</w:t>
            </w:r>
            <w:r>
              <w:rPr>
                <w:sz w:val="18"/>
              </w:rPr>
              <w:t>、氯化钠</w:t>
            </w:r>
          </w:p>
          <w:p>
            <w:pPr>
              <w:pStyle w:val="TableParagraph"/>
              <w:spacing w:line="148" w:lineRule="auto" w:before="27"/>
              <w:ind w:left="1261" w:right="86" w:hanging="1148"/>
              <w:jc w:val="left"/>
              <w:rPr>
                <w:rFonts w:ascii="Times New Roman" w:eastAsia="Times New Roman"/>
                <w:sz w:val="18"/>
              </w:rPr>
            </w:pPr>
            <w:r>
              <w:rPr>
                <w:rFonts w:ascii="Times New Roman" w:eastAsia="Times New Roman"/>
                <w:sz w:val="18"/>
              </w:rPr>
              <w:t>620.5</w:t>
            </w:r>
            <w:r>
              <w:rPr>
                <w:sz w:val="18"/>
              </w:rPr>
              <w:t>、单硝酸异山梨酯 </w:t>
            </w:r>
            <w:r>
              <w:rPr>
                <w:rFonts w:ascii="Times New Roman" w:eastAsia="Times New Roman"/>
                <w:sz w:val="18"/>
              </w:rPr>
              <w:t>438.6</w:t>
            </w:r>
            <w:r>
              <w:rPr>
                <w:sz w:val="18"/>
              </w:rPr>
              <w:t>、副产物 </w:t>
            </w:r>
            <w:r>
              <w:rPr>
                <w:rFonts w:ascii="Times New Roman" w:eastAsia="Times New Roman"/>
                <w:sz w:val="18"/>
              </w:rPr>
              <w:t>65.8</w:t>
            </w:r>
          </w:p>
        </w:tc>
        <w:tc>
          <w:tcPr>
            <w:tcW w:w="2284" w:type="dxa"/>
            <w:tcBorders>
              <w:top w:val="single" w:sz="6" w:space="0" w:color="000000"/>
              <w:left w:val="single" w:sz="6" w:space="0" w:color="000000"/>
              <w:bottom w:val="single" w:sz="6" w:space="0" w:color="000000"/>
              <w:right w:val="single" w:sz="6" w:space="0" w:color="000000"/>
            </w:tcBorders>
          </w:tcPr>
          <w:p>
            <w:pPr>
              <w:pStyle w:val="TableParagraph"/>
              <w:spacing w:line="226" w:lineRule="exact"/>
              <w:ind w:left="112"/>
              <w:jc w:val="left"/>
              <w:rPr>
                <w:sz w:val="18"/>
              </w:rPr>
            </w:pPr>
            <w:r>
              <w:rPr>
                <w:w w:val="105"/>
                <w:sz w:val="18"/>
              </w:rPr>
              <w:t>Σ</w:t>
            </w:r>
            <w:r>
              <w:rPr>
                <w:rFonts w:ascii="Times New Roman" w:hAnsi="Times New Roman" w:eastAsia="Times New Roman"/>
                <w:w w:val="105"/>
                <w:sz w:val="20"/>
              </w:rPr>
              <w:t>1144.9</w:t>
            </w:r>
            <w:r>
              <w:rPr>
                <w:rFonts w:ascii="Times New Roman" w:hAnsi="Times New Roman" w:eastAsia="Times New Roman"/>
                <w:spacing w:val="-21"/>
                <w:w w:val="105"/>
                <w:sz w:val="20"/>
              </w:rPr>
              <w:t> </w:t>
            </w:r>
            <w:r>
              <w:rPr>
                <w:rFonts w:ascii="Times New Roman" w:hAnsi="Times New Roman" w:eastAsia="Times New Roman"/>
                <w:w w:val="105"/>
                <w:sz w:val="18"/>
              </w:rPr>
              <w:t>HCl</w:t>
            </w:r>
            <w:r>
              <w:rPr>
                <w:rFonts w:ascii="Times New Roman" w:hAnsi="Times New Roman" w:eastAsia="Times New Roman"/>
                <w:spacing w:val="-20"/>
                <w:w w:val="105"/>
                <w:sz w:val="18"/>
              </w:rPr>
              <w:t> </w:t>
            </w:r>
            <w:r>
              <w:rPr>
                <w:rFonts w:ascii="Times New Roman" w:hAnsi="Times New Roman" w:eastAsia="Times New Roman"/>
                <w:w w:val="105"/>
                <w:sz w:val="18"/>
              </w:rPr>
              <w:t>20.1</w:t>
            </w:r>
            <w:r>
              <w:rPr>
                <w:spacing w:val="-23"/>
                <w:w w:val="105"/>
                <w:sz w:val="18"/>
              </w:rPr>
              <w:t>、氯化钠</w:t>
            </w:r>
          </w:p>
          <w:p>
            <w:pPr>
              <w:pStyle w:val="TableParagraph"/>
              <w:spacing w:line="146" w:lineRule="auto" w:before="30"/>
              <w:ind w:left="155" w:right="128"/>
              <w:rPr>
                <w:sz w:val="18"/>
              </w:rPr>
            </w:pPr>
            <w:r>
              <w:rPr>
                <w:rFonts w:ascii="Times New Roman" w:eastAsia="Times New Roman"/>
                <w:sz w:val="18"/>
              </w:rPr>
              <w:t>620.5</w:t>
            </w:r>
            <w:r>
              <w:rPr>
                <w:sz w:val="18"/>
              </w:rPr>
              <w:t>、乙酸乙酯 </w:t>
            </w:r>
            <w:r>
              <w:rPr>
                <w:rFonts w:ascii="Times New Roman" w:eastAsia="Times New Roman"/>
                <w:sz w:val="18"/>
              </w:rPr>
              <w:t>681</w:t>
            </w:r>
            <w:r>
              <w:rPr>
                <w:sz w:val="18"/>
              </w:rPr>
              <w:t>、单硝酸异山梨酯 </w:t>
            </w:r>
            <w:r>
              <w:rPr>
                <w:rFonts w:ascii="Times New Roman" w:eastAsia="Times New Roman"/>
                <w:sz w:val="18"/>
              </w:rPr>
              <w:t>438.6</w:t>
            </w:r>
            <w:r>
              <w:rPr>
                <w:rFonts w:ascii="Times New Roman" w:eastAsia="Times New Roman"/>
                <w:spacing w:val="45"/>
                <w:sz w:val="18"/>
              </w:rPr>
              <w:t> </w:t>
            </w:r>
            <w:r>
              <w:rPr>
                <w:sz w:val="18"/>
              </w:rPr>
              <w:t>、副</w:t>
            </w:r>
          </w:p>
          <w:p>
            <w:pPr>
              <w:pStyle w:val="TableParagraph"/>
              <w:spacing w:line="197" w:lineRule="exact"/>
              <w:ind w:left="91" w:right="71"/>
              <w:rPr>
                <w:rFonts w:ascii="Times New Roman" w:eastAsia="Times New Roman"/>
                <w:sz w:val="18"/>
              </w:rPr>
            </w:pPr>
            <w:r>
              <w:rPr>
                <w:sz w:val="18"/>
              </w:rPr>
              <w:t>产物 </w:t>
            </w:r>
            <w:r>
              <w:rPr>
                <w:rFonts w:ascii="Times New Roman" w:eastAsia="Times New Roman"/>
                <w:sz w:val="18"/>
              </w:rPr>
              <w:t>65.8</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151"/>
              <w:ind w:left="82" w:right="75"/>
              <w:rPr>
                <w:sz w:val="18"/>
              </w:rPr>
            </w:pPr>
            <w:r>
              <w:rPr>
                <w:w w:val="105"/>
                <w:sz w:val="18"/>
              </w:rPr>
              <w:t>Σ</w:t>
            </w:r>
            <w:r>
              <w:rPr>
                <w:rFonts w:ascii="Times New Roman" w:hAnsi="Times New Roman" w:eastAsia="Times New Roman"/>
                <w:w w:val="105"/>
                <w:sz w:val="20"/>
              </w:rPr>
              <w:t>2003.8 </w:t>
            </w:r>
            <w:r>
              <w:rPr>
                <w:w w:val="105"/>
                <w:sz w:val="18"/>
              </w:rPr>
              <w:t>水 </w:t>
            </w:r>
            <w:r>
              <w:rPr>
                <w:rFonts w:ascii="Times New Roman" w:hAnsi="Times New Roman" w:eastAsia="Times New Roman"/>
                <w:w w:val="105"/>
                <w:sz w:val="20"/>
              </w:rPr>
              <w:t>1459</w:t>
            </w:r>
            <w:r>
              <w:rPr>
                <w:w w:val="105"/>
                <w:sz w:val="18"/>
              </w:rPr>
              <w:t>、乙</w:t>
            </w:r>
          </w:p>
          <w:p>
            <w:pPr>
              <w:pStyle w:val="TableParagraph"/>
              <w:spacing w:line="310" w:lineRule="exact"/>
              <w:ind w:left="92" w:right="75"/>
              <w:rPr>
                <w:rFonts w:ascii="Times New Roman" w:eastAsia="Times New Roman"/>
                <w:sz w:val="20"/>
              </w:rPr>
            </w:pPr>
            <w:r>
              <w:rPr>
                <w:sz w:val="18"/>
              </w:rPr>
              <w:t>酸乙酯 </w:t>
            </w:r>
            <w:r>
              <w:rPr>
                <w:rFonts w:ascii="Times New Roman" w:eastAsia="Times New Roman"/>
                <w:sz w:val="20"/>
              </w:rPr>
              <w:t>544.8</w:t>
            </w:r>
          </w:p>
        </w:tc>
        <w:tc>
          <w:tcPr>
            <w:tcW w:w="1977"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151"/>
              <w:ind w:left="33" w:right="71"/>
              <w:rPr>
                <w:sz w:val="18"/>
              </w:rPr>
            </w:pPr>
            <w:r>
              <w:rPr>
                <w:w w:val="105"/>
                <w:sz w:val="18"/>
              </w:rPr>
              <w:t>Σ</w:t>
            </w:r>
            <w:r>
              <w:rPr>
                <w:rFonts w:ascii="Times New Roman" w:hAnsi="Times New Roman" w:eastAsia="Times New Roman"/>
                <w:w w:val="105"/>
                <w:sz w:val="20"/>
              </w:rPr>
              <w:t>5971.5 </w:t>
            </w:r>
            <w:r>
              <w:rPr>
                <w:spacing w:val="-4"/>
                <w:w w:val="105"/>
                <w:sz w:val="18"/>
              </w:rPr>
              <w:t>水 </w:t>
            </w:r>
            <w:r>
              <w:rPr>
                <w:rFonts w:ascii="Times New Roman" w:hAnsi="Times New Roman" w:eastAsia="Times New Roman"/>
                <w:w w:val="105"/>
                <w:sz w:val="20"/>
              </w:rPr>
              <w:t>5836 </w:t>
            </w:r>
            <w:r>
              <w:rPr>
                <w:spacing w:val="-56"/>
                <w:w w:val="105"/>
                <w:sz w:val="18"/>
              </w:rPr>
              <w:t>、乙</w:t>
            </w:r>
          </w:p>
          <w:p>
            <w:pPr>
              <w:pStyle w:val="TableParagraph"/>
              <w:spacing w:line="310" w:lineRule="exact"/>
              <w:ind w:left="83" w:right="71"/>
              <w:rPr>
                <w:rFonts w:ascii="Times New Roman" w:eastAsia="Times New Roman"/>
                <w:sz w:val="20"/>
              </w:rPr>
            </w:pPr>
            <w:r>
              <w:rPr>
                <w:sz w:val="18"/>
              </w:rPr>
              <w:t>酸乙酯 </w:t>
            </w:r>
            <w:r>
              <w:rPr>
                <w:rFonts w:ascii="Times New Roman" w:eastAsia="Times New Roman"/>
                <w:sz w:val="20"/>
              </w:rPr>
              <w:t>135.5</w:t>
            </w:r>
          </w:p>
        </w:tc>
        <w:tc>
          <w:tcPr>
            <w:tcW w:w="1031" w:type="dxa"/>
            <w:tcBorders>
              <w:top w:val="single" w:sz="6" w:space="0" w:color="000000"/>
              <w:left w:val="single" w:sz="6" w:space="0" w:color="000000"/>
              <w:bottom w:val="single" w:sz="6" w:space="0" w:color="000000"/>
              <w:right w:val="single" w:sz="6" w:space="0" w:color="000000"/>
            </w:tcBorders>
          </w:tcPr>
          <w:p>
            <w:pPr>
              <w:pStyle w:val="TableParagraph"/>
              <w:spacing w:line="348" w:lineRule="exact" w:before="151"/>
              <w:ind w:left="63" w:right="56"/>
              <w:rPr>
                <w:sz w:val="18"/>
              </w:rPr>
            </w:pPr>
            <w:r>
              <w:rPr>
                <w:sz w:val="18"/>
              </w:rPr>
              <w:t>乙酸乙酯</w:t>
            </w:r>
          </w:p>
          <w:p>
            <w:pPr>
              <w:pStyle w:val="TableParagraph"/>
              <w:spacing w:line="197" w:lineRule="exact"/>
              <w:ind w:left="64" w:right="56"/>
              <w:rPr>
                <w:rFonts w:ascii="Times New Roman"/>
                <w:sz w:val="20"/>
              </w:rPr>
            </w:pPr>
            <w:r>
              <w:rPr>
                <w:rFonts w:ascii="Times New Roman"/>
                <w:sz w:val="20"/>
              </w:rPr>
              <w:t>0.7</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32"/>
              <w:ind w:left="155"/>
              <w:jc w:val="left"/>
              <w:rPr>
                <w:rFonts w:ascii="Times New Roman"/>
                <w:sz w:val="18"/>
              </w:rPr>
            </w:pPr>
            <w:r>
              <w:rPr>
                <w:rFonts w:ascii="Times New Roman"/>
                <w:sz w:val="18"/>
              </w:rPr>
              <w:t>5.97</w:t>
            </w:r>
          </w:p>
        </w:tc>
        <w:tc>
          <w:tcPr>
            <w:tcW w:w="621"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132"/>
              <w:ind w:left="82" w:right="68"/>
              <w:rPr>
                <w:rFonts w:ascii="Times New Roman"/>
                <w:sz w:val="18"/>
              </w:rPr>
            </w:pPr>
            <w:r>
              <w:rPr>
                <w:rFonts w:ascii="Times New Roman"/>
                <w:sz w:val="18"/>
              </w:rPr>
              <w:t>59.7</w:t>
            </w:r>
          </w:p>
        </w:tc>
      </w:tr>
      <w:tr>
        <w:trPr>
          <w:trHeight w:val="947" w:hRule="atLeast"/>
        </w:trPr>
        <w:tc>
          <w:tcPr>
            <w:tcW w:w="538" w:type="dxa"/>
            <w:vMerge w:val="restart"/>
            <w:tcBorders>
              <w:top w:val="single" w:sz="6" w:space="0" w:color="000000"/>
              <w:right w:val="single" w:sz="6" w:space="0" w:color="000000"/>
            </w:tcBorders>
          </w:tcPr>
          <w:p>
            <w:pPr>
              <w:pStyle w:val="TableParagraph"/>
              <w:spacing w:before="5"/>
              <w:jc w:val="left"/>
              <w:rPr>
                <w:rFonts w:ascii="Times New Roman"/>
                <w:sz w:val="23"/>
              </w:rPr>
            </w:pPr>
          </w:p>
          <w:p>
            <w:pPr>
              <w:pStyle w:val="TableParagraph"/>
              <w:spacing w:line="146" w:lineRule="auto"/>
              <w:ind w:left="176" w:right="156"/>
              <w:jc w:val="both"/>
              <w:rPr>
                <w:sz w:val="18"/>
              </w:rPr>
            </w:pPr>
            <w:r>
              <w:rPr>
                <w:sz w:val="18"/>
              </w:rPr>
              <w:t>盐酸米安色林</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5"/>
              <w:ind w:left="124" w:right="96"/>
              <w:rPr>
                <w:sz w:val="18"/>
              </w:rPr>
            </w:pPr>
            <w:r>
              <w:rPr>
                <w:sz w:val="18"/>
              </w:rPr>
              <w:t>反应后分层水层废水</w:t>
            </w:r>
          </w:p>
          <w:p>
            <w:pPr>
              <w:pStyle w:val="TableParagraph"/>
              <w:spacing w:line="280" w:lineRule="exact"/>
              <w:ind w:left="123" w:right="96"/>
              <w:rPr>
                <w:sz w:val="18"/>
              </w:rPr>
            </w:pPr>
            <w:r>
              <w:rPr>
                <w:sz w:val="18"/>
              </w:rPr>
              <w:t>（</w:t>
            </w:r>
            <w:r>
              <w:rPr>
                <w:rFonts w:ascii="Times New Roman" w:eastAsia="Times New Roman"/>
                <w:sz w:val="18"/>
              </w:rPr>
              <w:t>W9-1</w:t>
            </w:r>
            <w:r>
              <w:rPr>
                <w:sz w:val="18"/>
              </w:rPr>
              <w:t>）</w:t>
            </w:r>
          </w:p>
        </w:tc>
        <w:tc>
          <w:tcPr>
            <w:tcW w:w="3053" w:type="dxa"/>
            <w:gridSpan w:val="2"/>
            <w:tcBorders>
              <w:top w:val="single" w:sz="6" w:space="0" w:color="000000"/>
              <w:left w:val="single" w:sz="6" w:space="0" w:color="000000"/>
              <w:bottom w:val="single" w:sz="6" w:space="0" w:color="000000"/>
              <w:right w:val="single" w:sz="6" w:space="0" w:color="000000"/>
            </w:tcBorders>
          </w:tcPr>
          <w:p>
            <w:pPr>
              <w:pStyle w:val="TableParagraph"/>
              <w:spacing w:line="146" w:lineRule="auto" w:before="145"/>
              <w:ind w:left="114" w:right="-15" w:hanging="92"/>
              <w:rPr>
                <w:rFonts w:ascii="Times New Roman" w:hAnsi="Times New Roman" w:eastAsia="Times New Roman"/>
                <w:sz w:val="18"/>
              </w:rPr>
            </w:pPr>
            <w:r>
              <w:rPr>
                <w:sz w:val="18"/>
              </w:rPr>
              <w:t>Σ</w:t>
            </w:r>
            <w:r>
              <w:rPr>
                <w:rFonts w:ascii="Times New Roman" w:hAnsi="Times New Roman" w:eastAsia="Times New Roman"/>
                <w:sz w:val="18"/>
              </w:rPr>
              <w:t>8901.1</w:t>
            </w:r>
            <w:r>
              <w:rPr>
                <w:rFonts w:ascii="Times New Roman" w:hAnsi="Times New Roman" w:eastAsia="Times New Roman"/>
                <w:spacing w:val="12"/>
                <w:sz w:val="18"/>
              </w:rPr>
              <w:t>  </w:t>
            </w:r>
            <w:r>
              <w:rPr>
                <w:spacing w:val="6"/>
                <w:sz w:val="18"/>
              </w:rPr>
              <w:t>水 </w:t>
            </w:r>
            <w:r>
              <w:rPr>
                <w:rFonts w:ascii="Times New Roman" w:hAnsi="Times New Roman" w:eastAsia="Times New Roman"/>
                <w:sz w:val="18"/>
              </w:rPr>
              <w:t>7800</w:t>
            </w:r>
            <w:r>
              <w:rPr>
                <w:spacing w:val="-3"/>
                <w:sz w:val="18"/>
              </w:rPr>
              <w:t>、甲醇 </w:t>
            </w:r>
            <w:r>
              <w:rPr>
                <w:rFonts w:ascii="Times New Roman" w:hAnsi="Times New Roman" w:eastAsia="Times New Roman"/>
                <w:sz w:val="18"/>
              </w:rPr>
              <w:t>718.8</w:t>
            </w:r>
            <w:r>
              <w:rPr>
                <w:spacing w:val="-8"/>
                <w:sz w:val="18"/>
              </w:rPr>
              <w:t>、苯甲  </w:t>
            </w:r>
            <w:r>
              <w:rPr>
                <w:spacing w:val="-2"/>
                <w:sz w:val="18"/>
              </w:rPr>
              <w:t>醛 </w:t>
            </w:r>
            <w:r>
              <w:rPr>
                <w:rFonts w:ascii="Times New Roman" w:hAnsi="Times New Roman" w:eastAsia="Times New Roman"/>
                <w:sz w:val="18"/>
              </w:rPr>
              <w:t>41.7</w:t>
            </w:r>
            <w:r>
              <w:rPr>
                <w:spacing w:val="-18"/>
                <w:sz w:val="18"/>
              </w:rPr>
              <w:t>、乙醇胺 </w:t>
            </w:r>
            <w:r>
              <w:rPr>
                <w:rFonts w:ascii="Times New Roman" w:hAnsi="Times New Roman" w:eastAsia="Times New Roman"/>
                <w:sz w:val="18"/>
              </w:rPr>
              <w:t>23.8</w:t>
            </w:r>
            <w:r>
              <w:rPr>
                <w:spacing w:val="-14"/>
                <w:sz w:val="18"/>
              </w:rPr>
              <w:t>、苄氨基乙醇 </w:t>
            </w:r>
            <w:r>
              <w:rPr>
                <w:rFonts w:ascii="Times New Roman" w:hAnsi="Times New Roman" w:eastAsia="Times New Roman"/>
                <w:sz w:val="18"/>
              </w:rPr>
              <w:t>21</w:t>
            </w:r>
            <w:r>
              <w:rPr>
                <w:sz w:val="18"/>
              </w:rPr>
              <w:t>、</w:t>
            </w:r>
            <w:r>
              <w:rPr>
                <w:spacing w:val="1"/>
                <w:sz w:val="18"/>
              </w:rPr>
              <w:t>副产物 </w:t>
            </w:r>
            <w:r>
              <w:rPr>
                <w:rFonts w:ascii="Times New Roman" w:hAnsi="Times New Roman" w:eastAsia="Times New Roman"/>
                <w:sz w:val="18"/>
              </w:rPr>
              <w:t>106.8</w:t>
            </w:r>
          </w:p>
        </w:tc>
        <w:tc>
          <w:tcPr>
            <w:tcW w:w="22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40"/>
              <w:ind w:left="21"/>
              <w:rPr>
                <w:rFonts w:ascii="Times New Roman"/>
                <w:sz w:val="18"/>
              </w:rPr>
            </w:pPr>
            <w:r>
              <w:rPr>
                <w:rFonts w:ascii="Times New Roman"/>
                <w:sz w:val="18"/>
              </w:rPr>
              <w:t>/</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ind w:left="110"/>
              <w:jc w:val="left"/>
              <w:rPr>
                <w:sz w:val="18"/>
              </w:rPr>
            </w:pPr>
            <w:r>
              <w:rPr>
                <w:w w:val="105"/>
                <w:sz w:val="18"/>
              </w:rPr>
              <w:t>Σ</w:t>
            </w:r>
            <w:r>
              <w:rPr>
                <w:rFonts w:ascii="Times New Roman" w:hAnsi="Times New Roman" w:eastAsia="Times New Roman"/>
                <w:w w:val="105"/>
                <w:sz w:val="20"/>
              </w:rPr>
              <w:t>2376.8</w:t>
            </w:r>
            <w:r>
              <w:rPr>
                <w:rFonts w:ascii="Times New Roman" w:hAnsi="Times New Roman" w:eastAsia="Times New Roman"/>
                <w:spacing w:val="43"/>
                <w:w w:val="105"/>
                <w:sz w:val="20"/>
              </w:rPr>
              <w:t> </w:t>
            </w:r>
            <w:r>
              <w:rPr>
                <w:spacing w:val="-2"/>
                <w:w w:val="105"/>
                <w:sz w:val="18"/>
              </w:rPr>
              <w:t>水 </w:t>
            </w:r>
            <w:r>
              <w:rPr>
                <w:rFonts w:ascii="Times New Roman" w:hAnsi="Times New Roman" w:eastAsia="Times New Roman"/>
                <w:w w:val="105"/>
                <w:sz w:val="20"/>
              </w:rPr>
              <w:t>1560</w:t>
            </w:r>
            <w:r>
              <w:rPr>
                <w:spacing w:val="-12"/>
                <w:w w:val="105"/>
                <w:sz w:val="18"/>
              </w:rPr>
              <w:t>、甲</w:t>
            </w:r>
          </w:p>
          <w:p>
            <w:pPr>
              <w:pStyle w:val="TableParagraph"/>
              <w:spacing w:line="151" w:lineRule="auto" w:before="27"/>
              <w:ind w:left="110" w:right="72"/>
              <w:jc w:val="left"/>
              <w:rPr>
                <w:sz w:val="18"/>
              </w:rPr>
            </w:pPr>
            <w:r>
              <w:rPr>
                <w:spacing w:val="2"/>
                <w:sz w:val="18"/>
              </w:rPr>
              <w:t>醇 </w:t>
            </w:r>
            <w:r>
              <w:rPr>
                <w:rFonts w:ascii="Times New Roman" w:eastAsia="Times New Roman"/>
                <w:sz w:val="20"/>
              </w:rPr>
              <w:t>575</w:t>
            </w:r>
            <w:r>
              <w:rPr>
                <w:sz w:val="18"/>
              </w:rPr>
              <w:t>、苯甲醛 </w:t>
            </w:r>
            <w:r>
              <w:rPr>
                <w:rFonts w:ascii="Times New Roman" w:eastAsia="Times New Roman"/>
                <w:sz w:val="20"/>
              </w:rPr>
              <w:t>33.4</w:t>
            </w:r>
            <w:r>
              <w:rPr>
                <w:sz w:val="18"/>
              </w:rPr>
              <w:t>、</w:t>
            </w:r>
            <w:r>
              <w:rPr>
                <w:spacing w:val="1"/>
                <w:sz w:val="18"/>
              </w:rPr>
              <w:t>乙醇胺 </w:t>
            </w:r>
            <w:r>
              <w:rPr>
                <w:rFonts w:ascii="Times New Roman" w:eastAsia="Times New Roman"/>
                <w:sz w:val="20"/>
              </w:rPr>
              <w:t>19</w:t>
            </w:r>
            <w:r>
              <w:rPr>
                <w:spacing w:val="-10"/>
                <w:sz w:val="18"/>
              </w:rPr>
              <w:t>、苄氨基乙醇</w:t>
            </w:r>
          </w:p>
          <w:p>
            <w:pPr>
              <w:pStyle w:val="TableParagraph"/>
              <w:spacing w:line="192" w:lineRule="exact"/>
              <w:ind w:left="95" w:right="75"/>
              <w:rPr>
                <w:rFonts w:ascii="Times New Roman" w:eastAsia="Times New Roman"/>
                <w:sz w:val="20"/>
              </w:rPr>
            </w:pPr>
            <w:r>
              <w:rPr>
                <w:rFonts w:ascii="Times New Roman" w:eastAsia="Times New Roman"/>
                <w:sz w:val="20"/>
              </w:rPr>
              <w:t>168</w:t>
            </w:r>
            <w:r>
              <w:rPr>
                <w:sz w:val="18"/>
              </w:rPr>
              <w:t>、副产物 </w:t>
            </w:r>
            <w:r>
              <w:rPr>
                <w:rFonts w:ascii="Times New Roman" w:eastAsia="Times New Roman"/>
                <w:sz w:val="20"/>
              </w:rPr>
              <w:t>21.4</w:t>
            </w:r>
          </w:p>
        </w:tc>
        <w:tc>
          <w:tcPr>
            <w:tcW w:w="1977"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ind w:left="107"/>
              <w:jc w:val="left"/>
              <w:rPr>
                <w:sz w:val="18"/>
              </w:rPr>
            </w:pPr>
            <w:r>
              <w:rPr>
                <w:sz w:val="18"/>
              </w:rPr>
              <w:t>Σ</w:t>
            </w:r>
            <w:r>
              <w:rPr>
                <w:rFonts w:ascii="Times New Roman" w:hAnsi="Times New Roman" w:eastAsia="Times New Roman"/>
                <w:sz w:val="20"/>
              </w:rPr>
              <w:t>6522</w:t>
            </w:r>
            <w:r>
              <w:rPr>
                <w:rFonts w:ascii="Times New Roman" w:hAnsi="Times New Roman" w:eastAsia="Times New Roman"/>
                <w:spacing w:val="-4"/>
                <w:sz w:val="20"/>
              </w:rPr>
              <w:t> </w:t>
            </w:r>
            <w:r>
              <w:rPr>
                <w:sz w:val="18"/>
              </w:rPr>
              <w:t>水  </w:t>
            </w:r>
            <w:r>
              <w:rPr>
                <w:rFonts w:ascii="Times New Roman" w:hAnsi="Times New Roman" w:eastAsia="Times New Roman"/>
                <w:sz w:val="20"/>
              </w:rPr>
              <w:t>6240 </w:t>
            </w:r>
            <w:r>
              <w:rPr>
                <w:spacing w:val="-23"/>
                <w:sz w:val="18"/>
              </w:rPr>
              <w:t>、甲 醇</w:t>
            </w:r>
          </w:p>
          <w:p>
            <w:pPr>
              <w:pStyle w:val="TableParagraph"/>
              <w:spacing w:line="151" w:lineRule="auto" w:before="27"/>
              <w:ind w:left="119" w:right="102" w:hanging="12"/>
              <w:jc w:val="left"/>
              <w:rPr>
                <w:sz w:val="18"/>
              </w:rPr>
            </w:pPr>
            <w:r>
              <w:rPr>
                <w:rFonts w:ascii="Times New Roman" w:eastAsia="Times New Roman"/>
                <w:sz w:val="20"/>
              </w:rPr>
              <w:t>142.3</w:t>
            </w:r>
            <w:r>
              <w:rPr>
                <w:spacing w:val="-7"/>
                <w:sz w:val="18"/>
              </w:rPr>
              <w:t>、苯甲醛 </w:t>
            </w:r>
            <w:r>
              <w:rPr>
                <w:rFonts w:ascii="Times New Roman" w:eastAsia="Times New Roman"/>
                <w:sz w:val="20"/>
              </w:rPr>
              <w:t>8.1</w:t>
            </w:r>
            <w:r>
              <w:rPr>
                <w:spacing w:val="-34"/>
                <w:sz w:val="18"/>
              </w:rPr>
              <w:t>、乙</w:t>
            </w:r>
            <w:r>
              <w:rPr>
                <w:spacing w:val="2"/>
                <w:sz w:val="18"/>
              </w:rPr>
              <w:t>醇胺 </w:t>
            </w:r>
            <w:r>
              <w:rPr>
                <w:rFonts w:ascii="Times New Roman" w:eastAsia="Times New Roman"/>
                <w:sz w:val="20"/>
              </w:rPr>
              <w:t>4.8</w:t>
            </w:r>
            <w:r>
              <w:rPr>
                <w:sz w:val="18"/>
              </w:rPr>
              <w:t>、苄氨基乙醇</w:t>
            </w:r>
          </w:p>
          <w:p>
            <w:pPr>
              <w:pStyle w:val="TableParagraph"/>
              <w:spacing w:line="192" w:lineRule="exact"/>
              <w:ind w:left="81" w:right="71"/>
              <w:rPr>
                <w:rFonts w:ascii="Times New Roman" w:eastAsia="Times New Roman"/>
                <w:sz w:val="20"/>
              </w:rPr>
            </w:pPr>
            <w:r>
              <w:rPr>
                <w:rFonts w:ascii="Times New Roman" w:eastAsia="Times New Roman"/>
                <w:sz w:val="20"/>
              </w:rPr>
              <w:t>41.4</w:t>
            </w:r>
            <w:r>
              <w:rPr>
                <w:sz w:val="18"/>
              </w:rPr>
              <w:t>、副产物 </w:t>
            </w:r>
            <w:r>
              <w:rPr>
                <w:rFonts w:ascii="Times New Roman" w:eastAsia="Times New Roman"/>
                <w:sz w:val="20"/>
              </w:rPr>
              <w:t>85.5</w:t>
            </w:r>
          </w:p>
        </w:tc>
        <w:tc>
          <w:tcPr>
            <w:tcW w:w="1031"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ind w:left="65" w:right="56"/>
              <w:rPr>
                <w:sz w:val="18"/>
              </w:rPr>
            </w:pPr>
            <w:r>
              <w:rPr>
                <w:sz w:val="18"/>
              </w:rPr>
              <w:t>苯甲醛</w:t>
            </w:r>
          </w:p>
          <w:p>
            <w:pPr>
              <w:pStyle w:val="TableParagraph"/>
              <w:spacing w:line="239" w:lineRule="exact"/>
              <w:ind w:left="68" w:right="56"/>
              <w:rPr>
                <w:sz w:val="18"/>
              </w:rPr>
            </w:pPr>
            <w:r>
              <w:rPr>
                <w:rFonts w:ascii="Times New Roman" w:eastAsia="Times New Roman"/>
                <w:sz w:val="20"/>
              </w:rPr>
              <w:t>0.2</w:t>
            </w:r>
            <w:r>
              <w:rPr>
                <w:sz w:val="18"/>
              </w:rPr>
              <w:t>、甲醇</w:t>
            </w:r>
          </w:p>
          <w:p>
            <w:pPr>
              <w:pStyle w:val="TableParagraph"/>
              <w:spacing w:line="236" w:lineRule="exact"/>
              <w:ind w:left="68" w:right="56"/>
              <w:rPr>
                <w:sz w:val="18"/>
              </w:rPr>
            </w:pPr>
            <w:r>
              <w:rPr>
                <w:rFonts w:ascii="Times New Roman" w:eastAsia="Times New Roman"/>
                <w:sz w:val="20"/>
              </w:rPr>
              <w:t>1.4</w:t>
            </w:r>
            <w:r>
              <w:rPr>
                <w:sz w:val="18"/>
              </w:rPr>
              <w:t>、苄氨</w:t>
            </w:r>
          </w:p>
          <w:p>
            <w:pPr>
              <w:pStyle w:val="TableParagraph"/>
              <w:spacing w:line="224" w:lineRule="exact"/>
              <w:ind w:left="64" w:right="56"/>
              <w:rPr>
                <w:rFonts w:ascii="Times New Roman" w:eastAsia="Times New Roman"/>
                <w:sz w:val="18"/>
              </w:rPr>
            </w:pPr>
            <w:r>
              <w:rPr>
                <w:spacing w:val="1"/>
                <w:sz w:val="18"/>
              </w:rPr>
              <w:t>基乙醇 </w:t>
            </w:r>
            <w:r>
              <w:rPr>
                <w:rFonts w:ascii="Times New Roman" w:eastAsia="Times New Roman"/>
                <w:sz w:val="18"/>
              </w:rPr>
              <w:t>0.6</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40"/>
              <w:ind w:left="155"/>
              <w:jc w:val="left"/>
              <w:rPr>
                <w:rFonts w:ascii="Times New Roman"/>
                <w:sz w:val="18"/>
              </w:rPr>
            </w:pPr>
            <w:r>
              <w:rPr>
                <w:rFonts w:ascii="Times New Roman"/>
                <w:sz w:val="18"/>
              </w:rPr>
              <w:t>6.52</w:t>
            </w:r>
          </w:p>
        </w:tc>
        <w:tc>
          <w:tcPr>
            <w:tcW w:w="621"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140"/>
              <w:ind w:left="82" w:right="69"/>
              <w:rPr>
                <w:rFonts w:ascii="Times New Roman"/>
                <w:sz w:val="18"/>
              </w:rPr>
            </w:pPr>
            <w:r>
              <w:rPr>
                <w:rFonts w:ascii="Times New Roman"/>
                <w:sz w:val="18"/>
              </w:rPr>
              <w:t>1.96</w:t>
            </w:r>
          </w:p>
        </w:tc>
      </w:tr>
      <w:tr>
        <w:trPr>
          <w:trHeight w:val="925" w:hRule="atLeast"/>
        </w:trPr>
        <w:tc>
          <w:tcPr>
            <w:tcW w:w="538" w:type="dxa"/>
            <w:vMerge/>
            <w:tcBorders>
              <w:top w:val="nil"/>
              <w:right w:val="single" w:sz="6" w:space="0" w:color="000000"/>
            </w:tcBorders>
          </w:tcPr>
          <w:p>
            <w:pPr>
              <w:rPr>
                <w:sz w:val="2"/>
                <w:szCs w:val="2"/>
              </w:rPr>
            </w:pPr>
          </w:p>
        </w:tc>
        <w:tc>
          <w:tcPr>
            <w:tcW w:w="1318" w:type="dxa"/>
            <w:tcBorders>
              <w:top w:val="single" w:sz="6" w:space="0" w:color="000000"/>
              <w:left w:val="single" w:sz="6" w:space="0" w:color="000000"/>
              <w:right w:val="single" w:sz="6" w:space="0" w:color="000000"/>
            </w:tcBorders>
          </w:tcPr>
          <w:p>
            <w:pPr>
              <w:pStyle w:val="TableParagraph"/>
              <w:spacing w:line="146" w:lineRule="auto" w:before="127"/>
              <w:ind w:left="124" w:right="96"/>
              <w:rPr>
                <w:sz w:val="18"/>
              </w:rPr>
            </w:pPr>
            <w:r>
              <w:rPr>
                <w:sz w:val="18"/>
              </w:rPr>
              <w:t>缩合反应后分层水层废水</w:t>
            </w:r>
          </w:p>
          <w:p>
            <w:pPr>
              <w:pStyle w:val="TableParagraph"/>
              <w:spacing w:line="278" w:lineRule="exact"/>
              <w:ind w:left="123" w:right="96"/>
              <w:rPr>
                <w:sz w:val="18"/>
              </w:rPr>
            </w:pPr>
            <w:r>
              <w:rPr>
                <w:sz w:val="18"/>
              </w:rPr>
              <w:t>（</w:t>
            </w:r>
            <w:r>
              <w:rPr>
                <w:rFonts w:ascii="Times New Roman" w:eastAsia="Times New Roman"/>
                <w:sz w:val="18"/>
              </w:rPr>
              <w:t>W9-2</w:t>
            </w:r>
            <w:r>
              <w:rPr>
                <w:sz w:val="18"/>
              </w:rPr>
              <w:t>）</w:t>
            </w:r>
          </w:p>
        </w:tc>
        <w:tc>
          <w:tcPr>
            <w:tcW w:w="3053" w:type="dxa"/>
            <w:gridSpan w:val="2"/>
            <w:tcBorders>
              <w:top w:val="single" w:sz="6" w:space="0" w:color="000000"/>
              <w:left w:val="single" w:sz="6" w:space="0" w:color="000000"/>
              <w:right w:val="single" w:sz="6" w:space="0" w:color="000000"/>
            </w:tcBorders>
          </w:tcPr>
          <w:p>
            <w:pPr>
              <w:pStyle w:val="TableParagraph"/>
              <w:spacing w:line="213" w:lineRule="exact"/>
              <w:ind w:left="224"/>
              <w:jc w:val="left"/>
              <w:rPr>
                <w:sz w:val="18"/>
              </w:rPr>
            </w:pPr>
            <w:r>
              <w:rPr>
                <w:sz w:val="18"/>
              </w:rPr>
              <w:t>Σ</w:t>
            </w:r>
            <w:r>
              <w:rPr>
                <w:rFonts w:ascii="Times New Roman" w:hAnsi="Times New Roman" w:eastAsia="Times New Roman"/>
                <w:sz w:val="18"/>
              </w:rPr>
              <w:t>60823 </w:t>
            </w:r>
            <w:r>
              <w:rPr>
                <w:sz w:val="18"/>
              </w:rPr>
              <w:t>水 </w:t>
            </w:r>
            <w:r>
              <w:rPr>
                <w:rFonts w:ascii="Times New Roman" w:hAnsi="Times New Roman" w:eastAsia="Times New Roman"/>
                <w:sz w:val="18"/>
              </w:rPr>
              <w:t>44519.3</w:t>
            </w:r>
            <w:r>
              <w:rPr>
                <w:sz w:val="18"/>
              </w:rPr>
              <w:t>、邻苄吡嗪物</w:t>
            </w:r>
          </w:p>
          <w:p>
            <w:pPr>
              <w:pStyle w:val="TableParagraph"/>
              <w:spacing w:line="148" w:lineRule="auto" w:before="27"/>
              <w:ind w:left="114" w:right="29" w:firstLine="21"/>
              <w:jc w:val="left"/>
              <w:rPr>
                <w:sz w:val="18"/>
              </w:rPr>
            </w:pPr>
            <w:r>
              <w:rPr>
                <w:rFonts w:ascii="Times New Roman" w:eastAsia="Times New Roman"/>
                <w:sz w:val="18"/>
              </w:rPr>
              <w:t>756.7</w:t>
            </w:r>
            <w:r>
              <w:rPr>
                <w:sz w:val="18"/>
              </w:rPr>
              <w:t>、吡啶 </w:t>
            </w:r>
            <w:r>
              <w:rPr>
                <w:rFonts w:ascii="Times New Roman" w:eastAsia="Times New Roman"/>
                <w:sz w:val="18"/>
              </w:rPr>
              <w:t>229</w:t>
            </w:r>
            <w:r>
              <w:rPr>
                <w:sz w:val="18"/>
              </w:rPr>
              <w:t>、二氯物 </w:t>
            </w:r>
            <w:r>
              <w:rPr>
                <w:rFonts w:ascii="Times New Roman" w:eastAsia="Times New Roman"/>
                <w:sz w:val="18"/>
              </w:rPr>
              <w:t>914.1</w:t>
            </w:r>
            <w:r>
              <w:rPr>
                <w:sz w:val="18"/>
              </w:rPr>
              <w:t>、硫酸钠 </w:t>
            </w:r>
            <w:r>
              <w:rPr>
                <w:rFonts w:ascii="Times New Roman" w:eastAsia="Times New Roman"/>
                <w:sz w:val="18"/>
              </w:rPr>
              <w:t>7122.7</w:t>
            </w:r>
            <w:r>
              <w:rPr>
                <w:sz w:val="18"/>
              </w:rPr>
              <w:t>、氯化钠 </w:t>
            </w:r>
            <w:r>
              <w:rPr>
                <w:rFonts w:ascii="Times New Roman" w:eastAsia="Times New Roman"/>
                <w:sz w:val="18"/>
              </w:rPr>
              <w:t>3029.1</w:t>
            </w:r>
            <w:r>
              <w:rPr>
                <w:sz w:val="18"/>
              </w:rPr>
              <w:t>、碳酸钾</w:t>
            </w:r>
          </w:p>
          <w:p>
            <w:pPr>
              <w:pStyle w:val="TableParagraph"/>
              <w:spacing w:line="192" w:lineRule="exact"/>
              <w:ind w:left="202"/>
              <w:jc w:val="left"/>
              <w:rPr>
                <w:rFonts w:ascii="Times New Roman" w:eastAsia="Times New Roman"/>
                <w:sz w:val="18"/>
              </w:rPr>
            </w:pPr>
            <w:r>
              <w:rPr>
                <w:rFonts w:ascii="Times New Roman" w:eastAsia="Times New Roman"/>
                <w:sz w:val="18"/>
              </w:rPr>
              <w:t>1060.2</w:t>
            </w:r>
            <w:r>
              <w:rPr>
                <w:sz w:val="18"/>
              </w:rPr>
              <w:t>、氯化钾 </w:t>
            </w:r>
            <w:r>
              <w:rPr>
                <w:rFonts w:ascii="Times New Roman" w:eastAsia="Times New Roman"/>
                <w:sz w:val="18"/>
              </w:rPr>
              <w:t>3174.1</w:t>
            </w:r>
            <w:r>
              <w:rPr>
                <w:sz w:val="18"/>
              </w:rPr>
              <w:t>、氯苯 </w:t>
            </w:r>
            <w:r>
              <w:rPr>
                <w:rFonts w:ascii="Times New Roman" w:eastAsia="Times New Roman"/>
                <w:sz w:val="18"/>
              </w:rPr>
              <w:t>17.7</w:t>
            </w:r>
          </w:p>
        </w:tc>
        <w:tc>
          <w:tcPr>
            <w:tcW w:w="2284" w:type="dxa"/>
            <w:tcBorders>
              <w:top w:val="single" w:sz="6" w:space="0" w:color="000000"/>
              <w:left w:val="single" w:sz="6" w:space="0" w:color="000000"/>
              <w:right w:val="single" w:sz="6" w:space="0" w:color="000000"/>
            </w:tcBorders>
          </w:tcPr>
          <w:p>
            <w:pPr>
              <w:pStyle w:val="TableParagraph"/>
              <w:spacing w:line="307" w:lineRule="exact" w:before="25"/>
              <w:ind w:left="409"/>
              <w:jc w:val="left"/>
              <w:rPr>
                <w:sz w:val="18"/>
              </w:rPr>
            </w:pPr>
            <w:r>
              <w:rPr>
                <w:w w:val="105"/>
                <w:sz w:val="18"/>
              </w:rPr>
              <w:t>Σ</w:t>
            </w:r>
            <w:r>
              <w:rPr>
                <w:rFonts w:ascii="Times New Roman" w:hAnsi="Times New Roman" w:eastAsia="Times New Roman"/>
                <w:w w:val="105"/>
                <w:sz w:val="20"/>
              </w:rPr>
              <w:t>14386.1</w:t>
            </w:r>
            <w:r>
              <w:rPr>
                <w:rFonts w:ascii="Times New Roman" w:hAnsi="Times New Roman" w:eastAsia="Times New Roman"/>
                <w:spacing w:val="51"/>
                <w:w w:val="105"/>
                <w:sz w:val="20"/>
              </w:rPr>
              <w:t> </w:t>
            </w:r>
            <w:r>
              <w:rPr>
                <w:w w:val="105"/>
                <w:sz w:val="18"/>
              </w:rPr>
              <w:t>硫酸钠</w:t>
            </w:r>
          </w:p>
          <w:p>
            <w:pPr>
              <w:pStyle w:val="TableParagraph"/>
              <w:spacing w:line="146" w:lineRule="auto" w:before="30"/>
              <w:ind w:left="112" w:right="87" w:hanging="23"/>
              <w:rPr>
                <w:rFonts w:ascii="Times New Roman" w:eastAsia="Times New Roman"/>
                <w:sz w:val="18"/>
              </w:rPr>
            </w:pPr>
            <w:r>
              <w:rPr>
                <w:rFonts w:ascii="Times New Roman" w:eastAsia="Times New Roman"/>
                <w:sz w:val="18"/>
              </w:rPr>
              <w:t>7122.7</w:t>
            </w:r>
            <w:r>
              <w:rPr>
                <w:spacing w:val="-5"/>
                <w:sz w:val="18"/>
              </w:rPr>
              <w:t>、氯化钠 </w:t>
            </w:r>
            <w:r>
              <w:rPr>
                <w:rFonts w:ascii="Times New Roman" w:eastAsia="Times New Roman"/>
                <w:sz w:val="18"/>
              </w:rPr>
              <w:t>3029.1</w:t>
            </w:r>
            <w:r>
              <w:rPr>
                <w:spacing w:val="-24"/>
                <w:sz w:val="18"/>
              </w:rPr>
              <w:t>、碳</w:t>
            </w:r>
            <w:r>
              <w:rPr>
                <w:sz w:val="18"/>
              </w:rPr>
              <w:t>酸钾 </w:t>
            </w:r>
            <w:r>
              <w:rPr>
                <w:rFonts w:ascii="Times New Roman" w:eastAsia="Times New Roman"/>
                <w:sz w:val="18"/>
              </w:rPr>
              <w:t>1060.2</w:t>
            </w:r>
            <w:r>
              <w:rPr>
                <w:spacing w:val="-19"/>
                <w:sz w:val="18"/>
              </w:rPr>
              <w:t>、氯化钾 </w:t>
            </w:r>
            <w:r>
              <w:rPr>
                <w:rFonts w:ascii="Times New Roman" w:eastAsia="Times New Roman"/>
                <w:sz w:val="18"/>
              </w:rPr>
              <w:t>3174.1</w:t>
            </w:r>
          </w:p>
        </w:tc>
        <w:tc>
          <w:tcPr>
            <w:tcW w:w="2022" w:type="dxa"/>
            <w:tcBorders>
              <w:top w:val="single" w:sz="6" w:space="0" w:color="000000"/>
              <w:left w:val="single" w:sz="6" w:space="0" w:color="000000"/>
              <w:right w:val="single" w:sz="6" w:space="0" w:color="000000"/>
            </w:tcBorders>
          </w:tcPr>
          <w:p>
            <w:pPr>
              <w:pStyle w:val="TableParagraph"/>
              <w:spacing w:line="311" w:lineRule="exact" w:before="18"/>
              <w:ind w:left="144"/>
              <w:jc w:val="left"/>
              <w:rPr>
                <w:sz w:val="18"/>
              </w:rPr>
            </w:pPr>
            <w:r>
              <w:rPr>
                <w:w w:val="105"/>
                <w:sz w:val="18"/>
              </w:rPr>
              <w:t>Σ</w:t>
            </w:r>
            <w:r>
              <w:rPr>
                <w:rFonts w:ascii="Times New Roman" w:hAnsi="Times New Roman" w:eastAsia="Times New Roman"/>
                <w:w w:val="105"/>
                <w:sz w:val="20"/>
              </w:rPr>
              <w:t>9284 </w:t>
            </w:r>
            <w:r>
              <w:rPr>
                <w:w w:val="105"/>
                <w:sz w:val="18"/>
              </w:rPr>
              <w:t>水 </w:t>
            </w:r>
            <w:r>
              <w:rPr>
                <w:rFonts w:ascii="Times New Roman" w:hAnsi="Times New Roman" w:eastAsia="Times New Roman"/>
                <w:w w:val="105"/>
                <w:sz w:val="20"/>
              </w:rPr>
              <w:t>8903.9 </w:t>
            </w:r>
            <w:r>
              <w:rPr>
                <w:w w:val="105"/>
                <w:sz w:val="18"/>
              </w:rPr>
              <w:t>、</w:t>
            </w:r>
          </w:p>
          <w:p>
            <w:pPr>
              <w:pStyle w:val="TableParagraph"/>
              <w:spacing w:line="148" w:lineRule="auto" w:before="31"/>
              <w:ind w:left="494" w:hanging="384"/>
              <w:jc w:val="left"/>
              <w:rPr>
                <w:rFonts w:ascii="Times New Roman" w:eastAsia="Times New Roman"/>
                <w:sz w:val="20"/>
              </w:rPr>
            </w:pPr>
            <w:r>
              <w:rPr>
                <w:spacing w:val="1"/>
                <w:sz w:val="18"/>
              </w:rPr>
              <w:t>吡啶 </w:t>
            </w:r>
            <w:r>
              <w:rPr>
                <w:rFonts w:ascii="Times New Roman" w:eastAsia="Times New Roman"/>
                <w:sz w:val="20"/>
              </w:rPr>
              <w:t>183.2</w:t>
            </w:r>
            <w:r>
              <w:rPr>
                <w:spacing w:val="-19"/>
                <w:sz w:val="18"/>
              </w:rPr>
              <w:t>、氯苯 </w:t>
            </w:r>
            <w:r>
              <w:rPr>
                <w:rFonts w:ascii="Times New Roman" w:eastAsia="Times New Roman"/>
                <w:sz w:val="20"/>
              </w:rPr>
              <w:t>14.2</w:t>
            </w:r>
            <w:r>
              <w:rPr>
                <w:sz w:val="18"/>
              </w:rPr>
              <w:t>、</w:t>
            </w:r>
            <w:r>
              <w:rPr>
                <w:spacing w:val="1"/>
                <w:sz w:val="18"/>
              </w:rPr>
              <w:t>二氯物 </w:t>
            </w:r>
            <w:r>
              <w:rPr>
                <w:rFonts w:ascii="Times New Roman" w:eastAsia="Times New Roman"/>
                <w:sz w:val="20"/>
              </w:rPr>
              <w:t>182.8</w:t>
            </w:r>
          </w:p>
        </w:tc>
        <w:tc>
          <w:tcPr>
            <w:tcW w:w="1977" w:type="dxa"/>
            <w:tcBorders>
              <w:top w:val="single" w:sz="6" w:space="0" w:color="000000"/>
              <w:left w:val="single" w:sz="6" w:space="0" w:color="000000"/>
              <w:right w:val="single" w:sz="6" w:space="0" w:color="000000"/>
            </w:tcBorders>
          </w:tcPr>
          <w:p>
            <w:pPr>
              <w:pStyle w:val="TableParagraph"/>
              <w:spacing w:line="311" w:lineRule="exact" w:before="18"/>
              <w:ind w:left="85" w:right="71"/>
              <w:rPr>
                <w:sz w:val="18"/>
              </w:rPr>
            </w:pPr>
            <w:r>
              <w:rPr>
                <w:w w:val="105"/>
                <w:sz w:val="18"/>
              </w:rPr>
              <w:t>Σ</w:t>
            </w:r>
            <w:r>
              <w:rPr>
                <w:rFonts w:ascii="Times New Roman" w:hAnsi="Times New Roman" w:eastAsia="Times New Roman"/>
                <w:w w:val="105"/>
                <w:sz w:val="20"/>
              </w:rPr>
              <w:t>36394.8 </w:t>
            </w:r>
            <w:r>
              <w:rPr>
                <w:w w:val="105"/>
                <w:sz w:val="18"/>
              </w:rPr>
              <w:t>水</w:t>
            </w:r>
          </w:p>
          <w:p>
            <w:pPr>
              <w:pStyle w:val="TableParagraph"/>
              <w:spacing w:line="239" w:lineRule="exact"/>
              <w:ind w:left="89" w:right="70"/>
              <w:rPr>
                <w:sz w:val="18"/>
              </w:rPr>
            </w:pPr>
            <w:r>
              <w:rPr>
                <w:rFonts w:ascii="Times New Roman" w:eastAsia="Times New Roman"/>
                <w:sz w:val="20"/>
              </w:rPr>
              <w:t>35615.4</w:t>
            </w:r>
            <w:r>
              <w:rPr>
                <w:sz w:val="18"/>
              </w:rPr>
              <w:t>、吡啶 </w:t>
            </w:r>
            <w:r>
              <w:rPr>
                <w:rFonts w:ascii="Times New Roman" w:eastAsia="Times New Roman"/>
                <w:sz w:val="20"/>
              </w:rPr>
              <w:t>44.7</w:t>
            </w:r>
            <w:r>
              <w:rPr>
                <w:sz w:val="18"/>
              </w:rPr>
              <w:t>、</w:t>
            </w:r>
          </w:p>
          <w:p>
            <w:pPr>
              <w:pStyle w:val="TableParagraph"/>
              <w:spacing w:line="310" w:lineRule="exact"/>
              <w:ind w:left="84" w:right="71"/>
              <w:rPr>
                <w:rFonts w:ascii="Times New Roman" w:eastAsia="Times New Roman"/>
                <w:sz w:val="20"/>
              </w:rPr>
            </w:pPr>
            <w:r>
              <w:rPr>
                <w:spacing w:val="1"/>
                <w:sz w:val="18"/>
              </w:rPr>
              <w:t>氯苯 </w:t>
            </w:r>
            <w:r>
              <w:rPr>
                <w:rFonts w:ascii="Times New Roman" w:eastAsia="Times New Roman"/>
                <w:sz w:val="20"/>
              </w:rPr>
              <w:t>3.5</w:t>
            </w:r>
            <w:r>
              <w:rPr>
                <w:spacing w:val="-3"/>
                <w:sz w:val="18"/>
              </w:rPr>
              <w:t>、二氯物 </w:t>
            </w:r>
            <w:r>
              <w:rPr>
                <w:rFonts w:ascii="Times New Roman" w:eastAsia="Times New Roman"/>
                <w:sz w:val="20"/>
              </w:rPr>
              <w:t>31.3</w:t>
            </w:r>
          </w:p>
        </w:tc>
        <w:tc>
          <w:tcPr>
            <w:tcW w:w="1031" w:type="dxa"/>
            <w:tcBorders>
              <w:top w:val="single" w:sz="6" w:space="0" w:color="000000"/>
              <w:left w:val="single" w:sz="6" w:space="0" w:color="000000"/>
              <w:right w:val="single" w:sz="6" w:space="0" w:color="000000"/>
            </w:tcBorders>
          </w:tcPr>
          <w:p>
            <w:pPr>
              <w:pStyle w:val="TableParagraph"/>
              <w:spacing w:before="7"/>
              <w:jc w:val="left"/>
              <w:rPr>
                <w:rFonts w:ascii="Times New Roman"/>
                <w:sz w:val="20"/>
              </w:rPr>
            </w:pPr>
          </w:p>
          <w:p>
            <w:pPr>
              <w:pStyle w:val="TableParagraph"/>
              <w:spacing w:line="151" w:lineRule="auto"/>
              <w:ind w:left="185" w:right="70" w:hanging="80"/>
              <w:jc w:val="left"/>
              <w:rPr>
                <w:rFonts w:ascii="Times New Roman" w:eastAsia="Times New Roman"/>
                <w:sz w:val="20"/>
              </w:rPr>
            </w:pPr>
            <w:r>
              <w:rPr>
                <w:sz w:val="18"/>
              </w:rPr>
              <w:t>吡啶 </w:t>
            </w:r>
            <w:r>
              <w:rPr>
                <w:rFonts w:ascii="Times New Roman" w:eastAsia="Times New Roman"/>
                <w:sz w:val="20"/>
              </w:rPr>
              <w:t>1.1</w:t>
            </w:r>
            <w:r>
              <w:rPr>
                <w:sz w:val="18"/>
              </w:rPr>
              <w:t>、氯苯 </w:t>
            </w:r>
            <w:r>
              <w:rPr>
                <w:rFonts w:ascii="Times New Roman" w:eastAsia="Times New Roman"/>
                <w:sz w:val="20"/>
              </w:rPr>
              <w:t>0.1</w:t>
            </w:r>
          </w:p>
        </w:tc>
        <w:tc>
          <w:tcPr>
            <w:tcW w:w="628"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122"/>
              <w:ind w:left="109"/>
              <w:jc w:val="left"/>
              <w:rPr>
                <w:rFonts w:ascii="Times New Roman"/>
                <w:sz w:val="18"/>
              </w:rPr>
            </w:pPr>
            <w:r>
              <w:rPr>
                <w:rFonts w:ascii="Times New Roman"/>
                <w:sz w:val="18"/>
              </w:rPr>
              <w:t>36.39</w:t>
            </w:r>
          </w:p>
        </w:tc>
        <w:tc>
          <w:tcPr>
            <w:tcW w:w="621" w:type="dxa"/>
            <w:tcBorders>
              <w:top w:val="single" w:sz="6" w:space="0" w:color="000000"/>
              <w:left w:val="single" w:sz="6" w:space="0" w:color="000000"/>
            </w:tcBorders>
          </w:tcPr>
          <w:p>
            <w:pPr>
              <w:pStyle w:val="TableParagraph"/>
              <w:jc w:val="left"/>
              <w:rPr>
                <w:rFonts w:ascii="Times New Roman"/>
                <w:sz w:val="20"/>
              </w:rPr>
            </w:pPr>
          </w:p>
          <w:p>
            <w:pPr>
              <w:pStyle w:val="TableParagraph"/>
              <w:spacing w:before="122"/>
              <w:ind w:left="82" w:right="69"/>
              <w:rPr>
                <w:rFonts w:ascii="Times New Roman"/>
                <w:sz w:val="18"/>
              </w:rPr>
            </w:pPr>
            <w:r>
              <w:rPr>
                <w:rFonts w:ascii="Times New Roman"/>
                <w:sz w:val="18"/>
              </w:rPr>
              <w:t>10.92</w:t>
            </w:r>
          </w:p>
        </w:tc>
      </w:tr>
    </w:tbl>
    <w:p>
      <w:pPr>
        <w:spacing w:after="0"/>
        <w:rPr>
          <w:rFonts w:ascii="Times New Roman"/>
          <w:sz w:val="18"/>
        </w:rPr>
        <w:sectPr>
          <w:pgSz w:w="16840" w:h="11910" w:orient="landscape"/>
          <w:pgMar w:header="877" w:footer="973" w:top="1180" w:bottom="1160" w:left="1560" w:right="1540"/>
        </w:sectPr>
      </w:pPr>
    </w:p>
    <w:p>
      <w:pPr>
        <w:pStyle w:val="BodyText"/>
        <w:spacing w:before="6"/>
        <w:rPr>
          <w:rFonts w:ascii="Times New Roman"/>
          <w:sz w:val="2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1318"/>
        <w:gridCol w:w="3051"/>
        <w:gridCol w:w="2283"/>
        <w:gridCol w:w="2021"/>
        <w:gridCol w:w="1976"/>
        <w:gridCol w:w="1030"/>
        <w:gridCol w:w="627"/>
        <w:gridCol w:w="620"/>
      </w:tblGrid>
      <w:tr>
        <w:trPr>
          <w:trHeight w:val="692" w:hRule="atLeast"/>
        </w:trPr>
        <w:tc>
          <w:tcPr>
            <w:tcW w:w="538" w:type="dxa"/>
            <w:vMerge w:val="restart"/>
            <w:tcBorders>
              <w:right w:val="single" w:sz="6" w:space="0" w:color="000000"/>
            </w:tcBorders>
          </w:tcPr>
          <w:p>
            <w:pPr>
              <w:pStyle w:val="TableParagraph"/>
              <w:jc w:val="left"/>
              <w:rPr>
                <w:rFonts w:ascii="Times New Roman"/>
                <w:sz w:val="18"/>
              </w:rPr>
            </w:pPr>
          </w:p>
        </w:tc>
        <w:tc>
          <w:tcPr>
            <w:tcW w:w="1318" w:type="dxa"/>
            <w:tcBorders>
              <w:left w:val="single" w:sz="6" w:space="0" w:color="000000"/>
              <w:bottom w:val="single" w:sz="6" w:space="0" w:color="000000"/>
              <w:right w:val="single" w:sz="6" w:space="0" w:color="000000"/>
            </w:tcBorders>
          </w:tcPr>
          <w:p>
            <w:pPr>
              <w:pStyle w:val="TableParagraph"/>
              <w:spacing w:line="146" w:lineRule="auto" w:before="19"/>
              <w:ind w:left="124" w:right="96"/>
              <w:jc w:val="left"/>
              <w:rPr>
                <w:sz w:val="18"/>
              </w:rPr>
            </w:pPr>
            <w:r>
              <w:rPr>
                <w:sz w:val="18"/>
              </w:rPr>
              <w:t>环合反应后离心母液、洗涤</w:t>
            </w:r>
          </w:p>
          <w:p>
            <w:pPr>
              <w:pStyle w:val="TableParagraph"/>
              <w:spacing w:line="188" w:lineRule="exact"/>
              <w:ind w:left="114"/>
              <w:jc w:val="left"/>
              <w:rPr>
                <w:sz w:val="18"/>
              </w:rPr>
            </w:pPr>
            <w:r>
              <w:rPr>
                <w:sz w:val="18"/>
              </w:rPr>
              <w:t>废水（</w:t>
            </w:r>
            <w:r>
              <w:rPr>
                <w:rFonts w:ascii="Times New Roman" w:eastAsia="Times New Roman"/>
                <w:sz w:val="18"/>
              </w:rPr>
              <w:t>W9-3</w:t>
            </w:r>
            <w:r>
              <w:rPr>
                <w:sz w:val="18"/>
              </w:rPr>
              <w:t>）</w:t>
            </w:r>
          </w:p>
        </w:tc>
        <w:tc>
          <w:tcPr>
            <w:tcW w:w="3051" w:type="dxa"/>
            <w:tcBorders>
              <w:left w:val="single" w:sz="6" w:space="0" w:color="000000"/>
              <w:bottom w:val="single" w:sz="6" w:space="0" w:color="000000"/>
              <w:right w:val="single" w:sz="6" w:space="0" w:color="000000"/>
            </w:tcBorders>
          </w:tcPr>
          <w:p>
            <w:pPr>
              <w:pStyle w:val="TableParagraph"/>
              <w:spacing w:line="310" w:lineRule="exact" w:before="30"/>
              <w:ind w:left="114" w:right="90"/>
              <w:rPr>
                <w:sz w:val="18"/>
              </w:rPr>
            </w:pPr>
            <w:r>
              <w:rPr>
                <w:w w:val="105"/>
                <w:sz w:val="18"/>
              </w:rPr>
              <w:t>Σ</w:t>
            </w:r>
            <w:r>
              <w:rPr>
                <w:rFonts w:ascii="Times New Roman" w:hAnsi="Times New Roman" w:eastAsia="Times New Roman"/>
                <w:w w:val="105"/>
                <w:sz w:val="20"/>
              </w:rPr>
              <w:t>40924.9 </w:t>
            </w:r>
            <w:r>
              <w:rPr>
                <w:w w:val="105"/>
                <w:sz w:val="18"/>
              </w:rPr>
              <w:t>环合物 </w:t>
            </w:r>
            <w:r>
              <w:rPr>
                <w:rFonts w:ascii="Times New Roman" w:hAnsi="Times New Roman" w:eastAsia="Times New Roman"/>
                <w:w w:val="105"/>
                <w:sz w:val="20"/>
              </w:rPr>
              <w:t>649.1</w:t>
            </w:r>
            <w:r>
              <w:rPr>
                <w:w w:val="105"/>
                <w:sz w:val="18"/>
              </w:rPr>
              <w:t>、硫酸</w:t>
            </w:r>
          </w:p>
          <w:p>
            <w:pPr>
              <w:pStyle w:val="TableParagraph"/>
              <w:spacing w:line="310" w:lineRule="exact"/>
              <w:ind w:left="114" w:right="89"/>
              <w:rPr>
                <w:rFonts w:ascii="Times New Roman" w:eastAsia="Times New Roman"/>
                <w:sz w:val="20"/>
              </w:rPr>
            </w:pPr>
            <w:r>
              <w:rPr>
                <w:rFonts w:ascii="Times New Roman" w:eastAsia="Times New Roman"/>
                <w:sz w:val="20"/>
              </w:rPr>
              <w:t>14630.0</w:t>
            </w:r>
            <w:r>
              <w:rPr>
                <w:sz w:val="18"/>
              </w:rPr>
              <w:t>、水 </w:t>
            </w:r>
            <w:r>
              <w:rPr>
                <w:rFonts w:ascii="Times New Roman" w:eastAsia="Times New Roman"/>
                <w:sz w:val="20"/>
              </w:rPr>
              <w:t>25645.8</w:t>
            </w:r>
          </w:p>
        </w:tc>
        <w:tc>
          <w:tcPr>
            <w:tcW w:w="2283" w:type="dxa"/>
            <w:tcBorders>
              <w:left w:val="single" w:sz="6" w:space="0" w:color="000000"/>
              <w:bottom w:val="single" w:sz="6" w:space="0" w:color="000000"/>
              <w:right w:val="single" w:sz="6" w:space="0" w:color="000000"/>
            </w:tcBorders>
          </w:tcPr>
          <w:p>
            <w:pPr>
              <w:pStyle w:val="TableParagraph"/>
              <w:spacing w:line="148" w:lineRule="auto" w:before="132"/>
              <w:ind w:left="618" w:right="3" w:hanging="504"/>
              <w:jc w:val="left"/>
              <w:rPr>
                <w:rFonts w:ascii="Times New Roman" w:hAnsi="Times New Roman" w:eastAsia="Times New Roman"/>
                <w:sz w:val="20"/>
              </w:rPr>
            </w:pPr>
            <w:r>
              <w:rPr>
                <w:sz w:val="18"/>
              </w:rPr>
              <w:t>Σ</w:t>
            </w:r>
            <w:r>
              <w:rPr>
                <w:rFonts w:ascii="Times New Roman" w:hAnsi="Times New Roman" w:eastAsia="Times New Roman"/>
                <w:sz w:val="20"/>
              </w:rPr>
              <w:t>15279.1 </w:t>
            </w:r>
            <w:r>
              <w:rPr>
                <w:sz w:val="18"/>
              </w:rPr>
              <w:t>环 合 物 </w:t>
            </w:r>
            <w:r>
              <w:rPr>
                <w:rFonts w:ascii="Times New Roman" w:hAnsi="Times New Roman" w:eastAsia="Times New Roman"/>
                <w:sz w:val="20"/>
              </w:rPr>
              <w:t>649.1 </w:t>
            </w:r>
            <w:r>
              <w:rPr>
                <w:sz w:val="18"/>
              </w:rPr>
              <w:t>、硫酸 </w:t>
            </w:r>
            <w:r>
              <w:rPr>
                <w:rFonts w:ascii="Times New Roman" w:hAnsi="Times New Roman" w:eastAsia="Times New Roman"/>
                <w:sz w:val="20"/>
              </w:rPr>
              <w:t>14630.0</w:t>
            </w:r>
          </w:p>
        </w:tc>
        <w:tc>
          <w:tcPr>
            <w:tcW w:w="2021" w:type="dxa"/>
            <w:tcBorders>
              <w:left w:val="single" w:sz="6" w:space="0" w:color="000000"/>
              <w:bottom w:val="single" w:sz="6" w:space="0" w:color="000000"/>
              <w:right w:val="single" w:sz="6" w:space="0" w:color="000000"/>
            </w:tcBorders>
          </w:tcPr>
          <w:p>
            <w:pPr>
              <w:pStyle w:val="TableParagraph"/>
              <w:spacing w:before="150"/>
              <w:ind w:left="627"/>
              <w:jc w:val="left"/>
              <w:rPr>
                <w:rFonts w:ascii="Times New Roman" w:eastAsia="Times New Roman"/>
                <w:sz w:val="20"/>
              </w:rPr>
            </w:pPr>
            <w:r>
              <w:rPr>
                <w:sz w:val="18"/>
              </w:rPr>
              <w:t>水 </w:t>
            </w:r>
            <w:r>
              <w:rPr>
                <w:rFonts w:ascii="Times New Roman" w:eastAsia="Times New Roman"/>
                <w:sz w:val="20"/>
              </w:rPr>
              <w:t>5129.2</w:t>
            </w:r>
          </w:p>
        </w:tc>
        <w:tc>
          <w:tcPr>
            <w:tcW w:w="1976" w:type="dxa"/>
            <w:tcBorders>
              <w:left w:val="single" w:sz="6" w:space="0" w:color="000000"/>
              <w:bottom w:val="single" w:sz="6" w:space="0" w:color="000000"/>
              <w:right w:val="single" w:sz="6" w:space="0" w:color="000000"/>
            </w:tcBorders>
          </w:tcPr>
          <w:p>
            <w:pPr>
              <w:pStyle w:val="TableParagraph"/>
              <w:spacing w:before="126"/>
              <w:ind w:left="540"/>
              <w:jc w:val="left"/>
              <w:rPr>
                <w:rFonts w:ascii="Times New Roman" w:eastAsia="Times New Roman"/>
                <w:sz w:val="20"/>
              </w:rPr>
            </w:pPr>
            <w:r>
              <w:rPr>
                <w:sz w:val="20"/>
              </w:rPr>
              <w:t>水 </w:t>
            </w:r>
            <w:r>
              <w:rPr>
                <w:rFonts w:ascii="Times New Roman" w:eastAsia="Times New Roman"/>
                <w:sz w:val="20"/>
              </w:rPr>
              <w:t>20516.6</w:t>
            </w:r>
          </w:p>
        </w:tc>
        <w:tc>
          <w:tcPr>
            <w:tcW w:w="1030"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7" w:type="dxa"/>
            <w:tcBorders>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115"/>
              <w:jc w:val="left"/>
              <w:rPr>
                <w:rFonts w:ascii="Times New Roman"/>
                <w:sz w:val="18"/>
              </w:rPr>
            </w:pPr>
            <w:r>
              <w:rPr>
                <w:rFonts w:ascii="Times New Roman"/>
                <w:sz w:val="18"/>
              </w:rPr>
              <w:t>20.52</w:t>
            </w:r>
          </w:p>
        </w:tc>
        <w:tc>
          <w:tcPr>
            <w:tcW w:w="620" w:type="dxa"/>
            <w:tcBorders>
              <w:left w:val="single" w:sz="6" w:space="0" w:color="000000"/>
              <w:bottom w:val="single" w:sz="6" w:space="0" w:color="000000"/>
            </w:tcBorders>
          </w:tcPr>
          <w:p>
            <w:pPr>
              <w:pStyle w:val="TableParagraph"/>
              <w:jc w:val="left"/>
              <w:rPr>
                <w:rFonts w:ascii="Times New Roman"/>
                <w:sz w:val="21"/>
              </w:rPr>
            </w:pPr>
          </w:p>
          <w:p>
            <w:pPr>
              <w:pStyle w:val="TableParagraph"/>
              <w:ind w:left="90" w:right="62"/>
              <w:rPr>
                <w:rFonts w:ascii="Times New Roman"/>
                <w:sz w:val="18"/>
              </w:rPr>
            </w:pPr>
            <w:r>
              <w:rPr>
                <w:rFonts w:ascii="Times New Roman"/>
                <w:sz w:val="18"/>
              </w:rPr>
              <w:t>6.16</w:t>
            </w:r>
          </w:p>
        </w:tc>
      </w:tr>
      <w:tr>
        <w:trPr>
          <w:trHeight w:val="702" w:hRule="atLeast"/>
        </w:trPr>
        <w:tc>
          <w:tcPr>
            <w:tcW w:w="538" w:type="dxa"/>
            <w:vMerge/>
            <w:tcBorders>
              <w:top w:val="nil"/>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124" w:right="96"/>
              <w:rPr>
                <w:sz w:val="18"/>
              </w:rPr>
            </w:pPr>
            <w:r>
              <w:rPr>
                <w:sz w:val="18"/>
              </w:rPr>
              <w:t>碱化游离分层后水层废水</w:t>
            </w:r>
          </w:p>
          <w:p>
            <w:pPr>
              <w:pStyle w:val="TableParagraph"/>
              <w:spacing w:line="197" w:lineRule="exact"/>
              <w:ind w:left="123" w:right="96"/>
              <w:rPr>
                <w:sz w:val="18"/>
              </w:rPr>
            </w:pPr>
            <w:r>
              <w:rPr>
                <w:sz w:val="18"/>
              </w:rPr>
              <w:t>（</w:t>
            </w:r>
            <w:r>
              <w:rPr>
                <w:rFonts w:ascii="Times New Roman" w:eastAsia="Times New Roman"/>
                <w:sz w:val="18"/>
              </w:rPr>
              <w:t>W9-4</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14" w:right="85"/>
              <w:rPr>
                <w:sz w:val="18"/>
              </w:rPr>
            </w:pPr>
            <w:r>
              <w:rPr>
                <w:sz w:val="18"/>
              </w:rPr>
              <w:t>Σ</w:t>
            </w:r>
            <w:r>
              <w:rPr>
                <w:rFonts w:ascii="Times New Roman" w:hAnsi="Times New Roman" w:eastAsia="Times New Roman"/>
                <w:sz w:val="18"/>
              </w:rPr>
              <w:t>23389.8 </w:t>
            </w:r>
            <w:r>
              <w:rPr>
                <w:sz w:val="18"/>
              </w:rPr>
              <w:t>甲苯 </w:t>
            </w:r>
            <w:r>
              <w:rPr>
                <w:rFonts w:ascii="Times New Roman" w:hAnsi="Times New Roman" w:eastAsia="Times New Roman"/>
                <w:sz w:val="18"/>
              </w:rPr>
              <w:t>559.8</w:t>
            </w:r>
            <w:r>
              <w:rPr>
                <w:sz w:val="18"/>
              </w:rPr>
              <w:t>、乙醇 </w:t>
            </w:r>
            <w:r>
              <w:rPr>
                <w:rFonts w:ascii="Times New Roman" w:hAnsi="Times New Roman" w:eastAsia="Times New Roman"/>
                <w:sz w:val="18"/>
              </w:rPr>
              <w:t>5190</w:t>
            </w:r>
            <w:r>
              <w:rPr>
                <w:sz w:val="18"/>
              </w:rPr>
              <w:t>、</w:t>
            </w:r>
          </w:p>
          <w:p>
            <w:pPr>
              <w:pStyle w:val="TableParagraph"/>
              <w:spacing w:line="233" w:lineRule="exact"/>
              <w:ind w:left="114" w:right="92"/>
              <w:rPr>
                <w:sz w:val="18"/>
              </w:rPr>
            </w:pPr>
            <w:r>
              <w:rPr>
                <w:sz w:val="18"/>
              </w:rPr>
              <w:t>碳酸钠 </w:t>
            </w:r>
            <w:r>
              <w:rPr>
                <w:rFonts w:ascii="Times New Roman" w:eastAsia="Times New Roman"/>
                <w:sz w:val="18"/>
              </w:rPr>
              <w:t>1414.6</w:t>
            </w:r>
            <w:r>
              <w:rPr>
                <w:sz w:val="18"/>
              </w:rPr>
              <w:t>、游离碱 </w:t>
            </w:r>
            <w:r>
              <w:rPr>
                <w:rFonts w:ascii="Times New Roman" w:eastAsia="Times New Roman"/>
                <w:sz w:val="18"/>
              </w:rPr>
              <w:t>263.9</w:t>
            </w:r>
            <w:r>
              <w:rPr>
                <w:sz w:val="18"/>
              </w:rPr>
              <w:t>、水</w:t>
            </w:r>
          </w:p>
          <w:p>
            <w:pPr>
              <w:pStyle w:val="TableParagraph"/>
              <w:spacing w:line="227" w:lineRule="exact"/>
              <w:ind w:left="114" w:right="89"/>
              <w:rPr>
                <w:rFonts w:ascii="Times New Roman" w:eastAsia="Times New Roman"/>
                <w:sz w:val="18"/>
              </w:rPr>
            </w:pPr>
            <w:r>
              <w:rPr>
                <w:rFonts w:ascii="Times New Roman" w:eastAsia="Times New Roman"/>
                <w:sz w:val="18"/>
              </w:rPr>
              <w:t>14670.4</w:t>
            </w:r>
            <w:r>
              <w:rPr>
                <w:sz w:val="18"/>
              </w:rPr>
              <w:t>、富马酸钠 </w:t>
            </w:r>
            <w:r>
              <w:rPr>
                <w:rFonts w:ascii="Times New Roman" w:eastAsia="Times New Roman"/>
                <w:sz w:val="18"/>
              </w:rPr>
              <w:t>1291.2</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14"/>
              <w:jc w:val="left"/>
              <w:rPr>
                <w:sz w:val="18"/>
              </w:rPr>
            </w:pPr>
            <w:r>
              <w:rPr>
                <w:sz w:val="18"/>
              </w:rPr>
              <w:t>Σ</w:t>
            </w:r>
            <w:r>
              <w:rPr>
                <w:rFonts w:ascii="Times New Roman" w:hAnsi="Times New Roman" w:eastAsia="Times New Roman"/>
                <w:sz w:val="20"/>
              </w:rPr>
              <w:t>2969.6 </w:t>
            </w:r>
            <w:r>
              <w:rPr>
                <w:sz w:val="18"/>
              </w:rPr>
              <w:t>碳酸钠 </w:t>
            </w:r>
            <w:r>
              <w:rPr>
                <w:rFonts w:ascii="Times New Roman" w:hAnsi="Times New Roman" w:eastAsia="Times New Roman"/>
                <w:sz w:val="18"/>
              </w:rPr>
              <w:t>1414.6</w:t>
            </w:r>
            <w:r>
              <w:rPr>
                <w:sz w:val="18"/>
              </w:rPr>
              <w:t>、</w:t>
            </w:r>
          </w:p>
          <w:p>
            <w:pPr>
              <w:pStyle w:val="TableParagraph"/>
              <w:spacing w:line="182" w:lineRule="auto"/>
              <w:ind w:left="898" w:right="171" w:hanging="699"/>
              <w:jc w:val="left"/>
              <w:rPr>
                <w:rFonts w:ascii="Times New Roman" w:eastAsia="Times New Roman"/>
                <w:sz w:val="18"/>
              </w:rPr>
            </w:pPr>
            <w:r>
              <w:rPr>
                <w:sz w:val="18"/>
              </w:rPr>
              <w:t>游离碱 </w:t>
            </w:r>
            <w:r>
              <w:rPr>
                <w:rFonts w:ascii="Times New Roman" w:eastAsia="Times New Roman"/>
                <w:sz w:val="18"/>
              </w:rPr>
              <w:t>263.9</w:t>
            </w:r>
            <w:r>
              <w:rPr>
                <w:sz w:val="18"/>
              </w:rPr>
              <w:t>、富马酸钠</w:t>
            </w:r>
            <w:r>
              <w:rPr>
                <w:rFonts w:ascii="Times New Roman" w:eastAsia="Times New Roman"/>
                <w:sz w:val="18"/>
              </w:rPr>
              <w:t>1291.2</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151" w:lineRule="auto" w:before="129"/>
              <w:ind w:left="113" w:right="22"/>
              <w:jc w:val="left"/>
              <w:rPr>
                <w:rFonts w:ascii="Times New Roman" w:hAnsi="Times New Roman" w:eastAsia="Times New Roman"/>
                <w:sz w:val="20"/>
              </w:rPr>
            </w:pPr>
            <w:r>
              <w:rPr>
                <w:sz w:val="18"/>
              </w:rPr>
              <w:t>Σ</w:t>
            </w:r>
            <w:r>
              <w:rPr>
                <w:rFonts w:ascii="Times New Roman" w:hAnsi="Times New Roman" w:eastAsia="Times New Roman"/>
                <w:sz w:val="20"/>
              </w:rPr>
              <w:t>7533.9 </w:t>
            </w:r>
            <w:r>
              <w:rPr>
                <w:sz w:val="18"/>
              </w:rPr>
              <w:t>甲 苯 </w:t>
            </w:r>
            <w:r>
              <w:rPr>
                <w:rFonts w:ascii="Times New Roman" w:hAnsi="Times New Roman" w:eastAsia="Times New Roman"/>
                <w:sz w:val="20"/>
              </w:rPr>
              <w:t>447.8 </w:t>
            </w:r>
            <w:r>
              <w:rPr>
                <w:sz w:val="18"/>
              </w:rPr>
              <w:t>、</w:t>
            </w:r>
            <w:r>
              <w:rPr>
                <w:spacing w:val="-2"/>
                <w:sz w:val="18"/>
              </w:rPr>
              <w:t>乙醇 </w:t>
            </w:r>
            <w:r>
              <w:rPr>
                <w:rFonts w:ascii="Times New Roman" w:hAnsi="Times New Roman" w:eastAsia="Times New Roman"/>
                <w:sz w:val="20"/>
              </w:rPr>
              <w:t>4152.0</w:t>
            </w:r>
            <w:r>
              <w:rPr>
                <w:spacing w:val="-32"/>
                <w:sz w:val="18"/>
              </w:rPr>
              <w:t>、水 </w:t>
            </w:r>
            <w:r>
              <w:rPr>
                <w:rFonts w:ascii="Times New Roman" w:hAnsi="Times New Roman" w:eastAsia="Times New Roman"/>
                <w:sz w:val="20"/>
              </w:rPr>
              <w:t>2934.1</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tabs>
                <w:tab w:pos="1056" w:val="left" w:leader="none"/>
              </w:tabs>
              <w:spacing w:line="223" w:lineRule="exact"/>
              <w:ind w:left="23"/>
              <w:rPr>
                <w:sz w:val="18"/>
              </w:rPr>
            </w:pPr>
            <w:r>
              <w:rPr>
                <w:w w:val="105"/>
                <w:sz w:val="18"/>
              </w:rPr>
              <w:t>Σ</w:t>
            </w:r>
            <w:r>
              <w:rPr>
                <w:rFonts w:ascii="Times New Roman" w:hAnsi="Times New Roman" w:eastAsia="Times New Roman"/>
                <w:w w:val="105"/>
                <w:sz w:val="20"/>
              </w:rPr>
              <w:t>12874.8</w:t>
              <w:tab/>
            </w:r>
            <w:r>
              <w:rPr>
                <w:w w:val="105"/>
                <w:sz w:val="18"/>
              </w:rPr>
              <w:t>甲苯</w:t>
            </w:r>
          </w:p>
          <w:p>
            <w:pPr>
              <w:pStyle w:val="TableParagraph"/>
              <w:spacing w:line="239" w:lineRule="exact"/>
              <w:ind w:left="21"/>
              <w:rPr>
                <w:sz w:val="18"/>
              </w:rPr>
            </w:pPr>
            <w:r>
              <w:rPr>
                <w:rFonts w:ascii="Times New Roman" w:eastAsia="Times New Roman"/>
                <w:sz w:val="20"/>
              </w:rPr>
              <w:t>110.8</w:t>
            </w:r>
            <w:r>
              <w:rPr>
                <w:sz w:val="18"/>
              </w:rPr>
              <w:t>、乙醇 </w:t>
            </w:r>
            <w:r>
              <w:rPr>
                <w:rFonts w:ascii="Times New Roman" w:eastAsia="Times New Roman"/>
                <w:sz w:val="20"/>
              </w:rPr>
              <w:t>1027.6</w:t>
            </w:r>
            <w:r>
              <w:rPr>
                <w:sz w:val="18"/>
              </w:rPr>
              <w:t>、</w:t>
            </w:r>
          </w:p>
          <w:p>
            <w:pPr>
              <w:pStyle w:val="TableParagraph"/>
              <w:spacing w:line="221" w:lineRule="exact"/>
              <w:ind w:left="19"/>
              <w:rPr>
                <w:rFonts w:ascii="Times New Roman" w:eastAsia="Times New Roman"/>
                <w:sz w:val="20"/>
              </w:rPr>
            </w:pPr>
            <w:r>
              <w:rPr>
                <w:sz w:val="18"/>
              </w:rPr>
              <w:t>水 </w:t>
            </w:r>
            <w:r>
              <w:rPr>
                <w:rFonts w:ascii="Times New Roman" w:eastAsia="Times New Roman"/>
                <w:sz w:val="20"/>
              </w:rPr>
              <w:t>11736.3</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line="151" w:lineRule="auto" w:before="129"/>
              <w:ind w:left="139" w:right="64" w:hanging="29"/>
              <w:jc w:val="left"/>
              <w:rPr>
                <w:rFonts w:ascii="Times New Roman" w:eastAsia="Times New Roman"/>
                <w:sz w:val="20"/>
              </w:rPr>
            </w:pPr>
            <w:r>
              <w:rPr>
                <w:sz w:val="18"/>
              </w:rPr>
              <w:t>甲苯 </w:t>
            </w:r>
            <w:r>
              <w:rPr>
                <w:rFonts w:ascii="Times New Roman" w:eastAsia="Times New Roman"/>
                <w:sz w:val="20"/>
              </w:rPr>
              <w:t>1.1</w:t>
            </w:r>
            <w:r>
              <w:rPr>
                <w:sz w:val="18"/>
              </w:rPr>
              <w:t>、乙醇 </w:t>
            </w:r>
            <w:r>
              <w:rPr>
                <w:rFonts w:ascii="Times New Roman" w:eastAsia="Times New Roman"/>
                <w:sz w:val="20"/>
              </w:rPr>
              <w:t>10.4</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2"/>
              <w:jc w:val="left"/>
              <w:rPr>
                <w:rFonts w:ascii="Times New Roman"/>
                <w:sz w:val="21"/>
              </w:rPr>
            </w:pPr>
          </w:p>
          <w:p>
            <w:pPr>
              <w:pStyle w:val="TableParagraph"/>
              <w:ind w:left="115"/>
              <w:jc w:val="left"/>
              <w:rPr>
                <w:rFonts w:ascii="Times New Roman"/>
                <w:sz w:val="18"/>
              </w:rPr>
            </w:pPr>
            <w:r>
              <w:rPr>
                <w:rFonts w:ascii="Times New Roman"/>
                <w:sz w:val="18"/>
              </w:rPr>
              <w:t>12.87</w:t>
            </w:r>
          </w:p>
        </w:tc>
        <w:tc>
          <w:tcPr>
            <w:tcW w:w="620" w:type="dxa"/>
            <w:tcBorders>
              <w:top w:val="single" w:sz="6" w:space="0" w:color="000000"/>
              <w:left w:val="single" w:sz="6" w:space="0" w:color="000000"/>
              <w:bottom w:val="single" w:sz="6" w:space="0" w:color="000000"/>
            </w:tcBorders>
          </w:tcPr>
          <w:p>
            <w:pPr>
              <w:pStyle w:val="TableParagraph"/>
              <w:spacing w:before="2"/>
              <w:jc w:val="left"/>
              <w:rPr>
                <w:rFonts w:ascii="Times New Roman"/>
                <w:sz w:val="21"/>
              </w:rPr>
            </w:pPr>
          </w:p>
          <w:p>
            <w:pPr>
              <w:pStyle w:val="TableParagraph"/>
              <w:ind w:left="90" w:right="62"/>
              <w:rPr>
                <w:rFonts w:ascii="Times New Roman"/>
                <w:sz w:val="18"/>
              </w:rPr>
            </w:pPr>
            <w:r>
              <w:rPr>
                <w:rFonts w:ascii="Times New Roman"/>
                <w:sz w:val="18"/>
              </w:rPr>
              <w:t>3.86</w:t>
            </w:r>
          </w:p>
        </w:tc>
      </w:tr>
      <w:tr>
        <w:trPr>
          <w:trHeight w:val="925" w:hRule="atLeast"/>
        </w:trPr>
        <w:tc>
          <w:tcPr>
            <w:tcW w:w="538" w:type="dxa"/>
            <w:vMerge/>
            <w:tcBorders>
              <w:top w:val="nil"/>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29"/>
              <w:ind w:left="124" w:right="96"/>
              <w:rPr>
                <w:sz w:val="18"/>
              </w:rPr>
            </w:pPr>
            <w:r>
              <w:rPr>
                <w:sz w:val="18"/>
              </w:rPr>
              <w:t>脱卞精制后分层水层废水</w:t>
            </w:r>
          </w:p>
          <w:p>
            <w:pPr>
              <w:pStyle w:val="TableParagraph"/>
              <w:spacing w:line="281" w:lineRule="exact"/>
              <w:ind w:left="123" w:right="96"/>
              <w:rPr>
                <w:sz w:val="18"/>
              </w:rPr>
            </w:pPr>
            <w:r>
              <w:rPr>
                <w:sz w:val="18"/>
              </w:rPr>
              <w:t>（</w:t>
            </w:r>
            <w:r>
              <w:rPr>
                <w:rFonts w:ascii="Times New Roman" w:eastAsia="Times New Roman"/>
                <w:sz w:val="18"/>
              </w:rPr>
              <w:t>W9-5</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9"/>
              <w:ind w:left="114" w:right="104"/>
              <w:rPr>
                <w:sz w:val="18"/>
              </w:rPr>
            </w:pPr>
            <w:r>
              <w:rPr>
                <w:sz w:val="18"/>
              </w:rPr>
              <w:t>Σ</w:t>
            </w:r>
            <w:r>
              <w:rPr>
                <w:rFonts w:ascii="Times New Roman" w:hAnsi="Times New Roman" w:eastAsia="Times New Roman"/>
                <w:sz w:val="18"/>
              </w:rPr>
              <w:t>6641 </w:t>
            </w:r>
            <w:r>
              <w:rPr>
                <w:sz w:val="18"/>
              </w:rPr>
              <w:t>水 </w:t>
            </w:r>
            <w:r>
              <w:rPr>
                <w:rFonts w:ascii="Times New Roman" w:hAnsi="Times New Roman" w:eastAsia="Times New Roman"/>
                <w:sz w:val="18"/>
              </w:rPr>
              <w:t>2237.9</w:t>
            </w:r>
            <w:r>
              <w:rPr>
                <w:sz w:val="18"/>
              </w:rPr>
              <w:t>、脱苄物 </w:t>
            </w:r>
            <w:r>
              <w:rPr>
                <w:rFonts w:ascii="Times New Roman" w:hAnsi="Times New Roman" w:eastAsia="Times New Roman"/>
                <w:sz w:val="18"/>
              </w:rPr>
              <w:t>182.4</w:t>
            </w:r>
            <w:r>
              <w:rPr>
                <w:sz w:val="18"/>
              </w:rPr>
              <w:t>、正丁醇 </w:t>
            </w:r>
            <w:r>
              <w:rPr>
                <w:rFonts w:ascii="Times New Roman" w:hAnsi="Times New Roman" w:eastAsia="Times New Roman"/>
                <w:sz w:val="18"/>
              </w:rPr>
              <w:t>278.5</w:t>
            </w:r>
            <w:r>
              <w:rPr>
                <w:sz w:val="18"/>
              </w:rPr>
              <w:t>、氢氧化钾 </w:t>
            </w:r>
            <w:r>
              <w:rPr>
                <w:rFonts w:ascii="Times New Roman" w:hAnsi="Times New Roman" w:eastAsia="Times New Roman"/>
                <w:sz w:val="18"/>
              </w:rPr>
              <w:t>291.9</w:t>
            </w:r>
            <w:r>
              <w:rPr>
                <w:sz w:val="18"/>
              </w:rPr>
              <w:t>、甲苯</w:t>
            </w:r>
          </w:p>
          <w:p>
            <w:pPr>
              <w:pStyle w:val="TableParagraph"/>
              <w:spacing w:line="201" w:lineRule="exact"/>
              <w:ind w:left="15"/>
              <w:rPr>
                <w:sz w:val="18"/>
              </w:rPr>
            </w:pPr>
            <w:r>
              <w:rPr>
                <w:rFonts w:ascii="Times New Roman" w:eastAsia="Times New Roman"/>
                <w:sz w:val="18"/>
              </w:rPr>
              <w:t>104</w:t>
            </w:r>
            <w:r>
              <w:rPr>
                <w:sz w:val="18"/>
              </w:rPr>
              <w:t>、乙醇 </w:t>
            </w:r>
            <w:r>
              <w:rPr>
                <w:rFonts w:ascii="Times New Roman" w:eastAsia="Times New Roman"/>
                <w:sz w:val="18"/>
              </w:rPr>
              <w:t>573.7</w:t>
            </w:r>
            <w:r>
              <w:rPr>
                <w:sz w:val="18"/>
              </w:rPr>
              <w:t>、碳酸钾 </w:t>
            </w:r>
            <w:r>
              <w:rPr>
                <w:rFonts w:ascii="Times New Roman" w:eastAsia="Times New Roman"/>
                <w:sz w:val="18"/>
              </w:rPr>
              <w:t>1721.1</w:t>
            </w:r>
            <w:r>
              <w:rPr>
                <w:sz w:val="18"/>
              </w:rPr>
              <w:t>、一</w:t>
            </w:r>
          </w:p>
          <w:p>
            <w:pPr>
              <w:pStyle w:val="TableParagraph"/>
              <w:spacing w:line="222" w:lineRule="exact"/>
              <w:ind w:left="114" w:right="87"/>
              <w:rPr>
                <w:rFonts w:ascii="Times New Roman" w:eastAsia="Times New Roman"/>
                <w:sz w:val="18"/>
              </w:rPr>
            </w:pPr>
            <w:r>
              <w:rPr>
                <w:sz w:val="18"/>
              </w:rPr>
              <w:t>氯代甲苯 </w:t>
            </w:r>
            <w:r>
              <w:rPr>
                <w:rFonts w:ascii="Times New Roman" w:eastAsia="Times New Roman"/>
                <w:sz w:val="18"/>
              </w:rPr>
              <w:t>784.3</w:t>
            </w:r>
            <w:r>
              <w:rPr>
                <w:sz w:val="18"/>
              </w:rPr>
              <w:t>、氯化钾 </w:t>
            </w:r>
            <w:r>
              <w:rPr>
                <w:rFonts w:ascii="Times New Roman" w:eastAsia="Times New Roman"/>
                <w:sz w:val="18"/>
              </w:rPr>
              <w:t>467.3</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ind w:left="73" w:right="44"/>
              <w:rPr>
                <w:sz w:val="18"/>
              </w:rPr>
            </w:pPr>
            <w:r>
              <w:rPr>
                <w:sz w:val="18"/>
              </w:rPr>
              <w:t>Σ</w:t>
            </w:r>
            <w:r>
              <w:rPr>
                <w:rFonts w:ascii="Times New Roman" w:hAnsi="Times New Roman" w:eastAsia="Times New Roman"/>
                <w:sz w:val="20"/>
              </w:rPr>
              <w:t>3447.0 </w:t>
            </w:r>
            <w:r>
              <w:rPr>
                <w:sz w:val="18"/>
              </w:rPr>
              <w:t>脱苄物 </w:t>
            </w:r>
            <w:r>
              <w:rPr>
                <w:rFonts w:ascii="Times New Roman" w:hAnsi="Times New Roman" w:eastAsia="Times New Roman"/>
                <w:sz w:val="18"/>
              </w:rPr>
              <w:t>182.4</w:t>
            </w:r>
            <w:r>
              <w:rPr>
                <w:sz w:val="18"/>
              </w:rPr>
              <w:t>、</w:t>
            </w:r>
          </w:p>
          <w:p>
            <w:pPr>
              <w:pStyle w:val="TableParagraph"/>
              <w:spacing w:line="234" w:lineRule="exact"/>
              <w:ind w:left="70" w:right="44"/>
              <w:rPr>
                <w:sz w:val="18"/>
              </w:rPr>
            </w:pPr>
            <w:r>
              <w:rPr>
                <w:sz w:val="18"/>
              </w:rPr>
              <w:t>氢氧化钾 </w:t>
            </w:r>
            <w:r>
              <w:rPr>
                <w:rFonts w:ascii="Times New Roman" w:eastAsia="Times New Roman"/>
                <w:sz w:val="18"/>
              </w:rPr>
              <w:t>291.9</w:t>
            </w:r>
            <w:r>
              <w:rPr>
                <w:sz w:val="18"/>
              </w:rPr>
              <w:t>、碳酸钾</w:t>
            </w:r>
          </w:p>
          <w:p>
            <w:pPr>
              <w:pStyle w:val="TableParagraph"/>
              <w:spacing w:line="233" w:lineRule="exact"/>
              <w:ind w:left="114" w:right="-15"/>
              <w:rPr>
                <w:sz w:val="18"/>
              </w:rPr>
            </w:pPr>
            <w:r>
              <w:rPr>
                <w:rFonts w:ascii="Times New Roman" w:eastAsia="Times New Roman"/>
                <w:sz w:val="18"/>
              </w:rPr>
              <w:t>1721.1</w:t>
            </w:r>
            <w:r>
              <w:rPr>
                <w:spacing w:val="-9"/>
                <w:sz w:val="18"/>
              </w:rPr>
              <w:t>、一氯代甲苯 </w:t>
            </w:r>
            <w:r>
              <w:rPr>
                <w:rFonts w:ascii="Times New Roman" w:eastAsia="Times New Roman"/>
                <w:sz w:val="18"/>
              </w:rPr>
              <w:t>784.3</w:t>
            </w:r>
            <w:r>
              <w:rPr>
                <w:sz w:val="18"/>
              </w:rPr>
              <w:t>、</w:t>
            </w:r>
          </w:p>
          <w:p>
            <w:pPr>
              <w:pStyle w:val="TableParagraph"/>
              <w:spacing w:line="219" w:lineRule="exact"/>
              <w:ind w:left="71" w:right="44"/>
              <w:rPr>
                <w:rFonts w:ascii="Times New Roman" w:eastAsia="Times New Roman"/>
                <w:sz w:val="18"/>
              </w:rPr>
            </w:pPr>
            <w:r>
              <w:rPr>
                <w:sz w:val="18"/>
              </w:rPr>
              <w:t>氯化钾 </w:t>
            </w:r>
            <w:r>
              <w:rPr>
                <w:rFonts w:ascii="Times New Roman" w:eastAsia="Times New Roman"/>
                <w:sz w:val="18"/>
              </w:rPr>
              <w:t>467.3</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23"/>
              <w:ind w:left="113"/>
              <w:jc w:val="left"/>
              <w:rPr>
                <w:sz w:val="18"/>
              </w:rPr>
            </w:pPr>
            <w:r>
              <w:rPr>
                <w:sz w:val="18"/>
              </w:rPr>
              <w:t>Σ</w:t>
            </w:r>
            <w:r>
              <w:rPr>
                <w:rFonts w:ascii="Times New Roman" w:hAnsi="Times New Roman" w:eastAsia="Times New Roman"/>
                <w:sz w:val="20"/>
              </w:rPr>
              <w:t>1212.5 </w:t>
            </w:r>
            <w:r>
              <w:rPr>
                <w:spacing w:val="-6"/>
                <w:sz w:val="18"/>
              </w:rPr>
              <w:t>水 </w:t>
            </w:r>
            <w:r>
              <w:rPr>
                <w:rFonts w:ascii="Times New Roman" w:hAnsi="Times New Roman" w:eastAsia="Times New Roman"/>
                <w:sz w:val="20"/>
              </w:rPr>
              <w:t>447.6 </w:t>
            </w:r>
            <w:r>
              <w:rPr>
                <w:spacing w:val="-60"/>
                <w:sz w:val="18"/>
              </w:rPr>
              <w:t>、正</w:t>
            </w:r>
          </w:p>
          <w:p>
            <w:pPr>
              <w:pStyle w:val="TableParagraph"/>
              <w:spacing w:line="151" w:lineRule="auto" w:before="27"/>
              <w:ind w:left="589" w:right="-15" w:hanging="476"/>
              <w:jc w:val="left"/>
              <w:rPr>
                <w:rFonts w:ascii="Times New Roman" w:eastAsia="Times New Roman"/>
                <w:sz w:val="20"/>
              </w:rPr>
            </w:pPr>
            <w:r>
              <w:rPr>
                <w:spacing w:val="1"/>
                <w:sz w:val="18"/>
              </w:rPr>
              <w:t>丁醇 </w:t>
            </w:r>
            <w:r>
              <w:rPr>
                <w:rFonts w:ascii="Times New Roman" w:eastAsia="Times New Roman"/>
                <w:sz w:val="20"/>
              </w:rPr>
              <w:t>222.8</w:t>
            </w:r>
            <w:r>
              <w:rPr>
                <w:spacing w:val="-19"/>
                <w:sz w:val="18"/>
              </w:rPr>
              <w:t>、甲苯 </w:t>
            </w:r>
            <w:r>
              <w:rPr>
                <w:rFonts w:ascii="Times New Roman" w:eastAsia="Times New Roman"/>
                <w:sz w:val="20"/>
              </w:rPr>
              <w:t>83.2</w:t>
            </w:r>
            <w:r>
              <w:rPr>
                <w:sz w:val="18"/>
              </w:rPr>
              <w:t>、</w:t>
            </w:r>
            <w:r>
              <w:rPr>
                <w:spacing w:val="1"/>
                <w:sz w:val="18"/>
              </w:rPr>
              <w:t>乙醇 </w:t>
            </w:r>
            <w:r>
              <w:rPr>
                <w:rFonts w:ascii="Times New Roman" w:eastAsia="Times New Roman"/>
                <w:sz w:val="20"/>
              </w:rPr>
              <w:t>459.0</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before="23"/>
              <w:ind w:left="50"/>
              <w:rPr>
                <w:sz w:val="18"/>
              </w:rPr>
            </w:pPr>
            <w:r>
              <w:rPr>
                <w:sz w:val="18"/>
              </w:rPr>
              <w:t>Σ</w:t>
            </w:r>
            <w:r>
              <w:rPr>
                <w:rFonts w:ascii="Times New Roman" w:hAnsi="Times New Roman" w:eastAsia="Times New Roman"/>
                <w:sz w:val="20"/>
              </w:rPr>
              <w:t>1980.2 </w:t>
            </w:r>
            <w:r>
              <w:rPr>
                <w:sz w:val="18"/>
              </w:rPr>
              <w:t>水 </w:t>
            </w:r>
            <w:r>
              <w:rPr>
                <w:rFonts w:ascii="Times New Roman" w:hAnsi="Times New Roman" w:eastAsia="Times New Roman"/>
                <w:sz w:val="20"/>
              </w:rPr>
              <w:t>1790.3 </w:t>
            </w:r>
            <w:r>
              <w:rPr>
                <w:sz w:val="18"/>
              </w:rPr>
              <w:t>、</w:t>
            </w:r>
          </w:p>
          <w:p>
            <w:pPr>
              <w:pStyle w:val="TableParagraph"/>
              <w:spacing w:line="239" w:lineRule="exact"/>
              <w:ind w:left="23"/>
              <w:rPr>
                <w:sz w:val="18"/>
              </w:rPr>
            </w:pPr>
            <w:r>
              <w:rPr>
                <w:spacing w:val="1"/>
                <w:sz w:val="18"/>
              </w:rPr>
              <w:t>正丁醇 </w:t>
            </w:r>
            <w:r>
              <w:rPr>
                <w:rFonts w:ascii="Times New Roman" w:eastAsia="Times New Roman"/>
                <w:sz w:val="20"/>
              </w:rPr>
              <w:t>55.7</w:t>
            </w:r>
            <w:r>
              <w:rPr>
                <w:sz w:val="18"/>
              </w:rPr>
              <w:t>、甲苯</w:t>
            </w:r>
          </w:p>
          <w:p>
            <w:pPr>
              <w:pStyle w:val="TableParagraph"/>
              <w:spacing w:line="311" w:lineRule="exact"/>
              <w:ind w:left="19"/>
              <w:rPr>
                <w:rFonts w:ascii="Times New Roman" w:eastAsia="Times New Roman"/>
                <w:sz w:val="20"/>
              </w:rPr>
            </w:pPr>
            <w:r>
              <w:rPr>
                <w:rFonts w:ascii="Times New Roman" w:eastAsia="Times New Roman"/>
                <w:sz w:val="20"/>
              </w:rPr>
              <w:t>20.6</w:t>
            </w:r>
            <w:r>
              <w:rPr>
                <w:spacing w:val="-2"/>
                <w:sz w:val="18"/>
              </w:rPr>
              <w:t>、乙醇 </w:t>
            </w:r>
            <w:r>
              <w:rPr>
                <w:rFonts w:ascii="Times New Roman" w:eastAsia="Times New Roman"/>
                <w:sz w:val="20"/>
              </w:rPr>
              <w:t>113.6</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20"/>
              </w:rPr>
            </w:pPr>
          </w:p>
          <w:p>
            <w:pPr>
              <w:pStyle w:val="TableParagraph"/>
              <w:spacing w:line="151" w:lineRule="auto"/>
              <w:ind w:left="190" w:right="64" w:hanging="80"/>
              <w:jc w:val="left"/>
              <w:rPr>
                <w:rFonts w:ascii="Times New Roman" w:eastAsia="Times New Roman"/>
                <w:sz w:val="20"/>
              </w:rPr>
            </w:pPr>
            <w:r>
              <w:rPr>
                <w:sz w:val="18"/>
              </w:rPr>
              <w:t>甲苯 </w:t>
            </w:r>
            <w:r>
              <w:rPr>
                <w:rFonts w:ascii="Times New Roman" w:eastAsia="Times New Roman"/>
                <w:sz w:val="20"/>
              </w:rPr>
              <w:t>0.2</w:t>
            </w:r>
            <w:r>
              <w:rPr>
                <w:sz w:val="18"/>
              </w:rPr>
              <w:t>、乙醇 </w:t>
            </w:r>
            <w:r>
              <w:rPr>
                <w:rFonts w:ascii="Times New Roman" w:eastAsia="Times New Roman"/>
                <w:sz w:val="20"/>
              </w:rPr>
              <w:t>1.2</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24"/>
              <w:ind w:left="161"/>
              <w:jc w:val="left"/>
              <w:rPr>
                <w:rFonts w:ascii="Times New Roman"/>
                <w:sz w:val="18"/>
              </w:rPr>
            </w:pPr>
            <w:r>
              <w:rPr>
                <w:rFonts w:ascii="Times New Roman"/>
                <w:sz w:val="18"/>
              </w:rPr>
              <w:t>1.98</w:t>
            </w:r>
          </w:p>
        </w:tc>
        <w:tc>
          <w:tcPr>
            <w:tcW w:w="620"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124"/>
              <w:ind w:left="90" w:right="62"/>
              <w:rPr>
                <w:rFonts w:ascii="Times New Roman"/>
                <w:sz w:val="18"/>
              </w:rPr>
            </w:pPr>
            <w:r>
              <w:rPr>
                <w:rFonts w:ascii="Times New Roman"/>
                <w:sz w:val="18"/>
              </w:rPr>
              <w:t>0.59</w:t>
            </w:r>
          </w:p>
        </w:tc>
      </w:tr>
      <w:tr>
        <w:trPr>
          <w:trHeight w:val="195" w:hRule="atLeast"/>
        </w:trPr>
        <w:tc>
          <w:tcPr>
            <w:tcW w:w="538" w:type="dxa"/>
            <w:vMerge/>
            <w:tcBorders>
              <w:top w:val="nil"/>
              <w:right w:val="single" w:sz="6" w:space="0" w:color="000000"/>
            </w:tcBorders>
          </w:tcPr>
          <w:p>
            <w:pPr>
              <w:rPr>
                <w:sz w:val="2"/>
                <w:szCs w:val="2"/>
              </w:rPr>
            </w:pPr>
          </w:p>
        </w:tc>
        <w:tc>
          <w:tcPr>
            <w:tcW w:w="1318" w:type="dxa"/>
            <w:tcBorders>
              <w:top w:val="single" w:sz="6" w:space="0" w:color="000000"/>
              <w:left w:val="single" w:sz="6" w:space="0" w:color="000000"/>
              <w:bottom w:val="nil"/>
              <w:right w:val="single" w:sz="6" w:space="0" w:color="000000"/>
            </w:tcBorders>
          </w:tcPr>
          <w:p>
            <w:pPr>
              <w:pStyle w:val="TableParagraph"/>
              <w:jc w:val="left"/>
              <w:rPr>
                <w:rFonts w:ascii="Times New Roman"/>
                <w:sz w:val="12"/>
              </w:rPr>
            </w:pPr>
          </w:p>
        </w:tc>
        <w:tc>
          <w:tcPr>
            <w:tcW w:w="3051" w:type="dxa"/>
            <w:tcBorders>
              <w:top w:val="single" w:sz="6" w:space="0" w:color="000000"/>
              <w:left w:val="single" w:sz="6" w:space="0" w:color="000000"/>
              <w:bottom w:val="nil"/>
              <w:right w:val="single" w:sz="6" w:space="0" w:color="000000"/>
            </w:tcBorders>
          </w:tcPr>
          <w:p>
            <w:pPr>
              <w:pStyle w:val="TableParagraph"/>
              <w:spacing w:line="176" w:lineRule="exact"/>
              <w:ind w:left="114" w:right="85"/>
              <w:rPr>
                <w:sz w:val="18"/>
              </w:rPr>
            </w:pPr>
            <w:r>
              <w:rPr>
                <w:sz w:val="18"/>
              </w:rPr>
              <w:t>Σ</w:t>
            </w:r>
            <w:r>
              <w:rPr>
                <w:rFonts w:ascii="Times New Roman" w:hAnsi="Times New Roman" w:eastAsia="Times New Roman"/>
                <w:sz w:val="18"/>
              </w:rPr>
              <w:t>16908.9 </w:t>
            </w:r>
            <w:r>
              <w:rPr>
                <w:sz w:val="18"/>
              </w:rPr>
              <w:t>盐水 </w:t>
            </w:r>
            <w:r>
              <w:rPr>
                <w:rFonts w:ascii="Times New Roman" w:hAnsi="Times New Roman" w:eastAsia="Times New Roman"/>
                <w:sz w:val="18"/>
              </w:rPr>
              <w:t>15000</w:t>
            </w:r>
            <w:r>
              <w:rPr>
                <w:sz w:val="18"/>
              </w:rPr>
              <w:t>、水 </w:t>
            </w:r>
            <w:r>
              <w:rPr>
                <w:rFonts w:ascii="Times New Roman" w:hAnsi="Times New Roman" w:eastAsia="Times New Roman"/>
                <w:sz w:val="18"/>
              </w:rPr>
              <w:t>394.9</w:t>
            </w:r>
            <w:r>
              <w:rPr>
                <w:sz w:val="18"/>
              </w:rPr>
              <w:t>、脱</w:t>
            </w:r>
          </w:p>
        </w:tc>
        <w:tc>
          <w:tcPr>
            <w:tcW w:w="2283"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07" w:lineRule="exact" w:before="11"/>
              <w:ind w:left="150"/>
              <w:jc w:val="left"/>
              <w:rPr>
                <w:sz w:val="18"/>
              </w:rPr>
            </w:pPr>
            <w:r>
              <w:rPr>
                <w:w w:val="105"/>
                <w:sz w:val="18"/>
              </w:rPr>
              <w:t>Σ</w:t>
            </w:r>
            <w:r>
              <w:rPr>
                <w:rFonts w:ascii="Times New Roman" w:hAnsi="Times New Roman" w:eastAsia="Times New Roman"/>
                <w:w w:val="105"/>
                <w:sz w:val="20"/>
              </w:rPr>
              <w:t>4617.3</w:t>
            </w:r>
            <w:r>
              <w:rPr>
                <w:rFonts w:ascii="Times New Roman" w:hAnsi="Times New Roman" w:eastAsia="Times New Roman"/>
                <w:spacing w:val="37"/>
                <w:w w:val="105"/>
                <w:sz w:val="20"/>
              </w:rPr>
              <w:t> </w:t>
            </w:r>
            <w:r>
              <w:rPr>
                <w:spacing w:val="-2"/>
                <w:w w:val="105"/>
                <w:sz w:val="18"/>
              </w:rPr>
              <w:t>盐水 </w:t>
            </w:r>
            <w:r>
              <w:rPr>
                <w:rFonts w:ascii="Times New Roman" w:hAnsi="Times New Roman" w:eastAsia="Times New Roman"/>
                <w:w w:val="105"/>
                <w:sz w:val="20"/>
              </w:rPr>
              <w:t>3900</w:t>
            </w:r>
            <w:r>
              <w:rPr>
                <w:w w:val="105"/>
                <w:sz w:val="18"/>
              </w:rPr>
              <w:t>、脱</w:t>
            </w:r>
          </w:p>
          <w:p>
            <w:pPr>
              <w:pStyle w:val="TableParagraph"/>
              <w:spacing w:line="148" w:lineRule="auto" w:before="27"/>
              <w:ind w:left="114" w:right="-15"/>
              <w:jc w:val="left"/>
              <w:rPr>
                <w:sz w:val="18"/>
              </w:rPr>
            </w:pPr>
            <w:r>
              <w:rPr>
                <w:sz w:val="18"/>
              </w:rPr>
              <w:t>苄物 </w:t>
            </w:r>
            <w:r>
              <w:rPr>
                <w:rFonts w:ascii="Times New Roman" w:eastAsia="Times New Roman"/>
                <w:sz w:val="18"/>
              </w:rPr>
              <w:t>141.2</w:t>
            </w:r>
            <w:r>
              <w:rPr>
                <w:spacing w:val="-17"/>
                <w:sz w:val="18"/>
              </w:rPr>
              <w:t>、氢氧化钾 </w:t>
            </w:r>
            <w:r>
              <w:rPr>
                <w:rFonts w:ascii="Times New Roman" w:eastAsia="Times New Roman"/>
                <w:sz w:val="18"/>
              </w:rPr>
              <w:t>51.5</w:t>
            </w:r>
            <w:r>
              <w:rPr>
                <w:sz w:val="18"/>
              </w:rPr>
              <w:t>、</w:t>
            </w:r>
            <w:r>
              <w:rPr>
                <w:spacing w:val="1"/>
                <w:sz w:val="18"/>
              </w:rPr>
              <w:t>碳酸钾 </w:t>
            </w:r>
            <w:r>
              <w:rPr>
                <w:rFonts w:ascii="Times New Roman" w:eastAsia="Times New Roman"/>
                <w:sz w:val="18"/>
              </w:rPr>
              <w:t>303.7</w:t>
            </w:r>
            <w:r>
              <w:rPr>
                <w:spacing w:val="-2"/>
                <w:sz w:val="18"/>
              </w:rPr>
              <w:t>、一氯代甲苯</w:t>
            </w:r>
          </w:p>
          <w:p>
            <w:pPr>
              <w:pStyle w:val="TableParagraph"/>
              <w:spacing w:line="275" w:lineRule="exact"/>
              <w:ind w:left="71" w:right="44"/>
              <w:rPr>
                <w:rFonts w:ascii="Times New Roman" w:eastAsia="Times New Roman"/>
                <w:sz w:val="18"/>
              </w:rPr>
            </w:pPr>
            <w:r>
              <w:rPr>
                <w:rFonts w:ascii="Times New Roman" w:eastAsia="Times New Roman"/>
                <w:sz w:val="18"/>
              </w:rPr>
              <w:t>138.4</w:t>
            </w:r>
            <w:r>
              <w:rPr>
                <w:sz w:val="18"/>
              </w:rPr>
              <w:t>、氯化钾 </w:t>
            </w:r>
            <w:r>
              <w:rPr>
                <w:rFonts w:ascii="Times New Roman" w:eastAsia="Times New Roman"/>
                <w:sz w:val="18"/>
              </w:rPr>
              <w:t>82.5</w:t>
            </w:r>
          </w:p>
        </w:tc>
        <w:tc>
          <w:tcPr>
            <w:tcW w:w="2021" w:type="dxa"/>
            <w:tcBorders>
              <w:top w:val="single" w:sz="6" w:space="0" w:color="000000"/>
              <w:left w:val="single" w:sz="6" w:space="0" w:color="000000"/>
              <w:bottom w:val="nil"/>
              <w:right w:val="single" w:sz="6" w:space="0" w:color="000000"/>
            </w:tcBorders>
          </w:tcPr>
          <w:p>
            <w:pPr>
              <w:pStyle w:val="TableParagraph"/>
              <w:jc w:val="left"/>
              <w:rPr>
                <w:rFonts w:ascii="Times New Roman"/>
                <w:sz w:val="12"/>
              </w:rPr>
            </w:pPr>
          </w:p>
        </w:tc>
        <w:tc>
          <w:tcPr>
            <w:tcW w:w="197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07" w:lineRule="exact"/>
              <w:ind w:left="42"/>
              <w:rPr>
                <w:sz w:val="18"/>
              </w:rPr>
            </w:pPr>
            <w:r>
              <w:rPr>
                <w:w w:val="105"/>
                <w:sz w:val="18"/>
              </w:rPr>
              <w:t>Σ</w:t>
            </w:r>
            <w:r>
              <w:rPr>
                <w:rFonts w:ascii="Times New Roman" w:hAnsi="Times New Roman" w:eastAsia="Times New Roman"/>
                <w:w w:val="105"/>
                <w:sz w:val="20"/>
              </w:rPr>
              <w:t>11574.8 </w:t>
            </w:r>
            <w:r>
              <w:rPr>
                <w:w w:val="105"/>
                <w:sz w:val="18"/>
              </w:rPr>
              <w:t>水 </w:t>
            </w:r>
            <w:r>
              <w:rPr>
                <w:rFonts w:ascii="Times New Roman" w:hAnsi="Times New Roman" w:eastAsia="Times New Roman"/>
                <w:w w:val="105"/>
                <w:sz w:val="20"/>
              </w:rPr>
              <w:t>315.9 </w:t>
            </w:r>
            <w:r>
              <w:rPr>
                <w:w w:val="105"/>
                <w:sz w:val="18"/>
              </w:rPr>
              <w:t>、</w:t>
            </w:r>
          </w:p>
          <w:p>
            <w:pPr>
              <w:pStyle w:val="TableParagraph"/>
              <w:spacing w:line="232" w:lineRule="exact"/>
              <w:ind w:left="21"/>
              <w:rPr>
                <w:sz w:val="18"/>
              </w:rPr>
            </w:pPr>
            <w:r>
              <w:rPr>
                <w:spacing w:val="1"/>
                <w:sz w:val="18"/>
              </w:rPr>
              <w:t>正丁醇 </w:t>
            </w:r>
            <w:r>
              <w:rPr>
                <w:rFonts w:ascii="Times New Roman" w:eastAsia="Times New Roman"/>
                <w:sz w:val="20"/>
              </w:rPr>
              <w:t>105.8</w:t>
            </w:r>
            <w:r>
              <w:rPr>
                <w:sz w:val="18"/>
              </w:rPr>
              <w:t>、甲苯</w:t>
            </w:r>
          </w:p>
          <w:p>
            <w:pPr>
              <w:pStyle w:val="TableParagraph"/>
              <w:spacing w:line="308" w:lineRule="exact"/>
              <w:ind w:left="21"/>
              <w:rPr>
                <w:sz w:val="18"/>
              </w:rPr>
            </w:pPr>
            <w:r>
              <w:rPr>
                <w:rFonts w:ascii="Times New Roman" w:eastAsia="Times New Roman"/>
                <w:sz w:val="20"/>
              </w:rPr>
              <w:t>32.9</w:t>
            </w:r>
            <w:r>
              <w:rPr>
                <w:spacing w:val="1"/>
                <w:sz w:val="18"/>
              </w:rPr>
              <w:t>、乙醇 </w:t>
            </w:r>
            <w:r>
              <w:rPr>
                <w:rFonts w:ascii="Times New Roman" w:eastAsia="Times New Roman"/>
                <w:sz w:val="20"/>
              </w:rPr>
              <w:t>20</w:t>
            </w:r>
            <w:r>
              <w:rPr>
                <w:sz w:val="20"/>
              </w:rPr>
              <w:t>、</w:t>
            </w:r>
            <w:r>
              <w:rPr>
                <w:sz w:val="18"/>
              </w:rPr>
              <w:t>盐水</w:t>
            </w:r>
          </w:p>
          <w:p>
            <w:pPr>
              <w:pStyle w:val="TableParagraph"/>
              <w:spacing w:line="191" w:lineRule="exact"/>
              <w:ind w:left="20"/>
              <w:rPr>
                <w:rFonts w:ascii="Times New Roman"/>
                <w:sz w:val="20"/>
              </w:rPr>
            </w:pPr>
            <w:r>
              <w:rPr>
                <w:rFonts w:ascii="Times New Roman"/>
                <w:sz w:val="20"/>
              </w:rPr>
              <w:t>11100</w:t>
            </w:r>
          </w:p>
        </w:tc>
        <w:tc>
          <w:tcPr>
            <w:tcW w:w="10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29"/>
              </w:rPr>
            </w:pPr>
          </w:p>
          <w:p>
            <w:pPr>
              <w:pStyle w:val="TableParagraph"/>
              <w:spacing w:line="148" w:lineRule="auto"/>
              <w:ind w:left="190" w:right="64" w:hanging="80"/>
              <w:jc w:val="left"/>
              <w:rPr>
                <w:rFonts w:ascii="Times New Roman" w:eastAsia="Times New Roman"/>
                <w:sz w:val="20"/>
              </w:rPr>
            </w:pPr>
            <w:r>
              <w:rPr>
                <w:sz w:val="18"/>
              </w:rPr>
              <w:t>甲苯 </w:t>
            </w:r>
            <w:r>
              <w:rPr>
                <w:rFonts w:ascii="Times New Roman" w:eastAsia="Times New Roman"/>
                <w:sz w:val="20"/>
              </w:rPr>
              <w:t>0.3</w:t>
            </w:r>
            <w:r>
              <w:rPr>
                <w:sz w:val="18"/>
              </w:rPr>
              <w:t>、乙醇 </w:t>
            </w:r>
            <w:r>
              <w:rPr>
                <w:rFonts w:ascii="Times New Roman" w:eastAsia="Times New Roman"/>
                <w:sz w:val="20"/>
              </w:rPr>
              <w:t>0.2</w:t>
            </w:r>
          </w:p>
        </w:tc>
        <w:tc>
          <w:tcPr>
            <w:tcW w:w="627" w:type="dxa"/>
            <w:tcBorders>
              <w:top w:val="single" w:sz="6" w:space="0" w:color="000000"/>
              <w:left w:val="single" w:sz="6" w:space="0" w:color="000000"/>
              <w:bottom w:val="nil"/>
              <w:right w:val="single" w:sz="6" w:space="0" w:color="000000"/>
            </w:tcBorders>
          </w:tcPr>
          <w:p>
            <w:pPr>
              <w:pStyle w:val="TableParagraph"/>
              <w:jc w:val="left"/>
              <w:rPr>
                <w:rFonts w:ascii="Times New Roman"/>
                <w:sz w:val="12"/>
              </w:rPr>
            </w:pPr>
          </w:p>
        </w:tc>
        <w:tc>
          <w:tcPr>
            <w:tcW w:w="620" w:type="dxa"/>
            <w:tcBorders>
              <w:top w:val="single" w:sz="6" w:space="0" w:color="000000"/>
              <w:left w:val="single" w:sz="6" w:space="0" w:color="000000"/>
              <w:bottom w:val="nil"/>
            </w:tcBorders>
          </w:tcPr>
          <w:p>
            <w:pPr>
              <w:pStyle w:val="TableParagraph"/>
              <w:jc w:val="left"/>
              <w:rPr>
                <w:rFonts w:ascii="Times New Roman"/>
                <w:sz w:val="12"/>
              </w:rPr>
            </w:pPr>
          </w:p>
        </w:tc>
      </w:tr>
      <w:tr>
        <w:trPr>
          <w:trHeight w:val="206" w:hRule="atLeast"/>
        </w:trPr>
        <w:tc>
          <w:tcPr>
            <w:tcW w:w="538" w:type="dxa"/>
            <w:vMerge/>
            <w:tcBorders>
              <w:top w:val="nil"/>
              <w:right w:val="single" w:sz="6" w:space="0" w:color="000000"/>
            </w:tcBorders>
          </w:tcPr>
          <w:p>
            <w:pPr>
              <w:rPr>
                <w:sz w:val="2"/>
                <w:szCs w:val="2"/>
              </w:rPr>
            </w:pPr>
          </w:p>
        </w:tc>
        <w:tc>
          <w:tcPr>
            <w:tcW w:w="1318" w:type="dxa"/>
            <w:tcBorders>
              <w:top w:val="nil"/>
              <w:left w:val="single" w:sz="6" w:space="0" w:color="000000"/>
              <w:bottom w:val="nil"/>
              <w:right w:val="single" w:sz="6" w:space="0" w:color="000000"/>
            </w:tcBorders>
          </w:tcPr>
          <w:p>
            <w:pPr>
              <w:pStyle w:val="TableParagraph"/>
              <w:spacing w:line="186" w:lineRule="exact"/>
              <w:ind w:left="104" w:right="79"/>
              <w:rPr>
                <w:sz w:val="18"/>
              </w:rPr>
            </w:pPr>
            <w:r>
              <w:rPr>
                <w:sz w:val="18"/>
              </w:rPr>
              <w:t>脱卞精制后洗</w:t>
            </w:r>
          </w:p>
        </w:tc>
        <w:tc>
          <w:tcPr>
            <w:tcW w:w="3051" w:type="dxa"/>
            <w:tcBorders>
              <w:top w:val="nil"/>
              <w:left w:val="single" w:sz="6" w:space="0" w:color="000000"/>
              <w:bottom w:val="nil"/>
              <w:right w:val="single" w:sz="6" w:space="0" w:color="000000"/>
            </w:tcBorders>
          </w:tcPr>
          <w:p>
            <w:pPr>
              <w:pStyle w:val="TableParagraph"/>
              <w:spacing w:line="186" w:lineRule="exact"/>
              <w:ind w:left="27"/>
              <w:rPr>
                <w:sz w:val="18"/>
              </w:rPr>
            </w:pPr>
            <w:r>
              <w:rPr>
                <w:sz w:val="18"/>
              </w:rPr>
              <w:t>苄物 </w:t>
            </w:r>
            <w:r>
              <w:rPr>
                <w:rFonts w:ascii="Times New Roman" w:eastAsia="Times New Roman"/>
                <w:sz w:val="18"/>
              </w:rPr>
              <w:t>141.2</w:t>
            </w:r>
            <w:r>
              <w:rPr>
                <w:sz w:val="18"/>
              </w:rPr>
              <w:t>、正丁醇 </w:t>
            </w:r>
            <w:r>
              <w:rPr>
                <w:rFonts w:ascii="Times New Roman" w:eastAsia="Times New Roman"/>
                <w:sz w:val="18"/>
              </w:rPr>
              <w:t>529.2</w:t>
            </w:r>
            <w:r>
              <w:rPr>
                <w:sz w:val="18"/>
              </w:rPr>
              <w:t>、氢氧化钾</w:t>
            </w:r>
          </w:p>
        </w:tc>
        <w:tc>
          <w:tcPr>
            <w:tcW w:w="2283" w:type="dxa"/>
            <w:vMerge/>
            <w:tcBorders>
              <w:top w:val="nil"/>
              <w:left w:val="single" w:sz="6" w:space="0" w:color="000000"/>
              <w:bottom w:val="single" w:sz="6" w:space="0" w:color="000000"/>
              <w:right w:val="single" w:sz="6" w:space="0" w:color="000000"/>
            </w:tcBorders>
          </w:tcPr>
          <w:p>
            <w:pPr>
              <w:rPr>
                <w:sz w:val="2"/>
                <w:szCs w:val="2"/>
              </w:rPr>
            </w:pPr>
          </w:p>
        </w:tc>
        <w:tc>
          <w:tcPr>
            <w:tcW w:w="2021" w:type="dxa"/>
            <w:tcBorders>
              <w:top w:val="nil"/>
              <w:left w:val="single" w:sz="6" w:space="0" w:color="000000"/>
              <w:bottom w:val="nil"/>
              <w:right w:val="single" w:sz="6" w:space="0" w:color="000000"/>
            </w:tcBorders>
          </w:tcPr>
          <w:p>
            <w:pPr>
              <w:pStyle w:val="TableParagraph"/>
              <w:spacing w:line="186" w:lineRule="exact"/>
              <w:ind w:left="113"/>
              <w:jc w:val="left"/>
              <w:rPr>
                <w:sz w:val="18"/>
              </w:rPr>
            </w:pPr>
            <w:r>
              <w:rPr>
                <w:sz w:val="18"/>
              </w:rPr>
              <w:t>Σ</w:t>
            </w:r>
            <w:r>
              <w:rPr>
                <w:rFonts w:ascii="Times New Roman" w:hAnsi="Times New Roman" w:eastAsia="Times New Roman"/>
                <w:sz w:val="20"/>
              </w:rPr>
              <w:t>716.4 </w:t>
            </w:r>
            <w:r>
              <w:rPr>
                <w:sz w:val="18"/>
              </w:rPr>
              <w:t>水 </w:t>
            </w:r>
            <w:r>
              <w:rPr>
                <w:rFonts w:ascii="Times New Roman" w:hAnsi="Times New Roman" w:eastAsia="Times New Roman"/>
                <w:sz w:val="20"/>
              </w:rPr>
              <w:t>79.0 </w:t>
            </w:r>
            <w:r>
              <w:rPr>
                <w:sz w:val="18"/>
              </w:rPr>
              <w:t>、正 丁</w:t>
            </w:r>
          </w:p>
        </w:tc>
        <w:tc>
          <w:tcPr>
            <w:tcW w:w="1976" w:type="dxa"/>
            <w:vMerge/>
            <w:tcBorders>
              <w:top w:val="nil"/>
              <w:left w:val="single" w:sz="6" w:space="0" w:color="000000"/>
              <w:bottom w:val="single" w:sz="6" w:space="0" w:color="000000"/>
              <w:right w:val="single" w:sz="6" w:space="0" w:color="000000"/>
            </w:tcBorders>
          </w:tcPr>
          <w:p>
            <w:pPr>
              <w:rPr>
                <w:sz w:val="2"/>
                <w:szCs w:val="2"/>
              </w:rPr>
            </w:pPr>
          </w:p>
        </w:tc>
        <w:tc>
          <w:tcPr>
            <w:tcW w:w="1030" w:type="dxa"/>
            <w:vMerge/>
            <w:tcBorders>
              <w:top w:val="nil"/>
              <w:left w:val="single" w:sz="6" w:space="0" w:color="000000"/>
              <w:bottom w:val="single" w:sz="6" w:space="0" w:color="000000"/>
              <w:right w:val="single" w:sz="6" w:space="0" w:color="000000"/>
            </w:tcBorders>
          </w:tcPr>
          <w:p>
            <w:pPr>
              <w:rPr>
                <w:sz w:val="2"/>
                <w:szCs w:val="2"/>
              </w:rPr>
            </w:pPr>
          </w:p>
        </w:tc>
        <w:tc>
          <w:tcPr>
            <w:tcW w:w="627" w:type="dxa"/>
            <w:tcBorders>
              <w:top w:val="nil"/>
              <w:left w:val="single" w:sz="6" w:space="0" w:color="000000"/>
              <w:bottom w:val="nil"/>
              <w:right w:val="single" w:sz="6" w:space="0" w:color="000000"/>
            </w:tcBorders>
          </w:tcPr>
          <w:p>
            <w:pPr>
              <w:pStyle w:val="TableParagraph"/>
              <w:jc w:val="left"/>
              <w:rPr>
                <w:rFonts w:ascii="Times New Roman"/>
                <w:sz w:val="14"/>
              </w:rPr>
            </w:pPr>
          </w:p>
        </w:tc>
        <w:tc>
          <w:tcPr>
            <w:tcW w:w="620" w:type="dxa"/>
            <w:tcBorders>
              <w:top w:val="nil"/>
              <w:left w:val="single" w:sz="6" w:space="0" w:color="000000"/>
              <w:bottom w:val="nil"/>
            </w:tcBorders>
          </w:tcPr>
          <w:p>
            <w:pPr>
              <w:pStyle w:val="TableParagraph"/>
              <w:jc w:val="left"/>
              <w:rPr>
                <w:rFonts w:ascii="Times New Roman"/>
                <w:sz w:val="14"/>
              </w:rPr>
            </w:pPr>
          </w:p>
        </w:tc>
      </w:tr>
      <w:tr>
        <w:trPr>
          <w:trHeight w:val="205" w:hRule="atLeast"/>
        </w:trPr>
        <w:tc>
          <w:tcPr>
            <w:tcW w:w="538" w:type="dxa"/>
            <w:vMerge/>
            <w:tcBorders>
              <w:top w:val="nil"/>
              <w:right w:val="single" w:sz="6" w:space="0" w:color="000000"/>
            </w:tcBorders>
          </w:tcPr>
          <w:p>
            <w:pPr>
              <w:rPr>
                <w:sz w:val="2"/>
                <w:szCs w:val="2"/>
              </w:rPr>
            </w:pPr>
          </w:p>
        </w:tc>
        <w:tc>
          <w:tcPr>
            <w:tcW w:w="1318" w:type="dxa"/>
            <w:tcBorders>
              <w:top w:val="nil"/>
              <w:left w:val="single" w:sz="6" w:space="0" w:color="000000"/>
              <w:bottom w:val="nil"/>
              <w:right w:val="single" w:sz="6" w:space="0" w:color="000000"/>
            </w:tcBorders>
          </w:tcPr>
          <w:p>
            <w:pPr>
              <w:pStyle w:val="TableParagraph"/>
              <w:spacing w:line="185" w:lineRule="exact"/>
              <w:ind w:left="123" w:right="96"/>
              <w:rPr>
                <w:sz w:val="18"/>
              </w:rPr>
            </w:pPr>
            <w:r>
              <w:rPr>
                <w:sz w:val="18"/>
              </w:rPr>
              <w:t>涤水层废水</w:t>
            </w:r>
          </w:p>
        </w:tc>
        <w:tc>
          <w:tcPr>
            <w:tcW w:w="3051" w:type="dxa"/>
            <w:tcBorders>
              <w:top w:val="nil"/>
              <w:left w:val="single" w:sz="6" w:space="0" w:color="000000"/>
              <w:bottom w:val="nil"/>
              <w:right w:val="single" w:sz="6" w:space="0" w:color="000000"/>
            </w:tcBorders>
          </w:tcPr>
          <w:p>
            <w:pPr>
              <w:pStyle w:val="TableParagraph"/>
              <w:spacing w:line="185" w:lineRule="exact"/>
              <w:ind w:left="27"/>
              <w:rPr>
                <w:sz w:val="18"/>
              </w:rPr>
            </w:pPr>
            <w:r>
              <w:rPr>
                <w:rFonts w:ascii="Times New Roman" w:eastAsia="Times New Roman"/>
                <w:sz w:val="18"/>
              </w:rPr>
              <w:t>51.5</w:t>
            </w:r>
            <w:r>
              <w:rPr>
                <w:sz w:val="18"/>
              </w:rPr>
              <w:t>、甲苯 </w:t>
            </w:r>
            <w:r>
              <w:rPr>
                <w:rFonts w:ascii="Times New Roman" w:eastAsia="Times New Roman"/>
                <w:sz w:val="18"/>
              </w:rPr>
              <w:t>166.3</w:t>
            </w:r>
            <w:r>
              <w:rPr>
                <w:sz w:val="18"/>
              </w:rPr>
              <w:t>、乙醇 </w:t>
            </w:r>
            <w:r>
              <w:rPr>
                <w:rFonts w:ascii="Times New Roman" w:eastAsia="Times New Roman"/>
                <w:sz w:val="18"/>
              </w:rPr>
              <w:t>101.2</w:t>
            </w:r>
            <w:r>
              <w:rPr>
                <w:sz w:val="18"/>
              </w:rPr>
              <w:t>、碳酸</w:t>
            </w:r>
          </w:p>
        </w:tc>
        <w:tc>
          <w:tcPr>
            <w:tcW w:w="2283" w:type="dxa"/>
            <w:vMerge/>
            <w:tcBorders>
              <w:top w:val="nil"/>
              <w:left w:val="single" w:sz="6" w:space="0" w:color="000000"/>
              <w:bottom w:val="single" w:sz="6" w:space="0" w:color="000000"/>
              <w:right w:val="single" w:sz="6" w:space="0" w:color="000000"/>
            </w:tcBorders>
          </w:tcPr>
          <w:p>
            <w:pPr>
              <w:rPr>
                <w:sz w:val="2"/>
                <w:szCs w:val="2"/>
              </w:rPr>
            </w:pPr>
          </w:p>
        </w:tc>
        <w:tc>
          <w:tcPr>
            <w:tcW w:w="2021" w:type="dxa"/>
            <w:tcBorders>
              <w:top w:val="nil"/>
              <w:left w:val="single" w:sz="6" w:space="0" w:color="000000"/>
              <w:bottom w:val="nil"/>
              <w:right w:val="single" w:sz="6" w:space="0" w:color="000000"/>
            </w:tcBorders>
          </w:tcPr>
          <w:p>
            <w:pPr>
              <w:pStyle w:val="TableParagraph"/>
              <w:spacing w:line="185" w:lineRule="exact"/>
              <w:ind w:left="113" w:right="-15"/>
              <w:jc w:val="left"/>
              <w:rPr>
                <w:sz w:val="18"/>
              </w:rPr>
            </w:pPr>
            <w:r>
              <w:rPr>
                <w:spacing w:val="2"/>
                <w:sz w:val="18"/>
              </w:rPr>
              <w:t>醇 </w:t>
            </w:r>
            <w:r>
              <w:rPr>
                <w:rFonts w:ascii="Times New Roman" w:eastAsia="Times New Roman"/>
                <w:sz w:val="20"/>
              </w:rPr>
              <w:t>423.3</w:t>
            </w:r>
            <w:r>
              <w:rPr>
                <w:spacing w:val="1"/>
                <w:sz w:val="18"/>
              </w:rPr>
              <w:t>、甲苯 </w:t>
            </w:r>
            <w:r>
              <w:rPr>
                <w:rFonts w:ascii="Times New Roman" w:eastAsia="Times New Roman"/>
                <w:sz w:val="20"/>
              </w:rPr>
              <w:t>133.1</w:t>
            </w:r>
            <w:r>
              <w:rPr>
                <w:sz w:val="18"/>
              </w:rPr>
              <w:t>、</w:t>
            </w:r>
          </w:p>
        </w:tc>
        <w:tc>
          <w:tcPr>
            <w:tcW w:w="1976" w:type="dxa"/>
            <w:vMerge/>
            <w:tcBorders>
              <w:top w:val="nil"/>
              <w:left w:val="single" w:sz="6" w:space="0" w:color="000000"/>
              <w:bottom w:val="single" w:sz="6" w:space="0" w:color="000000"/>
              <w:right w:val="single" w:sz="6" w:space="0" w:color="000000"/>
            </w:tcBorders>
          </w:tcPr>
          <w:p>
            <w:pPr>
              <w:rPr>
                <w:sz w:val="2"/>
                <w:szCs w:val="2"/>
              </w:rPr>
            </w:pPr>
          </w:p>
        </w:tc>
        <w:tc>
          <w:tcPr>
            <w:tcW w:w="1030" w:type="dxa"/>
            <w:vMerge/>
            <w:tcBorders>
              <w:top w:val="nil"/>
              <w:left w:val="single" w:sz="6" w:space="0" w:color="000000"/>
              <w:bottom w:val="single" w:sz="6" w:space="0" w:color="000000"/>
              <w:right w:val="single" w:sz="6" w:space="0" w:color="000000"/>
            </w:tcBorders>
          </w:tcPr>
          <w:p>
            <w:pPr>
              <w:rPr>
                <w:sz w:val="2"/>
                <w:szCs w:val="2"/>
              </w:rPr>
            </w:pPr>
          </w:p>
        </w:tc>
        <w:tc>
          <w:tcPr>
            <w:tcW w:w="627" w:type="dxa"/>
            <w:tcBorders>
              <w:top w:val="nil"/>
              <w:left w:val="single" w:sz="6" w:space="0" w:color="000000"/>
              <w:bottom w:val="nil"/>
              <w:right w:val="single" w:sz="6" w:space="0" w:color="000000"/>
            </w:tcBorders>
          </w:tcPr>
          <w:p>
            <w:pPr>
              <w:pStyle w:val="TableParagraph"/>
              <w:spacing w:line="185" w:lineRule="exact"/>
              <w:ind w:left="115"/>
              <w:jc w:val="left"/>
              <w:rPr>
                <w:rFonts w:ascii="Times New Roman"/>
                <w:sz w:val="18"/>
              </w:rPr>
            </w:pPr>
            <w:r>
              <w:rPr>
                <w:rFonts w:ascii="Times New Roman"/>
                <w:sz w:val="18"/>
              </w:rPr>
              <w:t>11.57</w:t>
            </w:r>
          </w:p>
        </w:tc>
        <w:tc>
          <w:tcPr>
            <w:tcW w:w="620" w:type="dxa"/>
            <w:tcBorders>
              <w:top w:val="nil"/>
              <w:left w:val="single" w:sz="6" w:space="0" w:color="000000"/>
              <w:bottom w:val="nil"/>
            </w:tcBorders>
          </w:tcPr>
          <w:p>
            <w:pPr>
              <w:pStyle w:val="TableParagraph"/>
              <w:spacing w:line="185" w:lineRule="exact"/>
              <w:ind w:left="90" w:right="62"/>
              <w:rPr>
                <w:rFonts w:ascii="Times New Roman"/>
                <w:sz w:val="18"/>
              </w:rPr>
            </w:pPr>
            <w:r>
              <w:rPr>
                <w:rFonts w:ascii="Times New Roman"/>
                <w:sz w:val="18"/>
              </w:rPr>
              <w:t>3.47</w:t>
            </w:r>
          </w:p>
        </w:tc>
      </w:tr>
      <w:tr>
        <w:trPr>
          <w:trHeight w:val="207" w:hRule="atLeast"/>
        </w:trPr>
        <w:tc>
          <w:tcPr>
            <w:tcW w:w="538" w:type="dxa"/>
            <w:vMerge/>
            <w:tcBorders>
              <w:top w:val="nil"/>
              <w:right w:val="single" w:sz="6" w:space="0" w:color="000000"/>
            </w:tcBorders>
          </w:tcPr>
          <w:p>
            <w:pPr>
              <w:rPr>
                <w:sz w:val="2"/>
                <w:szCs w:val="2"/>
              </w:rPr>
            </w:pPr>
          </w:p>
        </w:tc>
        <w:tc>
          <w:tcPr>
            <w:tcW w:w="1318" w:type="dxa"/>
            <w:tcBorders>
              <w:top w:val="nil"/>
              <w:left w:val="single" w:sz="6" w:space="0" w:color="000000"/>
              <w:bottom w:val="nil"/>
              <w:right w:val="single" w:sz="6" w:space="0" w:color="000000"/>
            </w:tcBorders>
          </w:tcPr>
          <w:p>
            <w:pPr>
              <w:pStyle w:val="TableParagraph"/>
              <w:spacing w:line="188" w:lineRule="exact"/>
              <w:ind w:left="123" w:right="96"/>
              <w:rPr>
                <w:sz w:val="18"/>
              </w:rPr>
            </w:pPr>
            <w:r>
              <w:rPr>
                <w:sz w:val="18"/>
              </w:rPr>
              <w:t>（</w:t>
            </w:r>
            <w:r>
              <w:rPr>
                <w:rFonts w:ascii="Times New Roman" w:eastAsia="Times New Roman"/>
                <w:sz w:val="18"/>
              </w:rPr>
              <w:t>W9-6</w:t>
            </w:r>
            <w:r>
              <w:rPr>
                <w:sz w:val="18"/>
              </w:rPr>
              <w:t>）</w:t>
            </w:r>
          </w:p>
        </w:tc>
        <w:tc>
          <w:tcPr>
            <w:tcW w:w="3051" w:type="dxa"/>
            <w:tcBorders>
              <w:top w:val="nil"/>
              <w:left w:val="single" w:sz="6" w:space="0" w:color="000000"/>
              <w:bottom w:val="nil"/>
              <w:right w:val="single" w:sz="6" w:space="0" w:color="000000"/>
            </w:tcBorders>
          </w:tcPr>
          <w:p>
            <w:pPr>
              <w:pStyle w:val="TableParagraph"/>
              <w:spacing w:line="188" w:lineRule="exact"/>
              <w:ind w:left="27"/>
              <w:rPr>
                <w:sz w:val="18"/>
              </w:rPr>
            </w:pPr>
            <w:r>
              <w:rPr>
                <w:sz w:val="18"/>
              </w:rPr>
              <w:t>钾 </w:t>
            </w:r>
            <w:r>
              <w:rPr>
                <w:rFonts w:ascii="Times New Roman" w:eastAsia="Times New Roman"/>
                <w:sz w:val="18"/>
              </w:rPr>
              <w:t>303.7</w:t>
            </w:r>
            <w:r>
              <w:rPr>
                <w:sz w:val="18"/>
              </w:rPr>
              <w:t>、一氯代甲苯 </w:t>
            </w:r>
            <w:r>
              <w:rPr>
                <w:rFonts w:ascii="Times New Roman" w:eastAsia="Times New Roman"/>
                <w:sz w:val="18"/>
              </w:rPr>
              <w:t>138.4</w:t>
            </w:r>
            <w:r>
              <w:rPr>
                <w:sz w:val="18"/>
              </w:rPr>
              <w:t>、氯化钾</w:t>
            </w:r>
          </w:p>
        </w:tc>
        <w:tc>
          <w:tcPr>
            <w:tcW w:w="2283" w:type="dxa"/>
            <w:vMerge/>
            <w:tcBorders>
              <w:top w:val="nil"/>
              <w:left w:val="single" w:sz="6" w:space="0" w:color="000000"/>
              <w:bottom w:val="single" w:sz="6" w:space="0" w:color="000000"/>
              <w:right w:val="single" w:sz="6" w:space="0" w:color="000000"/>
            </w:tcBorders>
          </w:tcPr>
          <w:p>
            <w:pPr>
              <w:rPr>
                <w:sz w:val="2"/>
                <w:szCs w:val="2"/>
              </w:rPr>
            </w:pPr>
          </w:p>
        </w:tc>
        <w:tc>
          <w:tcPr>
            <w:tcW w:w="2021" w:type="dxa"/>
            <w:tcBorders>
              <w:top w:val="nil"/>
              <w:left w:val="single" w:sz="6" w:space="0" w:color="000000"/>
              <w:bottom w:val="nil"/>
              <w:right w:val="single" w:sz="6" w:space="0" w:color="000000"/>
            </w:tcBorders>
          </w:tcPr>
          <w:p>
            <w:pPr>
              <w:pStyle w:val="TableParagraph"/>
              <w:spacing w:line="188" w:lineRule="exact"/>
              <w:ind w:left="97" w:right="69"/>
              <w:rPr>
                <w:rFonts w:ascii="Times New Roman" w:eastAsia="Times New Roman"/>
                <w:sz w:val="20"/>
              </w:rPr>
            </w:pPr>
            <w:r>
              <w:rPr>
                <w:sz w:val="18"/>
              </w:rPr>
              <w:t>乙醇 </w:t>
            </w:r>
            <w:r>
              <w:rPr>
                <w:rFonts w:ascii="Times New Roman" w:eastAsia="Times New Roman"/>
                <w:sz w:val="20"/>
              </w:rPr>
              <w:t>81</w:t>
            </w:r>
          </w:p>
        </w:tc>
        <w:tc>
          <w:tcPr>
            <w:tcW w:w="1976" w:type="dxa"/>
            <w:vMerge/>
            <w:tcBorders>
              <w:top w:val="nil"/>
              <w:left w:val="single" w:sz="6" w:space="0" w:color="000000"/>
              <w:bottom w:val="single" w:sz="6" w:space="0" w:color="000000"/>
              <w:right w:val="single" w:sz="6" w:space="0" w:color="000000"/>
            </w:tcBorders>
          </w:tcPr>
          <w:p>
            <w:pPr>
              <w:rPr>
                <w:sz w:val="2"/>
                <w:szCs w:val="2"/>
              </w:rPr>
            </w:pPr>
          </w:p>
        </w:tc>
        <w:tc>
          <w:tcPr>
            <w:tcW w:w="1030" w:type="dxa"/>
            <w:vMerge/>
            <w:tcBorders>
              <w:top w:val="nil"/>
              <w:left w:val="single" w:sz="6" w:space="0" w:color="000000"/>
              <w:bottom w:val="single" w:sz="6" w:space="0" w:color="000000"/>
              <w:right w:val="single" w:sz="6" w:space="0" w:color="000000"/>
            </w:tcBorders>
          </w:tcPr>
          <w:p>
            <w:pPr>
              <w:rPr>
                <w:sz w:val="2"/>
                <w:szCs w:val="2"/>
              </w:rPr>
            </w:pPr>
          </w:p>
        </w:tc>
        <w:tc>
          <w:tcPr>
            <w:tcW w:w="627" w:type="dxa"/>
            <w:tcBorders>
              <w:top w:val="nil"/>
              <w:left w:val="single" w:sz="6" w:space="0" w:color="000000"/>
              <w:bottom w:val="nil"/>
              <w:right w:val="single" w:sz="6" w:space="0" w:color="000000"/>
            </w:tcBorders>
          </w:tcPr>
          <w:p>
            <w:pPr>
              <w:pStyle w:val="TableParagraph"/>
              <w:jc w:val="left"/>
              <w:rPr>
                <w:rFonts w:ascii="Times New Roman"/>
                <w:sz w:val="14"/>
              </w:rPr>
            </w:pPr>
          </w:p>
        </w:tc>
        <w:tc>
          <w:tcPr>
            <w:tcW w:w="620" w:type="dxa"/>
            <w:tcBorders>
              <w:top w:val="nil"/>
              <w:left w:val="single" w:sz="6" w:space="0" w:color="000000"/>
              <w:bottom w:val="nil"/>
            </w:tcBorders>
          </w:tcPr>
          <w:p>
            <w:pPr>
              <w:pStyle w:val="TableParagraph"/>
              <w:jc w:val="left"/>
              <w:rPr>
                <w:rFonts w:ascii="Times New Roman"/>
                <w:sz w:val="14"/>
              </w:rPr>
            </w:pPr>
          </w:p>
        </w:tc>
      </w:tr>
      <w:tr>
        <w:trPr>
          <w:trHeight w:val="189" w:hRule="atLeast"/>
        </w:trPr>
        <w:tc>
          <w:tcPr>
            <w:tcW w:w="538" w:type="dxa"/>
            <w:vMerge/>
            <w:tcBorders>
              <w:top w:val="nil"/>
              <w:right w:val="single" w:sz="6" w:space="0" w:color="000000"/>
            </w:tcBorders>
          </w:tcPr>
          <w:p>
            <w:pPr>
              <w:rPr>
                <w:sz w:val="2"/>
                <w:szCs w:val="2"/>
              </w:rPr>
            </w:pPr>
          </w:p>
        </w:tc>
        <w:tc>
          <w:tcPr>
            <w:tcW w:w="1318" w:type="dxa"/>
            <w:tcBorders>
              <w:top w:val="nil"/>
              <w:left w:val="single" w:sz="6" w:space="0" w:color="000000"/>
              <w:bottom w:val="single" w:sz="6" w:space="0" w:color="000000"/>
              <w:right w:val="single" w:sz="6" w:space="0" w:color="000000"/>
            </w:tcBorders>
          </w:tcPr>
          <w:p>
            <w:pPr>
              <w:pStyle w:val="TableParagraph"/>
              <w:jc w:val="left"/>
              <w:rPr>
                <w:rFonts w:ascii="Times New Roman"/>
                <w:sz w:val="12"/>
              </w:rPr>
            </w:pPr>
          </w:p>
        </w:tc>
        <w:tc>
          <w:tcPr>
            <w:tcW w:w="3051" w:type="dxa"/>
            <w:tcBorders>
              <w:top w:val="nil"/>
              <w:left w:val="single" w:sz="6" w:space="0" w:color="000000"/>
              <w:bottom w:val="single" w:sz="6" w:space="0" w:color="000000"/>
              <w:right w:val="single" w:sz="6" w:space="0" w:color="000000"/>
            </w:tcBorders>
          </w:tcPr>
          <w:p>
            <w:pPr>
              <w:pStyle w:val="TableParagraph"/>
              <w:spacing w:line="169" w:lineRule="exact"/>
              <w:ind w:left="114" w:right="86"/>
              <w:rPr>
                <w:rFonts w:ascii="Times New Roman"/>
                <w:sz w:val="18"/>
              </w:rPr>
            </w:pPr>
            <w:r>
              <w:rPr>
                <w:rFonts w:ascii="Times New Roman"/>
                <w:sz w:val="18"/>
              </w:rPr>
              <w:t>82.5</w:t>
            </w:r>
          </w:p>
        </w:tc>
        <w:tc>
          <w:tcPr>
            <w:tcW w:w="2283" w:type="dxa"/>
            <w:vMerge/>
            <w:tcBorders>
              <w:top w:val="nil"/>
              <w:left w:val="single" w:sz="6" w:space="0" w:color="000000"/>
              <w:bottom w:val="single" w:sz="6" w:space="0" w:color="000000"/>
              <w:right w:val="single" w:sz="6" w:space="0" w:color="000000"/>
            </w:tcBorders>
          </w:tcPr>
          <w:p>
            <w:pPr>
              <w:rPr>
                <w:sz w:val="2"/>
                <w:szCs w:val="2"/>
              </w:rPr>
            </w:pPr>
          </w:p>
        </w:tc>
        <w:tc>
          <w:tcPr>
            <w:tcW w:w="2021" w:type="dxa"/>
            <w:tcBorders>
              <w:top w:val="nil"/>
              <w:left w:val="single" w:sz="6" w:space="0" w:color="000000"/>
              <w:bottom w:val="single" w:sz="6" w:space="0" w:color="000000"/>
              <w:right w:val="single" w:sz="6" w:space="0" w:color="000000"/>
            </w:tcBorders>
          </w:tcPr>
          <w:p>
            <w:pPr>
              <w:pStyle w:val="TableParagraph"/>
              <w:jc w:val="left"/>
              <w:rPr>
                <w:rFonts w:ascii="Times New Roman"/>
                <w:sz w:val="12"/>
              </w:rPr>
            </w:pPr>
          </w:p>
        </w:tc>
        <w:tc>
          <w:tcPr>
            <w:tcW w:w="1976" w:type="dxa"/>
            <w:vMerge/>
            <w:tcBorders>
              <w:top w:val="nil"/>
              <w:left w:val="single" w:sz="6" w:space="0" w:color="000000"/>
              <w:bottom w:val="single" w:sz="6" w:space="0" w:color="000000"/>
              <w:right w:val="single" w:sz="6" w:space="0" w:color="000000"/>
            </w:tcBorders>
          </w:tcPr>
          <w:p>
            <w:pPr>
              <w:rPr>
                <w:sz w:val="2"/>
                <w:szCs w:val="2"/>
              </w:rPr>
            </w:pPr>
          </w:p>
        </w:tc>
        <w:tc>
          <w:tcPr>
            <w:tcW w:w="1030" w:type="dxa"/>
            <w:vMerge/>
            <w:tcBorders>
              <w:top w:val="nil"/>
              <w:left w:val="single" w:sz="6" w:space="0" w:color="000000"/>
              <w:bottom w:val="single" w:sz="6" w:space="0" w:color="000000"/>
              <w:right w:val="single" w:sz="6" w:space="0" w:color="000000"/>
            </w:tcBorders>
          </w:tcPr>
          <w:p>
            <w:pPr>
              <w:rPr>
                <w:sz w:val="2"/>
                <w:szCs w:val="2"/>
              </w:rPr>
            </w:pPr>
          </w:p>
        </w:tc>
        <w:tc>
          <w:tcPr>
            <w:tcW w:w="627" w:type="dxa"/>
            <w:tcBorders>
              <w:top w:val="nil"/>
              <w:left w:val="single" w:sz="6" w:space="0" w:color="000000"/>
              <w:bottom w:val="single" w:sz="6" w:space="0" w:color="000000"/>
              <w:right w:val="single" w:sz="6" w:space="0" w:color="000000"/>
            </w:tcBorders>
          </w:tcPr>
          <w:p>
            <w:pPr>
              <w:pStyle w:val="TableParagraph"/>
              <w:jc w:val="left"/>
              <w:rPr>
                <w:rFonts w:ascii="Times New Roman"/>
                <w:sz w:val="12"/>
              </w:rPr>
            </w:pPr>
          </w:p>
        </w:tc>
        <w:tc>
          <w:tcPr>
            <w:tcW w:w="620" w:type="dxa"/>
            <w:tcBorders>
              <w:top w:val="nil"/>
              <w:left w:val="single" w:sz="6" w:space="0" w:color="000000"/>
              <w:bottom w:val="single" w:sz="6" w:space="0" w:color="000000"/>
            </w:tcBorders>
          </w:tcPr>
          <w:p>
            <w:pPr>
              <w:pStyle w:val="TableParagraph"/>
              <w:jc w:val="left"/>
              <w:rPr>
                <w:rFonts w:ascii="Times New Roman"/>
                <w:sz w:val="12"/>
              </w:rPr>
            </w:pPr>
          </w:p>
        </w:tc>
      </w:tr>
      <w:tr>
        <w:trPr>
          <w:trHeight w:val="702" w:hRule="atLeast"/>
        </w:trPr>
        <w:tc>
          <w:tcPr>
            <w:tcW w:w="538" w:type="dxa"/>
            <w:vMerge/>
            <w:tcBorders>
              <w:top w:val="nil"/>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124" w:right="96"/>
              <w:rPr>
                <w:sz w:val="18"/>
              </w:rPr>
            </w:pPr>
            <w:r>
              <w:rPr>
                <w:sz w:val="18"/>
              </w:rPr>
              <w:t>甲化中和后分层水层废水</w:t>
            </w:r>
          </w:p>
          <w:p>
            <w:pPr>
              <w:pStyle w:val="TableParagraph"/>
              <w:spacing w:line="197" w:lineRule="exact"/>
              <w:ind w:left="123" w:right="96"/>
              <w:rPr>
                <w:sz w:val="18"/>
              </w:rPr>
            </w:pPr>
            <w:r>
              <w:rPr>
                <w:sz w:val="18"/>
              </w:rPr>
              <w:t>（</w:t>
            </w:r>
            <w:r>
              <w:rPr>
                <w:rFonts w:ascii="Times New Roman" w:eastAsia="Times New Roman"/>
                <w:sz w:val="18"/>
              </w:rPr>
              <w:t>W9-7</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14" w:right="-15"/>
              <w:rPr>
                <w:sz w:val="18"/>
              </w:rPr>
            </w:pPr>
            <w:r>
              <w:rPr>
                <w:sz w:val="18"/>
              </w:rPr>
              <w:t>Σ</w:t>
            </w:r>
            <w:r>
              <w:rPr>
                <w:rFonts w:ascii="Times New Roman" w:hAnsi="Times New Roman" w:eastAsia="Times New Roman"/>
                <w:sz w:val="18"/>
              </w:rPr>
              <w:t>11678.9</w:t>
            </w:r>
            <w:r>
              <w:rPr>
                <w:rFonts w:ascii="Times New Roman" w:hAnsi="Times New Roman" w:eastAsia="Times New Roman"/>
                <w:spacing w:val="16"/>
                <w:sz w:val="18"/>
              </w:rPr>
              <w:t>  </w:t>
            </w:r>
            <w:r>
              <w:rPr>
                <w:spacing w:val="7"/>
                <w:sz w:val="18"/>
              </w:rPr>
              <w:t>甲苯 </w:t>
            </w:r>
            <w:r>
              <w:rPr>
                <w:rFonts w:ascii="Times New Roman" w:hAnsi="Times New Roman" w:eastAsia="Times New Roman"/>
                <w:sz w:val="18"/>
              </w:rPr>
              <w:t>372.5</w:t>
            </w:r>
            <w:r>
              <w:rPr>
                <w:spacing w:val="-15"/>
                <w:sz w:val="18"/>
              </w:rPr>
              <w:t>、正丁醇 </w:t>
            </w:r>
            <w:r>
              <w:rPr>
                <w:rFonts w:ascii="Times New Roman" w:hAnsi="Times New Roman" w:eastAsia="Times New Roman"/>
                <w:sz w:val="18"/>
              </w:rPr>
              <w:t>255.5</w:t>
            </w:r>
            <w:r>
              <w:rPr>
                <w:sz w:val="18"/>
              </w:rPr>
              <w:t>、</w:t>
            </w:r>
          </w:p>
          <w:p>
            <w:pPr>
              <w:pStyle w:val="TableParagraph"/>
              <w:spacing w:line="233" w:lineRule="exact"/>
              <w:ind w:left="114" w:right="-15"/>
              <w:rPr>
                <w:sz w:val="18"/>
              </w:rPr>
            </w:pPr>
            <w:r>
              <w:rPr>
                <w:spacing w:val="1"/>
                <w:sz w:val="18"/>
              </w:rPr>
              <w:t>甲醛 </w:t>
            </w:r>
            <w:r>
              <w:rPr>
                <w:rFonts w:ascii="Times New Roman" w:eastAsia="Times New Roman"/>
                <w:sz w:val="18"/>
              </w:rPr>
              <w:t>102</w:t>
            </w:r>
            <w:r>
              <w:rPr>
                <w:spacing w:val="-9"/>
                <w:sz w:val="18"/>
              </w:rPr>
              <w:t>、甲酸钠 </w:t>
            </w:r>
            <w:r>
              <w:rPr>
                <w:rFonts w:ascii="Times New Roman" w:eastAsia="Times New Roman"/>
                <w:sz w:val="18"/>
              </w:rPr>
              <w:t>1260.3</w:t>
            </w:r>
            <w:r>
              <w:rPr>
                <w:spacing w:val="-15"/>
                <w:sz w:val="18"/>
              </w:rPr>
              <w:t>、水 </w:t>
            </w:r>
            <w:r>
              <w:rPr>
                <w:rFonts w:ascii="Times New Roman" w:eastAsia="Times New Roman"/>
                <w:sz w:val="18"/>
              </w:rPr>
              <w:t>8685.1</w:t>
            </w:r>
            <w:r>
              <w:rPr>
                <w:sz w:val="18"/>
              </w:rPr>
              <w:t>、</w:t>
            </w:r>
          </w:p>
          <w:p>
            <w:pPr>
              <w:pStyle w:val="TableParagraph"/>
              <w:spacing w:line="227" w:lineRule="exact"/>
              <w:ind w:left="114" w:right="89"/>
              <w:rPr>
                <w:rFonts w:ascii="Times New Roman" w:eastAsia="Times New Roman"/>
                <w:sz w:val="18"/>
              </w:rPr>
            </w:pPr>
            <w:r>
              <w:rPr>
                <w:sz w:val="18"/>
              </w:rPr>
              <w:t>米安色林 </w:t>
            </w:r>
            <w:r>
              <w:rPr>
                <w:rFonts w:ascii="Times New Roman" w:eastAsia="Times New Roman"/>
                <w:sz w:val="18"/>
              </w:rPr>
              <w:t>190.1</w:t>
            </w:r>
            <w:r>
              <w:rPr>
                <w:sz w:val="18"/>
              </w:rPr>
              <w:t>、氢氧化钠 </w:t>
            </w:r>
            <w:r>
              <w:rPr>
                <w:rFonts w:ascii="Times New Roman" w:eastAsia="Times New Roman"/>
                <w:sz w:val="18"/>
              </w:rPr>
              <w:t>813.5</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14"/>
              <w:jc w:val="left"/>
              <w:rPr>
                <w:sz w:val="18"/>
              </w:rPr>
            </w:pPr>
            <w:r>
              <w:rPr>
                <w:sz w:val="18"/>
              </w:rPr>
              <w:t>Σ</w:t>
            </w:r>
            <w:r>
              <w:rPr>
                <w:rFonts w:ascii="Times New Roman" w:hAnsi="Times New Roman" w:eastAsia="Times New Roman"/>
                <w:sz w:val="20"/>
              </w:rPr>
              <w:t>2263.8 </w:t>
            </w:r>
            <w:r>
              <w:rPr>
                <w:sz w:val="18"/>
              </w:rPr>
              <w:t>甲酸钠 </w:t>
            </w:r>
            <w:r>
              <w:rPr>
                <w:rFonts w:ascii="Times New Roman" w:hAnsi="Times New Roman" w:eastAsia="Times New Roman"/>
                <w:sz w:val="18"/>
              </w:rPr>
              <w:t>1260.3</w:t>
            </w:r>
            <w:r>
              <w:rPr>
                <w:sz w:val="18"/>
              </w:rPr>
              <w:t>、</w:t>
            </w:r>
          </w:p>
          <w:p>
            <w:pPr>
              <w:pStyle w:val="TableParagraph"/>
              <w:spacing w:line="182" w:lineRule="auto"/>
              <w:ind w:left="944" w:right="83" w:hanging="831"/>
              <w:jc w:val="left"/>
              <w:rPr>
                <w:rFonts w:ascii="Times New Roman" w:eastAsia="Times New Roman"/>
                <w:sz w:val="18"/>
              </w:rPr>
            </w:pPr>
            <w:r>
              <w:rPr>
                <w:sz w:val="18"/>
              </w:rPr>
              <w:t>米安色林 </w:t>
            </w:r>
            <w:r>
              <w:rPr>
                <w:rFonts w:ascii="Times New Roman" w:eastAsia="Times New Roman"/>
                <w:sz w:val="18"/>
              </w:rPr>
              <w:t>190.1</w:t>
            </w:r>
            <w:r>
              <w:rPr>
                <w:sz w:val="18"/>
              </w:rPr>
              <w:t>、氢氧化钠</w:t>
            </w:r>
            <w:r>
              <w:rPr>
                <w:rFonts w:ascii="Times New Roman" w:eastAsia="Times New Roman"/>
                <w:sz w:val="18"/>
              </w:rPr>
              <w:t>813.5</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97" w:right="9"/>
              <w:rPr>
                <w:sz w:val="18"/>
              </w:rPr>
            </w:pPr>
            <w:r>
              <w:rPr>
                <w:sz w:val="18"/>
              </w:rPr>
              <w:t>Σ</w:t>
            </w:r>
            <w:r>
              <w:rPr>
                <w:rFonts w:ascii="Times New Roman" w:hAnsi="Times New Roman" w:eastAsia="Times New Roman"/>
                <w:sz w:val="20"/>
              </w:rPr>
              <w:t>2321.0 </w:t>
            </w:r>
            <w:r>
              <w:rPr>
                <w:sz w:val="18"/>
              </w:rPr>
              <w:t>甲 苯 </w:t>
            </w:r>
            <w:r>
              <w:rPr>
                <w:rFonts w:ascii="Times New Roman" w:hAnsi="Times New Roman" w:eastAsia="Times New Roman"/>
                <w:sz w:val="20"/>
              </w:rPr>
              <w:t>298.0 </w:t>
            </w:r>
            <w:r>
              <w:rPr>
                <w:sz w:val="18"/>
              </w:rPr>
              <w:t>、</w:t>
            </w:r>
          </w:p>
          <w:p>
            <w:pPr>
              <w:pStyle w:val="TableParagraph"/>
              <w:spacing w:line="239" w:lineRule="exact"/>
              <w:ind w:left="97" w:right="69"/>
              <w:rPr>
                <w:sz w:val="18"/>
              </w:rPr>
            </w:pPr>
            <w:r>
              <w:rPr>
                <w:sz w:val="18"/>
              </w:rPr>
              <w:t>正丁醇 </w:t>
            </w:r>
            <w:r>
              <w:rPr>
                <w:rFonts w:ascii="Times New Roman" w:eastAsia="Times New Roman"/>
                <w:sz w:val="20"/>
              </w:rPr>
              <w:t>204.4</w:t>
            </w:r>
            <w:r>
              <w:rPr>
                <w:sz w:val="18"/>
              </w:rPr>
              <w:t>、甲醛</w:t>
            </w:r>
          </w:p>
          <w:p>
            <w:pPr>
              <w:pStyle w:val="TableParagraph"/>
              <w:spacing w:line="222" w:lineRule="exact"/>
              <w:ind w:left="95" w:right="71"/>
              <w:rPr>
                <w:rFonts w:ascii="Times New Roman" w:eastAsia="Times New Roman"/>
                <w:sz w:val="20"/>
              </w:rPr>
            </w:pPr>
            <w:r>
              <w:rPr>
                <w:rFonts w:ascii="Times New Roman" w:eastAsia="Times New Roman"/>
                <w:sz w:val="20"/>
              </w:rPr>
              <w:t>81.6</w:t>
            </w:r>
            <w:r>
              <w:rPr>
                <w:sz w:val="18"/>
              </w:rPr>
              <w:t>、水 </w:t>
            </w:r>
            <w:r>
              <w:rPr>
                <w:rFonts w:ascii="Times New Roman" w:eastAsia="Times New Roman"/>
                <w:sz w:val="20"/>
              </w:rPr>
              <w:t>1737</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28"/>
              <w:rPr>
                <w:sz w:val="18"/>
              </w:rPr>
            </w:pPr>
            <w:r>
              <w:rPr>
                <w:w w:val="105"/>
                <w:sz w:val="18"/>
              </w:rPr>
              <w:t>Σ</w:t>
            </w:r>
            <w:r>
              <w:rPr>
                <w:rFonts w:ascii="Times New Roman" w:hAnsi="Times New Roman" w:eastAsia="Times New Roman"/>
                <w:w w:val="105"/>
                <w:sz w:val="20"/>
              </w:rPr>
              <w:t>7093.3 </w:t>
            </w:r>
            <w:r>
              <w:rPr>
                <w:w w:val="105"/>
                <w:sz w:val="18"/>
              </w:rPr>
              <w:t>甲苯 </w:t>
            </w:r>
            <w:r>
              <w:rPr>
                <w:rFonts w:ascii="Times New Roman" w:hAnsi="Times New Roman" w:eastAsia="Times New Roman"/>
                <w:w w:val="105"/>
                <w:sz w:val="20"/>
              </w:rPr>
              <w:t>73.8</w:t>
            </w:r>
            <w:r>
              <w:rPr>
                <w:w w:val="105"/>
                <w:sz w:val="18"/>
              </w:rPr>
              <w:t>、</w:t>
            </w:r>
          </w:p>
          <w:p>
            <w:pPr>
              <w:pStyle w:val="TableParagraph"/>
              <w:spacing w:line="239" w:lineRule="exact"/>
              <w:ind w:left="23"/>
              <w:rPr>
                <w:sz w:val="18"/>
              </w:rPr>
            </w:pPr>
            <w:r>
              <w:rPr>
                <w:spacing w:val="1"/>
                <w:sz w:val="18"/>
              </w:rPr>
              <w:t>正丁醇 </w:t>
            </w:r>
            <w:r>
              <w:rPr>
                <w:rFonts w:ascii="Times New Roman" w:eastAsia="Times New Roman"/>
                <w:sz w:val="20"/>
              </w:rPr>
              <w:t>51.1</w:t>
            </w:r>
            <w:r>
              <w:rPr>
                <w:sz w:val="18"/>
              </w:rPr>
              <w:t>、甲醛</w:t>
            </w:r>
          </w:p>
          <w:p>
            <w:pPr>
              <w:pStyle w:val="TableParagraph"/>
              <w:spacing w:line="222" w:lineRule="exact"/>
              <w:ind w:left="19"/>
              <w:rPr>
                <w:rFonts w:ascii="Times New Roman" w:eastAsia="Times New Roman"/>
                <w:sz w:val="20"/>
              </w:rPr>
            </w:pPr>
            <w:r>
              <w:rPr>
                <w:rFonts w:ascii="Times New Roman" w:eastAsia="Times New Roman"/>
                <w:sz w:val="20"/>
              </w:rPr>
              <w:t>20.3</w:t>
            </w:r>
            <w:r>
              <w:rPr>
                <w:sz w:val="18"/>
              </w:rPr>
              <w:t>、水 </w:t>
            </w:r>
            <w:r>
              <w:rPr>
                <w:rFonts w:ascii="Times New Roman" w:eastAsia="Times New Roman"/>
                <w:sz w:val="20"/>
              </w:rPr>
              <w:t>6948.1</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line="151" w:lineRule="auto" w:before="129"/>
              <w:ind w:left="190" w:right="64" w:hanging="80"/>
              <w:jc w:val="left"/>
              <w:rPr>
                <w:rFonts w:ascii="Times New Roman" w:eastAsia="Times New Roman"/>
                <w:sz w:val="20"/>
              </w:rPr>
            </w:pPr>
            <w:r>
              <w:rPr>
                <w:sz w:val="18"/>
              </w:rPr>
              <w:t>甲苯 </w:t>
            </w:r>
            <w:r>
              <w:rPr>
                <w:rFonts w:ascii="Times New Roman" w:eastAsia="Times New Roman"/>
                <w:sz w:val="20"/>
              </w:rPr>
              <w:t>0.7</w:t>
            </w:r>
            <w:r>
              <w:rPr>
                <w:sz w:val="18"/>
              </w:rPr>
              <w:t>、甲醛 </w:t>
            </w:r>
            <w:r>
              <w:rPr>
                <w:rFonts w:ascii="Times New Roman" w:eastAsia="Times New Roman"/>
                <w:sz w:val="20"/>
              </w:rPr>
              <w:t>0.1</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161"/>
              <w:jc w:val="left"/>
              <w:rPr>
                <w:rFonts w:ascii="Times New Roman"/>
                <w:sz w:val="18"/>
              </w:rPr>
            </w:pPr>
            <w:r>
              <w:rPr>
                <w:rFonts w:ascii="Times New Roman"/>
                <w:sz w:val="18"/>
              </w:rPr>
              <w:t>7.09</w:t>
            </w:r>
          </w:p>
        </w:tc>
        <w:tc>
          <w:tcPr>
            <w:tcW w:w="620" w:type="dxa"/>
            <w:tcBorders>
              <w:top w:val="single" w:sz="6" w:space="0" w:color="000000"/>
              <w:left w:val="single" w:sz="6" w:space="0" w:color="000000"/>
              <w:bottom w:val="single" w:sz="6" w:space="0" w:color="000000"/>
            </w:tcBorders>
          </w:tcPr>
          <w:p>
            <w:pPr>
              <w:pStyle w:val="TableParagraph"/>
              <w:jc w:val="left"/>
              <w:rPr>
                <w:rFonts w:ascii="Times New Roman"/>
                <w:sz w:val="21"/>
              </w:rPr>
            </w:pPr>
          </w:p>
          <w:p>
            <w:pPr>
              <w:pStyle w:val="TableParagraph"/>
              <w:ind w:left="90" w:right="62"/>
              <w:rPr>
                <w:rFonts w:ascii="Times New Roman"/>
                <w:sz w:val="18"/>
              </w:rPr>
            </w:pPr>
            <w:r>
              <w:rPr>
                <w:rFonts w:ascii="Times New Roman"/>
                <w:sz w:val="18"/>
              </w:rPr>
              <w:t>2.13</w:t>
            </w:r>
          </w:p>
        </w:tc>
      </w:tr>
      <w:tr>
        <w:trPr>
          <w:trHeight w:val="721" w:hRule="atLeast"/>
        </w:trPr>
        <w:tc>
          <w:tcPr>
            <w:tcW w:w="538" w:type="dxa"/>
            <w:vMerge/>
            <w:tcBorders>
              <w:top w:val="nil"/>
              <w:right w:val="single" w:sz="6" w:space="0" w:color="000000"/>
            </w:tcBorders>
          </w:tcPr>
          <w:p>
            <w:pPr>
              <w:rPr>
                <w:sz w:val="2"/>
                <w:szCs w:val="2"/>
              </w:rPr>
            </w:pP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9"/>
              <w:ind w:left="124" w:right="96"/>
              <w:rPr>
                <w:sz w:val="18"/>
              </w:rPr>
            </w:pPr>
            <w:r>
              <w:rPr>
                <w:sz w:val="18"/>
              </w:rPr>
              <w:t>甲化中和后盐酸洗涤废水</w:t>
            </w:r>
          </w:p>
          <w:p>
            <w:pPr>
              <w:pStyle w:val="TableParagraph"/>
              <w:spacing w:line="207" w:lineRule="exact"/>
              <w:ind w:left="123" w:right="96"/>
              <w:rPr>
                <w:sz w:val="18"/>
              </w:rPr>
            </w:pPr>
            <w:r>
              <w:rPr>
                <w:sz w:val="18"/>
              </w:rPr>
              <w:t>（</w:t>
            </w:r>
            <w:r>
              <w:rPr>
                <w:rFonts w:ascii="Times New Roman" w:eastAsia="Times New Roman"/>
                <w:sz w:val="18"/>
              </w:rPr>
              <w:t>W9-8</w:t>
            </w:r>
            <w:r>
              <w:rPr>
                <w:sz w:val="18"/>
              </w:rPr>
              <w:t>）</w:t>
            </w:r>
          </w:p>
        </w:tc>
        <w:tc>
          <w:tcPr>
            <w:tcW w:w="3051"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ind w:left="129"/>
              <w:rPr>
                <w:sz w:val="18"/>
              </w:rPr>
            </w:pPr>
            <w:r>
              <w:rPr>
                <w:sz w:val="18"/>
              </w:rPr>
              <w:t>Σ</w:t>
            </w:r>
            <w:r>
              <w:rPr>
                <w:rFonts w:ascii="Times New Roman" w:hAnsi="Times New Roman" w:eastAsia="Times New Roman"/>
                <w:sz w:val="18"/>
              </w:rPr>
              <w:t>11591.6</w:t>
            </w:r>
            <w:r>
              <w:rPr>
                <w:rFonts w:ascii="Times New Roman" w:hAnsi="Times New Roman" w:eastAsia="Times New Roman"/>
                <w:spacing w:val="32"/>
                <w:sz w:val="18"/>
              </w:rPr>
              <w:t> </w:t>
            </w:r>
            <w:r>
              <w:rPr>
                <w:spacing w:val="7"/>
                <w:sz w:val="18"/>
              </w:rPr>
              <w:t>甲苯 </w:t>
            </w:r>
            <w:r>
              <w:rPr>
                <w:rFonts w:ascii="Times New Roman" w:hAnsi="Times New Roman" w:eastAsia="Times New Roman"/>
                <w:sz w:val="18"/>
              </w:rPr>
              <w:t>495.4</w:t>
            </w:r>
            <w:r>
              <w:rPr>
                <w:spacing w:val="-15"/>
                <w:sz w:val="18"/>
              </w:rPr>
              <w:t>、正丁醇 </w:t>
            </w:r>
            <w:r>
              <w:rPr>
                <w:rFonts w:ascii="Times New Roman" w:hAnsi="Times New Roman" w:eastAsia="Times New Roman"/>
                <w:sz w:val="18"/>
              </w:rPr>
              <w:t>312.3</w:t>
            </w:r>
            <w:r>
              <w:rPr>
                <w:sz w:val="18"/>
              </w:rPr>
              <w:t>、</w:t>
            </w:r>
          </w:p>
          <w:p>
            <w:pPr>
              <w:pStyle w:val="TableParagraph"/>
              <w:spacing w:line="233" w:lineRule="exact"/>
              <w:ind w:left="114" w:right="90"/>
              <w:rPr>
                <w:sz w:val="18"/>
              </w:rPr>
            </w:pPr>
            <w:r>
              <w:rPr>
                <w:sz w:val="18"/>
              </w:rPr>
              <w:t>甲酸钠 </w:t>
            </w:r>
            <w:r>
              <w:rPr>
                <w:rFonts w:ascii="Times New Roman" w:eastAsia="Times New Roman"/>
                <w:sz w:val="18"/>
              </w:rPr>
              <w:t>140</w:t>
            </w:r>
            <w:r>
              <w:rPr>
                <w:sz w:val="18"/>
              </w:rPr>
              <w:t>、米安色林 </w:t>
            </w:r>
            <w:r>
              <w:rPr>
                <w:rFonts w:ascii="Times New Roman" w:eastAsia="Times New Roman"/>
                <w:sz w:val="18"/>
              </w:rPr>
              <w:t>143.9</w:t>
            </w:r>
            <w:r>
              <w:rPr>
                <w:sz w:val="18"/>
              </w:rPr>
              <w:t>、水</w:t>
            </w:r>
          </w:p>
          <w:p>
            <w:pPr>
              <w:pStyle w:val="TableParagraph"/>
              <w:spacing w:line="236" w:lineRule="exact"/>
              <w:ind w:left="178"/>
              <w:jc w:val="left"/>
              <w:rPr>
                <w:rFonts w:ascii="Times New Roman" w:eastAsia="Times New Roman"/>
                <w:sz w:val="18"/>
              </w:rPr>
            </w:pPr>
            <w:r>
              <w:rPr>
                <w:rFonts w:ascii="Times New Roman" w:eastAsia="Times New Roman"/>
                <w:sz w:val="18"/>
              </w:rPr>
              <w:t>457.1</w:t>
            </w:r>
            <w:r>
              <w:rPr>
                <w:sz w:val="18"/>
              </w:rPr>
              <w:t>、氢氧化钠 </w:t>
            </w:r>
            <w:r>
              <w:rPr>
                <w:rFonts w:ascii="Times New Roman" w:eastAsia="Times New Roman"/>
                <w:sz w:val="18"/>
              </w:rPr>
              <w:t>42.8</w:t>
            </w:r>
            <w:r>
              <w:rPr>
                <w:sz w:val="18"/>
              </w:rPr>
              <w:t>、盐水 </w:t>
            </w:r>
            <w:r>
              <w:rPr>
                <w:rFonts w:ascii="Times New Roman" w:eastAsia="Times New Roman"/>
                <w:sz w:val="18"/>
              </w:rPr>
              <w:t>10000</w:t>
            </w:r>
          </w:p>
        </w:tc>
        <w:tc>
          <w:tcPr>
            <w:tcW w:w="2283"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31"/>
              <w:ind w:left="78" w:right="46"/>
              <w:rPr>
                <w:sz w:val="18"/>
              </w:rPr>
            </w:pPr>
            <w:r>
              <w:rPr>
                <w:sz w:val="18"/>
              </w:rPr>
              <w:t>Σ</w:t>
            </w:r>
            <w:r>
              <w:rPr>
                <w:rFonts w:ascii="Times New Roman" w:hAnsi="Times New Roman" w:eastAsia="Times New Roman"/>
                <w:sz w:val="20"/>
              </w:rPr>
              <w:t>2926.8 </w:t>
            </w:r>
            <w:r>
              <w:rPr>
                <w:sz w:val="18"/>
              </w:rPr>
              <w:t>盐 水 </w:t>
            </w:r>
            <w:r>
              <w:rPr>
                <w:rFonts w:ascii="Times New Roman" w:hAnsi="Times New Roman" w:eastAsia="Times New Roman"/>
                <w:sz w:val="18"/>
              </w:rPr>
              <w:t>2600 </w:t>
            </w:r>
            <w:r>
              <w:rPr>
                <w:sz w:val="18"/>
              </w:rPr>
              <w:t>、甲 酸钠 </w:t>
            </w:r>
            <w:r>
              <w:rPr>
                <w:rFonts w:ascii="Times New Roman" w:hAnsi="Times New Roman" w:eastAsia="Times New Roman"/>
                <w:sz w:val="18"/>
              </w:rPr>
              <w:t>140</w:t>
            </w:r>
            <w:r>
              <w:rPr>
                <w:sz w:val="18"/>
              </w:rPr>
              <w:t>、米安色林 </w:t>
            </w:r>
            <w:r>
              <w:rPr>
                <w:rFonts w:ascii="Times New Roman" w:hAnsi="Times New Roman" w:eastAsia="Times New Roman"/>
                <w:sz w:val="18"/>
              </w:rPr>
              <w:t>143.9</w:t>
            </w:r>
            <w:r>
              <w:rPr>
                <w:sz w:val="18"/>
              </w:rPr>
              <w:t>、</w:t>
            </w:r>
          </w:p>
          <w:p>
            <w:pPr>
              <w:pStyle w:val="TableParagraph"/>
              <w:spacing w:line="204" w:lineRule="exact"/>
              <w:ind w:left="69" w:right="44"/>
              <w:rPr>
                <w:rFonts w:ascii="Times New Roman" w:eastAsia="Times New Roman"/>
                <w:sz w:val="18"/>
              </w:rPr>
            </w:pPr>
            <w:r>
              <w:rPr>
                <w:sz w:val="18"/>
              </w:rPr>
              <w:t>氢氧化钠 </w:t>
            </w:r>
            <w:r>
              <w:rPr>
                <w:rFonts w:ascii="Times New Roman" w:eastAsia="Times New Roman"/>
                <w:sz w:val="18"/>
              </w:rPr>
              <w:t>42.8</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before="40"/>
              <w:ind w:left="113"/>
              <w:jc w:val="left"/>
              <w:rPr>
                <w:sz w:val="18"/>
              </w:rPr>
            </w:pPr>
            <w:r>
              <w:rPr>
                <w:sz w:val="18"/>
              </w:rPr>
              <w:t>Σ</w:t>
            </w:r>
            <w:r>
              <w:rPr>
                <w:rFonts w:ascii="Times New Roman" w:hAnsi="Times New Roman" w:eastAsia="Times New Roman"/>
                <w:sz w:val="20"/>
              </w:rPr>
              <w:t>737.6   </w:t>
            </w:r>
            <w:r>
              <w:rPr>
                <w:sz w:val="18"/>
              </w:rPr>
              <w:t>甲 苯  </w:t>
            </w:r>
            <w:r>
              <w:rPr>
                <w:rFonts w:ascii="Times New Roman" w:hAnsi="Times New Roman" w:eastAsia="Times New Roman"/>
                <w:sz w:val="20"/>
              </w:rPr>
              <w:t>396.3</w:t>
            </w:r>
            <w:r>
              <w:rPr>
                <w:rFonts w:ascii="Times New Roman" w:hAnsi="Times New Roman" w:eastAsia="Times New Roman"/>
                <w:spacing w:val="-5"/>
                <w:sz w:val="20"/>
              </w:rPr>
              <w:t> </w:t>
            </w:r>
            <w:r>
              <w:rPr>
                <w:sz w:val="18"/>
              </w:rPr>
              <w:t>、</w:t>
            </w:r>
          </w:p>
          <w:p>
            <w:pPr>
              <w:pStyle w:val="TableParagraph"/>
              <w:spacing w:line="311" w:lineRule="exact"/>
              <w:ind w:left="121"/>
              <w:jc w:val="left"/>
              <w:rPr>
                <w:rFonts w:ascii="Times New Roman" w:eastAsia="Times New Roman"/>
                <w:sz w:val="20"/>
              </w:rPr>
            </w:pPr>
            <w:r>
              <w:rPr>
                <w:sz w:val="18"/>
              </w:rPr>
              <w:t>正丁醇 </w:t>
            </w:r>
            <w:r>
              <w:rPr>
                <w:rFonts w:ascii="Times New Roman" w:eastAsia="Times New Roman"/>
                <w:sz w:val="20"/>
              </w:rPr>
              <w:t>249.9</w:t>
            </w:r>
            <w:r>
              <w:rPr>
                <w:spacing w:val="1"/>
                <w:sz w:val="18"/>
              </w:rPr>
              <w:t>、水 </w:t>
            </w:r>
            <w:r>
              <w:rPr>
                <w:rFonts w:ascii="Times New Roman" w:eastAsia="Times New Roman"/>
                <w:sz w:val="20"/>
              </w:rPr>
              <w:t>91.4</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246" w:lineRule="exact"/>
              <w:ind w:left="19"/>
              <w:rPr>
                <w:rFonts w:ascii="Times New Roman" w:hAnsi="Times New Roman" w:eastAsia="Times New Roman"/>
                <w:sz w:val="20"/>
              </w:rPr>
            </w:pPr>
            <w:r>
              <w:rPr>
                <w:w w:val="105"/>
                <w:sz w:val="18"/>
              </w:rPr>
              <w:t>Σ</w:t>
            </w:r>
            <w:r>
              <w:rPr>
                <w:rFonts w:ascii="Times New Roman" w:hAnsi="Times New Roman" w:eastAsia="Times New Roman"/>
                <w:w w:val="105"/>
                <w:sz w:val="20"/>
              </w:rPr>
              <w:t>7926.2 </w:t>
            </w:r>
            <w:r>
              <w:rPr>
                <w:w w:val="105"/>
                <w:sz w:val="20"/>
              </w:rPr>
              <w:t>盐 水 </w:t>
            </w:r>
            <w:r>
              <w:rPr>
                <w:rFonts w:ascii="Times New Roman" w:hAnsi="Times New Roman" w:eastAsia="Times New Roman"/>
                <w:w w:val="105"/>
                <w:sz w:val="20"/>
              </w:rPr>
              <w:t>7400</w:t>
            </w:r>
          </w:p>
          <w:p>
            <w:pPr>
              <w:pStyle w:val="TableParagraph"/>
              <w:spacing w:line="235" w:lineRule="exact"/>
              <w:ind w:left="23"/>
              <w:rPr>
                <w:sz w:val="18"/>
              </w:rPr>
            </w:pPr>
            <w:r>
              <w:rPr>
                <w:sz w:val="18"/>
              </w:rPr>
              <w:t>甲苯 </w:t>
            </w:r>
            <w:r>
              <w:rPr>
                <w:rFonts w:ascii="Times New Roman" w:eastAsia="Times New Roman"/>
                <w:sz w:val="20"/>
              </w:rPr>
              <w:t>98.1</w:t>
            </w:r>
            <w:r>
              <w:rPr>
                <w:sz w:val="18"/>
              </w:rPr>
              <w:t>、正丁醇</w:t>
            </w:r>
          </w:p>
          <w:p>
            <w:pPr>
              <w:pStyle w:val="TableParagraph"/>
              <w:spacing w:line="221" w:lineRule="exact"/>
              <w:ind w:left="19"/>
              <w:rPr>
                <w:rFonts w:ascii="Times New Roman" w:eastAsia="Times New Roman"/>
                <w:sz w:val="20"/>
              </w:rPr>
            </w:pPr>
            <w:r>
              <w:rPr>
                <w:rFonts w:ascii="Times New Roman" w:eastAsia="Times New Roman"/>
                <w:sz w:val="20"/>
              </w:rPr>
              <w:t>62.5</w:t>
            </w:r>
            <w:r>
              <w:rPr>
                <w:sz w:val="18"/>
              </w:rPr>
              <w:t>、水 </w:t>
            </w:r>
            <w:r>
              <w:rPr>
                <w:rFonts w:ascii="Times New Roman" w:eastAsia="Times New Roman"/>
                <w:sz w:val="20"/>
              </w:rPr>
              <w:t>365.7</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60"/>
              <w:ind w:left="264"/>
              <w:jc w:val="left"/>
              <w:rPr>
                <w:rFonts w:ascii="Times New Roman" w:eastAsia="Times New Roman"/>
                <w:sz w:val="20"/>
              </w:rPr>
            </w:pPr>
            <w:r>
              <w:rPr>
                <w:sz w:val="18"/>
              </w:rPr>
              <w:t>甲苯 </w:t>
            </w:r>
            <w:r>
              <w:rPr>
                <w:rFonts w:ascii="Times New Roman" w:eastAsia="Times New Roman"/>
                <w:sz w:val="20"/>
              </w:rPr>
              <w:t>1</w:t>
            </w: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Times New Roman"/>
                <w:sz w:val="21"/>
              </w:rPr>
            </w:pPr>
          </w:p>
          <w:p>
            <w:pPr>
              <w:pStyle w:val="TableParagraph"/>
              <w:ind w:left="161"/>
              <w:jc w:val="left"/>
              <w:rPr>
                <w:rFonts w:ascii="Times New Roman"/>
                <w:sz w:val="18"/>
              </w:rPr>
            </w:pPr>
            <w:r>
              <w:rPr>
                <w:rFonts w:ascii="Times New Roman"/>
                <w:sz w:val="18"/>
              </w:rPr>
              <w:t>7.93</w:t>
            </w:r>
          </w:p>
        </w:tc>
        <w:tc>
          <w:tcPr>
            <w:tcW w:w="620" w:type="dxa"/>
            <w:tcBorders>
              <w:top w:val="single" w:sz="6" w:space="0" w:color="000000"/>
              <w:left w:val="single" w:sz="6" w:space="0" w:color="000000"/>
              <w:bottom w:val="single" w:sz="6" w:space="0" w:color="000000"/>
            </w:tcBorders>
          </w:tcPr>
          <w:p>
            <w:pPr>
              <w:pStyle w:val="TableParagraph"/>
              <w:spacing w:before="10"/>
              <w:jc w:val="left"/>
              <w:rPr>
                <w:rFonts w:ascii="Times New Roman"/>
                <w:sz w:val="21"/>
              </w:rPr>
            </w:pPr>
          </w:p>
          <w:p>
            <w:pPr>
              <w:pStyle w:val="TableParagraph"/>
              <w:ind w:left="90" w:right="62"/>
              <w:rPr>
                <w:rFonts w:ascii="Times New Roman"/>
                <w:sz w:val="18"/>
              </w:rPr>
            </w:pPr>
            <w:r>
              <w:rPr>
                <w:rFonts w:ascii="Times New Roman"/>
                <w:sz w:val="18"/>
              </w:rPr>
              <w:t>2.38</w:t>
            </w:r>
          </w:p>
        </w:tc>
      </w:tr>
      <w:tr>
        <w:trPr>
          <w:trHeight w:val="937" w:hRule="atLeast"/>
        </w:trPr>
        <w:tc>
          <w:tcPr>
            <w:tcW w:w="538" w:type="dxa"/>
            <w:vMerge/>
            <w:tcBorders>
              <w:top w:val="nil"/>
              <w:right w:val="single" w:sz="6" w:space="0" w:color="000000"/>
            </w:tcBorders>
          </w:tcPr>
          <w:p>
            <w:pPr>
              <w:rPr>
                <w:sz w:val="2"/>
                <w:szCs w:val="2"/>
              </w:rPr>
            </w:pPr>
          </w:p>
        </w:tc>
        <w:tc>
          <w:tcPr>
            <w:tcW w:w="1318" w:type="dxa"/>
            <w:tcBorders>
              <w:top w:val="single" w:sz="6" w:space="0" w:color="000000"/>
              <w:left w:val="single" w:sz="6" w:space="0" w:color="000000"/>
              <w:right w:val="single" w:sz="6" w:space="0" w:color="000000"/>
            </w:tcBorders>
          </w:tcPr>
          <w:p>
            <w:pPr>
              <w:pStyle w:val="TableParagraph"/>
              <w:spacing w:line="146" w:lineRule="auto" w:before="134"/>
              <w:ind w:left="124" w:right="96"/>
              <w:rPr>
                <w:sz w:val="18"/>
              </w:rPr>
            </w:pPr>
            <w:r>
              <w:rPr>
                <w:sz w:val="18"/>
              </w:rPr>
              <w:t>成盐反应后离心母液</w:t>
            </w:r>
          </w:p>
          <w:p>
            <w:pPr>
              <w:pStyle w:val="TableParagraph"/>
              <w:spacing w:line="278" w:lineRule="exact"/>
              <w:ind w:left="123" w:right="96"/>
              <w:rPr>
                <w:sz w:val="18"/>
              </w:rPr>
            </w:pPr>
            <w:r>
              <w:rPr>
                <w:sz w:val="18"/>
              </w:rPr>
              <w:t>（</w:t>
            </w:r>
            <w:r>
              <w:rPr>
                <w:rFonts w:ascii="Times New Roman" w:eastAsia="Times New Roman"/>
                <w:sz w:val="18"/>
              </w:rPr>
              <w:t>W9-9</w:t>
            </w:r>
            <w:r>
              <w:rPr>
                <w:sz w:val="18"/>
              </w:rPr>
              <w:t>）</w:t>
            </w:r>
          </w:p>
        </w:tc>
        <w:tc>
          <w:tcPr>
            <w:tcW w:w="3051" w:type="dxa"/>
            <w:tcBorders>
              <w:top w:val="single" w:sz="6" w:space="0" w:color="000000"/>
              <w:left w:val="single" w:sz="6" w:space="0" w:color="000000"/>
              <w:right w:val="single" w:sz="6" w:space="0" w:color="000000"/>
            </w:tcBorders>
          </w:tcPr>
          <w:p>
            <w:pPr>
              <w:pStyle w:val="TableParagraph"/>
              <w:spacing w:line="307" w:lineRule="exact" w:before="30"/>
              <w:ind w:left="114" w:right="87"/>
              <w:rPr>
                <w:sz w:val="18"/>
              </w:rPr>
            </w:pPr>
            <w:r>
              <w:rPr>
                <w:sz w:val="18"/>
              </w:rPr>
              <w:t>Σ</w:t>
            </w:r>
            <w:r>
              <w:rPr>
                <w:rFonts w:ascii="Times New Roman" w:hAnsi="Times New Roman" w:eastAsia="Times New Roman"/>
                <w:sz w:val="18"/>
              </w:rPr>
              <w:t>5550.6 </w:t>
            </w:r>
            <w:r>
              <w:rPr>
                <w:sz w:val="18"/>
              </w:rPr>
              <w:t>盐酸米安色林 </w:t>
            </w:r>
            <w:r>
              <w:rPr>
                <w:rFonts w:ascii="Times New Roman" w:hAnsi="Times New Roman" w:eastAsia="Times New Roman"/>
                <w:sz w:val="18"/>
              </w:rPr>
              <w:t>142.3</w:t>
            </w:r>
            <w:r>
              <w:rPr>
                <w:sz w:val="18"/>
              </w:rPr>
              <w:t>、甲苯</w:t>
            </w:r>
          </w:p>
          <w:p>
            <w:pPr>
              <w:pStyle w:val="TableParagraph"/>
              <w:spacing w:line="233" w:lineRule="exact"/>
              <w:ind w:left="114" w:right="90"/>
              <w:rPr>
                <w:sz w:val="18"/>
              </w:rPr>
            </w:pPr>
            <w:r>
              <w:rPr>
                <w:rFonts w:ascii="Times New Roman" w:eastAsia="Times New Roman"/>
                <w:sz w:val="18"/>
              </w:rPr>
              <w:t>487.5</w:t>
            </w:r>
            <w:r>
              <w:rPr>
                <w:sz w:val="18"/>
              </w:rPr>
              <w:t>、丙酮 </w:t>
            </w:r>
            <w:r>
              <w:rPr>
                <w:rFonts w:ascii="Times New Roman" w:eastAsia="Times New Roman"/>
                <w:sz w:val="18"/>
              </w:rPr>
              <w:t>4037.5</w:t>
            </w:r>
            <w:r>
              <w:rPr>
                <w:sz w:val="18"/>
              </w:rPr>
              <w:t>、盐酸乙酸乙酯</w:t>
            </w:r>
          </w:p>
          <w:p>
            <w:pPr>
              <w:pStyle w:val="TableParagraph"/>
              <w:spacing w:line="307" w:lineRule="exact"/>
              <w:ind w:left="114" w:right="87"/>
              <w:rPr>
                <w:rFonts w:ascii="Times New Roman" w:eastAsia="Times New Roman"/>
                <w:sz w:val="18"/>
              </w:rPr>
            </w:pPr>
            <w:r>
              <w:rPr>
                <w:rFonts w:ascii="Times New Roman" w:eastAsia="Times New Roman"/>
                <w:sz w:val="18"/>
              </w:rPr>
              <w:t>529.1</w:t>
            </w:r>
            <w:r>
              <w:rPr>
                <w:sz w:val="18"/>
              </w:rPr>
              <w:t>、乙酸乙酯 </w:t>
            </w:r>
            <w:r>
              <w:rPr>
                <w:rFonts w:ascii="Times New Roman" w:eastAsia="Times New Roman"/>
                <w:sz w:val="18"/>
              </w:rPr>
              <w:t>354.2</w:t>
            </w:r>
          </w:p>
        </w:tc>
        <w:tc>
          <w:tcPr>
            <w:tcW w:w="2283" w:type="dxa"/>
            <w:tcBorders>
              <w:top w:val="single" w:sz="6" w:space="0" w:color="000000"/>
              <w:left w:val="single" w:sz="6" w:space="0" w:color="000000"/>
              <w:right w:val="single" w:sz="6" w:space="0" w:color="000000"/>
            </w:tcBorders>
          </w:tcPr>
          <w:p>
            <w:pPr>
              <w:pStyle w:val="TableParagraph"/>
              <w:spacing w:line="308" w:lineRule="exact" w:before="148"/>
              <w:ind w:left="70" w:right="44"/>
              <w:rPr>
                <w:sz w:val="18"/>
              </w:rPr>
            </w:pPr>
            <w:r>
              <w:rPr>
                <w:sz w:val="18"/>
              </w:rPr>
              <w:t>Σ</w:t>
            </w:r>
            <w:r>
              <w:rPr>
                <w:rFonts w:ascii="Times New Roman" w:hAnsi="Times New Roman" w:eastAsia="Times New Roman"/>
                <w:sz w:val="20"/>
              </w:rPr>
              <w:t>195.2 </w:t>
            </w:r>
            <w:r>
              <w:rPr>
                <w:sz w:val="18"/>
              </w:rPr>
              <w:t>盐酸米安色林</w:t>
            </w:r>
          </w:p>
          <w:p>
            <w:pPr>
              <w:pStyle w:val="TableParagraph"/>
              <w:spacing w:line="308" w:lineRule="exact"/>
              <w:ind w:left="69" w:right="44"/>
              <w:rPr>
                <w:rFonts w:ascii="Times New Roman" w:eastAsia="Times New Roman"/>
                <w:sz w:val="18"/>
              </w:rPr>
            </w:pPr>
            <w:r>
              <w:rPr>
                <w:rFonts w:ascii="Times New Roman" w:eastAsia="Times New Roman"/>
                <w:sz w:val="18"/>
              </w:rPr>
              <w:t>142.3</w:t>
            </w:r>
            <w:r>
              <w:rPr>
                <w:sz w:val="18"/>
              </w:rPr>
              <w:t>、盐酸乙酸乙酯 </w:t>
            </w:r>
            <w:r>
              <w:rPr>
                <w:rFonts w:ascii="Times New Roman" w:eastAsia="Times New Roman"/>
                <w:sz w:val="18"/>
              </w:rPr>
              <w:t>52.9</w:t>
            </w:r>
          </w:p>
        </w:tc>
        <w:tc>
          <w:tcPr>
            <w:tcW w:w="2021" w:type="dxa"/>
            <w:tcBorders>
              <w:top w:val="single" w:sz="6" w:space="0" w:color="000000"/>
              <w:left w:val="single" w:sz="6" w:space="0" w:color="000000"/>
              <w:right w:val="single" w:sz="6" w:space="0" w:color="000000"/>
            </w:tcBorders>
          </w:tcPr>
          <w:p>
            <w:pPr>
              <w:pStyle w:val="TableParagraph"/>
              <w:spacing w:line="221" w:lineRule="exact"/>
              <w:ind w:left="113"/>
              <w:jc w:val="left"/>
              <w:rPr>
                <w:sz w:val="18"/>
              </w:rPr>
            </w:pPr>
            <w:r>
              <w:rPr>
                <w:sz w:val="18"/>
              </w:rPr>
              <w:t>Σ</w:t>
            </w:r>
            <w:r>
              <w:rPr>
                <w:rFonts w:ascii="Times New Roman" w:hAnsi="Times New Roman" w:eastAsia="Times New Roman"/>
                <w:sz w:val="20"/>
              </w:rPr>
              <w:t>4284.3</w:t>
            </w:r>
            <w:r>
              <w:rPr>
                <w:rFonts w:ascii="Times New Roman" w:hAnsi="Times New Roman" w:eastAsia="Times New Roman"/>
                <w:spacing w:val="34"/>
                <w:sz w:val="20"/>
              </w:rPr>
              <w:t> </w:t>
            </w:r>
            <w:r>
              <w:rPr>
                <w:sz w:val="18"/>
              </w:rPr>
              <w:t>甲 苯 </w:t>
            </w:r>
            <w:r>
              <w:rPr>
                <w:rFonts w:ascii="Times New Roman" w:hAnsi="Times New Roman" w:eastAsia="Times New Roman"/>
                <w:sz w:val="20"/>
              </w:rPr>
              <w:t>390.0 </w:t>
            </w:r>
            <w:r>
              <w:rPr>
                <w:sz w:val="18"/>
              </w:rPr>
              <w:t>、</w:t>
            </w:r>
          </w:p>
          <w:p>
            <w:pPr>
              <w:pStyle w:val="TableParagraph"/>
              <w:spacing w:line="148" w:lineRule="auto" w:before="30"/>
              <w:ind w:left="113" w:right="82"/>
              <w:rPr>
                <w:sz w:val="18"/>
              </w:rPr>
            </w:pPr>
            <w:r>
              <w:rPr>
                <w:spacing w:val="1"/>
                <w:sz w:val="18"/>
              </w:rPr>
              <w:t>丙酮 </w:t>
            </w:r>
            <w:r>
              <w:rPr>
                <w:rFonts w:ascii="Times New Roman" w:eastAsia="Times New Roman"/>
                <w:sz w:val="20"/>
              </w:rPr>
              <w:t>3230.0</w:t>
            </w:r>
            <w:r>
              <w:rPr>
                <w:spacing w:val="-12"/>
                <w:sz w:val="18"/>
              </w:rPr>
              <w:t>、盐酸乙酸</w:t>
            </w:r>
            <w:r>
              <w:rPr>
                <w:spacing w:val="-7"/>
                <w:sz w:val="18"/>
              </w:rPr>
              <w:t>乙酯 </w:t>
            </w:r>
            <w:r>
              <w:rPr>
                <w:rFonts w:ascii="Times New Roman" w:eastAsia="Times New Roman"/>
                <w:sz w:val="20"/>
              </w:rPr>
              <w:t>381.0</w:t>
            </w:r>
            <w:r>
              <w:rPr>
                <w:sz w:val="18"/>
              </w:rPr>
              <w:t>、乙酸乙酯</w:t>
            </w:r>
          </w:p>
          <w:p>
            <w:pPr>
              <w:pStyle w:val="TableParagraph"/>
              <w:spacing w:line="192" w:lineRule="exact"/>
              <w:ind w:left="97" w:right="71"/>
              <w:rPr>
                <w:rFonts w:ascii="Times New Roman"/>
                <w:sz w:val="20"/>
              </w:rPr>
            </w:pPr>
            <w:r>
              <w:rPr>
                <w:rFonts w:ascii="Times New Roman"/>
                <w:sz w:val="20"/>
              </w:rPr>
              <w:t>283.3</w:t>
            </w:r>
          </w:p>
        </w:tc>
        <w:tc>
          <w:tcPr>
            <w:tcW w:w="1976" w:type="dxa"/>
            <w:tcBorders>
              <w:top w:val="single" w:sz="6" w:space="0" w:color="000000"/>
              <w:left w:val="single" w:sz="6" w:space="0" w:color="000000"/>
              <w:right w:val="single" w:sz="6" w:space="0" w:color="000000"/>
            </w:tcBorders>
          </w:tcPr>
          <w:p>
            <w:pPr>
              <w:pStyle w:val="TableParagraph"/>
              <w:spacing w:line="221" w:lineRule="exact"/>
              <w:ind w:left="111"/>
              <w:jc w:val="left"/>
              <w:rPr>
                <w:sz w:val="18"/>
              </w:rPr>
            </w:pPr>
            <w:r>
              <w:rPr>
                <w:w w:val="105"/>
                <w:sz w:val="18"/>
              </w:rPr>
              <w:t>Σ</w:t>
            </w:r>
            <w:r>
              <w:rPr>
                <w:rFonts w:ascii="Times New Roman" w:hAnsi="Times New Roman" w:eastAsia="Times New Roman"/>
                <w:w w:val="105"/>
                <w:sz w:val="20"/>
              </w:rPr>
              <w:t>1061.4</w:t>
            </w:r>
            <w:r>
              <w:rPr>
                <w:rFonts w:ascii="Times New Roman" w:hAnsi="Times New Roman" w:eastAsia="Times New Roman"/>
                <w:spacing w:val="45"/>
                <w:w w:val="105"/>
                <w:sz w:val="20"/>
              </w:rPr>
              <w:t> </w:t>
            </w:r>
            <w:r>
              <w:rPr>
                <w:spacing w:val="-1"/>
                <w:w w:val="105"/>
                <w:sz w:val="18"/>
              </w:rPr>
              <w:t>甲苯 </w:t>
            </w:r>
            <w:r>
              <w:rPr>
                <w:rFonts w:ascii="Times New Roman" w:hAnsi="Times New Roman" w:eastAsia="Times New Roman"/>
                <w:w w:val="105"/>
                <w:sz w:val="20"/>
              </w:rPr>
              <w:t>96.5</w:t>
            </w:r>
            <w:r>
              <w:rPr>
                <w:w w:val="105"/>
                <w:sz w:val="18"/>
              </w:rPr>
              <w:t>、</w:t>
            </w:r>
          </w:p>
          <w:p>
            <w:pPr>
              <w:pStyle w:val="TableParagraph"/>
              <w:spacing w:line="148" w:lineRule="auto" w:before="30"/>
              <w:ind w:left="113" w:right="87"/>
              <w:rPr>
                <w:sz w:val="18"/>
              </w:rPr>
            </w:pPr>
            <w:r>
              <w:rPr>
                <w:spacing w:val="1"/>
                <w:sz w:val="18"/>
              </w:rPr>
              <w:t>丙酮 </w:t>
            </w:r>
            <w:r>
              <w:rPr>
                <w:rFonts w:ascii="Times New Roman" w:eastAsia="Times New Roman"/>
                <w:sz w:val="20"/>
              </w:rPr>
              <w:t>799.5</w:t>
            </w:r>
            <w:r>
              <w:rPr>
                <w:sz w:val="18"/>
              </w:rPr>
              <w:t>、盐酸乙酸</w:t>
            </w:r>
            <w:r>
              <w:rPr>
                <w:spacing w:val="1"/>
                <w:sz w:val="18"/>
              </w:rPr>
              <w:t>乙酯 </w:t>
            </w:r>
            <w:r>
              <w:rPr>
                <w:rFonts w:ascii="Times New Roman" w:eastAsia="Times New Roman"/>
                <w:sz w:val="20"/>
              </w:rPr>
              <w:t>95.2</w:t>
            </w:r>
            <w:r>
              <w:rPr>
                <w:sz w:val="18"/>
              </w:rPr>
              <w:t>、乙酸乙酯</w:t>
            </w:r>
          </w:p>
          <w:p>
            <w:pPr>
              <w:pStyle w:val="TableParagraph"/>
              <w:spacing w:line="192" w:lineRule="exact"/>
              <w:ind w:left="20"/>
              <w:rPr>
                <w:rFonts w:ascii="Times New Roman"/>
                <w:sz w:val="20"/>
              </w:rPr>
            </w:pPr>
            <w:r>
              <w:rPr>
                <w:rFonts w:ascii="Times New Roman"/>
                <w:sz w:val="20"/>
              </w:rPr>
              <w:t>70.1</w:t>
            </w:r>
          </w:p>
        </w:tc>
        <w:tc>
          <w:tcPr>
            <w:tcW w:w="1030" w:type="dxa"/>
            <w:tcBorders>
              <w:top w:val="single" w:sz="6" w:space="0" w:color="000000"/>
              <w:left w:val="single" w:sz="6" w:space="0" w:color="000000"/>
              <w:right w:val="single" w:sz="6" w:space="0" w:color="000000"/>
            </w:tcBorders>
          </w:tcPr>
          <w:p>
            <w:pPr>
              <w:pStyle w:val="TableParagraph"/>
              <w:spacing w:line="151" w:lineRule="auto" w:before="124"/>
              <w:ind w:left="111" w:right="85"/>
              <w:jc w:val="both"/>
              <w:rPr>
                <w:rFonts w:ascii="Times New Roman" w:eastAsia="Times New Roman"/>
                <w:sz w:val="20"/>
              </w:rPr>
            </w:pPr>
            <w:r>
              <w:rPr>
                <w:spacing w:val="1"/>
                <w:sz w:val="18"/>
              </w:rPr>
              <w:t>甲苯 </w:t>
            </w:r>
            <w:r>
              <w:rPr>
                <w:rFonts w:ascii="Times New Roman" w:eastAsia="Times New Roman"/>
                <w:sz w:val="20"/>
              </w:rPr>
              <w:t>1</w:t>
            </w:r>
            <w:r>
              <w:rPr>
                <w:spacing w:val="-51"/>
                <w:sz w:val="18"/>
              </w:rPr>
              <w:t>、丙</w:t>
            </w:r>
            <w:r>
              <w:rPr>
                <w:spacing w:val="2"/>
                <w:sz w:val="18"/>
              </w:rPr>
              <w:t>酮 </w:t>
            </w:r>
            <w:r>
              <w:rPr>
                <w:rFonts w:ascii="Times New Roman" w:eastAsia="Times New Roman"/>
                <w:sz w:val="20"/>
              </w:rPr>
              <w:t>8</w:t>
            </w:r>
            <w:r>
              <w:rPr>
                <w:spacing w:val="-18"/>
                <w:sz w:val="18"/>
              </w:rPr>
              <w:t>、乙酸</w:t>
            </w:r>
            <w:r>
              <w:rPr>
                <w:spacing w:val="-11"/>
                <w:sz w:val="18"/>
              </w:rPr>
              <w:t>乙酯 </w:t>
            </w:r>
            <w:r>
              <w:rPr>
                <w:rFonts w:ascii="Times New Roman" w:eastAsia="Times New Roman"/>
                <w:sz w:val="20"/>
              </w:rPr>
              <w:t>0.7</w:t>
            </w:r>
          </w:p>
        </w:tc>
        <w:tc>
          <w:tcPr>
            <w:tcW w:w="627"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127"/>
              <w:ind w:left="161"/>
              <w:jc w:val="left"/>
              <w:rPr>
                <w:rFonts w:ascii="Times New Roman"/>
                <w:sz w:val="18"/>
              </w:rPr>
            </w:pPr>
            <w:r>
              <w:rPr>
                <w:rFonts w:ascii="Times New Roman"/>
                <w:sz w:val="18"/>
              </w:rPr>
              <w:t>1.06</w:t>
            </w:r>
          </w:p>
        </w:tc>
        <w:tc>
          <w:tcPr>
            <w:tcW w:w="620" w:type="dxa"/>
            <w:tcBorders>
              <w:top w:val="single" w:sz="6" w:space="0" w:color="000000"/>
              <w:left w:val="single" w:sz="6" w:space="0" w:color="000000"/>
            </w:tcBorders>
          </w:tcPr>
          <w:p>
            <w:pPr>
              <w:pStyle w:val="TableParagraph"/>
              <w:jc w:val="left"/>
              <w:rPr>
                <w:rFonts w:ascii="Times New Roman"/>
                <w:sz w:val="20"/>
              </w:rPr>
            </w:pPr>
          </w:p>
          <w:p>
            <w:pPr>
              <w:pStyle w:val="TableParagraph"/>
              <w:spacing w:before="127"/>
              <w:ind w:left="90" w:right="62"/>
              <w:rPr>
                <w:rFonts w:ascii="Times New Roman"/>
                <w:sz w:val="18"/>
              </w:rPr>
            </w:pPr>
            <w:r>
              <w:rPr>
                <w:rFonts w:ascii="Times New Roman"/>
                <w:sz w:val="18"/>
              </w:rPr>
              <w:t>0.32</w:t>
            </w:r>
          </w:p>
        </w:tc>
      </w:tr>
    </w:tbl>
    <w:p>
      <w:pPr>
        <w:spacing w:after="0"/>
        <w:rPr>
          <w:rFonts w:ascii="Times New Roman"/>
          <w:sz w:val="18"/>
        </w:rPr>
        <w:sectPr>
          <w:pgSz w:w="16840" w:h="11910" w:orient="landscape"/>
          <w:pgMar w:header="877" w:footer="973" w:top="1180" w:bottom="1160" w:left="1560" w:right="1540"/>
        </w:sectPr>
      </w:pPr>
    </w:p>
    <w:p>
      <w:pPr>
        <w:pStyle w:val="BodyText"/>
        <w:spacing w:line="437" w:lineRule="exact"/>
        <w:ind w:left="618"/>
      </w:pPr>
      <w:r>
        <w:rPr/>
        <w:t>由表 </w:t>
      </w:r>
      <w:r>
        <w:rPr>
          <w:rFonts w:ascii="Times New Roman" w:eastAsia="Times New Roman"/>
        </w:rPr>
        <w:t>4.10-11 </w:t>
      </w:r>
      <w:r>
        <w:rPr/>
        <w:t>和表 </w:t>
      </w:r>
      <w:r>
        <w:rPr>
          <w:rFonts w:ascii="Times New Roman" w:eastAsia="Times New Roman"/>
        </w:rPr>
        <w:t>4.10-12 </w:t>
      </w:r>
      <w:r>
        <w:rPr/>
        <w:t>可见，经回收车间废水预处理后的化学合成废水</w:t>
      </w:r>
    </w:p>
    <w:p>
      <w:pPr>
        <w:pStyle w:val="BodyText"/>
        <w:spacing w:line="467" w:lineRule="exact"/>
        <w:ind w:left="138"/>
      </w:pPr>
      <w:r>
        <w:rPr/>
        <w:t>量为 </w:t>
      </w:r>
      <w:r>
        <w:rPr>
          <w:rFonts w:ascii="Times New Roman" w:eastAsia="Times New Roman"/>
        </w:rPr>
        <w:t>1871.24m</w:t>
      </w:r>
      <w:r>
        <w:rPr>
          <w:rFonts w:ascii="Times New Roman" w:eastAsia="Times New Roman"/>
          <w:position w:val="9"/>
          <w:sz w:val="16"/>
        </w:rPr>
        <w:t>3</w:t>
      </w:r>
      <w:r>
        <w:rPr>
          <w:rFonts w:ascii="Times New Roman" w:eastAsia="Times New Roman"/>
        </w:rPr>
        <w:t>/a</w:t>
      </w:r>
      <w:r>
        <w:rPr/>
        <w:t>。</w:t>
      </w:r>
    </w:p>
    <w:p>
      <w:pPr>
        <w:pStyle w:val="BodyText"/>
        <w:spacing w:line="220" w:lineRule="auto" w:before="7"/>
        <w:ind w:left="138" w:right="228" w:firstLine="479"/>
      </w:pPr>
      <w:r>
        <w:rPr/>
        <w:t>由前述白葡萄球菌物料平衡可知，白葡萄球菌生产发酵废水量为 </w:t>
      </w:r>
      <w:r>
        <w:rPr>
          <w:rFonts w:ascii="Times New Roman" w:eastAsia="Times New Roman"/>
        </w:rPr>
        <w:t>223m</w:t>
      </w:r>
      <w:r>
        <w:rPr>
          <w:rFonts w:ascii="Times New Roman" w:eastAsia="Times New Roman"/>
          <w:position w:val="9"/>
          <w:sz w:val="16"/>
        </w:rPr>
        <w:t>3</w:t>
      </w:r>
      <w:r>
        <w:rPr>
          <w:rFonts w:ascii="Times New Roman" w:eastAsia="Times New Roman"/>
        </w:rPr>
        <w:t>/t </w:t>
      </w:r>
      <w:r>
        <w:rPr/>
        <w:t>产品，</w:t>
      </w:r>
      <w:r>
        <w:rPr>
          <w:rFonts w:ascii="Times New Roman" w:eastAsia="Times New Roman"/>
        </w:rPr>
        <w:t>8028m</w:t>
      </w:r>
      <w:r>
        <w:rPr>
          <w:rFonts w:ascii="Times New Roman" w:eastAsia="Times New Roman"/>
          <w:position w:val="9"/>
          <w:sz w:val="16"/>
        </w:rPr>
        <w:t>3</w:t>
      </w:r>
      <w:r>
        <w:rPr>
          <w:rFonts w:ascii="Times New Roman" w:eastAsia="Times New Roman"/>
        </w:rPr>
        <w:t>/a</w:t>
      </w:r>
      <w:r>
        <w:rPr/>
        <w:t>。</w:t>
      </w:r>
    </w:p>
    <w:p>
      <w:pPr>
        <w:pStyle w:val="BodyText"/>
        <w:spacing w:line="457" w:lineRule="exact"/>
        <w:ind w:left="620"/>
      </w:pPr>
      <w:r>
        <w:rPr>
          <w:rFonts w:ascii="Times New Roman" w:eastAsia="Times New Roman"/>
          <w:b/>
        </w:rPr>
        <w:t>2</w:t>
      </w:r>
      <w:r>
        <w:rPr/>
        <w:t>、各车间地面冲洗废水</w:t>
      </w:r>
    </w:p>
    <w:p>
      <w:pPr>
        <w:pStyle w:val="BodyText"/>
        <w:spacing w:line="467" w:lineRule="exact"/>
        <w:ind w:left="618"/>
      </w:pPr>
      <w:r>
        <w:rPr/>
        <w:t>项目各车间地面定期清洗。车间地面冲洗面积按 </w:t>
      </w:r>
      <w:r>
        <w:rPr>
          <w:rFonts w:ascii="Times New Roman" w:eastAsia="Times New Roman"/>
        </w:rPr>
        <w:t>0.8 </w:t>
      </w:r>
      <w:r>
        <w:rPr/>
        <w:t>系数计，冲洗水量</w:t>
      </w:r>
    </w:p>
    <w:p>
      <w:pPr>
        <w:pStyle w:val="BodyText"/>
        <w:spacing w:line="487" w:lineRule="exact"/>
        <w:ind w:left="138"/>
      </w:pPr>
      <w:r>
        <w:rPr>
          <w:rFonts w:ascii="Times New Roman" w:hAnsi="Times New Roman" w:eastAsia="Times New Roman"/>
        </w:rPr>
        <w:t>3L/m</w:t>
      </w:r>
      <w:r>
        <w:rPr>
          <w:rFonts w:ascii="Times New Roman" w:hAnsi="Times New Roman" w:eastAsia="Times New Roman"/>
          <w:position w:val="9"/>
          <w:sz w:val="16"/>
        </w:rPr>
        <w:t>2</w:t>
      </w:r>
      <w:r>
        <w:rPr>
          <w:rFonts w:ascii="Times New Roman" w:hAnsi="Times New Roman" w:eastAsia="Times New Roman"/>
        </w:rPr>
        <w:t>·</w:t>
      </w:r>
      <w:r>
        <w:rPr/>
        <w:t>次，冲洗频次为 </w:t>
      </w:r>
      <w:r>
        <w:rPr>
          <w:rFonts w:ascii="Times New Roman" w:hAnsi="Times New Roman" w:eastAsia="Times New Roman"/>
        </w:rPr>
        <w:t>2 </w:t>
      </w:r>
      <w:r>
        <w:rPr/>
        <w:t>次</w:t>
      </w:r>
      <w:r>
        <w:rPr>
          <w:rFonts w:ascii="Times New Roman" w:hAnsi="Times New Roman" w:eastAsia="Times New Roman"/>
        </w:rPr>
        <w:t>/</w:t>
      </w:r>
      <w:r>
        <w:rPr/>
        <w:t>周，产污率按 </w:t>
      </w:r>
      <w:r>
        <w:rPr>
          <w:rFonts w:ascii="Times New Roman" w:hAnsi="Times New Roman" w:eastAsia="Times New Roman"/>
        </w:rPr>
        <w:t>80</w:t>
      </w:r>
      <w:r>
        <w:rPr/>
        <w:t>％计，车间冲洗废水产生情况如下。</w:t>
      </w:r>
    </w:p>
    <w:p>
      <w:pPr>
        <w:tabs>
          <w:tab w:pos="1120" w:val="left" w:leader="none"/>
        </w:tabs>
        <w:spacing w:before="95"/>
        <w:ind w:left="0" w:right="96" w:firstLine="0"/>
        <w:jc w:val="center"/>
        <w:rPr>
          <w:sz w:val="21"/>
        </w:rPr>
      </w:pPr>
      <w:r>
        <w:rPr>
          <w:sz w:val="21"/>
        </w:rPr>
        <w:t>表</w:t>
      </w:r>
      <w:r>
        <w:rPr>
          <w:spacing w:val="7"/>
          <w:sz w:val="21"/>
        </w:rPr>
        <w:t> </w:t>
      </w:r>
      <w:r>
        <w:rPr>
          <w:rFonts w:ascii="Times New Roman" w:eastAsia="Times New Roman"/>
          <w:b/>
          <w:sz w:val="21"/>
        </w:rPr>
        <w:t>4.10-18</w:t>
        <w:tab/>
      </w:r>
      <w:r>
        <w:rPr>
          <w:sz w:val="21"/>
        </w:rPr>
        <w:t>冲洗废水产生情况</w:t>
      </w:r>
    </w:p>
    <w:p>
      <w:pPr>
        <w:pStyle w:val="BodyText"/>
        <w:spacing w:before="20"/>
        <w:rPr>
          <w:sz w:val="2"/>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51"/>
        <w:gridCol w:w="915"/>
        <w:gridCol w:w="991"/>
        <w:gridCol w:w="1135"/>
        <w:gridCol w:w="1132"/>
        <w:gridCol w:w="1135"/>
        <w:gridCol w:w="1382"/>
      </w:tblGrid>
      <w:tr>
        <w:trPr>
          <w:trHeight w:val="455" w:hRule="atLeast"/>
        </w:trPr>
        <w:tc>
          <w:tcPr>
            <w:tcW w:w="1651" w:type="dxa"/>
            <w:vMerge w:val="restart"/>
            <w:tcBorders>
              <w:bottom w:val="single" w:sz="6" w:space="0" w:color="000000"/>
              <w:right w:val="single" w:sz="6" w:space="0" w:color="000000"/>
            </w:tcBorders>
          </w:tcPr>
          <w:p>
            <w:pPr>
              <w:pStyle w:val="TableParagraph"/>
              <w:spacing w:before="14"/>
              <w:jc w:val="left"/>
              <w:rPr>
                <w:sz w:val="10"/>
              </w:rPr>
            </w:pPr>
          </w:p>
          <w:p>
            <w:pPr>
              <w:pStyle w:val="TableParagraph"/>
              <w:ind w:left="402"/>
              <w:jc w:val="left"/>
              <w:rPr>
                <w:sz w:val="21"/>
              </w:rPr>
            </w:pPr>
            <w:r>
              <w:rPr>
                <w:sz w:val="21"/>
              </w:rPr>
              <w:t>车间名称</w:t>
            </w:r>
          </w:p>
        </w:tc>
        <w:tc>
          <w:tcPr>
            <w:tcW w:w="915" w:type="dxa"/>
            <w:vMerge w:val="restart"/>
            <w:tcBorders>
              <w:left w:val="single" w:sz="6" w:space="0" w:color="000000"/>
              <w:bottom w:val="single" w:sz="6" w:space="0" w:color="000000"/>
              <w:right w:val="single" w:sz="6" w:space="0" w:color="000000"/>
            </w:tcBorders>
          </w:tcPr>
          <w:p>
            <w:pPr>
              <w:pStyle w:val="TableParagraph"/>
              <w:spacing w:line="405" w:lineRule="exact" w:before="106"/>
              <w:ind w:left="228" w:right="206"/>
              <w:rPr>
                <w:sz w:val="21"/>
              </w:rPr>
            </w:pPr>
            <w:r>
              <w:rPr>
                <w:sz w:val="21"/>
              </w:rPr>
              <w:t>面积</w:t>
            </w:r>
          </w:p>
          <w:p>
            <w:pPr>
              <w:pStyle w:val="TableParagraph"/>
              <w:spacing w:line="110" w:lineRule="auto" w:before="28"/>
              <w:ind w:left="226" w:right="206"/>
              <w:rPr>
                <w:rFonts w:ascii="Times New Roman"/>
                <w:b/>
                <w:sz w:val="14"/>
              </w:rPr>
            </w:pPr>
            <w:r>
              <w:rPr>
                <w:rFonts w:ascii="Times New Roman"/>
                <w:b/>
                <w:position w:val="-6"/>
                <w:sz w:val="21"/>
              </w:rPr>
              <w:t>m</w:t>
            </w:r>
            <w:r>
              <w:rPr>
                <w:rFonts w:ascii="Times New Roman"/>
                <w:b/>
                <w:sz w:val="14"/>
              </w:rPr>
              <w:t>2</w:t>
            </w:r>
          </w:p>
        </w:tc>
        <w:tc>
          <w:tcPr>
            <w:tcW w:w="991" w:type="dxa"/>
            <w:vMerge w:val="restart"/>
            <w:tcBorders>
              <w:left w:val="single" w:sz="6" w:space="0" w:color="000000"/>
              <w:bottom w:val="single" w:sz="6" w:space="0" w:color="000000"/>
              <w:right w:val="single" w:sz="6" w:space="0" w:color="000000"/>
            </w:tcBorders>
          </w:tcPr>
          <w:p>
            <w:pPr>
              <w:pStyle w:val="TableParagraph"/>
              <w:spacing w:line="405" w:lineRule="exact" w:before="106"/>
              <w:ind w:left="122" w:right="96"/>
              <w:rPr>
                <w:sz w:val="21"/>
              </w:rPr>
            </w:pPr>
            <w:r>
              <w:rPr>
                <w:sz w:val="21"/>
              </w:rPr>
              <w:t>用水量</w:t>
            </w:r>
          </w:p>
          <w:p>
            <w:pPr>
              <w:pStyle w:val="TableParagraph"/>
              <w:spacing w:line="206" w:lineRule="exact"/>
              <w:ind w:left="122" w:right="97"/>
              <w:rPr>
                <w:rFonts w:ascii="Times New Roman"/>
                <w:b/>
                <w:sz w:val="21"/>
              </w:rPr>
            </w:pPr>
            <w:r>
              <w:rPr>
                <w:rFonts w:ascii="Times New Roman"/>
                <w:b/>
                <w:sz w:val="21"/>
              </w:rPr>
              <w:t>m</w:t>
            </w:r>
            <w:r>
              <w:rPr>
                <w:rFonts w:ascii="Times New Roman"/>
                <w:b/>
                <w:position w:val="7"/>
                <w:sz w:val="14"/>
              </w:rPr>
              <w:t>3</w:t>
            </w:r>
            <w:r>
              <w:rPr>
                <w:rFonts w:ascii="Times New Roman"/>
                <w:b/>
                <w:sz w:val="21"/>
              </w:rPr>
              <w:t>/d</w:t>
            </w:r>
          </w:p>
        </w:tc>
        <w:tc>
          <w:tcPr>
            <w:tcW w:w="1135" w:type="dxa"/>
            <w:vMerge w:val="restart"/>
            <w:tcBorders>
              <w:left w:val="single" w:sz="6" w:space="0" w:color="000000"/>
              <w:bottom w:val="single" w:sz="6" w:space="0" w:color="000000"/>
              <w:right w:val="single" w:sz="6" w:space="0" w:color="000000"/>
            </w:tcBorders>
          </w:tcPr>
          <w:p>
            <w:pPr>
              <w:pStyle w:val="TableParagraph"/>
              <w:spacing w:line="405" w:lineRule="exact" w:before="106"/>
              <w:ind w:left="238" w:right="211"/>
              <w:rPr>
                <w:sz w:val="21"/>
              </w:rPr>
            </w:pPr>
            <w:r>
              <w:rPr>
                <w:sz w:val="21"/>
              </w:rPr>
              <w:t>废水量</w:t>
            </w:r>
          </w:p>
          <w:p>
            <w:pPr>
              <w:pStyle w:val="TableParagraph"/>
              <w:spacing w:line="206" w:lineRule="exact"/>
              <w:ind w:left="236" w:right="211"/>
              <w:rPr>
                <w:rFonts w:ascii="Times New Roman"/>
                <w:b/>
                <w:sz w:val="21"/>
              </w:rPr>
            </w:pPr>
            <w:r>
              <w:rPr>
                <w:rFonts w:ascii="Times New Roman"/>
                <w:b/>
                <w:sz w:val="21"/>
              </w:rPr>
              <w:t>m</w:t>
            </w:r>
            <w:r>
              <w:rPr>
                <w:rFonts w:ascii="Times New Roman"/>
                <w:b/>
                <w:position w:val="7"/>
                <w:sz w:val="14"/>
              </w:rPr>
              <w:t>3</w:t>
            </w:r>
            <w:r>
              <w:rPr>
                <w:rFonts w:ascii="Times New Roman"/>
                <w:b/>
                <w:sz w:val="21"/>
              </w:rPr>
              <w:t>/d</w:t>
            </w:r>
          </w:p>
        </w:tc>
        <w:tc>
          <w:tcPr>
            <w:tcW w:w="2267" w:type="dxa"/>
            <w:gridSpan w:val="2"/>
            <w:tcBorders>
              <w:left w:val="single" w:sz="6" w:space="0" w:color="000000"/>
              <w:bottom w:val="single" w:sz="6" w:space="0" w:color="000000"/>
              <w:right w:val="single" w:sz="6" w:space="0" w:color="000000"/>
            </w:tcBorders>
          </w:tcPr>
          <w:p>
            <w:pPr>
              <w:pStyle w:val="TableParagraph"/>
              <w:spacing w:line="435" w:lineRule="exact"/>
              <w:ind w:left="557"/>
              <w:jc w:val="left"/>
              <w:rPr>
                <w:rFonts w:ascii="Times New Roman" w:eastAsia="Times New Roman"/>
                <w:b/>
                <w:sz w:val="21"/>
              </w:rPr>
            </w:pPr>
            <w:r>
              <w:rPr>
                <w:sz w:val="21"/>
              </w:rPr>
              <w:t>污染物 </w:t>
            </w:r>
            <w:r>
              <w:rPr>
                <w:rFonts w:ascii="Times New Roman" w:eastAsia="Times New Roman"/>
                <w:b/>
                <w:sz w:val="21"/>
              </w:rPr>
              <w:t>mg/L</w:t>
            </w:r>
          </w:p>
        </w:tc>
        <w:tc>
          <w:tcPr>
            <w:tcW w:w="1382" w:type="dxa"/>
            <w:vMerge w:val="restart"/>
            <w:tcBorders>
              <w:left w:val="single" w:sz="6" w:space="0" w:color="000000"/>
              <w:bottom w:val="single" w:sz="6" w:space="0" w:color="000000"/>
            </w:tcBorders>
          </w:tcPr>
          <w:p>
            <w:pPr>
              <w:pStyle w:val="TableParagraph"/>
              <w:spacing w:before="14"/>
              <w:jc w:val="left"/>
              <w:rPr>
                <w:sz w:val="10"/>
              </w:rPr>
            </w:pPr>
          </w:p>
          <w:p>
            <w:pPr>
              <w:pStyle w:val="TableParagraph"/>
              <w:ind w:left="273"/>
              <w:jc w:val="left"/>
              <w:rPr>
                <w:sz w:val="21"/>
              </w:rPr>
            </w:pPr>
            <w:r>
              <w:rPr>
                <w:sz w:val="21"/>
              </w:rPr>
              <w:t>处置情况</w:t>
            </w:r>
          </w:p>
        </w:tc>
      </w:tr>
      <w:tr>
        <w:trPr>
          <w:trHeight w:val="453" w:hRule="atLeast"/>
        </w:trPr>
        <w:tc>
          <w:tcPr>
            <w:tcW w:w="1651" w:type="dxa"/>
            <w:vMerge/>
            <w:tcBorders>
              <w:top w:val="nil"/>
              <w:bottom w:val="single" w:sz="6" w:space="0" w:color="000000"/>
              <w:right w:val="single" w:sz="6" w:space="0" w:color="000000"/>
            </w:tcBorders>
          </w:tcPr>
          <w:p>
            <w:pPr>
              <w:rPr>
                <w:sz w:val="2"/>
                <w:szCs w:val="2"/>
              </w:rPr>
            </w:pPr>
          </w:p>
        </w:tc>
        <w:tc>
          <w:tcPr>
            <w:tcW w:w="915" w:type="dxa"/>
            <w:vMerge/>
            <w:tcBorders>
              <w:top w:val="nil"/>
              <w:left w:val="single" w:sz="6" w:space="0" w:color="000000"/>
              <w:bottom w:val="single" w:sz="6" w:space="0" w:color="000000"/>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5" w:type="dxa"/>
            <w:vMerge/>
            <w:tcBorders>
              <w:top w:val="nil"/>
              <w:left w:val="single" w:sz="6" w:space="0" w:color="000000"/>
              <w:bottom w:val="single" w:sz="6" w:space="0" w:color="000000"/>
              <w:right w:val="single" w:sz="6" w:space="0" w:color="000000"/>
            </w:tcBorders>
          </w:tcPr>
          <w:p>
            <w:pPr>
              <w:rPr>
                <w:sz w:val="2"/>
                <w:szCs w:val="2"/>
              </w:rPr>
            </w:pP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99"/>
              <w:ind w:left="351"/>
              <w:jc w:val="left"/>
              <w:rPr>
                <w:rFonts w:ascii="Times New Roman"/>
                <w:sz w:val="21"/>
              </w:rPr>
            </w:pPr>
            <w:r>
              <w:rPr>
                <w:rFonts w:ascii="Times New Roman"/>
                <w:sz w:val="21"/>
              </w:rPr>
              <w:t>COD</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99"/>
              <w:ind w:left="238" w:right="204"/>
              <w:rPr>
                <w:rFonts w:ascii="Times New Roman"/>
                <w:sz w:val="21"/>
              </w:rPr>
            </w:pPr>
            <w:r>
              <w:rPr>
                <w:rFonts w:ascii="Times New Roman"/>
                <w:sz w:val="21"/>
              </w:rPr>
              <w:t>SS</w:t>
            </w:r>
          </w:p>
        </w:tc>
        <w:tc>
          <w:tcPr>
            <w:tcW w:w="1382" w:type="dxa"/>
            <w:vMerge/>
            <w:tcBorders>
              <w:top w:val="nil"/>
              <w:left w:val="single" w:sz="6" w:space="0" w:color="000000"/>
              <w:bottom w:val="single" w:sz="6" w:space="0" w:color="000000"/>
            </w:tcBorders>
          </w:tcPr>
          <w:p>
            <w:pPr>
              <w:rPr>
                <w:sz w:val="2"/>
                <w:szCs w:val="2"/>
              </w:rPr>
            </w:pPr>
          </w:p>
        </w:tc>
      </w:tr>
      <w:tr>
        <w:trPr>
          <w:trHeight w:val="445" w:hRule="atLeast"/>
        </w:trPr>
        <w:tc>
          <w:tcPr>
            <w:tcW w:w="1651" w:type="dxa"/>
            <w:tcBorders>
              <w:top w:val="single" w:sz="6" w:space="0" w:color="000000"/>
              <w:bottom w:val="single" w:sz="6" w:space="0" w:color="000000"/>
              <w:right w:val="single" w:sz="6" w:space="0" w:color="000000"/>
            </w:tcBorders>
          </w:tcPr>
          <w:p>
            <w:pPr>
              <w:pStyle w:val="TableParagraph"/>
              <w:spacing w:line="425" w:lineRule="exact"/>
              <w:ind w:left="203" w:right="182"/>
              <w:rPr>
                <w:rFonts w:ascii="Times New Roman" w:eastAsia="Times New Roman"/>
                <w:sz w:val="21"/>
              </w:rPr>
            </w:pPr>
            <w:r>
              <w:rPr>
                <w:sz w:val="21"/>
              </w:rPr>
              <w:t>原料药车间 </w:t>
            </w:r>
            <w:r>
              <w:rPr>
                <w:rFonts w:ascii="Times New Roman" w:eastAsia="Times New Roman"/>
                <w:sz w:val="21"/>
              </w:rPr>
              <w:t>1</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101"/>
              <w:ind w:left="231" w:right="204"/>
              <w:rPr>
                <w:rFonts w:ascii="Times New Roman"/>
                <w:sz w:val="21"/>
              </w:rPr>
            </w:pPr>
            <w:r>
              <w:rPr>
                <w:rFonts w:ascii="Times New Roman"/>
                <w:sz w:val="21"/>
              </w:rPr>
              <w:t>7308</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01"/>
              <w:ind w:left="122" w:right="91"/>
              <w:rPr>
                <w:rFonts w:ascii="Times New Roman"/>
                <w:sz w:val="21"/>
              </w:rPr>
            </w:pPr>
            <w:r>
              <w:rPr>
                <w:rFonts w:ascii="Times New Roman"/>
                <w:sz w:val="21"/>
              </w:rPr>
              <w:t>4.97</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01"/>
              <w:ind w:left="238" w:right="206"/>
              <w:rPr>
                <w:rFonts w:ascii="Times New Roman"/>
                <w:sz w:val="21"/>
              </w:rPr>
            </w:pPr>
            <w:r>
              <w:rPr>
                <w:rFonts w:ascii="Times New Roman"/>
                <w:sz w:val="21"/>
              </w:rPr>
              <w:t>3.98</w:t>
            </w:r>
          </w:p>
        </w:tc>
        <w:tc>
          <w:tcPr>
            <w:tcW w:w="1132" w:type="dxa"/>
            <w:vMerge w:val="restart"/>
            <w:tcBorders>
              <w:top w:val="single" w:sz="6" w:space="0" w:color="000000"/>
              <w:left w:val="single" w:sz="6" w:space="0" w:color="000000"/>
              <w:right w:val="single" w:sz="6" w:space="0" w:color="000000"/>
            </w:tcBorders>
          </w:tcPr>
          <w:p>
            <w:pPr>
              <w:pStyle w:val="TableParagraph"/>
              <w:jc w:val="left"/>
              <w:rPr>
                <w:sz w:val="22"/>
              </w:rPr>
            </w:pPr>
          </w:p>
          <w:p>
            <w:pPr>
              <w:pStyle w:val="TableParagraph"/>
              <w:spacing w:before="19"/>
              <w:jc w:val="left"/>
              <w:rPr>
                <w:sz w:val="26"/>
              </w:rPr>
            </w:pPr>
          </w:p>
          <w:p>
            <w:pPr>
              <w:pStyle w:val="TableParagraph"/>
              <w:ind w:left="396" w:right="365"/>
              <w:rPr>
                <w:rFonts w:ascii="Times New Roman"/>
                <w:sz w:val="21"/>
              </w:rPr>
            </w:pPr>
            <w:r>
              <w:rPr>
                <w:rFonts w:ascii="Times New Roman"/>
                <w:sz w:val="21"/>
              </w:rPr>
              <w:t>600</w:t>
            </w:r>
          </w:p>
        </w:tc>
        <w:tc>
          <w:tcPr>
            <w:tcW w:w="1135" w:type="dxa"/>
            <w:vMerge w:val="restart"/>
            <w:tcBorders>
              <w:top w:val="single" w:sz="6" w:space="0" w:color="000000"/>
              <w:left w:val="single" w:sz="6" w:space="0" w:color="000000"/>
              <w:right w:val="single" w:sz="6" w:space="0" w:color="000000"/>
            </w:tcBorders>
          </w:tcPr>
          <w:p>
            <w:pPr>
              <w:pStyle w:val="TableParagraph"/>
              <w:jc w:val="left"/>
              <w:rPr>
                <w:sz w:val="22"/>
              </w:rPr>
            </w:pPr>
          </w:p>
          <w:p>
            <w:pPr>
              <w:pStyle w:val="TableParagraph"/>
              <w:spacing w:before="19"/>
              <w:jc w:val="left"/>
              <w:rPr>
                <w:sz w:val="26"/>
              </w:rPr>
            </w:pPr>
          </w:p>
          <w:p>
            <w:pPr>
              <w:pStyle w:val="TableParagraph"/>
              <w:ind w:left="238" w:right="204"/>
              <w:rPr>
                <w:rFonts w:ascii="Times New Roman"/>
                <w:sz w:val="21"/>
              </w:rPr>
            </w:pPr>
            <w:r>
              <w:rPr>
                <w:rFonts w:ascii="Times New Roman"/>
                <w:sz w:val="21"/>
              </w:rPr>
              <w:t>300</w:t>
            </w:r>
          </w:p>
        </w:tc>
        <w:tc>
          <w:tcPr>
            <w:tcW w:w="1382" w:type="dxa"/>
            <w:vMerge w:val="restart"/>
            <w:tcBorders>
              <w:top w:val="single" w:sz="6" w:space="0" w:color="000000"/>
              <w:left w:val="single" w:sz="6" w:space="0" w:color="000000"/>
            </w:tcBorders>
          </w:tcPr>
          <w:p>
            <w:pPr>
              <w:pStyle w:val="TableParagraph"/>
              <w:jc w:val="left"/>
              <w:rPr>
                <w:sz w:val="20"/>
              </w:rPr>
            </w:pPr>
          </w:p>
          <w:p>
            <w:pPr>
              <w:pStyle w:val="TableParagraph"/>
              <w:spacing w:before="2"/>
              <w:jc w:val="left"/>
              <w:rPr>
                <w:sz w:val="23"/>
              </w:rPr>
            </w:pPr>
          </w:p>
          <w:p>
            <w:pPr>
              <w:pStyle w:val="TableParagraph"/>
              <w:spacing w:line="146" w:lineRule="auto"/>
              <w:ind w:left="275" w:right="30" w:hanging="212"/>
              <w:jc w:val="left"/>
              <w:rPr>
                <w:sz w:val="21"/>
              </w:rPr>
            </w:pPr>
            <w:r>
              <w:rPr>
                <w:sz w:val="21"/>
              </w:rPr>
              <w:t>去厂区污水处理站处理</w:t>
            </w:r>
          </w:p>
        </w:tc>
      </w:tr>
      <w:tr>
        <w:trPr>
          <w:trHeight w:val="440" w:hRule="atLeast"/>
        </w:trPr>
        <w:tc>
          <w:tcPr>
            <w:tcW w:w="1651" w:type="dxa"/>
            <w:tcBorders>
              <w:top w:val="single" w:sz="6" w:space="0" w:color="000000"/>
              <w:bottom w:val="single" w:sz="6" w:space="0" w:color="000000"/>
              <w:right w:val="single" w:sz="6" w:space="0" w:color="000000"/>
            </w:tcBorders>
          </w:tcPr>
          <w:p>
            <w:pPr>
              <w:pStyle w:val="TableParagraph"/>
              <w:spacing w:line="420" w:lineRule="exact"/>
              <w:ind w:left="203" w:right="182"/>
              <w:rPr>
                <w:rFonts w:ascii="Times New Roman" w:eastAsia="Times New Roman"/>
                <w:sz w:val="21"/>
              </w:rPr>
            </w:pPr>
            <w:r>
              <w:rPr>
                <w:sz w:val="21"/>
              </w:rPr>
              <w:t>原料药车间 </w:t>
            </w:r>
            <w:r>
              <w:rPr>
                <w:rFonts w:ascii="Times New Roman" w:eastAsia="Times New Roman"/>
                <w:sz w:val="21"/>
              </w:rPr>
              <w:t>2</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93"/>
              <w:ind w:left="231" w:right="204"/>
              <w:rPr>
                <w:rFonts w:ascii="Times New Roman"/>
                <w:sz w:val="21"/>
              </w:rPr>
            </w:pPr>
            <w:r>
              <w:rPr>
                <w:rFonts w:ascii="Times New Roman"/>
                <w:sz w:val="21"/>
              </w:rPr>
              <w:t>4176</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93"/>
              <w:ind w:left="122" w:right="91"/>
              <w:rPr>
                <w:rFonts w:ascii="Times New Roman"/>
                <w:sz w:val="21"/>
              </w:rPr>
            </w:pPr>
            <w:r>
              <w:rPr>
                <w:rFonts w:ascii="Times New Roman"/>
                <w:sz w:val="21"/>
              </w:rPr>
              <w:t>2.84</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93"/>
              <w:ind w:left="238" w:right="206"/>
              <w:rPr>
                <w:rFonts w:ascii="Times New Roman"/>
                <w:sz w:val="21"/>
              </w:rPr>
            </w:pPr>
            <w:r>
              <w:rPr>
                <w:rFonts w:ascii="Times New Roman"/>
                <w:sz w:val="21"/>
              </w:rPr>
              <w:t>2.27</w:t>
            </w:r>
          </w:p>
        </w:tc>
        <w:tc>
          <w:tcPr>
            <w:tcW w:w="1132" w:type="dxa"/>
            <w:vMerge/>
            <w:tcBorders>
              <w:top w:val="nil"/>
              <w:left w:val="single" w:sz="6" w:space="0" w:color="000000"/>
              <w:right w:val="single" w:sz="6" w:space="0" w:color="000000"/>
            </w:tcBorders>
          </w:tcPr>
          <w:p>
            <w:pPr>
              <w:rPr>
                <w:sz w:val="2"/>
                <w:szCs w:val="2"/>
              </w:rPr>
            </w:pPr>
          </w:p>
        </w:tc>
        <w:tc>
          <w:tcPr>
            <w:tcW w:w="1135" w:type="dxa"/>
            <w:vMerge/>
            <w:tcBorders>
              <w:top w:val="nil"/>
              <w:left w:val="single" w:sz="6" w:space="0" w:color="000000"/>
              <w:right w:val="single" w:sz="6" w:space="0" w:color="000000"/>
            </w:tcBorders>
          </w:tcPr>
          <w:p>
            <w:pPr>
              <w:rPr>
                <w:sz w:val="2"/>
                <w:szCs w:val="2"/>
              </w:rPr>
            </w:pPr>
          </w:p>
        </w:tc>
        <w:tc>
          <w:tcPr>
            <w:tcW w:w="1382" w:type="dxa"/>
            <w:vMerge/>
            <w:tcBorders>
              <w:top w:val="nil"/>
              <w:left w:val="single" w:sz="6" w:space="0" w:color="000000"/>
            </w:tcBorders>
          </w:tcPr>
          <w:p>
            <w:pPr>
              <w:rPr>
                <w:sz w:val="2"/>
                <w:szCs w:val="2"/>
              </w:rPr>
            </w:pPr>
          </w:p>
        </w:tc>
      </w:tr>
      <w:tr>
        <w:trPr>
          <w:trHeight w:val="437" w:hRule="atLeast"/>
        </w:trPr>
        <w:tc>
          <w:tcPr>
            <w:tcW w:w="1651" w:type="dxa"/>
            <w:tcBorders>
              <w:top w:val="single" w:sz="6" w:space="0" w:color="000000"/>
              <w:bottom w:val="single" w:sz="6" w:space="0" w:color="000000"/>
              <w:right w:val="single" w:sz="6" w:space="0" w:color="000000"/>
            </w:tcBorders>
          </w:tcPr>
          <w:p>
            <w:pPr>
              <w:pStyle w:val="TableParagraph"/>
              <w:spacing w:line="418" w:lineRule="exact"/>
              <w:ind w:left="201" w:right="182"/>
              <w:rPr>
                <w:sz w:val="21"/>
              </w:rPr>
            </w:pPr>
            <w:r>
              <w:rPr>
                <w:sz w:val="21"/>
              </w:rPr>
              <w:t>发酵车间</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91"/>
              <w:ind w:left="231" w:right="204"/>
              <w:rPr>
                <w:rFonts w:ascii="Times New Roman"/>
                <w:sz w:val="21"/>
              </w:rPr>
            </w:pPr>
            <w:r>
              <w:rPr>
                <w:rFonts w:ascii="Times New Roman"/>
                <w:sz w:val="21"/>
              </w:rPr>
              <w:t>2716</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91"/>
              <w:ind w:left="122" w:right="91"/>
              <w:rPr>
                <w:rFonts w:ascii="Times New Roman"/>
                <w:sz w:val="21"/>
              </w:rPr>
            </w:pPr>
            <w:r>
              <w:rPr>
                <w:rFonts w:ascii="Times New Roman"/>
                <w:sz w:val="21"/>
              </w:rPr>
              <w:t>1.85</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91"/>
              <w:ind w:left="238" w:right="206"/>
              <w:rPr>
                <w:rFonts w:ascii="Times New Roman"/>
                <w:sz w:val="21"/>
              </w:rPr>
            </w:pPr>
            <w:r>
              <w:rPr>
                <w:rFonts w:ascii="Times New Roman"/>
                <w:sz w:val="21"/>
              </w:rPr>
              <w:t>1.48</w:t>
            </w:r>
          </w:p>
        </w:tc>
        <w:tc>
          <w:tcPr>
            <w:tcW w:w="1132" w:type="dxa"/>
            <w:vMerge/>
            <w:tcBorders>
              <w:top w:val="nil"/>
              <w:left w:val="single" w:sz="6" w:space="0" w:color="000000"/>
              <w:right w:val="single" w:sz="6" w:space="0" w:color="000000"/>
            </w:tcBorders>
          </w:tcPr>
          <w:p>
            <w:pPr>
              <w:rPr>
                <w:sz w:val="2"/>
                <w:szCs w:val="2"/>
              </w:rPr>
            </w:pPr>
          </w:p>
        </w:tc>
        <w:tc>
          <w:tcPr>
            <w:tcW w:w="1135" w:type="dxa"/>
            <w:vMerge/>
            <w:tcBorders>
              <w:top w:val="nil"/>
              <w:left w:val="single" w:sz="6" w:space="0" w:color="000000"/>
              <w:right w:val="single" w:sz="6" w:space="0" w:color="000000"/>
            </w:tcBorders>
          </w:tcPr>
          <w:p>
            <w:pPr>
              <w:rPr>
                <w:sz w:val="2"/>
                <w:szCs w:val="2"/>
              </w:rPr>
            </w:pPr>
          </w:p>
        </w:tc>
        <w:tc>
          <w:tcPr>
            <w:tcW w:w="1382" w:type="dxa"/>
            <w:vMerge/>
            <w:tcBorders>
              <w:top w:val="nil"/>
              <w:left w:val="single" w:sz="6" w:space="0" w:color="000000"/>
            </w:tcBorders>
          </w:tcPr>
          <w:p>
            <w:pPr>
              <w:rPr>
                <w:sz w:val="2"/>
                <w:szCs w:val="2"/>
              </w:rPr>
            </w:pPr>
          </w:p>
        </w:tc>
      </w:tr>
      <w:tr>
        <w:trPr>
          <w:trHeight w:val="440" w:hRule="atLeast"/>
        </w:trPr>
        <w:tc>
          <w:tcPr>
            <w:tcW w:w="1651" w:type="dxa"/>
            <w:tcBorders>
              <w:top w:val="single" w:sz="6" w:space="0" w:color="000000"/>
              <w:bottom w:val="single" w:sz="6" w:space="0" w:color="000000"/>
              <w:right w:val="single" w:sz="6" w:space="0" w:color="000000"/>
            </w:tcBorders>
          </w:tcPr>
          <w:p>
            <w:pPr>
              <w:pStyle w:val="TableParagraph"/>
              <w:spacing w:line="420" w:lineRule="exact"/>
              <w:ind w:left="201" w:right="182"/>
              <w:rPr>
                <w:sz w:val="21"/>
              </w:rPr>
            </w:pPr>
            <w:r>
              <w:rPr>
                <w:sz w:val="21"/>
              </w:rPr>
              <w:t>回收车间</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93"/>
              <w:ind w:left="231" w:right="204"/>
              <w:rPr>
                <w:rFonts w:ascii="Times New Roman"/>
                <w:sz w:val="21"/>
              </w:rPr>
            </w:pPr>
            <w:r>
              <w:rPr>
                <w:rFonts w:ascii="Times New Roman"/>
                <w:sz w:val="21"/>
              </w:rPr>
              <w:t>664</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93"/>
              <w:ind w:left="122" w:right="91"/>
              <w:rPr>
                <w:rFonts w:ascii="Times New Roman"/>
                <w:sz w:val="21"/>
              </w:rPr>
            </w:pPr>
            <w:r>
              <w:rPr>
                <w:rFonts w:ascii="Times New Roman"/>
                <w:sz w:val="21"/>
              </w:rPr>
              <w:t>0.45</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93"/>
              <w:ind w:left="238" w:right="206"/>
              <w:rPr>
                <w:rFonts w:ascii="Times New Roman"/>
                <w:sz w:val="21"/>
              </w:rPr>
            </w:pPr>
            <w:r>
              <w:rPr>
                <w:rFonts w:ascii="Times New Roman"/>
                <w:sz w:val="21"/>
              </w:rPr>
              <w:t>0.36</w:t>
            </w:r>
          </w:p>
        </w:tc>
        <w:tc>
          <w:tcPr>
            <w:tcW w:w="1132" w:type="dxa"/>
            <w:vMerge/>
            <w:tcBorders>
              <w:top w:val="nil"/>
              <w:left w:val="single" w:sz="6" w:space="0" w:color="000000"/>
              <w:right w:val="single" w:sz="6" w:space="0" w:color="000000"/>
            </w:tcBorders>
          </w:tcPr>
          <w:p>
            <w:pPr>
              <w:rPr>
                <w:sz w:val="2"/>
                <w:szCs w:val="2"/>
              </w:rPr>
            </w:pPr>
          </w:p>
        </w:tc>
        <w:tc>
          <w:tcPr>
            <w:tcW w:w="1135" w:type="dxa"/>
            <w:vMerge/>
            <w:tcBorders>
              <w:top w:val="nil"/>
              <w:left w:val="single" w:sz="6" w:space="0" w:color="000000"/>
              <w:right w:val="single" w:sz="6" w:space="0" w:color="000000"/>
            </w:tcBorders>
          </w:tcPr>
          <w:p>
            <w:pPr>
              <w:rPr>
                <w:sz w:val="2"/>
                <w:szCs w:val="2"/>
              </w:rPr>
            </w:pPr>
          </w:p>
        </w:tc>
        <w:tc>
          <w:tcPr>
            <w:tcW w:w="1382" w:type="dxa"/>
            <w:vMerge/>
            <w:tcBorders>
              <w:top w:val="nil"/>
              <w:left w:val="single" w:sz="6" w:space="0" w:color="000000"/>
            </w:tcBorders>
          </w:tcPr>
          <w:p>
            <w:pPr>
              <w:rPr>
                <w:sz w:val="2"/>
                <w:szCs w:val="2"/>
              </w:rPr>
            </w:pPr>
          </w:p>
        </w:tc>
      </w:tr>
      <w:tr>
        <w:trPr>
          <w:trHeight w:val="448" w:hRule="atLeast"/>
        </w:trPr>
        <w:tc>
          <w:tcPr>
            <w:tcW w:w="1651" w:type="dxa"/>
            <w:tcBorders>
              <w:top w:val="single" w:sz="6" w:space="0" w:color="000000"/>
              <w:right w:val="single" w:sz="6" w:space="0" w:color="000000"/>
            </w:tcBorders>
          </w:tcPr>
          <w:p>
            <w:pPr>
              <w:pStyle w:val="TableParagraph"/>
              <w:spacing w:line="428" w:lineRule="exact"/>
              <w:ind w:left="203" w:right="182"/>
              <w:rPr>
                <w:sz w:val="21"/>
              </w:rPr>
            </w:pPr>
            <w:r>
              <w:rPr>
                <w:sz w:val="21"/>
              </w:rPr>
              <w:t>合计</w:t>
            </w:r>
          </w:p>
        </w:tc>
        <w:tc>
          <w:tcPr>
            <w:tcW w:w="915" w:type="dxa"/>
            <w:tcBorders>
              <w:top w:val="single" w:sz="6" w:space="0" w:color="000000"/>
              <w:left w:val="single" w:sz="6" w:space="0" w:color="000000"/>
              <w:right w:val="single" w:sz="6" w:space="0" w:color="000000"/>
            </w:tcBorders>
          </w:tcPr>
          <w:p>
            <w:pPr>
              <w:pStyle w:val="TableParagraph"/>
              <w:spacing w:before="91"/>
              <w:ind w:right="51"/>
              <w:rPr>
                <w:rFonts w:ascii="Times New Roman"/>
                <w:sz w:val="21"/>
              </w:rPr>
            </w:pPr>
            <w:r>
              <w:rPr>
                <w:rFonts w:ascii="Times New Roman"/>
                <w:w w:val="100"/>
                <w:sz w:val="21"/>
              </w:rPr>
              <w:t>/</w:t>
            </w:r>
          </w:p>
        </w:tc>
        <w:tc>
          <w:tcPr>
            <w:tcW w:w="991" w:type="dxa"/>
            <w:tcBorders>
              <w:top w:val="single" w:sz="6" w:space="0" w:color="000000"/>
              <w:left w:val="single" w:sz="6" w:space="0" w:color="000000"/>
              <w:right w:val="single" w:sz="6" w:space="0" w:color="000000"/>
            </w:tcBorders>
          </w:tcPr>
          <w:p>
            <w:pPr>
              <w:pStyle w:val="TableParagraph"/>
              <w:spacing w:before="91"/>
              <w:ind w:left="122" w:right="93"/>
              <w:rPr>
                <w:rFonts w:ascii="Times New Roman"/>
                <w:sz w:val="21"/>
              </w:rPr>
            </w:pPr>
            <w:r>
              <w:rPr>
                <w:rFonts w:ascii="Times New Roman"/>
                <w:sz w:val="21"/>
              </w:rPr>
              <w:t>10.11</w:t>
            </w:r>
          </w:p>
        </w:tc>
        <w:tc>
          <w:tcPr>
            <w:tcW w:w="1135" w:type="dxa"/>
            <w:tcBorders>
              <w:top w:val="single" w:sz="6" w:space="0" w:color="000000"/>
              <w:left w:val="single" w:sz="6" w:space="0" w:color="000000"/>
              <w:right w:val="single" w:sz="6" w:space="0" w:color="000000"/>
            </w:tcBorders>
          </w:tcPr>
          <w:p>
            <w:pPr>
              <w:pStyle w:val="TableParagraph"/>
              <w:spacing w:before="91"/>
              <w:ind w:left="238" w:right="206"/>
              <w:rPr>
                <w:rFonts w:ascii="Times New Roman"/>
                <w:sz w:val="21"/>
              </w:rPr>
            </w:pPr>
            <w:r>
              <w:rPr>
                <w:rFonts w:ascii="Times New Roman"/>
                <w:sz w:val="21"/>
              </w:rPr>
              <w:t>8.09</w:t>
            </w:r>
          </w:p>
        </w:tc>
        <w:tc>
          <w:tcPr>
            <w:tcW w:w="1132" w:type="dxa"/>
            <w:vMerge/>
            <w:tcBorders>
              <w:top w:val="nil"/>
              <w:left w:val="single" w:sz="6" w:space="0" w:color="000000"/>
              <w:right w:val="single" w:sz="6" w:space="0" w:color="000000"/>
            </w:tcBorders>
          </w:tcPr>
          <w:p>
            <w:pPr>
              <w:rPr>
                <w:sz w:val="2"/>
                <w:szCs w:val="2"/>
              </w:rPr>
            </w:pPr>
          </w:p>
        </w:tc>
        <w:tc>
          <w:tcPr>
            <w:tcW w:w="1135" w:type="dxa"/>
            <w:vMerge/>
            <w:tcBorders>
              <w:top w:val="nil"/>
              <w:left w:val="single" w:sz="6" w:space="0" w:color="000000"/>
              <w:right w:val="single" w:sz="6" w:space="0" w:color="000000"/>
            </w:tcBorders>
          </w:tcPr>
          <w:p>
            <w:pPr>
              <w:rPr>
                <w:sz w:val="2"/>
                <w:szCs w:val="2"/>
              </w:rPr>
            </w:pPr>
          </w:p>
        </w:tc>
        <w:tc>
          <w:tcPr>
            <w:tcW w:w="1382" w:type="dxa"/>
            <w:vMerge/>
            <w:tcBorders>
              <w:top w:val="nil"/>
              <w:left w:val="single" w:sz="6" w:space="0" w:color="000000"/>
            </w:tcBorders>
          </w:tcPr>
          <w:p>
            <w:pPr>
              <w:rPr>
                <w:sz w:val="2"/>
                <w:szCs w:val="2"/>
              </w:rPr>
            </w:pPr>
          </w:p>
        </w:tc>
      </w:tr>
    </w:tbl>
    <w:p>
      <w:pPr>
        <w:pStyle w:val="BodyText"/>
        <w:spacing w:line="220" w:lineRule="auto" w:before="153"/>
        <w:ind w:left="138" w:right="167" w:firstLine="479"/>
      </w:pPr>
      <w:r>
        <w:rPr/>
        <w:t>根据上表，车间冲洗废水中主要污染物 </w:t>
      </w:r>
      <w:r>
        <w:rPr>
          <w:rFonts w:ascii="Times New Roman" w:hAnsi="Times New Roman" w:eastAsia="Times New Roman"/>
        </w:rPr>
        <w:t>COD≤600mg/L</w:t>
      </w:r>
      <w:r>
        <w:rPr/>
        <w:t>、</w:t>
      </w:r>
      <w:r>
        <w:rPr>
          <w:rFonts w:ascii="Times New Roman" w:hAnsi="Times New Roman" w:eastAsia="Times New Roman"/>
        </w:rPr>
        <w:t>SS≤300mg/L</w:t>
      </w:r>
      <w:r>
        <w:rPr/>
        <w:t>，收集后经厂区污水管网全部去污水处理站处理。</w:t>
      </w:r>
    </w:p>
    <w:p>
      <w:pPr>
        <w:pStyle w:val="BodyText"/>
        <w:spacing w:line="457" w:lineRule="exact"/>
        <w:ind w:left="620"/>
      </w:pPr>
      <w:r>
        <w:rPr>
          <w:rFonts w:ascii="Times New Roman" w:eastAsia="Times New Roman"/>
          <w:b/>
        </w:rPr>
        <w:t>3</w:t>
      </w:r>
      <w:r>
        <w:rPr/>
        <w:t>、设备冲洗废水</w:t>
      </w:r>
    </w:p>
    <w:p>
      <w:pPr>
        <w:pStyle w:val="BodyText"/>
        <w:spacing w:line="220" w:lineRule="auto" w:before="8"/>
        <w:ind w:left="138" w:right="146" w:firstLine="479"/>
        <w:jc w:val="both"/>
      </w:pPr>
      <w:r>
        <w:rPr/>
        <w:t>项目有部分产品（奧沙普秦、甘羟铝、乳酸氟罗沙星、盐酸普罗帕酮）共用一套设备生产，产品生产变换时需对设备进行清洗，产生少量的设备清洗废水， 约 </w:t>
      </w:r>
      <w:r>
        <w:rPr>
          <w:rFonts w:ascii="Times New Roman" w:hAnsi="Times New Roman" w:eastAsia="Times New Roman"/>
        </w:rPr>
        <w:t>100m</w:t>
      </w:r>
      <w:r>
        <w:rPr>
          <w:rFonts w:ascii="Times New Roman" w:hAnsi="Times New Roman" w:eastAsia="Times New Roman"/>
          <w:position w:val="9"/>
          <w:sz w:val="16"/>
        </w:rPr>
        <w:t>3</w:t>
      </w:r>
      <w:r>
        <w:rPr>
          <w:rFonts w:ascii="Times New Roman" w:hAnsi="Times New Roman" w:eastAsia="Times New Roman"/>
        </w:rPr>
        <w:t>/a</w:t>
      </w:r>
      <w:r>
        <w:rPr/>
        <w:t>（折 </w:t>
      </w:r>
      <w:r>
        <w:rPr>
          <w:rFonts w:ascii="Times New Roman" w:hAnsi="Times New Roman" w:eastAsia="Times New Roman"/>
        </w:rPr>
        <w:t>0.33m</w:t>
      </w:r>
      <w:r>
        <w:rPr>
          <w:rFonts w:ascii="Times New Roman" w:hAnsi="Times New Roman" w:eastAsia="Times New Roman"/>
          <w:position w:val="9"/>
          <w:sz w:val="16"/>
        </w:rPr>
        <w:t>3</w:t>
      </w:r>
      <w:r>
        <w:rPr>
          <w:rFonts w:ascii="Times New Roman" w:hAnsi="Times New Roman" w:eastAsia="Times New Roman"/>
        </w:rPr>
        <w:t>/d</w:t>
      </w:r>
      <w:r>
        <w:rPr/>
        <w:t>），废水中主要污染物 </w:t>
      </w:r>
      <w:r>
        <w:rPr>
          <w:rFonts w:ascii="Times New Roman" w:hAnsi="Times New Roman" w:eastAsia="Times New Roman"/>
        </w:rPr>
        <w:t>COD≤600mg/L</w:t>
      </w:r>
      <w:r>
        <w:rPr/>
        <w:t>、</w:t>
      </w:r>
      <w:r>
        <w:rPr>
          <w:rFonts w:ascii="Times New Roman" w:hAnsi="Times New Roman" w:eastAsia="Times New Roman"/>
        </w:rPr>
        <w:t>SS≤250mg/L</w:t>
      </w:r>
      <w:r>
        <w:rPr/>
        <w:t>、</w:t>
      </w:r>
      <w:r>
        <w:rPr>
          <w:rFonts w:ascii="Times New Roman" w:hAnsi="Times New Roman" w:eastAsia="Times New Roman"/>
          <w:position w:val="2"/>
        </w:rPr>
        <w:t>NH</w:t>
      </w:r>
      <w:r>
        <w:rPr>
          <w:rFonts w:ascii="Times New Roman" w:hAnsi="Times New Roman" w:eastAsia="Times New Roman"/>
          <w:sz w:val="16"/>
        </w:rPr>
        <w:t>3</w:t>
      </w:r>
      <w:r>
        <w:rPr>
          <w:rFonts w:ascii="Times New Roman" w:hAnsi="Times New Roman" w:eastAsia="Times New Roman"/>
          <w:position w:val="2"/>
        </w:rPr>
        <w:t>-N≤15mg/L</w:t>
      </w:r>
      <w:r>
        <w:rPr>
          <w:position w:val="2"/>
        </w:rPr>
        <w:t>，全部去厂区污水处理站处理。</w:t>
      </w:r>
    </w:p>
    <w:p>
      <w:pPr>
        <w:pStyle w:val="BodyText"/>
        <w:spacing w:line="454" w:lineRule="exact"/>
        <w:ind w:left="620"/>
      </w:pPr>
      <w:r>
        <w:rPr>
          <w:rFonts w:ascii="Times New Roman" w:eastAsia="Times New Roman"/>
          <w:b/>
        </w:rPr>
        <w:t>4</w:t>
      </w:r>
      <w:r>
        <w:rPr/>
        <w:t>、真空泵废水</w:t>
      </w:r>
    </w:p>
    <w:p>
      <w:pPr>
        <w:pStyle w:val="BodyText"/>
        <w:spacing w:line="220" w:lineRule="auto" w:before="7"/>
        <w:ind w:left="138" w:right="231" w:firstLine="479"/>
        <w:jc w:val="both"/>
      </w:pPr>
      <w:r>
        <w:rPr/>
        <w:t>项目真空泵共配备容积为 </w:t>
      </w:r>
      <w:r>
        <w:rPr>
          <w:rFonts w:ascii="Times New Roman" w:eastAsia="Times New Roman"/>
        </w:rPr>
        <w:t>15m</w:t>
      </w:r>
      <w:r>
        <w:rPr>
          <w:rFonts w:ascii="Times New Roman" w:eastAsia="Times New Roman"/>
          <w:position w:val="9"/>
          <w:sz w:val="16"/>
        </w:rPr>
        <w:t>3 </w:t>
      </w:r>
      <w:r>
        <w:rPr/>
        <w:t>的循环水箱 </w:t>
      </w:r>
      <w:r>
        <w:rPr>
          <w:rFonts w:ascii="Times New Roman" w:eastAsia="Times New Roman"/>
        </w:rPr>
        <w:t>5 </w:t>
      </w:r>
      <w:r>
        <w:rPr/>
        <w:t>个，为了保证其运行效率，水箱中循环水每 </w:t>
      </w:r>
      <w:r>
        <w:rPr>
          <w:rFonts w:ascii="Times New Roman" w:eastAsia="Times New Roman"/>
        </w:rPr>
        <w:t>15 </w:t>
      </w:r>
      <w:r>
        <w:rPr/>
        <w:t>天排放一次，则真空泵废水产生量为 </w:t>
      </w:r>
      <w:r>
        <w:rPr>
          <w:rFonts w:ascii="Times New Roman" w:eastAsia="Times New Roman"/>
        </w:rPr>
        <w:t>5m</w:t>
      </w:r>
      <w:r>
        <w:rPr>
          <w:rFonts w:ascii="Times New Roman" w:eastAsia="Times New Roman"/>
          <w:position w:val="9"/>
          <w:sz w:val="16"/>
        </w:rPr>
        <w:t>3</w:t>
      </w:r>
      <w:r>
        <w:rPr>
          <w:rFonts w:ascii="Times New Roman" w:eastAsia="Times New Roman"/>
        </w:rPr>
        <w:t>/d</w:t>
      </w:r>
      <w:r>
        <w:rPr/>
        <w:t>。其中 </w:t>
      </w:r>
      <w:r>
        <w:rPr>
          <w:rFonts w:ascii="Times New Roman" w:eastAsia="Times New Roman"/>
        </w:rPr>
        <w:t>COD</w:t>
      </w:r>
      <w:r>
        <w:rPr/>
        <w:t>： </w:t>
      </w:r>
      <w:r>
        <w:rPr>
          <w:rFonts w:ascii="Times New Roman" w:eastAsia="Times New Roman"/>
        </w:rPr>
        <w:t>800mg/L</w:t>
      </w:r>
      <w:r>
        <w:rPr/>
        <w:t>、</w:t>
      </w:r>
      <w:r>
        <w:rPr>
          <w:rFonts w:ascii="Times New Roman" w:eastAsia="Times New Roman"/>
        </w:rPr>
        <w:t>SS</w:t>
      </w:r>
      <w:r>
        <w:rPr/>
        <w:t>：</w:t>
      </w:r>
      <w:r>
        <w:rPr>
          <w:rFonts w:ascii="Times New Roman" w:eastAsia="Times New Roman"/>
        </w:rPr>
        <w:t>100mg/L</w:t>
      </w:r>
      <w:r>
        <w:rPr/>
        <w:t>，该部分废水去污水处理站处理。</w:t>
      </w:r>
    </w:p>
    <w:p>
      <w:pPr>
        <w:pStyle w:val="BodyText"/>
        <w:spacing w:line="457" w:lineRule="exact"/>
        <w:ind w:left="620"/>
      </w:pPr>
      <w:r>
        <w:rPr>
          <w:rFonts w:ascii="Times New Roman" w:eastAsia="Times New Roman"/>
          <w:b/>
        </w:rPr>
        <w:t>5</w:t>
      </w:r>
      <w:r>
        <w:rPr/>
        <w:t>、废气处理装置废水</w:t>
      </w:r>
    </w:p>
    <w:p>
      <w:pPr>
        <w:pStyle w:val="BodyText"/>
        <w:spacing w:line="220" w:lineRule="auto" w:before="8"/>
        <w:ind w:left="138" w:right="230" w:firstLine="479"/>
      </w:pPr>
      <w:r>
        <w:rPr/>
        <w:t>项目原料车间 </w:t>
      </w:r>
      <w:r>
        <w:rPr>
          <w:rFonts w:ascii="Times New Roman" w:eastAsia="Times New Roman"/>
        </w:rPr>
        <w:t>1 </w:t>
      </w:r>
      <w:r>
        <w:rPr/>
        <w:t>工艺废气处理装置碱洗塔、水</w:t>
      </w:r>
      <w:r>
        <w:rPr>
          <w:rFonts w:ascii="Times New Roman" w:eastAsia="Times New Roman"/>
        </w:rPr>
        <w:t>/</w:t>
      </w:r>
      <w:r>
        <w:rPr/>
        <w:t>聚乙二醇</w:t>
      </w:r>
      <w:r>
        <w:rPr>
          <w:rFonts w:ascii="Times New Roman" w:eastAsia="Times New Roman"/>
        </w:rPr>
        <w:t>/</w:t>
      </w:r>
      <w:r>
        <w:rPr/>
        <w:t>石蜡油萃取塔、聚乙二醇</w:t>
      </w:r>
      <w:r>
        <w:rPr>
          <w:rFonts w:ascii="Times New Roman" w:eastAsia="Times New Roman"/>
        </w:rPr>
        <w:t>/</w:t>
      </w:r>
      <w:r>
        <w:rPr/>
        <w:t>水吸收塔主要是碱液与废气中的氯化氢、醋酸、醋酐反应生成氯化钠、</w:t>
      </w:r>
    </w:p>
    <w:p>
      <w:pPr>
        <w:spacing w:after="0" w:line="220" w:lineRule="auto"/>
        <w:sectPr>
          <w:headerReference w:type="default" r:id="rId11"/>
          <w:footerReference w:type="default" r:id="rId12"/>
          <w:pgSz w:w="11910" w:h="16840"/>
          <w:pgMar w:header="877" w:footer="973" w:top="1360" w:bottom="1160" w:left="1660" w:right="1560"/>
          <w:pgNumType w:start="140"/>
        </w:sectPr>
      </w:pPr>
    </w:p>
    <w:p>
      <w:pPr>
        <w:pStyle w:val="BodyText"/>
        <w:spacing w:line="437" w:lineRule="exact"/>
        <w:ind w:left="138"/>
      </w:pPr>
      <w:r>
        <w:rPr/>
        <w:t>溴化钠、醋酸钠，同时聚乙二醇吸收易溶于有机溶剂的有机废气，水吸收易溶于</w:t>
      </w:r>
    </w:p>
    <w:p>
      <w:pPr>
        <w:pStyle w:val="BodyText"/>
        <w:spacing w:line="220" w:lineRule="auto" w:before="8"/>
        <w:ind w:left="138" w:right="231"/>
      </w:pPr>
      <w:r>
        <w:rPr>
          <w:spacing w:val="-9"/>
        </w:rPr>
        <w:t>水的甲醇、乙醇等有机废气，碱洗塔、萃取塔、水吸收塔运行一段时间后定期排</w:t>
      </w:r>
      <w:r>
        <w:rPr>
          <w:spacing w:val="-6"/>
        </w:rPr>
        <w:t>污，约 </w:t>
      </w:r>
      <w:r>
        <w:rPr>
          <w:rFonts w:ascii="Times New Roman" w:eastAsia="Times New Roman"/>
        </w:rPr>
        <w:t>1 </w:t>
      </w:r>
      <w:r>
        <w:rPr>
          <w:spacing w:val="1"/>
        </w:rPr>
        <w:t>月排放 </w:t>
      </w:r>
      <w:r>
        <w:rPr>
          <w:rFonts w:ascii="Times New Roman" w:eastAsia="Times New Roman"/>
        </w:rPr>
        <w:t>1 </w:t>
      </w:r>
      <w:r>
        <w:rPr/>
        <w:t>次，排放水量共计 </w:t>
      </w:r>
      <w:r>
        <w:rPr>
          <w:rFonts w:ascii="Times New Roman" w:eastAsia="Times New Roman"/>
        </w:rPr>
        <w:t>10 m</w:t>
      </w:r>
      <w:r>
        <w:rPr>
          <w:rFonts w:ascii="Times New Roman" w:eastAsia="Times New Roman"/>
          <w:position w:val="9"/>
          <w:sz w:val="16"/>
        </w:rPr>
        <w:t>3</w:t>
      </w:r>
      <w:r>
        <w:rPr>
          <w:rFonts w:ascii="Times New Roman" w:eastAsia="Times New Roman"/>
        </w:rPr>
        <w:t>/</w:t>
      </w:r>
      <w:r>
        <w:rPr>
          <w:spacing w:val="-3"/>
        </w:rPr>
        <w:t>月。</w:t>
      </w:r>
    </w:p>
    <w:p>
      <w:pPr>
        <w:pStyle w:val="BodyText"/>
        <w:spacing w:line="456" w:lineRule="exact"/>
        <w:ind w:left="618"/>
      </w:pPr>
      <w:r>
        <w:rPr/>
        <w:t>项目原料车间 </w:t>
      </w:r>
      <w:r>
        <w:rPr>
          <w:rFonts w:ascii="Times New Roman" w:eastAsia="Times New Roman"/>
        </w:rPr>
        <w:t>2 </w:t>
      </w:r>
      <w:r>
        <w:rPr/>
        <w:t>和回收车间工艺废气处理装置与原料车间 </w:t>
      </w:r>
      <w:r>
        <w:rPr>
          <w:rFonts w:ascii="Times New Roman" w:eastAsia="Times New Roman"/>
        </w:rPr>
        <w:t>1 </w:t>
      </w:r>
      <w:r>
        <w:rPr/>
        <w:t>相同，碱洗塔、</w:t>
      </w:r>
    </w:p>
    <w:p>
      <w:pPr>
        <w:pStyle w:val="BodyText"/>
        <w:spacing w:line="467" w:lineRule="exact"/>
        <w:ind w:left="138"/>
      </w:pPr>
      <w:r>
        <w:rPr/>
        <w:t>萃取塔、水吸收塔废水约 </w:t>
      </w:r>
      <w:r>
        <w:rPr>
          <w:rFonts w:ascii="Times New Roman" w:eastAsia="Times New Roman"/>
        </w:rPr>
        <w:t>2 </w:t>
      </w:r>
      <w:r>
        <w:rPr/>
        <w:t>月排放 </w:t>
      </w:r>
      <w:r>
        <w:rPr>
          <w:rFonts w:ascii="Times New Roman" w:eastAsia="Times New Roman"/>
        </w:rPr>
        <w:t>1 </w:t>
      </w:r>
      <w:r>
        <w:rPr/>
        <w:t>次，排放水量共计 </w:t>
      </w:r>
      <w:r>
        <w:rPr>
          <w:rFonts w:ascii="Times New Roman" w:eastAsia="Times New Roman"/>
        </w:rPr>
        <w:t>5m</w:t>
      </w:r>
      <w:r>
        <w:rPr>
          <w:rFonts w:ascii="Times New Roman" w:eastAsia="Times New Roman"/>
          <w:position w:val="9"/>
          <w:sz w:val="16"/>
        </w:rPr>
        <w:t>3</w:t>
      </w:r>
      <w:r>
        <w:rPr>
          <w:rFonts w:ascii="Times New Roman" w:eastAsia="Times New Roman"/>
        </w:rPr>
        <w:t>/</w:t>
      </w:r>
      <w:r>
        <w:rPr/>
        <w:t>月。</w:t>
      </w:r>
    </w:p>
    <w:p>
      <w:pPr>
        <w:pStyle w:val="BodyText"/>
        <w:spacing w:line="467" w:lineRule="exact"/>
        <w:ind w:left="618"/>
        <w:rPr>
          <w:rFonts w:ascii="Times New Roman" w:eastAsia="Times New Roman"/>
        </w:rPr>
      </w:pPr>
      <w:r>
        <w:rPr/>
        <w:t>项目发酵车间和污水处理站废气处理装置碱洗塔、水洗塔废水约 </w:t>
      </w:r>
      <w:r>
        <w:rPr>
          <w:rFonts w:ascii="Times New Roman" w:eastAsia="Times New Roman"/>
        </w:rPr>
        <w:t>1 </w:t>
      </w:r>
      <w:r>
        <w:rPr/>
        <w:t>月排放 </w:t>
      </w:r>
      <w:r>
        <w:rPr>
          <w:rFonts w:ascii="Times New Roman" w:eastAsia="Times New Roman"/>
        </w:rPr>
        <w:t>1</w:t>
      </w:r>
    </w:p>
    <w:p>
      <w:pPr>
        <w:pStyle w:val="BodyText"/>
        <w:spacing w:line="467" w:lineRule="exact"/>
        <w:ind w:left="138"/>
      </w:pPr>
      <w:r>
        <w:rPr/>
        <w:t>次，排放水量共计 </w:t>
      </w:r>
      <w:r>
        <w:rPr>
          <w:rFonts w:ascii="Times New Roman" w:eastAsia="Times New Roman"/>
        </w:rPr>
        <w:t>8 m</w:t>
      </w:r>
      <w:r>
        <w:rPr>
          <w:rFonts w:ascii="Times New Roman" w:eastAsia="Times New Roman"/>
          <w:position w:val="9"/>
          <w:sz w:val="16"/>
        </w:rPr>
        <w:t>3</w:t>
      </w:r>
      <w:r>
        <w:rPr>
          <w:rFonts w:ascii="Times New Roman" w:eastAsia="Times New Roman"/>
        </w:rPr>
        <w:t>/</w:t>
      </w:r>
      <w:r>
        <w:rPr/>
        <w:t>月。</w:t>
      </w:r>
    </w:p>
    <w:p>
      <w:pPr>
        <w:pStyle w:val="BodyText"/>
        <w:spacing w:line="220" w:lineRule="auto" w:before="8"/>
        <w:ind w:left="138" w:right="255" w:firstLine="479"/>
      </w:pPr>
      <w:r>
        <w:rPr>
          <w:spacing w:val="-5"/>
        </w:rPr>
        <w:t>综上，废气处理装置废水产生量为 </w:t>
      </w:r>
      <w:r>
        <w:rPr>
          <w:rFonts w:ascii="Times New Roman" w:eastAsia="Times New Roman"/>
        </w:rPr>
        <w:t>23m</w:t>
      </w:r>
      <w:r>
        <w:rPr>
          <w:rFonts w:ascii="Times New Roman" w:eastAsia="Times New Roman"/>
          <w:position w:val="9"/>
          <w:sz w:val="16"/>
        </w:rPr>
        <w:t>3</w:t>
      </w:r>
      <w:r>
        <w:rPr>
          <w:rFonts w:ascii="Times New Roman" w:eastAsia="Times New Roman"/>
        </w:rPr>
        <w:t>/</w:t>
      </w:r>
      <w:r>
        <w:rPr>
          <w:spacing w:val="-24"/>
        </w:rPr>
        <w:t>月</w:t>
      </w:r>
      <w:r>
        <w:rPr>
          <w:spacing w:val="-3"/>
        </w:rPr>
        <w:t>（</w:t>
      </w:r>
      <w:r>
        <w:rPr>
          <w:spacing w:val="4"/>
        </w:rPr>
        <w:t>折 </w:t>
      </w:r>
      <w:r>
        <w:rPr>
          <w:rFonts w:ascii="Times New Roman" w:eastAsia="Times New Roman"/>
          <w:spacing w:val="-5"/>
        </w:rPr>
        <w:t>0.92m</w:t>
      </w:r>
      <w:r>
        <w:rPr>
          <w:rFonts w:ascii="Times New Roman" w:eastAsia="Times New Roman"/>
          <w:spacing w:val="-5"/>
          <w:position w:val="9"/>
          <w:sz w:val="16"/>
        </w:rPr>
        <w:t>3</w:t>
      </w:r>
      <w:r>
        <w:rPr>
          <w:rFonts w:ascii="Times New Roman" w:eastAsia="Times New Roman"/>
          <w:spacing w:val="-5"/>
        </w:rPr>
        <w:t>/d</w:t>
      </w:r>
      <w:r>
        <w:rPr>
          <w:spacing w:val="-5"/>
        </w:rPr>
        <w:t>），</w:t>
      </w:r>
      <w:r>
        <w:rPr>
          <w:spacing w:val="4"/>
        </w:rPr>
        <w:t>约 </w:t>
      </w:r>
      <w:r>
        <w:rPr>
          <w:rFonts w:ascii="Times New Roman" w:eastAsia="Times New Roman"/>
          <w:spacing w:val="-3"/>
        </w:rPr>
        <w:t>276m</w:t>
      </w:r>
      <w:r>
        <w:rPr>
          <w:rFonts w:ascii="Times New Roman" w:eastAsia="Times New Roman"/>
          <w:spacing w:val="-3"/>
          <w:position w:val="9"/>
          <w:sz w:val="16"/>
        </w:rPr>
        <w:t>3</w:t>
      </w:r>
      <w:r>
        <w:rPr>
          <w:rFonts w:ascii="Times New Roman" w:eastAsia="Times New Roman"/>
          <w:spacing w:val="-3"/>
        </w:rPr>
        <w:t>/a</w:t>
      </w:r>
      <w:r>
        <w:rPr>
          <w:spacing w:val="-14"/>
        </w:rPr>
        <w:t>，这</w:t>
      </w:r>
      <w:r>
        <w:rPr/>
        <w:t>部分废水去污水处理站处理。</w:t>
      </w:r>
    </w:p>
    <w:p>
      <w:pPr>
        <w:pStyle w:val="BodyText"/>
        <w:spacing w:line="456" w:lineRule="exact"/>
        <w:ind w:left="620"/>
      </w:pPr>
      <w:r>
        <w:rPr>
          <w:rFonts w:ascii="Times New Roman" w:eastAsia="Times New Roman"/>
          <w:b/>
        </w:rPr>
        <w:t>6</w:t>
      </w:r>
      <w:r>
        <w:rPr/>
        <w:t>、软水制备系统排浓水</w:t>
      </w:r>
    </w:p>
    <w:p>
      <w:pPr>
        <w:pStyle w:val="BodyText"/>
        <w:spacing w:line="220" w:lineRule="auto" w:before="7"/>
        <w:ind w:left="138" w:right="153" w:firstLine="479"/>
      </w:pPr>
      <w:r>
        <w:rPr/>
        <w:t>本项目软水制备采用二级反渗透和离子交换树脂法处理工艺，二级反渗透产生浓水 </w:t>
      </w:r>
      <w:r>
        <w:rPr>
          <w:rFonts w:ascii="Times New Roman" w:eastAsia="Times New Roman"/>
        </w:rPr>
        <w:t>4.9m</w:t>
      </w:r>
      <w:r>
        <w:rPr>
          <w:rFonts w:ascii="Times New Roman" w:eastAsia="Times New Roman"/>
          <w:position w:val="9"/>
          <w:sz w:val="16"/>
        </w:rPr>
        <w:t>3</w:t>
      </w:r>
      <w:r>
        <w:rPr>
          <w:rFonts w:ascii="Times New Roman" w:eastAsia="Times New Roman"/>
        </w:rPr>
        <w:t>/d</w:t>
      </w:r>
      <w:r>
        <w:rPr/>
        <w:t>，</w:t>
      </w:r>
      <w:r>
        <w:rPr>
          <w:rFonts w:ascii="Times New Roman" w:eastAsia="Times New Roman"/>
        </w:rPr>
        <w:t>1470.5m</w:t>
      </w:r>
      <w:r>
        <w:rPr>
          <w:rFonts w:ascii="Times New Roman" w:eastAsia="Times New Roman"/>
          <w:position w:val="9"/>
          <w:sz w:val="16"/>
        </w:rPr>
        <w:t>3</w:t>
      </w:r>
      <w:r>
        <w:rPr>
          <w:rFonts w:ascii="Times New Roman" w:eastAsia="Times New Roman"/>
        </w:rPr>
        <w:t>/a</w:t>
      </w:r>
      <w:r>
        <w:rPr/>
        <w:t>；离子树脂再生时产生再生冲洗排污水 </w:t>
      </w:r>
      <w:r>
        <w:rPr>
          <w:rFonts w:ascii="Times New Roman" w:eastAsia="Times New Roman"/>
        </w:rPr>
        <w:t>53m</w:t>
      </w:r>
      <w:r>
        <w:rPr>
          <w:rFonts w:ascii="Times New Roman" w:eastAsia="Times New Roman"/>
          <w:position w:val="9"/>
          <w:sz w:val="16"/>
        </w:rPr>
        <w:t>3</w:t>
      </w:r>
      <w:r>
        <w:rPr>
          <w:rFonts w:ascii="Times New Roman" w:eastAsia="Times New Roman"/>
        </w:rPr>
        <w:t>/d</w:t>
      </w:r>
      <w:r>
        <w:rPr/>
        <w:t>，</w:t>
      </w:r>
    </w:p>
    <w:p>
      <w:pPr>
        <w:pStyle w:val="BodyText"/>
        <w:spacing w:line="457" w:lineRule="exact"/>
        <w:ind w:left="138"/>
      </w:pPr>
      <w:r>
        <w:rPr>
          <w:rFonts w:ascii="Times New Roman" w:eastAsia="Times New Roman"/>
        </w:rPr>
        <w:t>1900m</w:t>
      </w:r>
      <w:r>
        <w:rPr>
          <w:rFonts w:ascii="Times New Roman" w:eastAsia="Times New Roman"/>
          <w:position w:val="9"/>
          <w:sz w:val="16"/>
        </w:rPr>
        <w:t>3</w:t>
      </w:r>
      <w:r>
        <w:rPr>
          <w:rFonts w:ascii="Times New Roman" w:eastAsia="Times New Roman"/>
        </w:rPr>
        <w:t>/a</w:t>
      </w:r>
      <w:r>
        <w:rPr/>
        <w:t>，主要污染物为 </w:t>
      </w:r>
      <w:r>
        <w:rPr>
          <w:rFonts w:ascii="Times New Roman" w:eastAsia="Times New Roman"/>
        </w:rPr>
        <w:t>SS</w:t>
      </w:r>
      <w:r>
        <w:rPr/>
        <w:t>、全盐量等，排入污水处理站处理。</w:t>
      </w:r>
    </w:p>
    <w:p>
      <w:pPr>
        <w:pStyle w:val="BodyText"/>
        <w:spacing w:line="467" w:lineRule="exact"/>
        <w:ind w:left="620"/>
      </w:pPr>
      <w:r>
        <w:rPr>
          <w:rFonts w:ascii="Times New Roman" w:eastAsia="Times New Roman"/>
          <w:b/>
        </w:rPr>
        <w:t>7</w:t>
      </w:r>
      <w:r>
        <w:rPr/>
        <w:t>、冷却循环排污水</w:t>
      </w:r>
    </w:p>
    <w:p>
      <w:pPr>
        <w:pStyle w:val="BodyText"/>
        <w:spacing w:line="220" w:lineRule="auto" w:before="7"/>
        <w:ind w:left="138" w:right="108" w:firstLine="479"/>
        <w:jc w:val="both"/>
      </w:pPr>
      <w:r>
        <w:rPr>
          <w:spacing w:val="-5"/>
        </w:rPr>
        <w:t>项目涉及的各产品生产和冷冻机组均用到循环水，循环水在运行过程中由于</w:t>
      </w:r>
      <w:r>
        <w:rPr>
          <w:spacing w:val="-10"/>
        </w:rPr>
        <w:t>水分蒸发、风吹损失等情况使循环水不断浓缩，浓缩到一定倍率后需要外排。本项目循环冷却水使用软化水，循环排污水的产出率较低，循环排污水约</w:t>
      </w:r>
      <w:r>
        <w:rPr>
          <w:rFonts w:ascii="Times New Roman" w:eastAsia="Times New Roman"/>
          <w:spacing w:val="-10"/>
        </w:rPr>
        <w:t>2.3m</w:t>
      </w:r>
      <w:r>
        <w:rPr>
          <w:rFonts w:ascii="Times New Roman" w:eastAsia="Times New Roman"/>
          <w:spacing w:val="-10"/>
          <w:position w:val="9"/>
          <w:sz w:val="16"/>
        </w:rPr>
        <w:t>3</w:t>
      </w:r>
      <w:r>
        <w:rPr>
          <w:rFonts w:ascii="Times New Roman" w:eastAsia="Times New Roman"/>
          <w:spacing w:val="-10"/>
        </w:rPr>
        <w:t>/h</w:t>
      </w:r>
      <w:r>
        <w:rPr>
          <w:spacing w:val="-10"/>
        </w:rPr>
        <w:t>，</w:t>
      </w:r>
    </w:p>
    <w:p>
      <w:pPr>
        <w:pStyle w:val="BodyText"/>
        <w:spacing w:line="457" w:lineRule="exact"/>
        <w:ind w:left="138"/>
      </w:pPr>
      <w:r>
        <w:rPr>
          <w:rFonts w:ascii="Times New Roman" w:eastAsia="Times New Roman"/>
        </w:rPr>
        <w:t>54m</w:t>
      </w:r>
      <w:r>
        <w:rPr>
          <w:rFonts w:ascii="Times New Roman" w:eastAsia="Times New Roman"/>
          <w:position w:val="9"/>
          <w:sz w:val="16"/>
        </w:rPr>
        <w:t>3</w:t>
      </w:r>
      <w:r>
        <w:rPr>
          <w:rFonts w:ascii="Times New Roman" w:eastAsia="Times New Roman"/>
        </w:rPr>
        <w:t>/d</w:t>
      </w:r>
      <w:r>
        <w:rPr/>
        <w:t>。主要污染物为</w:t>
      </w:r>
      <w:r>
        <w:rPr>
          <w:rFonts w:ascii="Times New Roman" w:eastAsia="Times New Roman"/>
        </w:rPr>
        <w:t>SS</w:t>
      </w:r>
      <w:r>
        <w:rPr/>
        <w:t>等，排入厂区污水处理站处理。</w:t>
      </w:r>
    </w:p>
    <w:p>
      <w:pPr>
        <w:pStyle w:val="BodyText"/>
        <w:spacing w:line="467" w:lineRule="exact"/>
        <w:ind w:left="620"/>
      </w:pPr>
      <w:r>
        <w:rPr>
          <w:rFonts w:ascii="Times New Roman" w:eastAsia="Times New Roman"/>
          <w:b/>
        </w:rPr>
        <w:t>8</w:t>
      </w:r>
      <w:r>
        <w:rPr/>
        <w:t>、蒸汽冷凝水</w:t>
      </w:r>
    </w:p>
    <w:p>
      <w:pPr>
        <w:pStyle w:val="BodyText"/>
        <w:spacing w:line="220" w:lineRule="auto" w:before="7"/>
        <w:ind w:left="138" w:right="209" w:firstLine="479"/>
      </w:pPr>
      <w:r>
        <w:rPr/>
        <w:t>本项目锅炉蒸汽冷凝水不回收利用，产生量约 </w:t>
      </w:r>
      <w:r>
        <w:rPr>
          <w:rFonts w:ascii="Times New Roman" w:eastAsia="Times New Roman"/>
        </w:rPr>
        <w:t>13440 m</w:t>
      </w:r>
      <w:r>
        <w:rPr>
          <w:rFonts w:ascii="Times New Roman" w:eastAsia="Times New Roman"/>
          <w:position w:val="9"/>
          <w:sz w:val="16"/>
        </w:rPr>
        <w:t>3</w:t>
      </w:r>
      <w:r>
        <w:rPr>
          <w:rFonts w:ascii="Times New Roman" w:eastAsia="Times New Roman"/>
        </w:rPr>
        <w:t>/a</w:t>
      </w:r>
      <w:r>
        <w:rPr/>
        <w:t>（折 </w:t>
      </w:r>
      <w:r>
        <w:rPr>
          <w:rFonts w:ascii="Times New Roman" w:eastAsia="Times New Roman"/>
        </w:rPr>
        <w:t>44.8m</w:t>
      </w:r>
      <w:r>
        <w:rPr>
          <w:rFonts w:ascii="Times New Roman" w:eastAsia="Times New Roman"/>
          <w:position w:val="9"/>
          <w:sz w:val="16"/>
        </w:rPr>
        <w:t>3</w:t>
      </w:r>
      <w:r>
        <w:rPr>
          <w:rFonts w:ascii="Times New Roman" w:eastAsia="Times New Roman"/>
        </w:rPr>
        <w:t>/d</w:t>
      </w:r>
      <w:r>
        <w:rPr/>
        <w:t>）， 直接排入厂区污水处理站处理。</w:t>
      </w:r>
    </w:p>
    <w:p>
      <w:pPr>
        <w:pStyle w:val="BodyText"/>
        <w:spacing w:line="458" w:lineRule="exact"/>
        <w:ind w:left="620"/>
      </w:pPr>
      <w:r>
        <w:rPr>
          <w:rFonts w:ascii="Times New Roman" w:eastAsia="Times New Roman"/>
          <w:b/>
        </w:rPr>
        <w:t>9</w:t>
      </w:r>
      <w:r>
        <w:rPr/>
        <w:t>、生活污水</w:t>
      </w:r>
    </w:p>
    <w:p>
      <w:pPr>
        <w:pStyle w:val="BodyText"/>
        <w:spacing w:line="467" w:lineRule="exact"/>
        <w:ind w:left="618"/>
      </w:pPr>
      <w:r>
        <w:rPr/>
        <w:t>生活污水产生量约占用水量的 </w:t>
      </w:r>
      <w:r>
        <w:rPr>
          <w:rFonts w:ascii="Times New Roman" w:eastAsia="Times New Roman"/>
        </w:rPr>
        <w:t>80%</w:t>
      </w:r>
      <w:r>
        <w:rPr/>
        <w:t>，则产生量为 </w:t>
      </w:r>
      <w:r>
        <w:rPr>
          <w:rFonts w:ascii="Times New Roman" w:eastAsia="Times New Roman"/>
        </w:rPr>
        <w:t>10.24m</w:t>
      </w:r>
      <w:r>
        <w:rPr>
          <w:rFonts w:ascii="Times New Roman" w:eastAsia="Times New Roman"/>
          <w:position w:val="9"/>
          <w:sz w:val="16"/>
        </w:rPr>
        <w:t>3</w:t>
      </w:r>
      <w:r>
        <w:rPr>
          <w:rFonts w:ascii="Times New Roman" w:eastAsia="Times New Roman"/>
        </w:rPr>
        <w:t>/d</w:t>
      </w:r>
      <w:r>
        <w:rPr/>
        <w:t>、</w:t>
      </w:r>
      <w:r>
        <w:rPr>
          <w:rFonts w:ascii="Times New Roman" w:eastAsia="Times New Roman"/>
        </w:rPr>
        <w:t>3072m</w:t>
      </w:r>
      <w:r>
        <w:rPr>
          <w:rFonts w:ascii="Times New Roman" w:eastAsia="Times New Roman"/>
          <w:position w:val="9"/>
          <w:sz w:val="16"/>
        </w:rPr>
        <w:t>3</w:t>
      </w:r>
      <w:r>
        <w:rPr>
          <w:rFonts w:ascii="Times New Roman" w:eastAsia="Times New Roman"/>
        </w:rPr>
        <w:t>/a</w:t>
      </w:r>
      <w:r>
        <w:rPr/>
        <w:t>。</w:t>
      </w:r>
    </w:p>
    <w:p>
      <w:pPr>
        <w:pStyle w:val="BodyText"/>
        <w:spacing w:line="220" w:lineRule="auto" w:before="6"/>
        <w:ind w:left="138" w:right="231" w:firstLine="479"/>
        <w:jc w:val="both"/>
      </w:pPr>
      <w:r>
        <w:rPr>
          <w:spacing w:val="-8"/>
        </w:rPr>
        <w:t>根据实际生产经验，类比同类型企业，同时参照《污染源源强核算技术指南</w:t>
      </w:r>
      <w:r>
        <w:rPr>
          <w:spacing w:val="-13"/>
        </w:rPr>
        <w:t>制药工业》，确定本项目产生废水水质情况，本项目进污水处理站处理各股废水</w:t>
      </w:r>
      <w:r>
        <w:rPr>
          <w:spacing w:val="-12"/>
        </w:rPr>
        <w:t>及污染物产生情况见表 </w:t>
      </w:r>
      <w:r>
        <w:rPr>
          <w:rFonts w:ascii="Times New Roman" w:eastAsia="Times New Roman"/>
        </w:rPr>
        <w:t>4.10-19</w:t>
      </w:r>
      <w:r>
        <w:rPr/>
        <w:t>。</w:t>
      </w:r>
    </w:p>
    <w:p>
      <w:pPr>
        <w:spacing w:after="0" w:line="220" w:lineRule="auto"/>
        <w:jc w:val="both"/>
        <w:sectPr>
          <w:pgSz w:w="11910" w:h="16840"/>
          <w:pgMar w:header="877" w:footer="973" w:top="1360" w:bottom="1160" w:left="1660" w:right="1560"/>
        </w:sectPr>
      </w:pPr>
    </w:p>
    <w:p>
      <w:pPr>
        <w:spacing w:line="341" w:lineRule="exact" w:before="0"/>
        <w:ind w:left="4160" w:right="0" w:firstLine="0"/>
        <w:jc w:val="left"/>
        <w:rPr>
          <w:sz w:val="18"/>
        </w:rPr>
      </w:pPr>
      <w:r>
        <w:rPr/>
        <w:pict>
          <v:line style="position:absolute;mso-position-horizontal-relative:page;mso-position-vertical-relative:paragraph;z-index:-1114240" from="88.463997pt,15.24pt" to="753.603997pt,15.24pt" stroked="true" strokeweight=".72pt" strokecolor="#000000">
            <v:stroke dashstyle="solid"/>
            <w10:wrap type="none"/>
          </v:line>
        </w:pict>
      </w:r>
      <w:r>
        <w:rPr>
          <w:sz w:val="18"/>
        </w:rPr>
        <w:t>仁和堂药业有限公司医药工业园——原料药建设项目环境影响报告书</w:t>
      </w:r>
    </w:p>
    <w:p>
      <w:pPr>
        <w:pStyle w:val="BodyText"/>
        <w:spacing w:before="18"/>
        <w:rPr>
          <w:sz w:val="15"/>
        </w:rPr>
      </w:pPr>
    </w:p>
    <w:p>
      <w:pPr>
        <w:tabs>
          <w:tab w:pos="4889" w:val="left" w:leader="none"/>
        </w:tabs>
        <w:spacing w:line="423" w:lineRule="exact" w:before="0"/>
        <w:ind w:left="3769" w:right="0" w:firstLine="0"/>
        <w:jc w:val="left"/>
        <w:rPr>
          <w:sz w:val="21"/>
        </w:rPr>
      </w:pPr>
      <w:r>
        <w:rPr>
          <w:sz w:val="21"/>
        </w:rPr>
        <w:t>表</w:t>
      </w:r>
      <w:r>
        <w:rPr>
          <w:spacing w:val="7"/>
          <w:sz w:val="21"/>
        </w:rPr>
        <w:t> </w:t>
      </w:r>
      <w:r>
        <w:rPr>
          <w:rFonts w:ascii="Times New Roman" w:eastAsia="Times New Roman"/>
          <w:b/>
          <w:sz w:val="21"/>
        </w:rPr>
        <w:t>4.10-19</w:t>
        <w:tab/>
      </w:r>
      <w:r>
        <w:rPr>
          <w:sz w:val="21"/>
        </w:rPr>
        <w:t>本项目进污水处理站各股废水及</w:t>
      </w:r>
      <w:r>
        <w:rPr>
          <w:spacing w:val="-3"/>
          <w:sz w:val="21"/>
        </w:rPr>
        <w:t>污</w:t>
      </w:r>
      <w:r>
        <w:rPr>
          <w:sz w:val="21"/>
        </w:rPr>
        <w:t>染</w:t>
      </w:r>
      <w:r>
        <w:rPr>
          <w:spacing w:val="-3"/>
          <w:sz w:val="21"/>
        </w:rPr>
        <w:t>物</w:t>
      </w:r>
      <w:r>
        <w:rPr>
          <w:sz w:val="21"/>
        </w:rPr>
        <w:t>产生情况一览表</w:t>
      </w:r>
    </w:p>
    <w:p>
      <w:pPr>
        <w:pStyle w:val="BodyText"/>
        <w:spacing w:before="20"/>
        <w:rPr>
          <w:sz w:val="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30"/>
        <w:gridCol w:w="1255"/>
        <w:gridCol w:w="1207"/>
        <w:gridCol w:w="1070"/>
        <w:gridCol w:w="936"/>
        <w:gridCol w:w="1049"/>
        <w:gridCol w:w="1245"/>
        <w:gridCol w:w="844"/>
        <w:gridCol w:w="840"/>
      </w:tblGrid>
      <w:tr>
        <w:trPr>
          <w:trHeight w:val="339" w:hRule="atLeast"/>
        </w:trPr>
        <w:tc>
          <w:tcPr>
            <w:tcW w:w="4930" w:type="dxa"/>
            <w:vMerge w:val="restart"/>
            <w:tcBorders>
              <w:bottom w:val="single" w:sz="6" w:space="0" w:color="000000"/>
              <w:right w:val="single" w:sz="6" w:space="0" w:color="000000"/>
            </w:tcBorders>
          </w:tcPr>
          <w:p>
            <w:pPr>
              <w:pStyle w:val="TableParagraph"/>
              <w:spacing w:before="2"/>
              <w:jc w:val="left"/>
              <w:rPr>
                <w:sz w:val="10"/>
              </w:rPr>
            </w:pPr>
          </w:p>
          <w:p>
            <w:pPr>
              <w:pStyle w:val="TableParagraph"/>
              <w:ind w:left="555" w:right="532"/>
              <w:rPr>
                <w:sz w:val="21"/>
              </w:rPr>
            </w:pPr>
            <w:r>
              <w:rPr>
                <w:sz w:val="21"/>
              </w:rPr>
              <w:t>废水名称</w:t>
            </w:r>
          </w:p>
        </w:tc>
        <w:tc>
          <w:tcPr>
            <w:tcW w:w="1255" w:type="dxa"/>
            <w:vMerge w:val="restart"/>
            <w:tcBorders>
              <w:left w:val="single" w:sz="6" w:space="0" w:color="000000"/>
              <w:bottom w:val="single" w:sz="6" w:space="0" w:color="000000"/>
              <w:right w:val="single" w:sz="6" w:space="0" w:color="000000"/>
            </w:tcBorders>
          </w:tcPr>
          <w:p>
            <w:pPr>
              <w:pStyle w:val="TableParagraph"/>
              <w:spacing w:line="358" w:lineRule="exact" w:before="80"/>
              <w:ind w:left="319"/>
              <w:jc w:val="left"/>
              <w:rPr>
                <w:sz w:val="21"/>
              </w:rPr>
            </w:pPr>
            <w:r>
              <w:rPr>
                <w:sz w:val="21"/>
              </w:rPr>
              <w:t>产生量</w:t>
            </w:r>
          </w:p>
          <w:p>
            <w:pPr>
              <w:pStyle w:val="TableParagraph"/>
              <w:spacing w:line="358" w:lineRule="exact"/>
              <w:ind w:left="225"/>
              <w:jc w:val="left"/>
              <w:rPr>
                <w:sz w:val="21"/>
              </w:rPr>
            </w:pPr>
            <w:r>
              <w:rPr>
                <w:sz w:val="21"/>
              </w:rPr>
              <w:t>（</w:t>
            </w:r>
            <w:r>
              <w:rPr>
                <w:rFonts w:ascii="Times New Roman" w:eastAsia="Times New Roman"/>
                <w:sz w:val="21"/>
              </w:rPr>
              <w:t>m</w:t>
            </w:r>
            <w:r>
              <w:rPr>
                <w:rFonts w:ascii="Times New Roman" w:eastAsia="Times New Roman"/>
                <w:position w:val="7"/>
                <w:sz w:val="14"/>
              </w:rPr>
              <w:t>3</w:t>
            </w:r>
            <w:r>
              <w:rPr>
                <w:rFonts w:ascii="Times New Roman" w:eastAsia="Times New Roman"/>
                <w:sz w:val="21"/>
              </w:rPr>
              <w:t>/d</w:t>
            </w:r>
            <w:r>
              <w:rPr>
                <w:sz w:val="21"/>
              </w:rPr>
              <w:t>）</w:t>
            </w:r>
          </w:p>
        </w:tc>
        <w:tc>
          <w:tcPr>
            <w:tcW w:w="7191" w:type="dxa"/>
            <w:gridSpan w:val="7"/>
            <w:tcBorders>
              <w:left w:val="single" w:sz="6" w:space="0" w:color="000000"/>
              <w:bottom w:val="single" w:sz="6" w:space="0" w:color="000000"/>
            </w:tcBorders>
          </w:tcPr>
          <w:p>
            <w:pPr>
              <w:pStyle w:val="TableParagraph"/>
              <w:spacing w:line="320" w:lineRule="exact"/>
              <w:ind w:left="2722" w:right="2690"/>
              <w:rPr>
                <w:sz w:val="21"/>
              </w:rPr>
            </w:pPr>
            <w:r>
              <w:rPr>
                <w:sz w:val="21"/>
              </w:rPr>
              <w:t>废水水质（</w:t>
            </w:r>
            <w:r>
              <w:rPr>
                <w:rFonts w:ascii="Times New Roman" w:eastAsia="Times New Roman"/>
                <w:sz w:val="21"/>
              </w:rPr>
              <w:t>mg/L</w:t>
            </w:r>
            <w:r>
              <w:rPr>
                <w:sz w:val="21"/>
              </w:rPr>
              <w:t>）</w:t>
            </w:r>
          </w:p>
        </w:tc>
      </w:tr>
      <w:tr>
        <w:trPr>
          <w:trHeight w:val="546" w:hRule="atLeast"/>
        </w:trPr>
        <w:tc>
          <w:tcPr>
            <w:tcW w:w="4930" w:type="dxa"/>
            <w:vMerge/>
            <w:tcBorders>
              <w:top w:val="nil"/>
              <w:bottom w:val="single" w:sz="6" w:space="0" w:color="000000"/>
              <w:right w:val="single" w:sz="6" w:space="0" w:color="000000"/>
            </w:tcBorders>
          </w:tcPr>
          <w:p>
            <w:pPr>
              <w:rPr>
                <w:sz w:val="2"/>
                <w:szCs w:val="2"/>
              </w:rPr>
            </w:pPr>
          </w:p>
        </w:tc>
        <w:tc>
          <w:tcPr>
            <w:tcW w:w="1255" w:type="dxa"/>
            <w:vMerge/>
            <w:tcBorders>
              <w:top w:val="nil"/>
              <w:left w:val="single" w:sz="6" w:space="0" w:color="000000"/>
              <w:bottom w:val="single" w:sz="6" w:space="0" w:color="000000"/>
              <w:right w:val="single" w:sz="6" w:space="0" w:color="000000"/>
            </w:tcBorders>
          </w:tcPr>
          <w:p>
            <w:pPr>
              <w:rPr>
                <w:sz w:val="2"/>
                <w:szCs w:val="2"/>
              </w:rPr>
            </w:pP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147"/>
              <w:ind w:left="247" w:right="220"/>
              <w:rPr>
                <w:rFonts w:ascii="Times New Roman"/>
                <w:sz w:val="21"/>
              </w:rPr>
            </w:pPr>
            <w:r>
              <w:rPr>
                <w:rFonts w:ascii="Times New Roman"/>
                <w:sz w:val="21"/>
              </w:rPr>
              <w:t>CODcr</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146"/>
              <w:ind w:left="234" w:right="201"/>
              <w:rPr>
                <w:rFonts w:ascii="Times New Roman"/>
                <w:sz w:val="14"/>
              </w:rPr>
            </w:pPr>
            <w:r>
              <w:rPr>
                <w:rFonts w:ascii="Times New Roman"/>
                <w:position w:val="2"/>
                <w:sz w:val="21"/>
              </w:rPr>
              <w:t>BOD</w:t>
            </w:r>
            <w:r>
              <w:rPr>
                <w:rFonts w:ascii="Times New Roman"/>
                <w:sz w:val="14"/>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37"/>
              <w:ind w:left="219" w:right="188"/>
              <w:rPr>
                <w:sz w:val="21"/>
              </w:rPr>
            </w:pPr>
            <w:r>
              <w:rPr>
                <w:sz w:val="21"/>
              </w:rPr>
              <w:t>氨氮</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37"/>
              <w:ind w:left="198" w:right="165"/>
              <w:rPr>
                <w:sz w:val="21"/>
              </w:rPr>
            </w:pPr>
            <w:r>
              <w:rPr>
                <w:sz w:val="21"/>
              </w:rPr>
              <w:t>石油类</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147"/>
              <w:ind w:left="373" w:right="343"/>
              <w:rPr>
                <w:rFonts w:ascii="Times New Roman"/>
                <w:sz w:val="21"/>
              </w:rPr>
            </w:pPr>
            <w:r>
              <w:rPr>
                <w:rFonts w:ascii="Times New Roman"/>
                <w:sz w:val="21"/>
              </w:rPr>
              <w:t>SS</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147"/>
              <w:ind w:left="246" w:right="218"/>
              <w:rPr>
                <w:rFonts w:ascii="Times New Roman"/>
                <w:sz w:val="21"/>
              </w:rPr>
            </w:pPr>
            <w:r>
              <w:rPr>
                <w:rFonts w:ascii="Times New Roman"/>
                <w:sz w:val="21"/>
              </w:rPr>
              <w:t>pH</w:t>
            </w:r>
          </w:p>
        </w:tc>
        <w:tc>
          <w:tcPr>
            <w:tcW w:w="840" w:type="dxa"/>
            <w:tcBorders>
              <w:top w:val="single" w:sz="6" w:space="0" w:color="000000"/>
              <w:left w:val="single" w:sz="6" w:space="0" w:color="000000"/>
              <w:bottom w:val="single" w:sz="6" w:space="0" w:color="000000"/>
            </w:tcBorders>
          </w:tcPr>
          <w:p>
            <w:pPr>
              <w:pStyle w:val="TableParagraph"/>
              <w:spacing w:line="261" w:lineRule="exact"/>
              <w:ind w:left="173" w:right="131"/>
              <w:rPr>
                <w:sz w:val="21"/>
              </w:rPr>
            </w:pPr>
            <w:r>
              <w:rPr>
                <w:sz w:val="21"/>
              </w:rPr>
              <w:t>全盐</w:t>
            </w:r>
          </w:p>
          <w:p>
            <w:pPr>
              <w:pStyle w:val="TableParagraph"/>
              <w:spacing w:line="266" w:lineRule="exact"/>
              <w:ind w:left="42"/>
              <w:rPr>
                <w:sz w:val="21"/>
              </w:rPr>
            </w:pPr>
            <w:r>
              <w:rPr>
                <w:w w:val="100"/>
                <w:sz w:val="21"/>
              </w:rPr>
              <w:t>量</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5" w:right="532"/>
              <w:rPr>
                <w:sz w:val="21"/>
              </w:rPr>
            </w:pPr>
            <w:r>
              <w:rPr>
                <w:sz w:val="21"/>
              </w:rPr>
              <w:t>化学原料药工艺废水（经预处理后废水）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1"/>
              <w:ind w:left="451"/>
              <w:jc w:val="left"/>
              <w:rPr>
                <w:rFonts w:ascii="Times New Roman"/>
                <w:sz w:val="21"/>
              </w:rPr>
            </w:pPr>
            <w:r>
              <w:rPr>
                <w:rFonts w:ascii="Times New Roman"/>
                <w:sz w:val="21"/>
              </w:rPr>
              <w:t>6.24</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1"/>
              <w:ind w:left="248" w:right="220"/>
              <w:rPr>
                <w:rFonts w:ascii="Times New Roman"/>
                <w:sz w:val="21"/>
              </w:rPr>
            </w:pPr>
            <w:r>
              <w:rPr>
                <w:rFonts w:ascii="Times New Roman"/>
                <w:sz w:val="21"/>
              </w:rPr>
              <w:t>10000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1"/>
              <w:ind w:left="234" w:right="203"/>
              <w:rPr>
                <w:rFonts w:ascii="Times New Roman"/>
                <w:sz w:val="21"/>
              </w:rPr>
            </w:pPr>
            <w:r>
              <w:rPr>
                <w:rFonts w:ascii="Times New Roman"/>
                <w:sz w:val="21"/>
              </w:rPr>
              <w:t>180</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1"/>
              <w:ind w:left="219" w:right="188"/>
              <w:rPr>
                <w:rFonts w:ascii="Times New Roman"/>
                <w:sz w:val="21"/>
              </w:rPr>
            </w:pPr>
            <w:r>
              <w:rPr>
                <w:rFonts w:ascii="Times New Roman"/>
                <w:sz w:val="21"/>
              </w:rPr>
              <w:t>100</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1"/>
              <w:ind w:left="195" w:right="165"/>
              <w:rPr>
                <w:rFonts w:ascii="Times New Roman"/>
                <w:sz w:val="21"/>
              </w:rPr>
            </w:pPr>
            <w:r>
              <w:rPr>
                <w:rFonts w:ascii="Times New Roman"/>
                <w:sz w:val="21"/>
              </w:rPr>
              <w:t>10</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1"/>
              <w:ind w:left="373" w:right="343"/>
              <w:rPr>
                <w:rFonts w:ascii="Times New Roman"/>
                <w:sz w:val="21"/>
              </w:rPr>
            </w:pPr>
            <w:r>
              <w:rPr>
                <w:rFonts w:ascii="Times New Roman"/>
                <w:sz w:val="21"/>
              </w:rPr>
              <w:t>300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1"/>
              <w:ind w:left="247" w:right="218"/>
              <w:rPr>
                <w:rFonts w:ascii="Times New Roman"/>
                <w:sz w:val="21"/>
              </w:rPr>
            </w:pPr>
            <w:r>
              <w:rPr>
                <w:rFonts w:ascii="Times New Roman"/>
                <w:sz w:val="21"/>
              </w:rPr>
              <w:t>6~9</w:t>
            </w:r>
          </w:p>
        </w:tc>
        <w:tc>
          <w:tcPr>
            <w:tcW w:w="840" w:type="dxa"/>
            <w:tcBorders>
              <w:top w:val="single" w:sz="6" w:space="0" w:color="000000"/>
              <w:left w:val="single" w:sz="6" w:space="0" w:color="000000"/>
              <w:bottom w:val="single" w:sz="6" w:space="0" w:color="000000"/>
            </w:tcBorders>
          </w:tcPr>
          <w:p>
            <w:pPr>
              <w:pStyle w:val="TableParagraph"/>
              <w:spacing w:before="41"/>
              <w:ind w:left="173" w:right="131"/>
              <w:rPr>
                <w:rFonts w:ascii="Times New Roman"/>
                <w:sz w:val="21"/>
              </w:rPr>
            </w:pPr>
            <w:r>
              <w:rPr>
                <w:rFonts w:ascii="Times New Roman"/>
                <w:sz w:val="21"/>
              </w:rPr>
              <w:t>1500</w:t>
            </w:r>
          </w:p>
        </w:tc>
      </w:tr>
      <w:tr>
        <w:trPr>
          <w:trHeight w:val="338" w:hRule="atLeast"/>
        </w:trPr>
        <w:tc>
          <w:tcPr>
            <w:tcW w:w="4930" w:type="dxa"/>
            <w:tcBorders>
              <w:top w:val="single" w:sz="6" w:space="0" w:color="000000"/>
              <w:bottom w:val="single" w:sz="6" w:space="0" w:color="000000"/>
              <w:right w:val="single" w:sz="6" w:space="0" w:color="000000"/>
            </w:tcBorders>
          </w:tcPr>
          <w:p>
            <w:pPr>
              <w:pStyle w:val="TableParagraph"/>
              <w:spacing w:line="318" w:lineRule="exact"/>
              <w:ind w:left="555" w:right="532"/>
              <w:rPr>
                <w:sz w:val="21"/>
              </w:rPr>
            </w:pPr>
            <w:r>
              <w:rPr>
                <w:sz w:val="21"/>
              </w:rPr>
              <w:t>白葡菌生产发酵废水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1"/>
              <w:ind w:left="398"/>
              <w:jc w:val="left"/>
              <w:rPr>
                <w:rFonts w:ascii="Times New Roman"/>
                <w:sz w:val="21"/>
              </w:rPr>
            </w:pPr>
            <w:r>
              <w:rPr>
                <w:rFonts w:ascii="Times New Roman"/>
                <w:sz w:val="21"/>
              </w:rPr>
              <w:t>26.76</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1"/>
              <w:ind w:left="248" w:right="220"/>
              <w:rPr>
                <w:rFonts w:ascii="Times New Roman"/>
                <w:sz w:val="21"/>
              </w:rPr>
            </w:pPr>
            <w:r>
              <w:rPr>
                <w:rFonts w:ascii="Times New Roman"/>
                <w:sz w:val="21"/>
              </w:rPr>
              <w:t>80000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1"/>
              <w:ind w:left="234" w:right="203"/>
              <w:rPr>
                <w:rFonts w:ascii="Times New Roman"/>
                <w:sz w:val="21"/>
              </w:rPr>
            </w:pPr>
            <w:r>
              <w:rPr>
                <w:rFonts w:ascii="Times New Roman"/>
                <w:sz w:val="21"/>
              </w:rPr>
              <w:t>20000</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1"/>
              <w:ind w:left="219" w:right="188"/>
              <w:rPr>
                <w:rFonts w:ascii="Times New Roman"/>
                <w:sz w:val="21"/>
              </w:rPr>
            </w:pPr>
            <w:r>
              <w:rPr>
                <w:rFonts w:ascii="Times New Roman"/>
                <w:sz w:val="21"/>
              </w:rPr>
              <w:t>1500</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1"/>
              <w:ind w:left="30"/>
              <w:rPr>
                <w:rFonts w:ascii="Times New Roman"/>
                <w:sz w:val="21"/>
              </w:rPr>
            </w:pPr>
            <w:r>
              <w:rPr>
                <w:rFonts w:ascii="Times New Roman"/>
                <w:w w:val="100"/>
                <w:sz w:val="21"/>
              </w:rPr>
              <w:t>2</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1"/>
              <w:ind w:left="373" w:right="343"/>
              <w:rPr>
                <w:rFonts w:ascii="Times New Roman"/>
                <w:sz w:val="21"/>
              </w:rPr>
            </w:pPr>
            <w:r>
              <w:rPr>
                <w:rFonts w:ascii="Times New Roman"/>
                <w:sz w:val="21"/>
              </w:rPr>
              <w:t>30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1"/>
              <w:ind w:left="247" w:right="218"/>
              <w:rPr>
                <w:rFonts w:ascii="Times New Roman"/>
                <w:sz w:val="21"/>
              </w:rPr>
            </w:pPr>
            <w:r>
              <w:rPr>
                <w:rFonts w:ascii="Times New Roman"/>
                <w:sz w:val="21"/>
              </w:rPr>
              <w:t>6~9</w:t>
            </w:r>
          </w:p>
        </w:tc>
        <w:tc>
          <w:tcPr>
            <w:tcW w:w="840" w:type="dxa"/>
            <w:tcBorders>
              <w:top w:val="single" w:sz="6" w:space="0" w:color="000000"/>
              <w:left w:val="single" w:sz="6" w:space="0" w:color="000000"/>
              <w:bottom w:val="single" w:sz="6" w:space="0" w:color="000000"/>
            </w:tcBorders>
          </w:tcPr>
          <w:p>
            <w:pPr>
              <w:pStyle w:val="TableParagraph"/>
              <w:spacing w:before="41"/>
              <w:ind w:left="43"/>
              <w:rPr>
                <w:rFonts w:ascii="Times New Roman"/>
                <w:sz w:val="21"/>
              </w:rPr>
            </w:pPr>
            <w:r>
              <w:rPr>
                <w:rFonts w:ascii="Times New Roman"/>
                <w:w w:val="100"/>
                <w:sz w:val="21"/>
              </w:rPr>
              <w:t>/</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5" w:right="532"/>
              <w:rPr>
                <w:sz w:val="21"/>
              </w:rPr>
            </w:pPr>
            <w:r>
              <w:rPr>
                <w:sz w:val="21"/>
              </w:rPr>
              <w:t>真空泵废水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w w:val="100"/>
                <w:sz w:val="21"/>
              </w:rPr>
              <w:t>5</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3"/>
              <w:ind w:left="248" w:right="220"/>
              <w:rPr>
                <w:rFonts w:ascii="Times New Roman"/>
                <w:sz w:val="21"/>
              </w:rPr>
            </w:pPr>
            <w:r>
              <w:rPr>
                <w:rFonts w:ascii="Times New Roman"/>
                <w:sz w:val="21"/>
              </w:rPr>
              <w:t>1000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3"/>
              <w:ind w:left="234" w:right="203"/>
              <w:rPr>
                <w:rFonts w:ascii="Times New Roman"/>
                <w:sz w:val="21"/>
              </w:rPr>
            </w:pPr>
            <w:r>
              <w:rPr>
                <w:rFonts w:ascii="Times New Roman"/>
                <w:sz w:val="21"/>
              </w:rPr>
              <w:t>200</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219" w:right="188"/>
              <w:rPr>
                <w:rFonts w:ascii="Times New Roman"/>
                <w:sz w:val="21"/>
              </w:rPr>
            </w:pPr>
            <w:r>
              <w:rPr>
                <w:rFonts w:ascii="Times New Roman"/>
                <w:sz w:val="21"/>
              </w:rPr>
              <w:t>10</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3"/>
              <w:ind w:left="195" w:right="165"/>
              <w:rPr>
                <w:rFonts w:ascii="Times New Roman"/>
                <w:sz w:val="21"/>
              </w:rPr>
            </w:pPr>
            <w:r>
              <w:rPr>
                <w:rFonts w:ascii="Times New Roman"/>
                <w:sz w:val="21"/>
              </w:rPr>
              <w:t>10</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3"/>
              <w:ind w:left="373" w:right="343"/>
              <w:rPr>
                <w:rFonts w:ascii="Times New Roman"/>
                <w:sz w:val="21"/>
              </w:rPr>
            </w:pPr>
            <w:r>
              <w:rPr>
                <w:rFonts w:ascii="Times New Roman"/>
                <w:sz w:val="21"/>
              </w:rPr>
              <w:t>100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w w:val="100"/>
                <w:sz w:val="21"/>
              </w:rPr>
              <w:t>/</w:t>
            </w:r>
          </w:p>
        </w:tc>
        <w:tc>
          <w:tcPr>
            <w:tcW w:w="840" w:type="dxa"/>
            <w:tcBorders>
              <w:top w:val="single" w:sz="6" w:space="0" w:color="000000"/>
              <w:left w:val="single" w:sz="6" w:space="0" w:color="000000"/>
              <w:bottom w:val="single" w:sz="6" w:space="0" w:color="000000"/>
            </w:tcBorders>
          </w:tcPr>
          <w:p>
            <w:pPr>
              <w:pStyle w:val="TableParagraph"/>
              <w:spacing w:before="43"/>
              <w:ind w:left="43"/>
              <w:rPr>
                <w:rFonts w:ascii="Times New Roman"/>
                <w:sz w:val="21"/>
              </w:rPr>
            </w:pPr>
            <w:r>
              <w:rPr>
                <w:rFonts w:ascii="Times New Roman"/>
                <w:w w:val="100"/>
                <w:sz w:val="21"/>
              </w:rPr>
              <w:t>/</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2" w:right="532"/>
              <w:rPr>
                <w:sz w:val="21"/>
              </w:rPr>
            </w:pPr>
            <w:r>
              <w:rPr>
                <w:sz w:val="21"/>
              </w:rPr>
              <w:t>地面冲洗废水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3"/>
              <w:ind w:left="398"/>
              <w:jc w:val="left"/>
              <w:rPr>
                <w:rFonts w:ascii="Times New Roman"/>
                <w:sz w:val="21"/>
              </w:rPr>
            </w:pPr>
            <w:r>
              <w:rPr>
                <w:rFonts w:ascii="Times New Roman"/>
                <w:sz w:val="21"/>
              </w:rPr>
              <w:t>10.11</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3"/>
              <w:ind w:left="248" w:right="220"/>
              <w:rPr>
                <w:rFonts w:ascii="Times New Roman"/>
                <w:sz w:val="21"/>
              </w:rPr>
            </w:pPr>
            <w:r>
              <w:rPr>
                <w:rFonts w:ascii="Times New Roman"/>
                <w:sz w:val="21"/>
              </w:rPr>
              <w:t>600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3"/>
              <w:ind w:left="234" w:right="203"/>
              <w:rPr>
                <w:rFonts w:ascii="Times New Roman"/>
                <w:sz w:val="21"/>
              </w:rPr>
            </w:pPr>
            <w:r>
              <w:rPr>
                <w:rFonts w:ascii="Times New Roman"/>
                <w:sz w:val="21"/>
              </w:rPr>
              <w:t>40</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219" w:right="188"/>
              <w:rPr>
                <w:rFonts w:ascii="Times New Roman"/>
                <w:sz w:val="21"/>
              </w:rPr>
            </w:pPr>
            <w:r>
              <w:rPr>
                <w:rFonts w:ascii="Times New Roman"/>
                <w:sz w:val="21"/>
              </w:rPr>
              <w:t>15</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3"/>
              <w:ind w:left="195" w:right="165"/>
              <w:rPr>
                <w:rFonts w:ascii="Times New Roman"/>
                <w:sz w:val="21"/>
              </w:rPr>
            </w:pPr>
            <w:r>
              <w:rPr>
                <w:rFonts w:ascii="Times New Roman"/>
                <w:sz w:val="21"/>
              </w:rPr>
              <w:t>15</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3"/>
              <w:ind w:left="373" w:right="343"/>
              <w:rPr>
                <w:rFonts w:ascii="Times New Roman"/>
                <w:sz w:val="21"/>
              </w:rPr>
            </w:pPr>
            <w:r>
              <w:rPr>
                <w:rFonts w:ascii="Times New Roman"/>
                <w:sz w:val="21"/>
              </w:rPr>
              <w:t>300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w w:val="100"/>
                <w:sz w:val="21"/>
              </w:rPr>
              <w:t>/</w:t>
            </w:r>
          </w:p>
        </w:tc>
        <w:tc>
          <w:tcPr>
            <w:tcW w:w="840" w:type="dxa"/>
            <w:tcBorders>
              <w:top w:val="single" w:sz="6" w:space="0" w:color="000000"/>
              <w:left w:val="single" w:sz="6" w:space="0" w:color="000000"/>
              <w:bottom w:val="single" w:sz="6" w:space="0" w:color="000000"/>
            </w:tcBorders>
          </w:tcPr>
          <w:p>
            <w:pPr>
              <w:pStyle w:val="TableParagraph"/>
              <w:spacing w:before="43"/>
              <w:ind w:left="43"/>
              <w:rPr>
                <w:rFonts w:ascii="Times New Roman"/>
                <w:sz w:val="21"/>
              </w:rPr>
            </w:pPr>
            <w:r>
              <w:rPr>
                <w:rFonts w:ascii="Times New Roman"/>
                <w:w w:val="100"/>
                <w:sz w:val="21"/>
              </w:rPr>
              <w:t>/</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2" w:right="532"/>
              <w:rPr>
                <w:sz w:val="21"/>
              </w:rPr>
            </w:pPr>
            <w:r>
              <w:rPr>
                <w:sz w:val="21"/>
              </w:rPr>
              <w:t>设备冲洗废水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3"/>
              <w:ind w:left="451"/>
              <w:jc w:val="left"/>
              <w:rPr>
                <w:rFonts w:ascii="Times New Roman"/>
                <w:sz w:val="21"/>
              </w:rPr>
            </w:pPr>
            <w:r>
              <w:rPr>
                <w:rFonts w:ascii="Times New Roman"/>
                <w:sz w:val="21"/>
              </w:rPr>
              <w:t>0.33</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3"/>
              <w:ind w:left="248" w:right="220"/>
              <w:rPr>
                <w:rFonts w:ascii="Times New Roman"/>
                <w:sz w:val="21"/>
              </w:rPr>
            </w:pPr>
            <w:r>
              <w:rPr>
                <w:rFonts w:ascii="Times New Roman"/>
                <w:sz w:val="21"/>
              </w:rPr>
              <w:t>600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3"/>
              <w:ind w:left="234" w:right="203"/>
              <w:rPr>
                <w:rFonts w:ascii="Times New Roman"/>
                <w:sz w:val="21"/>
              </w:rPr>
            </w:pPr>
            <w:r>
              <w:rPr>
                <w:rFonts w:ascii="Times New Roman"/>
                <w:sz w:val="21"/>
              </w:rPr>
              <w:t>40</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219" w:right="188"/>
              <w:rPr>
                <w:rFonts w:ascii="Times New Roman"/>
                <w:sz w:val="21"/>
              </w:rPr>
            </w:pPr>
            <w:r>
              <w:rPr>
                <w:rFonts w:ascii="Times New Roman"/>
                <w:sz w:val="21"/>
              </w:rPr>
              <w:t>15</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3"/>
              <w:ind w:left="195" w:right="165"/>
              <w:rPr>
                <w:rFonts w:ascii="Times New Roman"/>
                <w:sz w:val="21"/>
              </w:rPr>
            </w:pPr>
            <w:r>
              <w:rPr>
                <w:rFonts w:ascii="Times New Roman"/>
                <w:sz w:val="21"/>
              </w:rPr>
              <w:t>10</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3"/>
              <w:ind w:left="373" w:right="343"/>
              <w:rPr>
                <w:rFonts w:ascii="Times New Roman"/>
                <w:sz w:val="21"/>
              </w:rPr>
            </w:pPr>
            <w:r>
              <w:rPr>
                <w:rFonts w:ascii="Times New Roman"/>
                <w:sz w:val="21"/>
              </w:rPr>
              <w:t>250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3"/>
              <w:ind w:left="247" w:right="218"/>
              <w:rPr>
                <w:rFonts w:ascii="Times New Roman"/>
                <w:sz w:val="21"/>
              </w:rPr>
            </w:pPr>
            <w:r>
              <w:rPr>
                <w:rFonts w:ascii="Times New Roman"/>
                <w:sz w:val="21"/>
              </w:rPr>
              <w:t>6~9</w:t>
            </w:r>
          </w:p>
        </w:tc>
        <w:tc>
          <w:tcPr>
            <w:tcW w:w="840" w:type="dxa"/>
            <w:tcBorders>
              <w:top w:val="single" w:sz="6" w:space="0" w:color="000000"/>
              <w:left w:val="single" w:sz="6" w:space="0" w:color="000000"/>
              <w:bottom w:val="single" w:sz="6" w:space="0" w:color="000000"/>
            </w:tcBorders>
          </w:tcPr>
          <w:p>
            <w:pPr>
              <w:pStyle w:val="TableParagraph"/>
              <w:spacing w:before="43"/>
              <w:ind w:left="43"/>
              <w:rPr>
                <w:rFonts w:ascii="Times New Roman"/>
                <w:sz w:val="21"/>
              </w:rPr>
            </w:pPr>
            <w:r>
              <w:rPr>
                <w:rFonts w:ascii="Times New Roman"/>
                <w:w w:val="100"/>
                <w:sz w:val="21"/>
              </w:rPr>
              <w:t>/</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5" w:right="532"/>
              <w:rPr>
                <w:sz w:val="21"/>
              </w:rPr>
            </w:pPr>
            <w:r>
              <w:rPr>
                <w:sz w:val="21"/>
              </w:rPr>
              <w:t>废气处理装置废水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3"/>
              <w:ind w:left="451"/>
              <w:jc w:val="left"/>
              <w:rPr>
                <w:rFonts w:ascii="Times New Roman"/>
                <w:sz w:val="21"/>
              </w:rPr>
            </w:pPr>
            <w:r>
              <w:rPr>
                <w:rFonts w:ascii="Times New Roman"/>
                <w:sz w:val="21"/>
              </w:rPr>
              <w:t>0.92</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3"/>
              <w:ind w:left="248" w:right="220"/>
              <w:rPr>
                <w:rFonts w:ascii="Times New Roman"/>
                <w:sz w:val="21"/>
              </w:rPr>
            </w:pPr>
            <w:r>
              <w:rPr>
                <w:rFonts w:ascii="Times New Roman"/>
                <w:sz w:val="21"/>
              </w:rPr>
              <w:t>5000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3"/>
              <w:ind w:left="234" w:right="203"/>
              <w:rPr>
                <w:rFonts w:ascii="Times New Roman"/>
                <w:sz w:val="21"/>
              </w:rPr>
            </w:pPr>
            <w:r>
              <w:rPr>
                <w:rFonts w:ascii="Times New Roman"/>
                <w:sz w:val="21"/>
              </w:rPr>
              <w:t>180</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219" w:right="188"/>
              <w:rPr>
                <w:rFonts w:ascii="Times New Roman"/>
                <w:sz w:val="21"/>
              </w:rPr>
            </w:pPr>
            <w:r>
              <w:rPr>
                <w:rFonts w:ascii="Times New Roman"/>
                <w:sz w:val="21"/>
              </w:rPr>
              <w:t>50</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w w:val="100"/>
                <w:sz w:val="21"/>
              </w:rPr>
              <w:t>2</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3"/>
              <w:ind w:left="373" w:right="343"/>
              <w:rPr>
                <w:rFonts w:ascii="Times New Roman"/>
                <w:sz w:val="21"/>
              </w:rPr>
            </w:pPr>
            <w:r>
              <w:rPr>
                <w:rFonts w:ascii="Times New Roman"/>
                <w:sz w:val="21"/>
              </w:rPr>
              <w:t>300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3"/>
              <w:ind w:left="247" w:right="218"/>
              <w:rPr>
                <w:rFonts w:ascii="Times New Roman"/>
                <w:sz w:val="21"/>
              </w:rPr>
            </w:pPr>
            <w:r>
              <w:rPr>
                <w:rFonts w:ascii="Times New Roman"/>
                <w:sz w:val="21"/>
              </w:rPr>
              <w:t>6~9</w:t>
            </w:r>
          </w:p>
        </w:tc>
        <w:tc>
          <w:tcPr>
            <w:tcW w:w="840" w:type="dxa"/>
            <w:tcBorders>
              <w:top w:val="single" w:sz="6" w:space="0" w:color="000000"/>
              <w:left w:val="single" w:sz="6" w:space="0" w:color="000000"/>
              <w:bottom w:val="single" w:sz="6" w:space="0" w:color="000000"/>
            </w:tcBorders>
          </w:tcPr>
          <w:p>
            <w:pPr>
              <w:pStyle w:val="TableParagraph"/>
              <w:spacing w:before="43"/>
              <w:ind w:left="43"/>
              <w:rPr>
                <w:rFonts w:ascii="Times New Roman"/>
                <w:sz w:val="21"/>
              </w:rPr>
            </w:pPr>
            <w:r>
              <w:rPr>
                <w:rFonts w:ascii="Times New Roman"/>
                <w:w w:val="100"/>
                <w:sz w:val="21"/>
              </w:rPr>
              <w:t>/</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5" w:right="532"/>
              <w:rPr>
                <w:sz w:val="21"/>
              </w:rPr>
            </w:pPr>
            <w:r>
              <w:rPr>
                <w:sz w:val="21"/>
              </w:rPr>
              <w:t>软水制备系统排浓水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3"/>
              <w:ind w:left="451"/>
              <w:jc w:val="left"/>
              <w:rPr>
                <w:rFonts w:ascii="Times New Roman"/>
                <w:sz w:val="21"/>
              </w:rPr>
            </w:pPr>
            <w:r>
              <w:rPr>
                <w:rFonts w:ascii="Times New Roman"/>
                <w:sz w:val="21"/>
              </w:rPr>
              <w:t>57.9</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3"/>
              <w:ind w:left="29"/>
              <w:rPr>
                <w:rFonts w:ascii="Times New Roman"/>
                <w:sz w:val="21"/>
              </w:rPr>
            </w:pPr>
            <w:r>
              <w:rPr>
                <w:rFonts w:ascii="Times New Roman"/>
                <w:w w:val="100"/>
                <w:sz w:val="21"/>
              </w:rPr>
              <w:t>/</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3"/>
              <w:ind w:left="32"/>
              <w:rPr>
                <w:rFonts w:ascii="Times New Roman"/>
                <w:sz w:val="21"/>
              </w:rPr>
            </w:pPr>
            <w:r>
              <w:rPr>
                <w:rFonts w:ascii="Times New Roman"/>
                <w:w w:val="100"/>
                <w:sz w:val="21"/>
              </w:rPr>
              <w:t>/</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32"/>
              <w:rPr>
                <w:rFonts w:ascii="Times New Roman"/>
                <w:sz w:val="21"/>
              </w:rPr>
            </w:pPr>
            <w:r>
              <w:rPr>
                <w:rFonts w:ascii="Times New Roman"/>
                <w:w w:val="100"/>
                <w:sz w:val="21"/>
              </w:rPr>
              <w:t>/</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3"/>
              <w:ind w:left="31"/>
              <w:rPr>
                <w:rFonts w:ascii="Times New Roman"/>
                <w:sz w:val="21"/>
              </w:rPr>
            </w:pPr>
            <w:r>
              <w:rPr>
                <w:rFonts w:ascii="Times New Roman"/>
                <w:w w:val="100"/>
                <w:sz w:val="21"/>
              </w:rPr>
              <w:t>/</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3"/>
              <w:ind w:left="31"/>
              <w:rPr>
                <w:rFonts w:ascii="Times New Roman"/>
                <w:sz w:val="21"/>
              </w:rPr>
            </w:pPr>
            <w:r>
              <w:rPr>
                <w:rFonts w:ascii="Times New Roman"/>
                <w:w w:val="100"/>
                <w:sz w:val="21"/>
              </w:rPr>
              <w:t>/</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3"/>
              <w:ind w:left="247" w:right="218"/>
              <w:rPr>
                <w:rFonts w:ascii="Times New Roman"/>
                <w:sz w:val="21"/>
              </w:rPr>
            </w:pPr>
            <w:r>
              <w:rPr>
                <w:rFonts w:ascii="Times New Roman"/>
                <w:sz w:val="21"/>
              </w:rPr>
              <w:t>6~9</w:t>
            </w:r>
          </w:p>
        </w:tc>
        <w:tc>
          <w:tcPr>
            <w:tcW w:w="840" w:type="dxa"/>
            <w:tcBorders>
              <w:top w:val="single" w:sz="6" w:space="0" w:color="000000"/>
              <w:left w:val="single" w:sz="6" w:space="0" w:color="000000"/>
              <w:bottom w:val="single" w:sz="6" w:space="0" w:color="000000"/>
            </w:tcBorders>
          </w:tcPr>
          <w:p>
            <w:pPr>
              <w:pStyle w:val="TableParagraph"/>
              <w:spacing w:before="43"/>
              <w:ind w:left="173" w:right="131"/>
              <w:rPr>
                <w:rFonts w:ascii="Times New Roman"/>
                <w:sz w:val="21"/>
              </w:rPr>
            </w:pPr>
            <w:r>
              <w:rPr>
                <w:rFonts w:ascii="Times New Roman"/>
                <w:sz w:val="21"/>
              </w:rPr>
              <w:t>2000</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2" w:right="532"/>
              <w:rPr>
                <w:sz w:val="21"/>
              </w:rPr>
            </w:pPr>
            <w:r>
              <w:rPr>
                <w:sz w:val="21"/>
              </w:rPr>
              <w:t>冷却循环排污水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3"/>
              <w:ind w:left="508" w:right="482"/>
              <w:rPr>
                <w:rFonts w:ascii="Times New Roman"/>
                <w:sz w:val="21"/>
              </w:rPr>
            </w:pPr>
            <w:r>
              <w:rPr>
                <w:rFonts w:ascii="Times New Roman"/>
                <w:sz w:val="21"/>
              </w:rPr>
              <w:t>54</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3"/>
              <w:ind w:left="248" w:right="220"/>
              <w:rPr>
                <w:rFonts w:ascii="Times New Roman"/>
                <w:sz w:val="21"/>
              </w:rPr>
            </w:pPr>
            <w:r>
              <w:rPr>
                <w:rFonts w:ascii="Times New Roman"/>
                <w:sz w:val="21"/>
              </w:rPr>
              <w:t>60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3"/>
              <w:ind w:left="32"/>
              <w:rPr>
                <w:rFonts w:ascii="Times New Roman"/>
                <w:sz w:val="21"/>
              </w:rPr>
            </w:pPr>
            <w:r>
              <w:rPr>
                <w:rFonts w:ascii="Times New Roman"/>
                <w:w w:val="100"/>
                <w:sz w:val="21"/>
              </w:rPr>
              <w:t>/</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219" w:right="188"/>
              <w:rPr>
                <w:rFonts w:ascii="Times New Roman"/>
                <w:sz w:val="21"/>
              </w:rPr>
            </w:pPr>
            <w:r>
              <w:rPr>
                <w:rFonts w:ascii="Times New Roman"/>
                <w:sz w:val="21"/>
              </w:rPr>
              <w:t>10</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3"/>
              <w:ind w:left="31"/>
              <w:rPr>
                <w:rFonts w:ascii="Times New Roman"/>
                <w:sz w:val="21"/>
              </w:rPr>
            </w:pPr>
            <w:r>
              <w:rPr>
                <w:rFonts w:ascii="Times New Roman"/>
                <w:w w:val="100"/>
                <w:sz w:val="21"/>
              </w:rPr>
              <w:t>/</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3"/>
              <w:ind w:left="373" w:right="343"/>
              <w:rPr>
                <w:rFonts w:ascii="Times New Roman"/>
                <w:sz w:val="21"/>
              </w:rPr>
            </w:pPr>
            <w:r>
              <w:rPr>
                <w:rFonts w:ascii="Times New Roman"/>
                <w:sz w:val="21"/>
              </w:rPr>
              <w:t>500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3"/>
              <w:ind w:left="247" w:right="218"/>
              <w:rPr>
                <w:rFonts w:ascii="Times New Roman"/>
                <w:sz w:val="21"/>
              </w:rPr>
            </w:pPr>
            <w:r>
              <w:rPr>
                <w:rFonts w:ascii="Times New Roman"/>
                <w:sz w:val="21"/>
              </w:rPr>
              <w:t>6~9</w:t>
            </w:r>
          </w:p>
        </w:tc>
        <w:tc>
          <w:tcPr>
            <w:tcW w:w="840" w:type="dxa"/>
            <w:tcBorders>
              <w:top w:val="single" w:sz="6" w:space="0" w:color="000000"/>
              <w:left w:val="single" w:sz="6" w:space="0" w:color="000000"/>
              <w:bottom w:val="single" w:sz="6" w:space="0" w:color="000000"/>
            </w:tcBorders>
          </w:tcPr>
          <w:p>
            <w:pPr>
              <w:pStyle w:val="TableParagraph"/>
              <w:spacing w:before="43"/>
              <w:ind w:left="173" w:right="131"/>
              <w:rPr>
                <w:rFonts w:ascii="Times New Roman"/>
                <w:sz w:val="21"/>
              </w:rPr>
            </w:pPr>
            <w:r>
              <w:rPr>
                <w:rFonts w:ascii="Times New Roman"/>
                <w:sz w:val="21"/>
              </w:rPr>
              <w:t>1000</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1" w:lineRule="exact"/>
              <w:ind w:left="555" w:right="532"/>
              <w:rPr>
                <w:sz w:val="21"/>
              </w:rPr>
            </w:pPr>
            <w:r>
              <w:rPr>
                <w:sz w:val="21"/>
              </w:rPr>
              <w:t>蒸汽冷凝水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4"/>
              <w:ind w:left="451"/>
              <w:jc w:val="left"/>
              <w:rPr>
                <w:rFonts w:ascii="Times New Roman"/>
                <w:sz w:val="21"/>
              </w:rPr>
            </w:pPr>
            <w:r>
              <w:rPr>
                <w:rFonts w:ascii="Times New Roman"/>
                <w:sz w:val="21"/>
              </w:rPr>
              <w:t>44.8</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4"/>
              <w:ind w:left="248" w:right="220"/>
              <w:rPr>
                <w:rFonts w:ascii="Times New Roman"/>
                <w:sz w:val="21"/>
              </w:rPr>
            </w:pPr>
            <w:r>
              <w:rPr>
                <w:rFonts w:ascii="Times New Roman"/>
                <w:sz w:val="21"/>
              </w:rPr>
              <w:t>60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4"/>
              <w:ind w:left="32"/>
              <w:rPr>
                <w:rFonts w:ascii="Times New Roman"/>
                <w:sz w:val="21"/>
              </w:rPr>
            </w:pPr>
            <w:r>
              <w:rPr>
                <w:rFonts w:ascii="Times New Roman"/>
                <w:w w:val="100"/>
                <w:sz w:val="21"/>
              </w:rPr>
              <w:t>/</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4"/>
              <w:ind w:left="219" w:right="188"/>
              <w:rPr>
                <w:rFonts w:ascii="Times New Roman"/>
                <w:sz w:val="21"/>
              </w:rPr>
            </w:pPr>
            <w:r>
              <w:rPr>
                <w:rFonts w:ascii="Times New Roman"/>
                <w:sz w:val="21"/>
              </w:rPr>
              <w:t>10</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4"/>
              <w:ind w:left="31"/>
              <w:rPr>
                <w:rFonts w:ascii="Times New Roman"/>
                <w:sz w:val="21"/>
              </w:rPr>
            </w:pPr>
            <w:r>
              <w:rPr>
                <w:rFonts w:ascii="Times New Roman"/>
                <w:w w:val="100"/>
                <w:sz w:val="21"/>
              </w:rPr>
              <w:t>/</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4"/>
              <w:ind w:left="373" w:right="343"/>
              <w:rPr>
                <w:rFonts w:ascii="Times New Roman"/>
                <w:sz w:val="21"/>
              </w:rPr>
            </w:pPr>
            <w:r>
              <w:rPr>
                <w:rFonts w:ascii="Times New Roman"/>
                <w:sz w:val="21"/>
              </w:rPr>
              <w:t>200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4"/>
              <w:ind w:left="247" w:right="218"/>
              <w:rPr>
                <w:rFonts w:ascii="Times New Roman"/>
                <w:sz w:val="21"/>
              </w:rPr>
            </w:pPr>
            <w:r>
              <w:rPr>
                <w:rFonts w:ascii="Times New Roman"/>
                <w:sz w:val="21"/>
              </w:rPr>
              <w:t>6~9</w:t>
            </w:r>
          </w:p>
        </w:tc>
        <w:tc>
          <w:tcPr>
            <w:tcW w:w="840" w:type="dxa"/>
            <w:tcBorders>
              <w:top w:val="single" w:sz="6" w:space="0" w:color="000000"/>
              <w:left w:val="single" w:sz="6" w:space="0" w:color="000000"/>
              <w:bottom w:val="single" w:sz="6" w:space="0" w:color="000000"/>
            </w:tcBorders>
          </w:tcPr>
          <w:p>
            <w:pPr>
              <w:pStyle w:val="TableParagraph"/>
              <w:spacing w:before="44"/>
              <w:ind w:left="43"/>
              <w:rPr>
                <w:rFonts w:ascii="Times New Roman"/>
                <w:sz w:val="21"/>
              </w:rPr>
            </w:pPr>
            <w:r>
              <w:rPr>
                <w:rFonts w:ascii="Times New Roman"/>
                <w:w w:val="100"/>
                <w:sz w:val="21"/>
              </w:rPr>
              <w:t>/</w:t>
            </w:r>
          </w:p>
        </w:tc>
      </w:tr>
      <w:tr>
        <w:trPr>
          <w:trHeight w:val="340" w:hRule="atLeast"/>
        </w:trPr>
        <w:tc>
          <w:tcPr>
            <w:tcW w:w="4930" w:type="dxa"/>
            <w:tcBorders>
              <w:top w:val="single" w:sz="6" w:space="0" w:color="000000"/>
              <w:bottom w:val="single" w:sz="6" w:space="0" w:color="000000"/>
              <w:right w:val="single" w:sz="6" w:space="0" w:color="000000"/>
            </w:tcBorders>
          </w:tcPr>
          <w:p>
            <w:pPr>
              <w:pStyle w:val="TableParagraph"/>
              <w:spacing w:line="320" w:lineRule="exact"/>
              <w:ind w:left="555" w:right="532"/>
              <w:rPr>
                <w:sz w:val="21"/>
              </w:rPr>
            </w:pPr>
            <w:r>
              <w:rPr>
                <w:sz w:val="21"/>
              </w:rPr>
              <w:t>生活污水</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43"/>
              <w:ind w:left="398"/>
              <w:jc w:val="left"/>
              <w:rPr>
                <w:rFonts w:ascii="Times New Roman"/>
                <w:sz w:val="21"/>
              </w:rPr>
            </w:pPr>
            <w:r>
              <w:rPr>
                <w:rFonts w:ascii="Times New Roman"/>
                <w:sz w:val="21"/>
              </w:rPr>
              <w:t>10.24</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43"/>
              <w:ind w:left="248" w:right="220"/>
              <w:rPr>
                <w:rFonts w:ascii="Times New Roman"/>
                <w:sz w:val="21"/>
              </w:rPr>
            </w:pPr>
            <w:r>
              <w:rPr>
                <w:rFonts w:ascii="Times New Roman"/>
                <w:sz w:val="21"/>
              </w:rPr>
              <w:t>400</w:t>
            </w:r>
          </w:p>
        </w:tc>
        <w:tc>
          <w:tcPr>
            <w:tcW w:w="1070" w:type="dxa"/>
            <w:tcBorders>
              <w:top w:val="single" w:sz="6" w:space="0" w:color="000000"/>
              <w:left w:val="single" w:sz="6" w:space="0" w:color="000000"/>
              <w:bottom w:val="single" w:sz="6" w:space="0" w:color="000000"/>
              <w:right w:val="single" w:sz="6" w:space="0" w:color="000000"/>
            </w:tcBorders>
          </w:tcPr>
          <w:p>
            <w:pPr>
              <w:pStyle w:val="TableParagraph"/>
              <w:spacing w:before="43"/>
              <w:ind w:left="234" w:right="203"/>
              <w:rPr>
                <w:rFonts w:ascii="Times New Roman"/>
                <w:sz w:val="21"/>
              </w:rPr>
            </w:pPr>
            <w:r>
              <w:rPr>
                <w:rFonts w:ascii="Times New Roman"/>
                <w:sz w:val="21"/>
              </w:rPr>
              <w:t>150</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219" w:right="188"/>
              <w:rPr>
                <w:rFonts w:ascii="Times New Roman"/>
                <w:sz w:val="21"/>
              </w:rPr>
            </w:pPr>
            <w:r>
              <w:rPr>
                <w:rFonts w:ascii="Times New Roman"/>
                <w:sz w:val="21"/>
              </w:rPr>
              <w:t>40</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43"/>
              <w:ind w:left="195" w:right="165"/>
              <w:rPr>
                <w:rFonts w:ascii="Times New Roman"/>
                <w:sz w:val="21"/>
              </w:rPr>
            </w:pPr>
            <w:r>
              <w:rPr>
                <w:rFonts w:ascii="Times New Roman"/>
                <w:sz w:val="21"/>
              </w:rPr>
              <w:t>20</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3"/>
              <w:ind w:left="373" w:right="343"/>
              <w:rPr>
                <w:rFonts w:ascii="Times New Roman"/>
                <w:sz w:val="21"/>
              </w:rPr>
            </w:pPr>
            <w:r>
              <w:rPr>
                <w:rFonts w:ascii="Times New Roman"/>
                <w:sz w:val="21"/>
              </w:rPr>
              <w:t>400</w:t>
            </w:r>
          </w:p>
        </w:tc>
        <w:tc>
          <w:tcPr>
            <w:tcW w:w="844"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w w:val="100"/>
                <w:sz w:val="21"/>
              </w:rPr>
              <w:t>/</w:t>
            </w:r>
          </w:p>
        </w:tc>
        <w:tc>
          <w:tcPr>
            <w:tcW w:w="840" w:type="dxa"/>
            <w:tcBorders>
              <w:top w:val="single" w:sz="6" w:space="0" w:color="000000"/>
              <w:left w:val="single" w:sz="6" w:space="0" w:color="000000"/>
              <w:bottom w:val="single" w:sz="6" w:space="0" w:color="000000"/>
            </w:tcBorders>
          </w:tcPr>
          <w:p>
            <w:pPr>
              <w:pStyle w:val="TableParagraph"/>
              <w:spacing w:before="43"/>
              <w:ind w:left="43"/>
              <w:rPr>
                <w:rFonts w:ascii="Times New Roman"/>
                <w:sz w:val="21"/>
              </w:rPr>
            </w:pPr>
            <w:r>
              <w:rPr>
                <w:rFonts w:ascii="Times New Roman"/>
                <w:w w:val="100"/>
                <w:sz w:val="21"/>
              </w:rPr>
              <w:t>/</w:t>
            </w:r>
          </w:p>
        </w:tc>
      </w:tr>
      <w:tr>
        <w:trPr>
          <w:trHeight w:val="337" w:hRule="atLeast"/>
        </w:trPr>
        <w:tc>
          <w:tcPr>
            <w:tcW w:w="4930" w:type="dxa"/>
            <w:tcBorders>
              <w:top w:val="single" w:sz="6" w:space="0" w:color="000000"/>
              <w:right w:val="single" w:sz="6" w:space="0" w:color="000000"/>
            </w:tcBorders>
          </w:tcPr>
          <w:p>
            <w:pPr>
              <w:pStyle w:val="TableParagraph"/>
              <w:spacing w:line="318" w:lineRule="exact"/>
              <w:ind w:left="552" w:right="532"/>
              <w:rPr>
                <w:sz w:val="21"/>
              </w:rPr>
            </w:pPr>
            <w:r>
              <w:rPr>
                <w:sz w:val="21"/>
              </w:rPr>
              <w:t>合计</w:t>
            </w:r>
          </w:p>
        </w:tc>
        <w:tc>
          <w:tcPr>
            <w:tcW w:w="1255" w:type="dxa"/>
            <w:tcBorders>
              <w:top w:val="single" w:sz="6" w:space="0" w:color="000000"/>
              <w:left w:val="single" w:sz="6" w:space="0" w:color="000000"/>
              <w:right w:val="single" w:sz="6" w:space="0" w:color="000000"/>
            </w:tcBorders>
          </w:tcPr>
          <w:p>
            <w:pPr>
              <w:pStyle w:val="TableParagraph"/>
              <w:spacing w:before="43"/>
              <w:ind w:left="398"/>
              <w:jc w:val="left"/>
              <w:rPr>
                <w:rFonts w:ascii="Times New Roman"/>
                <w:sz w:val="21"/>
              </w:rPr>
            </w:pPr>
            <w:r>
              <w:rPr>
                <w:rFonts w:ascii="Times New Roman"/>
                <w:sz w:val="21"/>
              </w:rPr>
              <w:t>216.3</w:t>
            </w:r>
          </w:p>
        </w:tc>
        <w:tc>
          <w:tcPr>
            <w:tcW w:w="1207" w:type="dxa"/>
            <w:tcBorders>
              <w:top w:val="single" w:sz="6" w:space="0" w:color="000000"/>
              <w:left w:val="single" w:sz="6" w:space="0" w:color="000000"/>
              <w:right w:val="single" w:sz="6" w:space="0" w:color="000000"/>
            </w:tcBorders>
          </w:tcPr>
          <w:p>
            <w:pPr>
              <w:pStyle w:val="TableParagraph"/>
              <w:spacing w:before="43"/>
              <w:ind w:left="249" w:right="220"/>
              <w:rPr>
                <w:rFonts w:ascii="Times New Roman"/>
                <w:sz w:val="21"/>
              </w:rPr>
            </w:pPr>
            <w:r>
              <w:rPr>
                <w:rFonts w:ascii="Times New Roman"/>
                <w:sz w:val="21"/>
              </w:rPr>
              <w:t>10305.5</w:t>
            </w:r>
          </w:p>
        </w:tc>
        <w:tc>
          <w:tcPr>
            <w:tcW w:w="1070" w:type="dxa"/>
            <w:tcBorders>
              <w:top w:val="single" w:sz="6" w:space="0" w:color="000000"/>
              <w:left w:val="single" w:sz="6" w:space="0" w:color="000000"/>
              <w:right w:val="single" w:sz="6" w:space="0" w:color="000000"/>
            </w:tcBorders>
          </w:tcPr>
          <w:p>
            <w:pPr>
              <w:pStyle w:val="TableParagraph"/>
              <w:spacing w:before="43"/>
              <w:ind w:left="234" w:right="203"/>
              <w:rPr>
                <w:rFonts w:ascii="Times New Roman"/>
                <w:sz w:val="21"/>
              </w:rPr>
            </w:pPr>
            <w:r>
              <w:rPr>
                <w:rFonts w:ascii="Times New Roman"/>
                <w:sz w:val="21"/>
              </w:rPr>
              <w:t>2494.0</w:t>
            </w:r>
          </w:p>
        </w:tc>
        <w:tc>
          <w:tcPr>
            <w:tcW w:w="936" w:type="dxa"/>
            <w:tcBorders>
              <w:top w:val="single" w:sz="6" w:space="0" w:color="000000"/>
              <w:left w:val="single" w:sz="6" w:space="0" w:color="000000"/>
              <w:right w:val="single" w:sz="6" w:space="0" w:color="000000"/>
            </w:tcBorders>
          </w:tcPr>
          <w:p>
            <w:pPr>
              <w:pStyle w:val="TableParagraph"/>
              <w:spacing w:before="43"/>
              <w:ind w:left="219" w:right="188"/>
              <w:rPr>
                <w:rFonts w:ascii="Times New Roman"/>
                <w:sz w:val="21"/>
              </w:rPr>
            </w:pPr>
            <w:r>
              <w:rPr>
                <w:rFonts w:ascii="Times New Roman"/>
                <w:sz w:val="21"/>
              </w:rPr>
              <w:t>196.1</w:t>
            </w:r>
          </w:p>
        </w:tc>
        <w:tc>
          <w:tcPr>
            <w:tcW w:w="1049" w:type="dxa"/>
            <w:tcBorders>
              <w:top w:val="single" w:sz="6" w:space="0" w:color="000000"/>
              <w:left w:val="single" w:sz="6" w:space="0" w:color="000000"/>
              <w:right w:val="single" w:sz="6" w:space="0" w:color="000000"/>
            </w:tcBorders>
          </w:tcPr>
          <w:p>
            <w:pPr>
              <w:pStyle w:val="TableParagraph"/>
              <w:spacing w:before="43"/>
              <w:ind w:left="198" w:right="165"/>
              <w:rPr>
                <w:rFonts w:ascii="Times New Roman"/>
                <w:sz w:val="21"/>
              </w:rPr>
            </w:pPr>
            <w:r>
              <w:rPr>
                <w:rFonts w:ascii="Times New Roman"/>
                <w:sz w:val="21"/>
              </w:rPr>
              <w:t>2.4</w:t>
            </w:r>
          </w:p>
        </w:tc>
        <w:tc>
          <w:tcPr>
            <w:tcW w:w="1245" w:type="dxa"/>
            <w:tcBorders>
              <w:top w:val="single" w:sz="6" w:space="0" w:color="000000"/>
              <w:left w:val="single" w:sz="6" w:space="0" w:color="000000"/>
              <w:right w:val="single" w:sz="6" w:space="0" w:color="000000"/>
            </w:tcBorders>
          </w:tcPr>
          <w:p>
            <w:pPr>
              <w:pStyle w:val="TableParagraph"/>
              <w:spacing w:before="43"/>
              <w:ind w:left="373" w:right="343"/>
              <w:rPr>
                <w:rFonts w:ascii="Times New Roman"/>
                <w:sz w:val="21"/>
              </w:rPr>
            </w:pPr>
            <w:r>
              <w:rPr>
                <w:rFonts w:ascii="Times New Roman"/>
                <w:sz w:val="21"/>
              </w:rPr>
              <w:t>215.5</w:t>
            </w:r>
          </w:p>
        </w:tc>
        <w:tc>
          <w:tcPr>
            <w:tcW w:w="844" w:type="dxa"/>
            <w:tcBorders>
              <w:top w:val="single" w:sz="6" w:space="0" w:color="000000"/>
              <w:left w:val="single" w:sz="6" w:space="0" w:color="000000"/>
              <w:right w:val="single" w:sz="6" w:space="0" w:color="000000"/>
            </w:tcBorders>
          </w:tcPr>
          <w:p>
            <w:pPr>
              <w:pStyle w:val="TableParagraph"/>
              <w:spacing w:before="43"/>
              <w:ind w:left="30"/>
              <w:rPr>
                <w:rFonts w:ascii="Times New Roman"/>
                <w:sz w:val="21"/>
              </w:rPr>
            </w:pPr>
            <w:r>
              <w:rPr>
                <w:rFonts w:ascii="Times New Roman"/>
                <w:w w:val="100"/>
                <w:sz w:val="21"/>
              </w:rPr>
              <w:t>/</w:t>
            </w:r>
          </w:p>
        </w:tc>
        <w:tc>
          <w:tcPr>
            <w:tcW w:w="840" w:type="dxa"/>
            <w:tcBorders>
              <w:top w:val="single" w:sz="6" w:space="0" w:color="000000"/>
              <w:left w:val="single" w:sz="6" w:space="0" w:color="000000"/>
            </w:tcBorders>
          </w:tcPr>
          <w:p>
            <w:pPr>
              <w:pStyle w:val="TableParagraph"/>
              <w:spacing w:before="43"/>
              <w:ind w:left="173" w:right="131"/>
              <w:rPr>
                <w:rFonts w:ascii="Times New Roman"/>
                <w:sz w:val="21"/>
              </w:rPr>
            </w:pPr>
            <w:r>
              <w:rPr>
                <w:rFonts w:ascii="Times New Roman"/>
                <w:sz w:val="21"/>
              </w:rPr>
              <w:t>828.4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1000;mso-wrap-distance-left:0;mso-wrap-distance-right:0" from="88.463997pt,21.705999pt" to="753.603997pt,21.705999pt" stroked="true" strokeweight=".47998pt" strokecolor="#000000">
            <v:stroke dashstyle="solid"/>
            <w10:wrap type="topAndBottom"/>
          </v:line>
        </w:pict>
      </w:r>
    </w:p>
    <w:p>
      <w:pPr>
        <w:tabs>
          <w:tab w:pos="10602" w:val="left" w:leader="none"/>
        </w:tabs>
        <w:spacing w:line="286" w:lineRule="exact" w:before="0"/>
        <w:ind w:left="6632" w:right="0" w:firstLine="0"/>
        <w:jc w:val="left"/>
        <w:rPr>
          <w:sz w:val="18"/>
        </w:rPr>
      </w:pPr>
      <w:r>
        <w:rPr>
          <w:rFonts w:ascii="Times New Roman" w:eastAsia="Times New Roman"/>
          <w:sz w:val="18"/>
        </w:rPr>
        <w:t>4-142</w:t>
        <w:tab/>
      </w:r>
      <w:r>
        <w:rPr>
          <w:sz w:val="18"/>
        </w:rPr>
        <w:t>北京中环博宏环境资源科技有限公司</w:t>
      </w:r>
    </w:p>
    <w:p>
      <w:pPr>
        <w:spacing w:after="0" w:line="286" w:lineRule="exact"/>
        <w:jc w:val="left"/>
        <w:rPr>
          <w:sz w:val="18"/>
        </w:rPr>
        <w:sectPr>
          <w:headerReference w:type="default" r:id="rId13"/>
          <w:footerReference w:type="default" r:id="rId14"/>
          <w:pgSz w:w="16840" w:h="11910" w:orient="landscape"/>
          <w:pgMar w:header="0" w:footer="0" w:top="800" w:bottom="280" w:left="1560" w:right="1620"/>
        </w:sectPr>
      </w:pPr>
    </w:p>
    <w:p>
      <w:pPr>
        <w:pStyle w:val="BodyText"/>
        <w:spacing w:before="5"/>
        <w:rPr>
          <w:sz w:val="6"/>
        </w:rPr>
      </w:pPr>
    </w:p>
    <w:p>
      <w:pPr>
        <w:pStyle w:val="Heading5"/>
        <w:numPr>
          <w:ilvl w:val="3"/>
          <w:numId w:val="1"/>
        </w:numPr>
        <w:tabs>
          <w:tab w:pos="1290" w:val="left" w:leader="none"/>
        </w:tabs>
        <w:spacing w:line="530" w:lineRule="exact" w:before="0" w:after="0"/>
        <w:ind w:left="1289" w:right="0" w:hanging="1051"/>
        <w:jc w:val="left"/>
      </w:pPr>
      <w:r>
        <w:rPr/>
        <w:t>废水治理措施及排放情况</w:t>
      </w:r>
    </w:p>
    <w:p>
      <w:pPr>
        <w:pStyle w:val="BodyText"/>
        <w:spacing w:line="220" w:lineRule="auto" w:before="120"/>
        <w:ind w:left="238" w:right="251" w:firstLine="479"/>
        <w:jc w:val="both"/>
      </w:pPr>
      <w:r>
        <w:rPr/>
        <w:t>本项目厂区配套建设 </w:t>
      </w:r>
      <w:r>
        <w:rPr>
          <w:rFonts w:ascii="Times New Roman" w:hAnsi="Times New Roman" w:eastAsia="Times New Roman"/>
        </w:rPr>
        <w:t>1 </w:t>
      </w:r>
      <w:r>
        <w:rPr>
          <w:spacing w:val="1"/>
        </w:rPr>
        <w:t>座处理能力 </w:t>
      </w:r>
      <w:r>
        <w:rPr>
          <w:rFonts w:ascii="Times New Roman" w:hAnsi="Times New Roman" w:eastAsia="Times New Roman"/>
        </w:rPr>
        <w:t>300m</w:t>
      </w:r>
      <w:r>
        <w:rPr>
          <w:rFonts w:ascii="Times New Roman" w:hAnsi="Times New Roman" w:eastAsia="Times New Roman"/>
          <w:position w:val="9"/>
          <w:sz w:val="16"/>
        </w:rPr>
        <w:t>3</w:t>
      </w:r>
      <w:r>
        <w:rPr>
          <w:rFonts w:ascii="Times New Roman" w:hAnsi="Times New Roman" w:eastAsia="Times New Roman"/>
        </w:rPr>
        <w:t>/d </w:t>
      </w:r>
      <w:r>
        <w:rPr>
          <w:spacing w:val="-12"/>
        </w:rPr>
        <w:t>的污水处理站，采用</w:t>
      </w:r>
      <w:r>
        <w:rPr>
          <w:rFonts w:ascii="Times New Roman" w:hAnsi="Times New Roman" w:eastAsia="Times New Roman"/>
        </w:rPr>
        <w:t>“</w:t>
      </w:r>
      <w:r>
        <w:rPr>
          <w:spacing w:val="-28"/>
        </w:rPr>
        <w:t>预处理</w:t>
      </w:r>
      <w:r>
        <w:rPr/>
        <w:t>（气浮</w:t>
      </w:r>
      <w:r>
        <w:rPr>
          <w:rFonts w:ascii="Times New Roman" w:hAnsi="Times New Roman" w:eastAsia="Times New Roman"/>
        </w:rPr>
        <w:t>+</w:t>
      </w:r>
      <w:r>
        <w:rPr/>
        <w:t>回收车间蒸馏</w:t>
      </w:r>
      <w:r>
        <w:rPr>
          <w:rFonts w:ascii="Times New Roman" w:hAnsi="Times New Roman" w:eastAsia="Times New Roman"/>
        </w:rPr>
        <w:t>+</w:t>
      </w:r>
      <w:r>
        <w:rPr/>
        <w:t>污水处理站微电解、多维催化氧化）</w:t>
      </w:r>
      <w:r>
        <w:rPr>
          <w:rFonts w:ascii="Times New Roman" w:hAnsi="Times New Roman" w:eastAsia="Times New Roman"/>
        </w:rPr>
        <w:t>+ABR </w:t>
      </w:r>
      <w:r>
        <w:rPr/>
        <w:t>厌氧</w:t>
      </w:r>
      <w:r>
        <w:rPr>
          <w:rFonts w:ascii="Times New Roman" w:hAnsi="Times New Roman" w:eastAsia="Times New Roman"/>
        </w:rPr>
        <w:t>+IC </w:t>
      </w:r>
      <w:r>
        <w:rPr/>
        <w:t>厌氧</w:t>
      </w:r>
      <w:r>
        <w:rPr>
          <w:rFonts w:ascii="Times New Roman" w:hAnsi="Times New Roman" w:eastAsia="Times New Roman"/>
        </w:rPr>
        <w:t>+</w:t>
      </w:r>
      <w:r>
        <w:rPr/>
        <w:t>兼氧</w:t>
      </w:r>
      <w:r>
        <w:rPr>
          <w:rFonts w:ascii="Times New Roman" w:hAnsi="Times New Roman" w:eastAsia="Times New Roman"/>
        </w:rPr>
        <w:t>+</w:t>
      </w:r>
      <w:r>
        <w:rPr/>
        <w:t>生物接触氧化</w:t>
      </w:r>
      <w:r>
        <w:rPr>
          <w:rFonts w:ascii="Times New Roman" w:hAnsi="Times New Roman" w:eastAsia="Times New Roman"/>
        </w:rPr>
        <w:t>”</w:t>
      </w:r>
      <w:r>
        <w:rPr/>
        <w:t>的处理工艺，废水处理工艺流程见图 </w:t>
      </w:r>
      <w:r>
        <w:rPr>
          <w:rFonts w:ascii="Times New Roman" w:hAnsi="Times New Roman" w:eastAsia="Times New Roman"/>
        </w:rPr>
        <w:t>4.10-2</w:t>
      </w:r>
      <w:r>
        <w:rPr/>
        <w:t>。</w:t>
      </w:r>
    </w:p>
    <w:p>
      <w:pPr>
        <w:pStyle w:val="BodyText"/>
        <w:spacing w:line="456" w:lineRule="exact"/>
        <w:ind w:left="720"/>
      </w:pPr>
      <w:r>
        <w:rPr>
          <w:rFonts w:ascii="Times New Roman" w:eastAsia="Times New Roman"/>
          <w:b/>
        </w:rPr>
        <w:t>A</w:t>
      </w:r>
      <w:r>
        <w:rPr/>
        <w:t>、处理工艺</w:t>
      </w:r>
    </w:p>
    <w:p>
      <w:pPr>
        <w:pStyle w:val="BodyText"/>
        <w:spacing w:line="220" w:lineRule="auto" w:before="7"/>
        <w:ind w:left="238" w:right="251" w:firstLine="479"/>
        <w:jc w:val="both"/>
      </w:pPr>
      <w:r>
        <w:rPr>
          <w:spacing w:val="-4"/>
        </w:rPr>
        <w:t>化学原料药车间化学合成废水先经过气浮工艺处理，把油脂类、悬浮物以及</w:t>
      </w:r>
      <w:r>
        <w:rPr>
          <w:spacing w:val="-9"/>
        </w:rPr>
        <w:t>大的有机颗粒去除；气浮水层再经过回收车间蒸馏工艺，去除盐类、低沸点有机物；蒸馏后的高沸点小分子有机物经微电解、催化氧化工艺处理，降解成生化性</w:t>
      </w:r>
      <w:r>
        <w:rPr>
          <w:spacing w:val="-12"/>
        </w:rPr>
        <w:t>能较好的有机物质；再和白葡菌生产发酵废水，真空泵废水，废气处理装置产生废水，地面冲洗水，设备冲洗水，循环冷却水系统排污水，软水制备浓水，生活污水按一定比例混合进入厂区污水处理站生化处理系统处理。</w:t>
      </w:r>
    </w:p>
    <w:p>
      <w:pPr>
        <w:pStyle w:val="BodyText"/>
        <w:spacing w:line="220" w:lineRule="auto"/>
        <w:ind w:left="238" w:right="251" w:firstLine="479"/>
        <w:jc w:val="both"/>
      </w:pPr>
      <w:r>
        <w:rPr>
          <w:spacing w:val="-4"/>
        </w:rPr>
        <w:t>生化系统厌氧段采用</w:t>
      </w:r>
      <w:r>
        <w:rPr>
          <w:w w:val="210"/>
        </w:rPr>
        <w:t>“</w:t>
      </w:r>
      <w:r>
        <w:rPr>
          <w:rFonts w:ascii="Times New Roman" w:hAnsi="Times New Roman" w:eastAsia="Times New Roman"/>
          <w:spacing w:val="-1"/>
          <w:w w:val="99"/>
        </w:rPr>
        <w:t>A</w:t>
      </w:r>
      <w:r>
        <w:rPr>
          <w:rFonts w:ascii="Times New Roman" w:hAnsi="Times New Roman" w:eastAsia="Times New Roman"/>
          <w:spacing w:val="-2"/>
        </w:rPr>
        <w:t>B</w:t>
      </w:r>
      <w:r>
        <w:rPr>
          <w:rFonts w:ascii="Times New Roman" w:hAnsi="Times New Roman" w:eastAsia="Times New Roman"/>
        </w:rPr>
        <w:t>R</w:t>
      </w:r>
      <w:r>
        <w:rPr>
          <w:rFonts w:ascii="Times New Roman" w:hAnsi="Times New Roman" w:eastAsia="Times New Roman"/>
          <w:spacing w:val="1"/>
        </w:rPr>
        <w:t>+</w:t>
      </w:r>
      <w:r>
        <w:rPr>
          <w:rFonts w:ascii="Times New Roman" w:hAnsi="Times New Roman" w:eastAsia="Times New Roman"/>
          <w:spacing w:val="-4"/>
        </w:rPr>
        <w:t>I</w:t>
      </w:r>
      <w:r>
        <w:rPr>
          <w:rFonts w:ascii="Times New Roman" w:hAnsi="Times New Roman" w:eastAsia="Times New Roman"/>
        </w:rPr>
        <w:t>C</w:t>
      </w:r>
      <w:r>
        <w:rPr>
          <w:rFonts w:ascii="Times New Roman" w:hAnsi="Times New Roman" w:eastAsia="Times New Roman"/>
          <w:spacing w:val="-1"/>
        </w:rPr>
        <w:t>”</w:t>
      </w:r>
      <w:r>
        <w:rPr>
          <w:spacing w:val="-9"/>
        </w:rPr>
        <w:t>工艺，有毒物质、大分子有机物在厌氧阶段</w:t>
      </w:r>
      <w:r>
        <w:rPr>
          <w:spacing w:val="-11"/>
        </w:rPr>
        <w:t>充分讲解。好氧阶段采用生物接触氧化工艺，厌氧阶段释放出来的无机氨氮经硝化和反硝化处理最终转化成氮气去除。</w:t>
      </w:r>
    </w:p>
    <w:p>
      <w:pPr>
        <w:spacing w:after="0" w:line="220" w:lineRule="auto"/>
        <w:jc w:val="both"/>
        <w:sectPr>
          <w:headerReference w:type="default" r:id="rId15"/>
          <w:footerReference w:type="default" r:id="rId16"/>
          <w:pgSz w:w="11910" w:h="16840"/>
          <w:pgMar w:header="877" w:footer="973" w:top="1340" w:bottom="1160" w:left="1560" w:right="1540"/>
        </w:sectPr>
      </w:pPr>
    </w:p>
    <w:p>
      <w:pPr>
        <w:pStyle w:val="BodyText"/>
        <w:spacing w:line="220" w:lineRule="auto"/>
        <w:ind w:left="238" w:right="131" w:firstLine="479"/>
        <w:jc w:val="both"/>
      </w:pPr>
      <w:r>
        <w:rPr>
          <w:spacing w:val="-3"/>
        </w:rPr>
        <w:t>本项目废水经厂内污水处理站处理后，废水排放量为 </w:t>
      </w:r>
      <w:r>
        <w:rPr>
          <w:rFonts w:ascii="Times New Roman" w:eastAsia="Times New Roman"/>
          <w:spacing w:val="-3"/>
        </w:rPr>
        <w:t>88320m</w:t>
      </w:r>
      <w:r>
        <w:rPr>
          <w:rFonts w:ascii="Times New Roman" w:eastAsia="Times New Roman"/>
          <w:spacing w:val="-3"/>
          <w:position w:val="9"/>
          <w:sz w:val="16"/>
        </w:rPr>
        <w:t>3</w:t>
      </w:r>
      <w:r>
        <w:rPr>
          <w:rFonts w:ascii="Times New Roman" w:eastAsia="Times New Roman"/>
          <w:spacing w:val="-3"/>
        </w:rPr>
        <w:t>/a</w:t>
      </w:r>
      <w:r>
        <w:rPr>
          <w:spacing w:val="-3"/>
        </w:rPr>
        <w:t>，</w:t>
      </w:r>
      <w:r>
        <w:rPr>
          <w:rFonts w:ascii="Times New Roman" w:eastAsia="Times New Roman"/>
          <w:spacing w:val="-3"/>
        </w:rPr>
        <w:t>COD </w:t>
      </w:r>
      <w:r>
        <w:rPr>
          <w:spacing w:val="-3"/>
        </w:rPr>
        <w:t>排放</w:t>
      </w:r>
      <w:r>
        <w:rPr>
          <w:spacing w:val="2"/>
        </w:rPr>
        <w:t>浓度为 </w:t>
      </w:r>
      <w:r>
        <w:rPr>
          <w:rFonts w:ascii="Times New Roman" w:eastAsia="Times New Roman"/>
          <w:spacing w:val="-6"/>
        </w:rPr>
        <w:t>100mg/l</w:t>
      </w:r>
      <w:r>
        <w:rPr>
          <w:spacing w:val="-1"/>
        </w:rPr>
        <w:t>，排放量为 </w:t>
      </w:r>
      <w:r>
        <w:rPr>
          <w:rFonts w:ascii="Times New Roman" w:eastAsia="Times New Roman"/>
          <w:spacing w:val="-5"/>
        </w:rPr>
        <w:t>8.832t/a</w:t>
      </w:r>
      <w:r>
        <w:rPr>
          <w:spacing w:val="-1"/>
        </w:rPr>
        <w:t>，氨氮排放浓度为 </w:t>
      </w:r>
      <w:r>
        <w:rPr>
          <w:rFonts w:ascii="Times New Roman" w:eastAsia="Times New Roman"/>
          <w:spacing w:val="-7"/>
        </w:rPr>
        <w:t>10mg/l</w:t>
      </w:r>
      <w:r>
        <w:rPr>
          <w:spacing w:val="-1"/>
        </w:rPr>
        <w:t>，排放量为 </w:t>
      </w:r>
      <w:r>
        <w:rPr>
          <w:rFonts w:ascii="Times New Roman" w:eastAsia="Times New Roman"/>
        </w:rPr>
        <w:t>0.883t/a</w:t>
      </w:r>
      <w:r>
        <w:rPr/>
        <w:t>。</w:t>
      </w:r>
      <w:r>
        <w:rPr>
          <w:spacing w:val="-7"/>
        </w:rPr>
        <w:t>出水水质能够满足《污水排入城镇下水道水质标准》</w:t>
      </w:r>
      <w:r>
        <w:rPr/>
        <w:t>（</w:t>
      </w:r>
      <w:r>
        <w:rPr>
          <w:rFonts w:ascii="Times New Roman" w:eastAsia="Times New Roman"/>
        </w:rPr>
        <w:t>GB/T31962-2015</w:t>
      </w:r>
      <w:r>
        <w:rPr/>
        <w:t>）</w:t>
      </w:r>
      <w:r>
        <w:rPr>
          <w:rFonts w:ascii="Times New Roman" w:eastAsia="Times New Roman"/>
        </w:rPr>
        <w:t>A </w:t>
      </w:r>
      <w:r>
        <w:rPr/>
        <w:t>级标</w:t>
      </w:r>
      <w:r>
        <w:rPr>
          <w:spacing w:val="-9"/>
        </w:rPr>
        <w:t>准要求，经园区污水管网排入莒南经济开发区污水处理厂</w:t>
      </w:r>
      <w:r>
        <w:rPr/>
        <w:t>（莒南卓澳水质净化有限公司）进行处理。</w:t>
      </w:r>
    </w:p>
    <w:p>
      <w:pPr>
        <w:pStyle w:val="BodyText"/>
        <w:spacing w:line="220" w:lineRule="auto"/>
        <w:ind w:left="238" w:right="133" w:firstLine="599"/>
        <w:jc w:val="right"/>
      </w:pPr>
      <w:r>
        <w:rPr/>
        <w:t>园区污水处理厂（莒南卓澳水质净化有限公司）位于开发区西侧王家怪草</w:t>
      </w:r>
      <w:r>
        <w:rPr>
          <w:spacing w:val="11"/>
        </w:rPr>
        <w:t>村西 </w:t>
      </w:r>
      <w:r>
        <w:rPr>
          <w:rFonts w:ascii="Times New Roman" w:hAnsi="Times New Roman" w:eastAsia="Times New Roman"/>
        </w:rPr>
        <w:t>500m</w:t>
      </w:r>
      <w:r>
        <w:rPr>
          <w:spacing w:val="2"/>
        </w:rPr>
        <w:t>，靠近白马河处。污水处理厂占地 </w:t>
      </w:r>
      <w:r>
        <w:rPr>
          <w:rFonts w:ascii="Times New Roman" w:hAnsi="Times New Roman" w:eastAsia="Times New Roman"/>
        </w:rPr>
        <w:t>56000m</w:t>
      </w:r>
      <w:r>
        <w:rPr>
          <w:rFonts w:ascii="Times New Roman" w:hAnsi="Times New Roman" w:eastAsia="Times New Roman"/>
          <w:position w:val="9"/>
          <w:sz w:val="16"/>
        </w:rPr>
        <w:t>2</w:t>
      </w:r>
      <w:r>
        <w:rPr>
          <w:spacing w:val="-1"/>
        </w:rPr>
        <w:t>，该污水处理厂除接纳开</w:t>
      </w:r>
      <w:r>
        <w:rPr/>
        <w:t>发区废水外，还接纳城区西部的生活污水，设计处理能力为 </w:t>
      </w:r>
      <w:r>
        <w:rPr>
          <w:rFonts w:ascii="Times New Roman" w:hAnsi="Times New Roman" w:eastAsia="Times New Roman"/>
        </w:rPr>
        <w:t>6</w:t>
      </w:r>
      <w:r>
        <w:rPr>
          <w:rFonts w:ascii="Times New Roman" w:hAnsi="Times New Roman" w:eastAsia="Times New Roman"/>
          <w:spacing w:val="40"/>
        </w:rPr>
        <w:t> </w:t>
      </w:r>
      <w:r>
        <w:rPr>
          <w:spacing w:val="22"/>
        </w:rPr>
        <w:t>万 </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/d</w:t>
      </w:r>
      <w:r>
        <w:rPr/>
        <w:t>。污水处理厂分两期建设，一期工程日处理能力为 </w:t>
      </w:r>
      <w:r>
        <w:rPr>
          <w:rFonts w:ascii="Times New Roman" w:hAnsi="Times New Roman" w:eastAsia="Times New Roman"/>
        </w:rPr>
        <w:t>3</w:t>
      </w:r>
      <w:r>
        <w:rPr>
          <w:rFonts w:ascii="Times New Roman" w:hAnsi="Times New Roman" w:eastAsia="Times New Roman"/>
          <w:spacing w:val="7"/>
        </w:rPr>
        <w:t> </w:t>
      </w:r>
      <w:r>
        <w:rPr>
          <w:spacing w:val="6"/>
        </w:rPr>
        <w:t>万 </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/d</w:t>
      </w:r>
      <w:r>
        <w:rPr/>
        <w:t>，</w:t>
      </w:r>
      <w:r>
        <w:rPr>
          <w:rFonts w:ascii="Times New Roman" w:hAnsi="Times New Roman" w:eastAsia="Times New Roman"/>
        </w:rPr>
        <w:t>2008</w:t>
      </w:r>
      <w:r>
        <w:rPr>
          <w:rFonts w:ascii="Times New Roman" w:hAnsi="Times New Roman" w:eastAsia="Times New Roman"/>
          <w:spacing w:val="7"/>
        </w:rPr>
        <w:t> </w:t>
      </w:r>
      <w:r>
        <w:rPr>
          <w:spacing w:val="6"/>
        </w:rPr>
        <w:t>年 </w:t>
      </w:r>
      <w:r>
        <w:rPr>
          <w:rFonts w:ascii="Times New Roman" w:hAnsi="Times New Roman" w:eastAsia="Times New Roman"/>
        </w:rPr>
        <w:t>12</w:t>
      </w:r>
      <w:r>
        <w:rPr>
          <w:rFonts w:ascii="Times New Roman" w:hAnsi="Times New Roman" w:eastAsia="Times New Roman"/>
          <w:spacing w:val="5"/>
        </w:rPr>
        <w:t> </w:t>
      </w:r>
      <w:r>
        <w:rPr>
          <w:spacing w:val="6"/>
        </w:rPr>
        <w:t>月 </w:t>
      </w:r>
      <w:r>
        <w:rPr>
          <w:rFonts w:ascii="Times New Roman" w:hAnsi="Times New Roman" w:eastAsia="Times New Roman"/>
        </w:rPr>
        <w:t>30</w:t>
      </w:r>
      <w:r>
        <w:rPr>
          <w:rFonts w:ascii="Times New Roman" w:hAnsi="Times New Roman" w:eastAsia="Times New Roman"/>
          <w:spacing w:val="7"/>
        </w:rPr>
        <w:t> </w:t>
      </w:r>
      <w:r>
        <w:rPr/>
        <w:t>日建成投</w:t>
      </w:r>
      <w:r>
        <w:rPr>
          <w:spacing w:val="1"/>
        </w:rPr>
        <w:t>入运营；二期工程处理能力为 </w:t>
      </w:r>
      <w:r>
        <w:rPr>
          <w:rFonts w:ascii="Times New Roman" w:hAnsi="Times New Roman" w:eastAsia="Times New Roman"/>
        </w:rPr>
        <w:t>3.0</w:t>
      </w:r>
      <w:r>
        <w:rPr>
          <w:rFonts w:ascii="Times New Roman" w:hAnsi="Times New Roman" w:eastAsia="Times New Roman"/>
          <w:spacing w:val="20"/>
        </w:rPr>
        <w:t> </w:t>
      </w:r>
      <w:r>
        <w:rPr>
          <w:spacing w:val="12"/>
        </w:rPr>
        <w:t>万 </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/d</w:t>
      </w:r>
      <w:r>
        <w:rPr/>
        <w:t>，</w:t>
      </w:r>
      <w:r>
        <w:rPr>
          <w:rFonts w:ascii="Times New Roman" w:hAnsi="Times New Roman" w:eastAsia="Times New Roman"/>
        </w:rPr>
        <w:t>2014</w:t>
      </w:r>
      <w:r>
        <w:rPr>
          <w:rFonts w:ascii="Times New Roman" w:hAnsi="Times New Roman" w:eastAsia="Times New Roman"/>
          <w:spacing w:val="20"/>
        </w:rPr>
        <w:t> </w:t>
      </w:r>
      <w:r>
        <w:rPr>
          <w:spacing w:val="12"/>
        </w:rPr>
        <w:t>年 </w:t>
      </w:r>
      <w:r>
        <w:rPr>
          <w:rFonts w:ascii="Times New Roman" w:hAnsi="Times New Roman" w:eastAsia="Times New Roman"/>
        </w:rPr>
        <w:t>7</w:t>
      </w:r>
      <w:r>
        <w:rPr>
          <w:rFonts w:ascii="Times New Roman" w:hAnsi="Times New Roman" w:eastAsia="Times New Roman"/>
          <w:spacing w:val="20"/>
        </w:rPr>
        <w:t> </w:t>
      </w:r>
      <w:r>
        <w:rPr/>
        <w:t>月投入运营。污水处理厂</w:t>
      </w:r>
      <w:r>
        <w:rPr>
          <w:spacing w:val="-6"/>
        </w:rPr>
        <w:t>采用流动床生物膜技术，该技术实现了活性污泥法和生物膜法工艺的结合。处理</w:t>
      </w:r>
      <w:r>
        <w:rPr>
          <w:spacing w:val="-2"/>
        </w:rPr>
        <w:t>后出水水质能满足《城镇污水处理厂污染物排放标准》</w:t>
      </w:r>
      <w:r>
        <w:rPr/>
        <w:t>（</w:t>
      </w:r>
      <w:r>
        <w:rPr>
          <w:rFonts w:ascii="Times New Roman" w:hAnsi="Times New Roman" w:eastAsia="Times New Roman"/>
        </w:rPr>
        <w:t>GB18918-2002</w:t>
      </w:r>
      <w:r>
        <w:rPr/>
        <w:t>）中一</w:t>
      </w:r>
      <w:r>
        <w:rPr>
          <w:spacing w:val="1"/>
          <w:position w:val="2"/>
        </w:rPr>
        <w:t>级 </w:t>
      </w:r>
      <w:r>
        <w:rPr>
          <w:rFonts w:ascii="Times New Roman" w:hAnsi="Times New Roman" w:eastAsia="Times New Roman"/>
          <w:position w:val="2"/>
        </w:rPr>
        <w:t>A</w:t>
      </w:r>
      <w:r>
        <w:rPr>
          <w:rFonts w:ascii="Times New Roman" w:hAnsi="Times New Roman" w:eastAsia="Times New Roman"/>
          <w:spacing w:val="-5"/>
          <w:position w:val="2"/>
        </w:rPr>
        <w:t> </w:t>
      </w:r>
      <w:r>
        <w:rPr>
          <w:spacing w:val="-14"/>
          <w:position w:val="2"/>
        </w:rPr>
        <w:t>标准，即 </w:t>
      </w:r>
      <w:r>
        <w:rPr>
          <w:rFonts w:ascii="Times New Roman" w:hAnsi="Times New Roman" w:eastAsia="Times New Roman"/>
          <w:position w:val="2"/>
        </w:rPr>
        <w:t>pH=6~9</w:t>
      </w:r>
      <w:r>
        <w:rPr>
          <w:spacing w:val="-68"/>
          <w:position w:val="2"/>
        </w:rPr>
        <w:t>、</w:t>
      </w:r>
      <w:r>
        <w:rPr>
          <w:rFonts w:ascii="Times New Roman" w:hAnsi="Times New Roman" w:eastAsia="Times New Roman"/>
          <w:position w:val="2"/>
        </w:rPr>
        <w:t>COD≤50mg/l</w:t>
      </w:r>
      <w:r>
        <w:rPr>
          <w:spacing w:val="-70"/>
          <w:position w:val="2"/>
        </w:rPr>
        <w:t>、</w:t>
      </w:r>
      <w:r>
        <w:rPr>
          <w:rFonts w:ascii="Times New Roman" w:hAnsi="Times New Roman" w:eastAsia="Times New Roman"/>
          <w:position w:val="2"/>
        </w:rPr>
        <w:t>BOD</w:t>
      </w:r>
      <w:r>
        <w:rPr>
          <w:rFonts w:ascii="Times New Roman" w:hAnsi="Times New Roman" w:eastAsia="Times New Roman"/>
          <w:sz w:val="16"/>
        </w:rPr>
        <w:t>5</w:t>
      </w:r>
      <w:r>
        <w:rPr>
          <w:rFonts w:ascii="Times New Roman" w:hAnsi="Times New Roman" w:eastAsia="Times New Roman"/>
          <w:position w:val="2"/>
        </w:rPr>
        <w:t>≤10</w:t>
      </w:r>
      <w:r>
        <w:rPr>
          <w:rFonts w:ascii="Times New Roman" w:hAnsi="Times New Roman" w:eastAsia="Times New Roman"/>
          <w:spacing w:val="-4"/>
          <w:position w:val="2"/>
        </w:rPr>
        <w:t> </w:t>
      </w:r>
      <w:r>
        <w:rPr>
          <w:rFonts w:ascii="Times New Roman" w:hAnsi="Times New Roman" w:eastAsia="Times New Roman"/>
          <w:position w:val="2"/>
        </w:rPr>
        <w:t>mg/l</w:t>
      </w:r>
      <w:r>
        <w:rPr>
          <w:spacing w:val="-70"/>
          <w:position w:val="2"/>
        </w:rPr>
        <w:t>、</w:t>
      </w:r>
      <w:r>
        <w:rPr>
          <w:rFonts w:ascii="Times New Roman" w:hAnsi="Times New Roman" w:eastAsia="Times New Roman"/>
          <w:position w:val="2"/>
        </w:rPr>
        <w:t>SS≤10mg/l</w:t>
      </w:r>
      <w:r>
        <w:rPr>
          <w:spacing w:val="-70"/>
          <w:position w:val="2"/>
        </w:rPr>
        <w:t>、</w:t>
      </w:r>
      <w:r>
        <w:rPr>
          <w:rFonts w:ascii="Times New Roman" w:hAnsi="Times New Roman" w:eastAsia="Times New Roman"/>
          <w:position w:val="2"/>
        </w:rPr>
        <w:t>NH</w:t>
      </w:r>
      <w:r>
        <w:rPr>
          <w:rFonts w:ascii="Times New Roman" w:hAnsi="Times New Roman" w:eastAsia="Times New Roman"/>
          <w:sz w:val="16"/>
        </w:rPr>
        <w:t>3</w:t>
      </w:r>
      <w:r>
        <w:rPr>
          <w:rFonts w:ascii="Times New Roman" w:hAnsi="Times New Roman" w:eastAsia="Times New Roman"/>
          <w:position w:val="2"/>
        </w:rPr>
        <w:t>-N≤5mg/l</w:t>
      </w:r>
      <w:r>
        <w:rPr>
          <w:position w:val="2"/>
        </w:rPr>
        <w:t>。</w:t>
      </w:r>
      <w:r>
        <w:rPr>
          <w:spacing w:val="28"/>
        </w:rPr>
        <w:t>目前项目废水正常排入园区污水处理厂处理， 项目废水排放量为</w:t>
      </w:r>
    </w:p>
    <w:p>
      <w:pPr>
        <w:pStyle w:val="BodyText"/>
        <w:spacing w:line="220" w:lineRule="auto"/>
        <w:ind w:left="238" w:right="133"/>
        <w:jc w:val="right"/>
      </w:pPr>
      <w:r>
        <w:rPr>
          <w:rFonts w:ascii="Times New Roman" w:eastAsia="Times New Roman"/>
        </w:rPr>
        <w:t>294.4m</w:t>
      </w:r>
      <w:r>
        <w:rPr>
          <w:rFonts w:ascii="Times New Roman" w:eastAsia="Times New Roman"/>
          <w:position w:val="9"/>
          <w:sz w:val="16"/>
        </w:rPr>
        <w:t>3</w:t>
      </w:r>
      <w:r>
        <w:rPr>
          <w:rFonts w:ascii="Times New Roman" w:eastAsia="Times New Roman"/>
        </w:rPr>
        <w:t>/d</w:t>
      </w:r>
      <w:r>
        <w:rPr/>
        <w:t>，排放废水负荷对污水处理厂水量冲击较小，项目废水中的全盐量浓</w:t>
      </w:r>
      <w:r>
        <w:rPr>
          <w:spacing w:val="-9"/>
        </w:rPr>
        <w:t>度较低，不会对污水处理厂污水处理工艺造成影响，并且本项目废水水质满足污</w:t>
      </w:r>
      <w:r>
        <w:rPr>
          <w:spacing w:val="-18"/>
        </w:rPr>
        <w:t>水处理厂的进水水质要求，因此，本项目废水排入园区污水处理厂进行处理可行。</w:t>
      </w:r>
      <w:r>
        <w:rPr>
          <w:spacing w:val="-21"/>
        </w:rPr>
        <w:t>本项目废水经莒南经济开发区污水处理厂处理后水质能够满足《城镇污水处</w:t>
      </w:r>
    </w:p>
    <w:p>
      <w:pPr>
        <w:pStyle w:val="BodyText"/>
        <w:spacing w:line="456" w:lineRule="exact"/>
        <w:ind w:left="238"/>
      </w:pPr>
      <w:r>
        <w:rPr/>
        <w:t>理厂污染物排放标准》（</w:t>
      </w:r>
      <w:r>
        <w:rPr>
          <w:rFonts w:ascii="Times New Roman" w:eastAsia="Times New Roman"/>
        </w:rPr>
        <w:t>GB18918-2002</w:t>
      </w:r>
      <w:r>
        <w:rPr/>
        <w:t>）中的一级 </w:t>
      </w:r>
      <w:r>
        <w:rPr>
          <w:rFonts w:ascii="Times New Roman" w:eastAsia="Times New Roman"/>
        </w:rPr>
        <w:t>A </w:t>
      </w:r>
      <w:r>
        <w:rPr/>
        <w:t>标准，</w:t>
      </w:r>
      <w:r>
        <w:rPr>
          <w:rFonts w:ascii="Times New Roman" w:eastAsia="Times New Roman"/>
        </w:rPr>
        <w:t>COD50mg/L</w:t>
      </w:r>
      <w:r>
        <w:rPr/>
        <w:t>，氨氮</w:t>
      </w:r>
    </w:p>
    <w:p>
      <w:pPr>
        <w:pStyle w:val="BodyText"/>
        <w:spacing w:line="467" w:lineRule="exact"/>
        <w:ind w:left="238"/>
      </w:pPr>
      <w:r>
        <w:rPr>
          <w:rFonts w:ascii="Times New Roman" w:eastAsia="Times New Roman"/>
        </w:rPr>
        <w:t>5mg/L</w:t>
      </w:r>
      <w:r>
        <w:rPr/>
        <w:t>，废水排入白马河，然后汇入鸡龙河。</w:t>
      </w:r>
    </w:p>
    <w:p>
      <w:pPr>
        <w:pStyle w:val="BodyText"/>
        <w:spacing w:line="488" w:lineRule="exact"/>
        <w:ind w:left="718"/>
      </w:pPr>
      <w:r>
        <w:rPr/>
        <w:t>本次环评收集了 </w:t>
      </w:r>
      <w:r>
        <w:rPr>
          <w:rFonts w:ascii="Times New Roman" w:eastAsia="Times New Roman"/>
        </w:rPr>
        <w:t>2011~2012 </w:t>
      </w:r>
      <w:r>
        <w:rPr/>
        <w:t>年的在线监测数据，具体监测数据见表 </w:t>
      </w:r>
      <w:r>
        <w:rPr>
          <w:rFonts w:ascii="Times New Roman" w:eastAsia="Times New Roman"/>
        </w:rPr>
        <w:t>4.10-17</w:t>
      </w:r>
      <w:r>
        <w:rPr/>
        <w:t>。</w:t>
      </w:r>
    </w:p>
    <w:p>
      <w:pPr>
        <w:pStyle w:val="BodyText"/>
        <w:spacing w:before="21"/>
        <w:rPr>
          <w:sz w:val="17"/>
        </w:rPr>
      </w:pPr>
    </w:p>
    <w:p>
      <w:pPr>
        <w:pStyle w:val="BodyText"/>
        <w:spacing w:line="220" w:lineRule="auto"/>
        <w:ind w:left="238" w:right="252" w:firstLine="479"/>
      </w:pPr>
      <w:r>
        <w:rPr/>
        <w:t>从上表可见，园区污水处理厂 </w:t>
      </w:r>
      <w:r>
        <w:rPr>
          <w:rFonts w:ascii="Times New Roman" w:eastAsia="Times New Roman"/>
        </w:rPr>
        <w:t>COD</w:t>
      </w:r>
      <w:r>
        <w:rPr/>
        <w:t>、氨氮的排放浓度可以满足《城镇污水处理厂污染物排放标准》（</w:t>
      </w:r>
      <w:r>
        <w:rPr>
          <w:rFonts w:ascii="Times New Roman" w:eastAsia="Times New Roman"/>
        </w:rPr>
        <w:t>GB18918-2002</w:t>
      </w:r>
      <w:r>
        <w:rPr/>
        <w:t>）中的一级 </w:t>
      </w:r>
      <w:r>
        <w:rPr>
          <w:rFonts w:ascii="Times New Roman" w:eastAsia="Times New Roman"/>
        </w:rPr>
        <w:t>A </w:t>
      </w:r>
      <w:r>
        <w:rPr/>
        <w:t>标准。</w:t>
      </w:r>
    </w:p>
    <w:p>
      <w:pPr>
        <w:pStyle w:val="Heading3"/>
        <w:numPr>
          <w:ilvl w:val="2"/>
          <w:numId w:val="2"/>
        </w:numPr>
        <w:tabs>
          <w:tab w:pos="1198" w:val="left" w:leader="none"/>
        </w:tabs>
        <w:spacing w:line="240" w:lineRule="auto" w:before="114" w:after="0"/>
        <w:ind w:left="1198" w:right="0" w:hanging="960"/>
        <w:jc w:val="left"/>
      </w:pPr>
      <w:r>
        <w:rPr/>
        <w:t>噪声</w:t>
      </w:r>
    </w:p>
    <w:p>
      <w:pPr>
        <w:pStyle w:val="BodyText"/>
        <w:spacing w:line="487" w:lineRule="exact" w:before="205"/>
        <w:ind w:left="720"/>
      </w:pPr>
      <w:r>
        <w:rPr/>
        <w:t>（</w:t>
      </w:r>
      <w:r>
        <w:rPr>
          <w:rFonts w:ascii="Times New Roman" w:eastAsia="Times New Roman"/>
          <w:b/>
        </w:rPr>
        <w:t>1</w:t>
      </w:r>
      <w:r>
        <w:rPr/>
        <w:t>）噪声源及源强</w:t>
      </w:r>
    </w:p>
    <w:p>
      <w:pPr>
        <w:pStyle w:val="BodyText"/>
        <w:spacing w:line="220" w:lineRule="auto" w:before="6"/>
        <w:ind w:left="238" w:right="166" w:firstLine="479"/>
      </w:pPr>
      <w:r>
        <w:rPr/>
        <w:t>本项目噪声主要来源于设备运行，主要噪声源为各类反应釜、各种泵类等， 其噪声源强约为 </w:t>
      </w:r>
      <w:r>
        <w:rPr>
          <w:rFonts w:ascii="Times New Roman" w:eastAsia="Times New Roman"/>
        </w:rPr>
        <w:t>80</w:t>
      </w:r>
      <w:r>
        <w:rPr/>
        <w:t>～</w:t>
      </w:r>
      <w:r>
        <w:rPr>
          <w:rFonts w:ascii="Times New Roman" w:eastAsia="Times New Roman"/>
        </w:rPr>
        <w:t>95dB</w:t>
      </w:r>
      <w:r>
        <w:rPr/>
        <w:t>（</w:t>
      </w:r>
      <w:r>
        <w:rPr>
          <w:rFonts w:ascii="Times New Roman" w:eastAsia="Times New Roman"/>
        </w:rPr>
        <w:t>A</w:t>
      </w:r>
      <w:r>
        <w:rPr/>
        <w:t>）。本项目主要设备噪声级见表 </w:t>
      </w:r>
      <w:r>
        <w:rPr>
          <w:rFonts w:ascii="Times New Roman" w:eastAsia="Times New Roman"/>
        </w:rPr>
        <w:t>4.10-20</w:t>
      </w:r>
      <w:r>
        <w:rPr/>
        <w:t>。</w:t>
      </w:r>
    </w:p>
    <w:p>
      <w:pPr>
        <w:pStyle w:val="BodyText"/>
        <w:spacing w:line="478" w:lineRule="exact"/>
        <w:ind w:left="720"/>
      </w:pPr>
      <w:r>
        <w:rPr/>
        <w:t>（</w:t>
      </w:r>
      <w:r>
        <w:rPr>
          <w:rFonts w:ascii="Times New Roman" w:eastAsia="Times New Roman"/>
          <w:b/>
        </w:rPr>
        <w:t>2</w:t>
      </w:r>
      <w:r>
        <w:rPr/>
        <w:t>）噪声治理措施</w:t>
      </w:r>
    </w:p>
    <w:p>
      <w:pPr>
        <w:spacing w:after="0" w:line="478" w:lineRule="exact"/>
        <w:sectPr>
          <w:footerReference w:type="default" r:id="rId17"/>
          <w:pgSz w:w="11910" w:h="16840"/>
          <w:pgMar w:footer="973" w:header="877" w:top="1340" w:bottom="1160" w:left="1560" w:right="1540"/>
        </w:sectPr>
      </w:pPr>
    </w:p>
    <w:p>
      <w:pPr>
        <w:pStyle w:val="BodyText"/>
        <w:spacing w:line="458" w:lineRule="exact"/>
        <w:ind w:left="718"/>
      </w:pPr>
      <w:r>
        <w:rPr/>
        <w:t>为减小项目噪声对周围环境的影响，拟采取以下降噪措施：</w:t>
      </w:r>
    </w:p>
    <w:p>
      <w:pPr>
        <w:pStyle w:val="BodyText"/>
        <w:spacing w:line="467" w:lineRule="exact"/>
        <w:ind w:left="718"/>
      </w:pPr>
      <w:r>
        <w:rPr/>
        <w:t>①主要设备防噪措施：</w:t>
      </w:r>
    </w:p>
    <w:p>
      <w:pPr>
        <w:pStyle w:val="BodyText"/>
        <w:spacing w:line="220" w:lineRule="auto" w:before="7"/>
        <w:ind w:left="718" w:right="256"/>
      </w:pPr>
      <w:r>
        <w:rPr>
          <w:rFonts w:ascii="Times New Roman" w:eastAsia="Times New Roman"/>
        </w:rPr>
        <w:t>A</w:t>
      </w:r>
      <w:r>
        <w:rPr/>
        <w:t>、尽量选用低噪声设备；                                                                                           </w:t>
      </w:r>
      <w:r>
        <w:rPr>
          <w:rFonts w:ascii="Times New Roman" w:eastAsia="Times New Roman"/>
          <w:spacing w:val="3"/>
        </w:rPr>
        <w:t>B</w:t>
      </w:r>
      <w:r>
        <w:rPr/>
        <w:t>、 在噪声级较高的设备上加装消音、隔音、降噪装置，如对反应釜、蒸</w:t>
      </w:r>
    </w:p>
    <w:p>
      <w:pPr>
        <w:pStyle w:val="BodyText"/>
        <w:spacing w:line="457" w:lineRule="exact"/>
        <w:ind w:left="238"/>
      </w:pPr>
      <w:r>
        <w:rPr/>
        <w:t>馏釜、卧式砂磨机等基础采取减振；各种泵类及风机连接处采用柔性接头。</w:t>
      </w:r>
    </w:p>
    <w:p>
      <w:pPr>
        <w:pStyle w:val="BodyText"/>
        <w:spacing w:line="220" w:lineRule="auto" w:before="8"/>
        <w:ind w:left="238" w:right="212" w:firstLine="479"/>
      </w:pPr>
      <w:r>
        <w:rPr>
          <w:rFonts w:ascii="Times New Roman" w:eastAsia="Times New Roman"/>
        </w:rPr>
        <w:t>C</w:t>
      </w:r>
      <w:r>
        <w:rPr/>
        <w:t>、在设备、管道安装设计中，应注意隔震、防震、防冲击。注意改善气体输送时流畅状况，以减少气体动力噪声。</w:t>
      </w:r>
    </w:p>
    <w:p>
      <w:pPr>
        <w:pStyle w:val="BodyText"/>
        <w:spacing w:line="457" w:lineRule="exact"/>
        <w:ind w:left="718"/>
      </w:pPr>
      <w:r>
        <w:rPr/>
        <w:t>②厂房建筑设计中的防噪措施</w:t>
      </w:r>
    </w:p>
    <w:p>
      <w:pPr>
        <w:pStyle w:val="BodyText"/>
        <w:spacing w:line="220" w:lineRule="auto" w:before="6"/>
        <w:ind w:left="238" w:right="252" w:firstLine="479"/>
      </w:pPr>
      <w:r>
        <w:rPr>
          <w:spacing w:val="-6"/>
        </w:rPr>
        <w:t>集中控制室采用双层窗，并选用吸声性能好的墙面材料。在结构设计中采用减震平顶、减震内壁和减震地板。</w:t>
      </w:r>
    </w:p>
    <w:p>
      <w:pPr>
        <w:pStyle w:val="BodyText"/>
        <w:spacing w:line="457" w:lineRule="exact"/>
        <w:ind w:left="718"/>
      </w:pPr>
      <w:r>
        <w:rPr/>
        <w:t>③厂区总平面布置中的防噪措施</w:t>
      </w:r>
    </w:p>
    <w:p>
      <w:pPr>
        <w:pStyle w:val="BodyText"/>
        <w:spacing w:line="220" w:lineRule="auto" w:before="8"/>
        <w:ind w:left="238" w:right="135" w:firstLine="479"/>
        <w:jc w:val="both"/>
      </w:pPr>
      <w:r>
        <w:rPr>
          <w:spacing w:val="-12"/>
        </w:rPr>
        <w:t>在厂区总平面布置中做到统筹规划，合理布局，噪声源集中布置于厂区中部， </w:t>
      </w:r>
      <w:r>
        <w:rPr>
          <w:spacing w:val="-14"/>
        </w:rPr>
        <w:t>并尽量远离办公区。对噪声级高的设备所在车间单独布置，与其它建筑物间距适当加大，以降低噪声的影响，并注意在其四周种植树木。</w:t>
      </w:r>
    </w:p>
    <w:p>
      <w:pPr>
        <w:pStyle w:val="BodyText"/>
        <w:spacing w:line="220" w:lineRule="auto"/>
        <w:ind w:left="238" w:right="131" w:firstLine="479"/>
        <w:jc w:val="both"/>
      </w:pPr>
      <w:r>
        <w:rPr/>
        <w:t>经上述噪声防治措施治理后，消声、隔声降噪效果可达到 </w:t>
      </w:r>
      <w:r>
        <w:rPr>
          <w:rFonts w:ascii="Times New Roman" w:eastAsia="Times New Roman"/>
        </w:rPr>
        <w:t>15</w:t>
      </w:r>
      <w:r>
        <w:rPr/>
        <w:t>～</w:t>
      </w:r>
      <w:r>
        <w:rPr>
          <w:rFonts w:ascii="Times New Roman" w:eastAsia="Times New Roman"/>
        </w:rPr>
        <w:t>20dB</w:t>
      </w:r>
      <w:r>
        <w:rPr/>
        <w:t>（</w:t>
      </w:r>
      <w:r>
        <w:rPr>
          <w:rFonts w:ascii="Times New Roman" w:eastAsia="Times New Roman"/>
        </w:rPr>
        <w:t>A</w:t>
      </w:r>
      <w:r>
        <w:rPr/>
        <w:t>）。厂界噪声满足《工业企业厂界环境噪声排放标准》（</w:t>
      </w:r>
      <w:r>
        <w:rPr>
          <w:rFonts w:ascii="Times New Roman" w:eastAsia="Times New Roman"/>
        </w:rPr>
        <w:t>GB</w:t>
      </w:r>
      <w:r>
        <w:rPr>
          <w:rFonts w:ascii="Times New Roman" w:eastAsia="Times New Roman"/>
          <w:spacing w:val="57"/>
        </w:rPr>
        <w:t> </w:t>
      </w:r>
      <w:r>
        <w:rPr>
          <w:rFonts w:ascii="Times New Roman" w:eastAsia="Times New Roman"/>
        </w:rPr>
        <w:t>12348</w:t>
      </w:r>
      <w:r>
        <w:rPr/>
        <w:t>－</w:t>
      </w:r>
      <w:r>
        <w:rPr>
          <w:rFonts w:ascii="Times New Roman" w:eastAsia="Times New Roman"/>
        </w:rPr>
        <w:t>2008</w:t>
      </w:r>
      <w:r>
        <w:rPr/>
        <w:t>）</w:t>
      </w:r>
      <w:r>
        <w:rPr>
          <w:spacing w:val="17"/>
        </w:rPr>
        <w:t>中 </w:t>
      </w:r>
      <w:r>
        <w:rPr>
          <w:rFonts w:ascii="Times New Roman" w:eastAsia="Times New Roman"/>
        </w:rPr>
        <w:t>3 </w:t>
      </w:r>
      <w:r>
        <w:rPr/>
        <w:t>类标准的要求。</w:t>
      </w:r>
    </w:p>
    <w:p>
      <w:pPr>
        <w:tabs>
          <w:tab w:pos="3581" w:val="left" w:leader="none"/>
        </w:tabs>
        <w:spacing w:before="100"/>
        <w:ind w:left="2461" w:right="0" w:firstLine="0"/>
        <w:jc w:val="left"/>
        <w:rPr>
          <w:sz w:val="21"/>
        </w:rPr>
      </w:pPr>
      <w:r>
        <w:rPr>
          <w:sz w:val="21"/>
        </w:rPr>
        <w:t>表</w:t>
      </w:r>
      <w:r>
        <w:rPr>
          <w:spacing w:val="7"/>
          <w:sz w:val="21"/>
        </w:rPr>
        <w:t> </w:t>
      </w:r>
      <w:r>
        <w:rPr>
          <w:rFonts w:ascii="Times New Roman" w:eastAsia="Times New Roman"/>
          <w:b/>
          <w:sz w:val="21"/>
        </w:rPr>
        <w:t>4.10-22</w:t>
        <w:tab/>
      </w:r>
      <w:r>
        <w:rPr>
          <w:sz w:val="21"/>
        </w:rPr>
        <w:t>本项目主要设备噪声级一览表</w:t>
      </w:r>
    </w:p>
    <w:p>
      <w:pPr>
        <w:pStyle w:val="BodyText"/>
        <w:spacing w:before="20"/>
        <w:rPr>
          <w:sz w:val="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7"/>
        <w:gridCol w:w="1880"/>
        <w:gridCol w:w="1210"/>
        <w:gridCol w:w="1431"/>
        <w:gridCol w:w="1686"/>
        <w:gridCol w:w="1237"/>
      </w:tblGrid>
      <w:tr>
        <w:trPr>
          <w:trHeight w:val="339" w:hRule="atLeast"/>
        </w:trPr>
        <w:tc>
          <w:tcPr>
            <w:tcW w:w="1087" w:type="dxa"/>
            <w:vMerge w:val="restart"/>
            <w:tcBorders>
              <w:bottom w:val="single" w:sz="6" w:space="0" w:color="000000"/>
              <w:right w:val="single" w:sz="6" w:space="0" w:color="000000"/>
            </w:tcBorders>
          </w:tcPr>
          <w:p>
            <w:pPr>
              <w:pStyle w:val="TableParagraph"/>
              <w:spacing w:before="113"/>
              <w:ind w:left="330"/>
              <w:jc w:val="left"/>
              <w:rPr>
                <w:sz w:val="21"/>
              </w:rPr>
            </w:pPr>
            <w:r>
              <w:rPr>
                <w:sz w:val="21"/>
              </w:rPr>
              <w:t>位置</w:t>
            </w:r>
          </w:p>
        </w:tc>
        <w:tc>
          <w:tcPr>
            <w:tcW w:w="1880" w:type="dxa"/>
            <w:vMerge w:val="restart"/>
            <w:tcBorders>
              <w:left w:val="single" w:sz="6" w:space="0" w:color="000000"/>
              <w:bottom w:val="single" w:sz="6" w:space="0" w:color="000000"/>
              <w:right w:val="single" w:sz="6" w:space="0" w:color="000000"/>
            </w:tcBorders>
          </w:tcPr>
          <w:p>
            <w:pPr>
              <w:pStyle w:val="TableParagraph"/>
              <w:spacing w:line="146" w:lineRule="auto" w:before="98"/>
              <w:ind w:left="731" w:right="708"/>
              <w:rPr>
                <w:sz w:val="21"/>
              </w:rPr>
            </w:pPr>
            <w:r>
              <w:rPr>
                <w:sz w:val="21"/>
              </w:rPr>
              <w:t>噪声设备</w:t>
            </w:r>
          </w:p>
        </w:tc>
        <w:tc>
          <w:tcPr>
            <w:tcW w:w="1210" w:type="dxa"/>
            <w:vMerge w:val="restart"/>
            <w:tcBorders>
              <w:left w:val="single" w:sz="6" w:space="0" w:color="000000"/>
              <w:bottom w:val="single" w:sz="6" w:space="0" w:color="000000"/>
              <w:right w:val="single" w:sz="6" w:space="0" w:color="000000"/>
            </w:tcBorders>
          </w:tcPr>
          <w:p>
            <w:pPr>
              <w:pStyle w:val="TableParagraph"/>
              <w:spacing w:line="336" w:lineRule="exact"/>
              <w:ind w:left="152" w:right="124"/>
              <w:rPr>
                <w:sz w:val="21"/>
              </w:rPr>
            </w:pPr>
            <w:r>
              <w:rPr>
                <w:sz w:val="21"/>
              </w:rPr>
              <w:t>数量</w:t>
            </w:r>
          </w:p>
          <w:p>
            <w:pPr>
              <w:pStyle w:val="TableParagraph"/>
              <w:spacing w:line="339" w:lineRule="exact"/>
              <w:ind w:left="152" w:right="124"/>
              <w:rPr>
                <w:sz w:val="21"/>
              </w:rPr>
            </w:pPr>
            <w:r>
              <w:rPr>
                <w:sz w:val="21"/>
              </w:rPr>
              <w:t>（台）</w:t>
            </w:r>
          </w:p>
        </w:tc>
        <w:tc>
          <w:tcPr>
            <w:tcW w:w="4354" w:type="dxa"/>
            <w:gridSpan w:val="3"/>
            <w:tcBorders>
              <w:left w:val="single" w:sz="6" w:space="0" w:color="000000"/>
              <w:bottom w:val="single" w:sz="6" w:space="0" w:color="000000"/>
            </w:tcBorders>
          </w:tcPr>
          <w:p>
            <w:pPr>
              <w:pStyle w:val="TableParagraph"/>
              <w:spacing w:line="320" w:lineRule="exact"/>
              <w:ind w:left="1029"/>
              <w:jc w:val="left"/>
              <w:rPr>
                <w:sz w:val="21"/>
              </w:rPr>
            </w:pPr>
            <w:r>
              <w:rPr>
                <w:sz w:val="21"/>
              </w:rPr>
              <w:t>噪声级（整体）</w:t>
            </w:r>
            <w:r>
              <w:rPr>
                <w:rFonts w:ascii="Times New Roman" w:eastAsia="Times New Roman"/>
                <w:b/>
                <w:sz w:val="21"/>
              </w:rPr>
              <w:t>dB</w:t>
            </w:r>
            <w:r>
              <w:rPr>
                <w:sz w:val="21"/>
              </w:rPr>
              <w:t>（</w:t>
            </w:r>
            <w:r>
              <w:rPr>
                <w:rFonts w:ascii="Times New Roman" w:eastAsia="Times New Roman"/>
                <w:b/>
                <w:sz w:val="21"/>
              </w:rPr>
              <w:t>A</w:t>
            </w:r>
            <w:r>
              <w:rPr>
                <w:sz w:val="21"/>
              </w:rPr>
              <w:t>）</w:t>
            </w: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vMerge/>
            <w:tcBorders>
              <w:top w:val="nil"/>
              <w:left w:val="single" w:sz="6" w:space="0" w:color="000000"/>
              <w:bottom w:val="single" w:sz="6" w:space="0" w:color="000000"/>
              <w:right w:val="single" w:sz="6" w:space="0" w:color="000000"/>
            </w:tcBorders>
          </w:tcPr>
          <w:p>
            <w:pPr>
              <w:rPr>
                <w:sz w:val="2"/>
                <w:szCs w:val="2"/>
              </w:rPr>
            </w:pPr>
          </w:p>
        </w:tc>
        <w:tc>
          <w:tcPr>
            <w:tcW w:w="1210" w:type="dxa"/>
            <w:vMerge/>
            <w:tcBorders>
              <w:top w:val="nil"/>
              <w:left w:val="single" w:sz="6" w:space="0" w:color="000000"/>
              <w:bottom w:val="single" w:sz="6" w:space="0" w:color="000000"/>
              <w:right w:val="single" w:sz="6" w:space="0" w:color="000000"/>
            </w:tcBorders>
          </w:tcPr>
          <w:p>
            <w:pPr>
              <w:rPr>
                <w:sz w:val="2"/>
                <w:szCs w:val="2"/>
              </w:rPr>
            </w:pP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7" w:right="359"/>
              <w:rPr>
                <w:sz w:val="21"/>
              </w:rPr>
            </w:pPr>
            <w:r>
              <w:rPr>
                <w:sz w:val="21"/>
              </w:rPr>
              <w:t>治理前</w:t>
            </w:r>
          </w:p>
        </w:tc>
        <w:tc>
          <w:tcPr>
            <w:tcW w:w="16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28"/>
              <w:jc w:val="left"/>
              <w:rPr>
                <w:sz w:val="21"/>
              </w:rPr>
            </w:pPr>
            <w:r>
              <w:rPr>
                <w:sz w:val="21"/>
              </w:rPr>
              <w:t>治理措施</w:t>
            </w:r>
          </w:p>
        </w:tc>
        <w:tc>
          <w:tcPr>
            <w:tcW w:w="1237" w:type="dxa"/>
            <w:tcBorders>
              <w:top w:val="single" w:sz="6" w:space="0" w:color="000000"/>
              <w:left w:val="single" w:sz="6" w:space="0" w:color="000000"/>
              <w:bottom w:val="single" w:sz="6" w:space="0" w:color="000000"/>
            </w:tcBorders>
          </w:tcPr>
          <w:p>
            <w:pPr>
              <w:pStyle w:val="TableParagraph"/>
              <w:spacing w:line="320" w:lineRule="exact"/>
              <w:ind w:left="308"/>
              <w:jc w:val="left"/>
              <w:rPr>
                <w:sz w:val="21"/>
              </w:rPr>
            </w:pPr>
            <w:r>
              <w:rPr>
                <w:sz w:val="21"/>
              </w:rPr>
              <w:t>治理后</w:t>
            </w:r>
          </w:p>
        </w:tc>
      </w:tr>
      <w:tr>
        <w:trPr>
          <w:trHeight w:val="340" w:hRule="atLeast"/>
        </w:trPr>
        <w:tc>
          <w:tcPr>
            <w:tcW w:w="1087"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
              <w:jc w:val="left"/>
              <w:rPr>
                <w:sz w:val="13"/>
              </w:rPr>
            </w:pPr>
          </w:p>
          <w:p>
            <w:pPr>
              <w:pStyle w:val="TableParagraph"/>
              <w:spacing w:line="406" w:lineRule="exact"/>
              <w:ind w:left="102" w:right="81"/>
              <w:rPr>
                <w:sz w:val="21"/>
              </w:rPr>
            </w:pPr>
            <w:r>
              <w:rPr>
                <w:sz w:val="21"/>
              </w:rPr>
              <w:t>原料车间</w:t>
            </w:r>
          </w:p>
          <w:p>
            <w:pPr>
              <w:pStyle w:val="TableParagraph"/>
              <w:spacing w:line="202" w:lineRule="exact"/>
              <w:ind w:left="18"/>
              <w:rPr>
                <w:rFonts w:ascii="Times New Roman"/>
                <w:sz w:val="21"/>
              </w:rPr>
            </w:pPr>
            <w:r>
              <w:rPr>
                <w:rFonts w:ascii="Times New Roman"/>
                <w:w w:val="100"/>
                <w:sz w:val="21"/>
              </w:rPr>
              <w:t>1</w:t>
            </w: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3"/>
              <w:rPr>
                <w:sz w:val="21"/>
              </w:rPr>
            </w:pPr>
            <w:r>
              <w:rPr>
                <w:sz w:val="21"/>
              </w:rPr>
              <w:t>料泵</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9</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3"/>
              <w:jc w:val="left"/>
              <w:rPr>
                <w:sz w:val="18"/>
              </w:rPr>
            </w:pPr>
          </w:p>
          <w:p>
            <w:pPr>
              <w:pStyle w:val="TableParagraph"/>
              <w:spacing w:line="146" w:lineRule="auto"/>
              <w:ind w:left="323" w:right="83" w:hanging="209"/>
              <w:jc w:val="left"/>
              <w:rPr>
                <w:sz w:val="21"/>
              </w:rPr>
            </w:pPr>
            <w:r>
              <w:rPr>
                <w:sz w:val="21"/>
              </w:rPr>
              <w:t>基础减震、厂房吸声、隔声</w:t>
            </w:r>
          </w:p>
        </w:tc>
        <w:tc>
          <w:tcPr>
            <w:tcW w:w="1237" w:type="dxa"/>
            <w:vMerge w:val="restart"/>
            <w:tcBorders>
              <w:top w:val="single" w:sz="6" w:space="0" w:color="000000"/>
              <w:left w:val="single" w:sz="6" w:space="0" w:color="000000"/>
              <w:bottom w:val="single" w:sz="6" w:space="0" w:color="000000"/>
            </w:tcBorders>
          </w:tcPr>
          <w:p>
            <w:pPr>
              <w:pStyle w:val="TableParagraph"/>
              <w:jc w:val="left"/>
              <w:rPr>
                <w:sz w:val="22"/>
              </w:rPr>
            </w:pPr>
          </w:p>
          <w:p>
            <w:pPr>
              <w:pStyle w:val="TableParagraph"/>
              <w:spacing w:before="20"/>
              <w:jc w:val="left"/>
              <w:rPr>
                <w:sz w:val="21"/>
              </w:rPr>
            </w:pPr>
          </w:p>
          <w:p>
            <w:pPr>
              <w:pStyle w:val="TableParagraph"/>
              <w:ind w:left="497" w:right="467"/>
              <w:rPr>
                <w:rFonts w:ascii="Times New Roman"/>
                <w:sz w:val="21"/>
              </w:rPr>
            </w:pPr>
            <w:r>
              <w:rPr>
                <w:rFonts w:ascii="Times New Roman"/>
                <w:sz w:val="21"/>
              </w:rPr>
              <w:t>68</w:t>
            </w: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6"/>
              <w:rPr>
                <w:sz w:val="21"/>
              </w:rPr>
            </w:pPr>
            <w:r>
              <w:rPr>
                <w:sz w:val="21"/>
              </w:rPr>
              <w:t>三维混合机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4</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99" w:right="374"/>
              <w:rPr>
                <w:sz w:val="21"/>
              </w:rPr>
            </w:pPr>
            <w:r>
              <w:rPr>
                <w:sz w:val="21"/>
              </w:rPr>
              <w:t>真空泵</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Times New Roman"/>
                <w:sz w:val="21"/>
              </w:rPr>
            </w:pPr>
            <w:r>
              <w:rPr>
                <w:rFonts w:ascii="Times New Roman"/>
                <w:w w:val="100"/>
                <w:sz w:val="21"/>
              </w:rPr>
              <w:t>5</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4"/>
              <w:ind w:left="382" w:right="359"/>
              <w:rPr>
                <w:rFonts w:ascii="Times New Roman"/>
                <w:sz w:val="21"/>
              </w:rPr>
            </w:pPr>
            <w:r>
              <w:rPr>
                <w:rFonts w:ascii="Times New Roman"/>
                <w:sz w:val="21"/>
              </w:rPr>
              <w:t>75-80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压滤机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70-75</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粉碎机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4</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70-80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离心机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6</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70-75</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val="restart"/>
            <w:tcBorders>
              <w:top w:val="single" w:sz="6" w:space="0" w:color="000000"/>
              <w:bottom w:val="single" w:sz="6" w:space="0" w:color="000000"/>
              <w:right w:val="single" w:sz="6" w:space="0" w:color="000000"/>
            </w:tcBorders>
          </w:tcPr>
          <w:p>
            <w:pPr>
              <w:pStyle w:val="TableParagraph"/>
              <w:spacing w:before="15"/>
              <w:jc w:val="left"/>
              <w:rPr>
                <w:sz w:val="24"/>
              </w:rPr>
            </w:pPr>
          </w:p>
          <w:p>
            <w:pPr>
              <w:pStyle w:val="TableParagraph"/>
              <w:spacing w:line="405" w:lineRule="exact"/>
              <w:ind w:left="102" w:right="81"/>
              <w:rPr>
                <w:sz w:val="21"/>
              </w:rPr>
            </w:pPr>
            <w:r>
              <w:rPr>
                <w:sz w:val="21"/>
              </w:rPr>
              <w:t>原料车间</w:t>
            </w:r>
          </w:p>
          <w:p>
            <w:pPr>
              <w:pStyle w:val="TableParagraph"/>
              <w:spacing w:line="201" w:lineRule="exact"/>
              <w:ind w:left="18"/>
              <w:rPr>
                <w:rFonts w:ascii="Times New Roman"/>
                <w:sz w:val="21"/>
              </w:rPr>
            </w:pPr>
            <w:r>
              <w:rPr>
                <w:rFonts w:ascii="Times New Roman"/>
                <w:w w:val="100"/>
                <w:sz w:val="21"/>
              </w:rPr>
              <w:t>2</w:t>
            </w: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3"/>
              <w:rPr>
                <w:sz w:val="21"/>
              </w:rPr>
            </w:pPr>
            <w:r>
              <w:rPr>
                <w:sz w:val="21"/>
              </w:rPr>
              <w:t>真空泵</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4</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29"/>
              </w:rPr>
            </w:pPr>
          </w:p>
          <w:p>
            <w:pPr>
              <w:pStyle w:val="TableParagraph"/>
              <w:spacing w:line="146" w:lineRule="auto"/>
              <w:ind w:left="323" w:right="83" w:hanging="209"/>
              <w:jc w:val="left"/>
              <w:rPr>
                <w:sz w:val="21"/>
              </w:rPr>
            </w:pPr>
            <w:r>
              <w:rPr>
                <w:sz w:val="21"/>
              </w:rPr>
              <w:t>基础减震、厂房吸声、隔声</w:t>
            </w:r>
          </w:p>
        </w:tc>
        <w:tc>
          <w:tcPr>
            <w:tcW w:w="1237" w:type="dxa"/>
            <w:vMerge w:val="restart"/>
            <w:tcBorders>
              <w:top w:val="single" w:sz="6" w:space="0" w:color="000000"/>
              <w:left w:val="single" w:sz="6" w:space="0" w:color="000000"/>
              <w:bottom w:val="single" w:sz="6" w:space="0" w:color="000000"/>
            </w:tcBorders>
          </w:tcPr>
          <w:p>
            <w:pPr>
              <w:pStyle w:val="TableParagraph"/>
              <w:jc w:val="left"/>
              <w:rPr>
                <w:sz w:val="22"/>
              </w:rPr>
            </w:pPr>
          </w:p>
          <w:p>
            <w:pPr>
              <w:pStyle w:val="TableParagraph"/>
              <w:spacing w:before="9"/>
              <w:jc w:val="left"/>
              <w:rPr>
                <w:sz w:val="13"/>
              </w:rPr>
            </w:pPr>
          </w:p>
          <w:p>
            <w:pPr>
              <w:pStyle w:val="TableParagraph"/>
              <w:ind w:left="497" w:right="467"/>
              <w:rPr>
                <w:rFonts w:ascii="Times New Roman"/>
                <w:sz w:val="21"/>
              </w:rPr>
            </w:pPr>
            <w:r>
              <w:rPr>
                <w:rFonts w:ascii="Times New Roman"/>
                <w:sz w:val="21"/>
              </w:rPr>
              <w:t>68</w:t>
            </w: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压滤机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3</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70-75</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离心机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3</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1"/>
              <w:ind w:left="382" w:right="359"/>
              <w:rPr>
                <w:rFonts w:ascii="Times New Roman"/>
                <w:sz w:val="21"/>
              </w:rPr>
            </w:pPr>
            <w:r>
              <w:rPr>
                <w:rFonts w:ascii="Times New Roman"/>
                <w:sz w:val="21"/>
              </w:rPr>
              <w:t>70-75</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37"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99" w:right="374"/>
              <w:rPr>
                <w:sz w:val="21"/>
              </w:rPr>
            </w:pPr>
            <w:r>
              <w:rPr>
                <w:sz w:val="21"/>
              </w:rPr>
              <w:t>粉碎机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3</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1"/>
              <w:ind w:left="382" w:right="359"/>
              <w:rPr>
                <w:rFonts w:ascii="Times New Roman"/>
                <w:sz w:val="21"/>
              </w:rPr>
            </w:pPr>
            <w:r>
              <w:rPr>
                <w:rFonts w:ascii="Times New Roman"/>
                <w:sz w:val="21"/>
              </w:rPr>
              <w:t>70-80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6"/>
              <w:rPr>
                <w:sz w:val="21"/>
              </w:rPr>
            </w:pPr>
            <w:r>
              <w:rPr>
                <w:sz w:val="21"/>
              </w:rPr>
              <w:t>三维混合机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3</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33" w:hRule="atLeast"/>
        </w:trPr>
        <w:tc>
          <w:tcPr>
            <w:tcW w:w="1087" w:type="dxa"/>
            <w:vMerge w:val="restart"/>
            <w:tcBorders>
              <w:top w:val="single" w:sz="6" w:space="0" w:color="000000"/>
              <w:right w:val="single" w:sz="6" w:space="0" w:color="000000"/>
            </w:tcBorders>
          </w:tcPr>
          <w:p>
            <w:pPr>
              <w:pStyle w:val="TableParagraph"/>
              <w:spacing w:before="114"/>
              <w:ind w:left="121"/>
              <w:jc w:val="left"/>
              <w:rPr>
                <w:sz w:val="21"/>
              </w:rPr>
            </w:pPr>
            <w:r>
              <w:rPr>
                <w:sz w:val="21"/>
              </w:rPr>
              <w:t>发酵车间</w:t>
            </w: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399" w:right="374"/>
              <w:rPr>
                <w:sz w:val="21"/>
              </w:rPr>
            </w:pPr>
            <w:r>
              <w:rPr>
                <w:sz w:val="21"/>
              </w:rPr>
              <w:t>料泵</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3</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val="restart"/>
            <w:tcBorders>
              <w:top w:val="single" w:sz="6" w:space="0" w:color="000000"/>
              <w:left w:val="single" w:sz="6" w:space="0" w:color="000000"/>
              <w:right w:val="single" w:sz="6" w:space="0" w:color="000000"/>
            </w:tcBorders>
          </w:tcPr>
          <w:p>
            <w:pPr>
              <w:pStyle w:val="TableParagraph"/>
              <w:spacing w:line="146" w:lineRule="auto" w:before="98"/>
              <w:ind w:left="323" w:right="83" w:hanging="209"/>
              <w:jc w:val="left"/>
              <w:rPr>
                <w:sz w:val="21"/>
              </w:rPr>
            </w:pPr>
            <w:r>
              <w:rPr>
                <w:sz w:val="21"/>
              </w:rPr>
              <w:t>基础减震、厂房吸声、隔声</w:t>
            </w:r>
          </w:p>
        </w:tc>
        <w:tc>
          <w:tcPr>
            <w:tcW w:w="1237" w:type="dxa"/>
            <w:vMerge w:val="restart"/>
            <w:tcBorders>
              <w:top w:val="single" w:sz="6" w:space="0" w:color="000000"/>
              <w:left w:val="single" w:sz="6" w:space="0" w:color="000000"/>
            </w:tcBorders>
          </w:tcPr>
          <w:p>
            <w:pPr>
              <w:pStyle w:val="TableParagraph"/>
              <w:spacing w:before="9"/>
              <w:jc w:val="left"/>
              <w:rPr>
                <w:sz w:val="10"/>
              </w:rPr>
            </w:pPr>
          </w:p>
          <w:p>
            <w:pPr>
              <w:pStyle w:val="TableParagraph"/>
              <w:ind w:left="497" w:right="467"/>
              <w:rPr>
                <w:rFonts w:ascii="Times New Roman"/>
                <w:sz w:val="21"/>
              </w:rPr>
            </w:pPr>
            <w:r>
              <w:rPr>
                <w:rFonts w:ascii="Times New Roman"/>
                <w:sz w:val="21"/>
              </w:rPr>
              <w:t>68</w:t>
            </w:r>
          </w:p>
        </w:tc>
      </w:tr>
      <w:tr>
        <w:trPr>
          <w:trHeight w:val="332" w:hRule="atLeast"/>
        </w:trPr>
        <w:tc>
          <w:tcPr>
            <w:tcW w:w="1087" w:type="dxa"/>
            <w:vMerge/>
            <w:tcBorders>
              <w:top w:val="nil"/>
              <w:right w:val="single" w:sz="6" w:space="0" w:color="000000"/>
            </w:tcBorders>
          </w:tcPr>
          <w:p>
            <w:pPr>
              <w:rPr>
                <w:sz w:val="2"/>
                <w:szCs w:val="2"/>
              </w:rPr>
            </w:pPr>
          </w:p>
        </w:tc>
        <w:tc>
          <w:tcPr>
            <w:tcW w:w="1880" w:type="dxa"/>
            <w:tcBorders>
              <w:top w:val="single" w:sz="6" w:space="0" w:color="000000"/>
              <w:left w:val="single" w:sz="6" w:space="0" w:color="000000"/>
              <w:right w:val="single" w:sz="6" w:space="0" w:color="000000"/>
            </w:tcBorders>
          </w:tcPr>
          <w:p>
            <w:pPr>
              <w:pStyle w:val="TableParagraph"/>
              <w:spacing w:line="312" w:lineRule="exact"/>
              <w:ind w:left="399" w:right="374"/>
              <w:rPr>
                <w:sz w:val="21"/>
              </w:rPr>
            </w:pPr>
            <w:r>
              <w:rPr>
                <w:sz w:val="21"/>
              </w:rPr>
              <w:t>压滤机</w:t>
            </w:r>
          </w:p>
        </w:tc>
        <w:tc>
          <w:tcPr>
            <w:tcW w:w="1210" w:type="dxa"/>
            <w:tcBorders>
              <w:top w:val="single" w:sz="6" w:space="0" w:color="000000"/>
              <w:left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1</w:t>
            </w:r>
          </w:p>
        </w:tc>
        <w:tc>
          <w:tcPr>
            <w:tcW w:w="1431" w:type="dxa"/>
            <w:tcBorders>
              <w:top w:val="single" w:sz="6" w:space="0" w:color="000000"/>
              <w:left w:val="single" w:sz="6" w:space="0" w:color="000000"/>
              <w:right w:val="single" w:sz="6" w:space="0" w:color="000000"/>
            </w:tcBorders>
          </w:tcPr>
          <w:p>
            <w:pPr>
              <w:pStyle w:val="TableParagraph"/>
              <w:spacing w:before="36"/>
              <w:ind w:left="382" w:right="359"/>
              <w:rPr>
                <w:rFonts w:ascii="Times New Roman"/>
                <w:sz w:val="21"/>
              </w:rPr>
            </w:pPr>
            <w:r>
              <w:rPr>
                <w:rFonts w:ascii="Times New Roman"/>
                <w:sz w:val="21"/>
              </w:rPr>
              <w:t>70-75</w:t>
            </w:r>
          </w:p>
        </w:tc>
        <w:tc>
          <w:tcPr>
            <w:tcW w:w="1686" w:type="dxa"/>
            <w:vMerge/>
            <w:tcBorders>
              <w:top w:val="nil"/>
              <w:left w:val="single" w:sz="6" w:space="0" w:color="000000"/>
              <w:right w:val="single" w:sz="6" w:space="0" w:color="000000"/>
            </w:tcBorders>
          </w:tcPr>
          <w:p>
            <w:pPr>
              <w:rPr>
                <w:sz w:val="2"/>
                <w:szCs w:val="2"/>
              </w:rPr>
            </w:pPr>
          </w:p>
        </w:tc>
        <w:tc>
          <w:tcPr>
            <w:tcW w:w="1237" w:type="dxa"/>
            <w:vMerge/>
            <w:tcBorders>
              <w:top w:val="nil"/>
              <w:left w:val="single" w:sz="6" w:space="0" w:color="000000"/>
            </w:tcBorders>
          </w:tcPr>
          <w:p>
            <w:pPr>
              <w:rPr>
                <w:sz w:val="2"/>
                <w:szCs w:val="2"/>
              </w:rPr>
            </w:pPr>
          </w:p>
        </w:tc>
      </w:tr>
    </w:tbl>
    <w:p>
      <w:pPr>
        <w:spacing w:after="0"/>
        <w:rPr>
          <w:sz w:val="2"/>
          <w:szCs w:val="2"/>
        </w:rPr>
        <w:sectPr>
          <w:footerReference w:type="default" r:id="rId18"/>
          <w:pgSz w:w="11910" w:h="16840"/>
          <w:pgMar w:footer="973" w:header="877" w:top="1340" w:bottom="1160" w:left="1560" w:right="1540"/>
        </w:sectPr>
      </w:pPr>
    </w:p>
    <w:p>
      <w:pPr>
        <w:pStyle w:val="BodyText"/>
        <w:spacing w:before="20"/>
        <w:rPr>
          <w:sz w:val="3"/>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7"/>
        <w:gridCol w:w="1880"/>
        <w:gridCol w:w="1210"/>
        <w:gridCol w:w="1431"/>
        <w:gridCol w:w="1686"/>
        <w:gridCol w:w="1237"/>
      </w:tblGrid>
      <w:tr>
        <w:trPr>
          <w:trHeight w:val="340" w:hRule="atLeast"/>
        </w:trPr>
        <w:tc>
          <w:tcPr>
            <w:tcW w:w="1087" w:type="dxa"/>
            <w:vMerge w:val="restart"/>
            <w:tcBorders>
              <w:bottom w:val="single" w:sz="6" w:space="0" w:color="000000"/>
              <w:right w:val="single" w:sz="6" w:space="0" w:color="000000"/>
            </w:tcBorders>
          </w:tcPr>
          <w:p>
            <w:pPr>
              <w:pStyle w:val="TableParagraph"/>
              <w:jc w:val="left"/>
              <w:rPr>
                <w:rFonts w:ascii="Times New Roman"/>
                <w:sz w:val="22"/>
              </w:rPr>
            </w:pPr>
          </w:p>
        </w:tc>
        <w:tc>
          <w:tcPr>
            <w:tcW w:w="1880" w:type="dxa"/>
            <w:tcBorders>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粉碎机</w:t>
            </w:r>
          </w:p>
        </w:tc>
        <w:tc>
          <w:tcPr>
            <w:tcW w:w="1210" w:type="dxa"/>
            <w:tcBorders>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1431" w:type="dxa"/>
            <w:tcBorders>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70-80</w:t>
            </w:r>
          </w:p>
        </w:tc>
        <w:tc>
          <w:tcPr>
            <w:tcW w:w="1686"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2"/>
              </w:rPr>
            </w:pPr>
          </w:p>
        </w:tc>
        <w:tc>
          <w:tcPr>
            <w:tcW w:w="1237" w:type="dxa"/>
            <w:vMerge w:val="restart"/>
            <w:tcBorders>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6"/>
              <w:rPr>
                <w:sz w:val="21"/>
              </w:rPr>
            </w:pPr>
            <w:r>
              <w:rPr>
                <w:sz w:val="21"/>
              </w:rPr>
              <w:t>三维混合机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空压机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75-85</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val="restart"/>
            <w:tcBorders>
              <w:top w:val="single" w:sz="6" w:space="0" w:color="000000"/>
              <w:bottom w:val="single" w:sz="6" w:space="0" w:color="000000"/>
              <w:right w:val="single" w:sz="6" w:space="0" w:color="000000"/>
            </w:tcBorders>
          </w:tcPr>
          <w:p>
            <w:pPr>
              <w:pStyle w:val="TableParagraph"/>
              <w:spacing w:before="13"/>
              <w:jc w:val="left"/>
              <w:rPr>
                <w:sz w:val="29"/>
              </w:rPr>
            </w:pPr>
          </w:p>
          <w:p>
            <w:pPr>
              <w:pStyle w:val="TableParagraph"/>
              <w:spacing w:line="146" w:lineRule="auto"/>
              <w:ind w:left="332" w:right="307"/>
              <w:jc w:val="left"/>
              <w:rPr>
                <w:sz w:val="21"/>
              </w:rPr>
            </w:pPr>
            <w:r>
              <w:rPr>
                <w:sz w:val="21"/>
              </w:rPr>
              <w:t>动力车间</w:t>
            </w: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空压机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75-85</w:t>
            </w:r>
          </w:p>
        </w:tc>
        <w:tc>
          <w:tcPr>
            <w:tcW w:w="168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29"/>
              </w:rPr>
            </w:pPr>
          </w:p>
          <w:p>
            <w:pPr>
              <w:pStyle w:val="TableParagraph"/>
              <w:spacing w:line="146" w:lineRule="auto"/>
              <w:ind w:left="323" w:right="83" w:hanging="209"/>
              <w:jc w:val="left"/>
              <w:rPr>
                <w:sz w:val="21"/>
              </w:rPr>
            </w:pPr>
            <w:r>
              <w:rPr>
                <w:sz w:val="21"/>
              </w:rPr>
              <w:t>基础减震、厂房吸声、隔声</w:t>
            </w:r>
          </w:p>
        </w:tc>
        <w:tc>
          <w:tcPr>
            <w:tcW w:w="1237" w:type="dxa"/>
            <w:vMerge w:val="restart"/>
            <w:tcBorders>
              <w:top w:val="single" w:sz="6" w:space="0" w:color="000000"/>
              <w:left w:val="single" w:sz="6" w:space="0" w:color="000000"/>
              <w:bottom w:val="single" w:sz="6" w:space="0" w:color="000000"/>
            </w:tcBorders>
          </w:tcPr>
          <w:p>
            <w:pPr>
              <w:pStyle w:val="TableParagraph"/>
              <w:jc w:val="left"/>
              <w:rPr>
                <w:sz w:val="22"/>
              </w:rPr>
            </w:pPr>
          </w:p>
          <w:p>
            <w:pPr>
              <w:pStyle w:val="TableParagraph"/>
              <w:spacing w:before="12"/>
              <w:jc w:val="left"/>
              <w:rPr>
                <w:sz w:val="13"/>
              </w:rPr>
            </w:pPr>
          </w:p>
          <w:p>
            <w:pPr>
              <w:pStyle w:val="TableParagraph"/>
              <w:ind w:left="497" w:right="467"/>
              <w:rPr>
                <w:rFonts w:ascii="Times New Roman"/>
                <w:sz w:val="21"/>
              </w:rPr>
            </w:pPr>
            <w:r>
              <w:rPr>
                <w:rFonts w:ascii="Times New Roman"/>
                <w:sz w:val="21"/>
              </w:rPr>
              <w:t>75</w:t>
            </w: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制氮机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80-85</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6"/>
              <w:rPr>
                <w:sz w:val="21"/>
              </w:rPr>
            </w:pPr>
            <w:r>
              <w:rPr>
                <w:sz w:val="21"/>
              </w:rPr>
              <w:t>真空机组</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152" w:right="124"/>
              <w:rPr>
                <w:rFonts w:ascii="Times New Roman"/>
                <w:sz w:val="21"/>
              </w:rPr>
            </w:pPr>
            <w:r>
              <w:rPr>
                <w:rFonts w:ascii="Times New Roman"/>
                <w:sz w:val="21"/>
              </w:rPr>
              <w:t>12</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冷却塔</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80-90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压滤机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2</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1"/>
              <w:ind w:left="382" w:right="359"/>
              <w:rPr>
                <w:rFonts w:ascii="Times New Roman"/>
                <w:sz w:val="21"/>
              </w:rPr>
            </w:pPr>
            <w:r>
              <w:rPr>
                <w:rFonts w:ascii="Times New Roman"/>
                <w:sz w:val="21"/>
              </w:rPr>
              <w:t>80-85</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val="restart"/>
            <w:tcBorders>
              <w:top w:val="single" w:sz="6" w:space="0" w:color="000000"/>
              <w:bottom w:val="single" w:sz="6" w:space="0" w:color="000000"/>
              <w:right w:val="single" w:sz="6" w:space="0" w:color="000000"/>
            </w:tcBorders>
          </w:tcPr>
          <w:p>
            <w:pPr>
              <w:pStyle w:val="TableParagraph"/>
              <w:spacing w:before="111"/>
              <w:ind w:left="227"/>
              <w:jc w:val="left"/>
              <w:rPr>
                <w:sz w:val="21"/>
              </w:rPr>
            </w:pPr>
            <w:r>
              <w:rPr>
                <w:sz w:val="21"/>
              </w:rPr>
              <w:t>锅炉房</w:t>
            </w: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水泵</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6</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1"/>
              <w:ind w:left="382" w:right="359"/>
              <w:rPr>
                <w:rFonts w:ascii="Times New Roman"/>
                <w:sz w:val="21"/>
              </w:rPr>
            </w:pPr>
            <w:r>
              <w:rPr>
                <w:rFonts w:ascii="Times New Roman"/>
                <w:sz w:val="21"/>
              </w:rPr>
              <w:t>75-80</w:t>
            </w:r>
          </w:p>
        </w:tc>
        <w:tc>
          <w:tcPr>
            <w:tcW w:w="168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8" w:lineRule="auto" w:before="92"/>
              <w:ind w:left="323" w:right="83" w:hanging="209"/>
              <w:jc w:val="left"/>
              <w:rPr>
                <w:sz w:val="21"/>
              </w:rPr>
            </w:pPr>
            <w:r>
              <w:rPr>
                <w:sz w:val="21"/>
              </w:rPr>
              <w:t>基础减震、厂房吸声、隔声</w:t>
            </w:r>
          </w:p>
        </w:tc>
        <w:tc>
          <w:tcPr>
            <w:tcW w:w="1237" w:type="dxa"/>
            <w:vMerge w:val="restart"/>
            <w:tcBorders>
              <w:top w:val="single" w:sz="6" w:space="0" w:color="000000"/>
              <w:left w:val="single" w:sz="6" w:space="0" w:color="000000"/>
              <w:bottom w:val="single" w:sz="6" w:space="0" w:color="000000"/>
            </w:tcBorders>
          </w:tcPr>
          <w:p>
            <w:pPr>
              <w:pStyle w:val="TableParagraph"/>
              <w:spacing w:before="6"/>
              <w:jc w:val="left"/>
              <w:rPr>
                <w:sz w:val="10"/>
              </w:rPr>
            </w:pPr>
          </w:p>
          <w:p>
            <w:pPr>
              <w:pStyle w:val="TableParagraph"/>
              <w:spacing w:before="1"/>
              <w:ind w:left="497" w:right="467"/>
              <w:rPr>
                <w:rFonts w:ascii="Times New Roman"/>
                <w:sz w:val="21"/>
              </w:rPr>
            </w:pPr>
            <w:r>
              <w:rPr>
                <w:rFonts w:ascii="Times New Roman"/>
                <w:sz w:val="21"/>
              </w:rPr>
              <w:t>70</w:t>
            </w:r>
          </w:p>
        </w:tc>
      </w:tr>
      <w:tr>
        <w:trPr>
          <w:trHeight w:val="338"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99" w:right="374"/>
              <w:rPr>
                <w:sz w:val="21"/>
              </w:rPr>
            </w:pPr>
            <w:r>
              <w:rPr>
                <w:sz w:val="21"/>
              </w:rPr>
              <w:t>风机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2"/>
              <w:ind w:left="28"/>
              <w:rPr>
                <w:rFonts w:ascii="Times New Roman"/>
                <w:sz w:val="21"/>
              </w:rPr>
            </w:pPr>
            <w:r>
              <w:rPr>
                <w:rFonts w:ascii="Times New Roman"/>
                <w:w w:val="100"/>
                <w:sz w:val="21"/>
              </w:rPr>
              <w:t>4</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2"/>
              <w:ind w:left="382" w:right="359"/>
              <w:rPr>
                <w:rFonts w:ascii="Times New Roman"/>
                <w:sz w:val="21"/>
              </w:rPr>
            </w:pPr>
            <w:r>
              <w:rPr>
                <w:rFonts w:ascii="Times New Roman"/>
                <w:sz w:val="21"/>
              </w:rPr>
              <w:t>85-90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40" w:hRule="atLeast"/>
        </w:trPr>
        <w:tc>
          <w:tcPr>
            <w:tcW w:w="1087" w:type="dxa"/>
            <w:vMerge w:val="restart"/>
            <w:tcBorders>
              <w:top w:val="single" w:sz="6" w:space="0" w:color="000000"/>
              <w:bottom w:val="single" w:sz="6" w:space="0" w:color="000000"/>
              <w:right w:val="single" w:sz="6" w:space="0" w:color="000000"/>
            </w:tcBorders>
          </w:tcPr>
          <w:p>
            <w:pPr>
              <w:pStyle w:val="TableParagraph"/>
              <w:spacing w:line="146" w:lineRule="auto" w:before="98"/>
              <w:ind w:left="436" w:right="98" w:hanging="315"/>
              <w:jc w:val="left"/>
              <w:rPr>
                <w:sz w:val="21"/>
              </w:rPr>
            </w:pPr>
            <w:r>
              <w:rPr>
                <w:sz w:val="21"/>
              </w:rPr>
              <w:t>污水处理站</w:t>
            </w: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风机</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85-90</w:t>
            </w:r>
          </w:p>
        </w:tc>
        <w:tc>
          <w:tcPr>
            <w:tcW w:w="168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3"/>
              <w:ind w:left="114"/>
              <w:jc w:val="left"/>
              <w:rPr>
                <w:sz w:val="21"/>
              </w:rPr>
            </w:pPr>
            <w:r>
              <w:rPr>
                <w:sz w:val="21"/>
              </w:rPr>
              <w:t>基础减震、隔声</w:t>
            </w:r>
          </w:p>
        </w:tc>
        <w:tc>
          <w:tcPr>
            <w:tcW w:w="1237" w:type="dxa"/>
            <w:vMerge w:val="restart"/>
            <w:tcBorders>
              <w:top w:val="single" w:sz="6" w:space="0" w:color="000000"/>
              <w:left w:val="single" w:sz="6" w:space="0" w:color="000000"/>
              <w:bottom w:val="single" w:sz="6" w:space="0" w:color="000000"/>
            </w:tcBorders>
          </w:tcPr>
          <w:p>
            <w:pPr>
              <w:pStyle w:val="TableParagraph"/>
              <w:spacing w:before="9"/>
              <w:jc w:val="left"/>
              <w:rPr>
                <w:sz w:val="10"/>
              </w:rPr>
            </w:pPr>
          </w:p>
          <w:p>
            <w:pPr>
              <w:pStyle w:val="TableParagraph"/>
              <w:ind w:left="497" w:right="467"/>
              <w:rPr>
                <w:rFonts w:ascii="Times New Roman"/>
                <w:sz w:val="21"/>
              </w:rPr>
            </w:pPr>
            <w:r>
              <w:rPr>
                <w:rFonts w:ascii="Times New Roman"/>
                <w:sz w:val="21"/>
              </w:rPr>
              <w:t>67</w:t>
            </w:r>
          </w:p>
        </w:tc>
      </w:tr>
      <w:tr>
        <w:trPr>
          <w:trHeight w:val="340" w:hRule="atLeast"/>
        </w:trPr>
        <w:tc>
          <w:tcPr>
            <w:tcW w:w="1087" w:type="dxa"/>
            <w:vMerge/>
            <w:tcBorders>
              <w:top w:val="nil"/>
              <w:bottom w:val="single" w:sz="6" w:space="0" w:color="000000"/>
              <w:right w:val="single" w:sz="6" w:space="0" w:color="000000"/>
            </w:tcBorders>
          </w:tcPr>
          <w:p>
            <w:pPr>
              <w:rPr>
                <w:sz w:val="2"/>
                <w:szCs w:val="2"/>
              </w:rPr>
            </w:pPr>
          </w:p>
        </w:tc>
        <w:tc>
          <w:tcPr>
            <w:tcW w:w="188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9" w:right="374"/>
              <w:rPr>
                <w:sz w:val="21"/>
              </w:rPr>
            </w:pPr>
            <w:r>
              <w:rPr>
                <w:sz w:val="21"/>
              </w:rPr>
              <w:t>水泵</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8</w:t>
            </w:r>
          </w:p>
        </w:tc>
        <w:tc>
          <w:tcPr>
            <w:tcW w:w="1431" w:type="dxa"/>
            <w:tcBorders>
              <w:top w:val="single" w:sz="6" w:space="0" w:color="000000"/>
              <w:left w:val="single" w:sz="6" w:space="0" w:color="000000"/>
              <w:bottom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vMerge/>
            <w:tcBorders>
              <w:top w:val="nil"/>
              <w:left w:val="single" w:sz="6" w:space="0" w:color="000000"/>
              <w:bottom w:val="single" w:sz="6" w:space="0" w:color="000000"/>
              <w:right w:val="single" w:sz="6" w:space="0" w:color="000000"/>
            </w:tcBorders>
          </w:tcPr>
          <w:p>
            <w:pPr>
              <w:rPr>
                <w:sz w:val="2"/>
                <w:szCs w:val="2"/>
              </w:rPr>
            </w:pPr>
          </w:p>
        </w:tc>
        <w:tc>
          <w:tcPr>
            <w:tcW w:w="1237" w:type="dxa"/>
            <w:vMerge/>
            <w:tcBorders>
              <w:top w:val="nil"/>
              <w:left w:val="single" w:sz="6" w:space="0" w:color="000000"/>
              <w:bottom w:val="single" w:sz="6" w:space="0" w:color="000000"/>
            </w:tcBorders>
          </w:tcPr>
          <w:p>
            <w:pPr>
              <w:rPr>
                <w:sz w:val="2"/>
                <w:szCs w:val="2"/>
              </w:rPr>
            </w:pPr>
          </w:p>
        </w:tc>
      </w:tr>
      <w:tr>
        <w:trPr>
          <w:trHeight w:val="339" w:hRule="atLeast"/>
        </w:trPr>
        <w:tc>
          <w:tcPr>
            <w:tcW w:w="1087" w:type="dxa"/>
            <w:tcBorders>
              <w:top w:val="single" w:sz="6" w:space="0" w:color="000000"/>
              <w:right w:val="single" w:sz="6" w:space="0" w:color="000000"/>
            </w:tcBorders>
          </w:tcPr>
          <w:p>
            <w:pPr>
              <w:pStyle w:val="TableParagraph"/>
              <w:spacing w:line="320" w:lineRule="exact"/>
              <w:ind w:left="227"/>
              <w:jc w:val="left"/>
              <w:rPr>
                <w:sz w:val="21"/>
              </w:rPr>
            </w:pPr>
            <w:r>
              <w:rPr>
                <w:sz w:val="21"/>
              </w:rPr>
              <w:t>储罐区</w:t>
            </w:r>
          </w:p>
        </w:tc>
        <w:tc>
          <w:tcPr>
            <w:tcW w:w="1880" w:type="dxa"/>
            <w:tcBorders>
              <w:top w:val="single" w:sz="6" w:space="0" w:color="000000"/>
              <w:left w:val="single" w:sz="6" w:space="0" w:color="000000"/>
              <w:right w:val="single" w:sz="6" w:space="0" w:color="000000"/>
            </w:tcBorders>
          </w:tcPr>
          <w:p>
            <w:pPr>
              <w:pStyle w:val="TableParagraph"/>
              <w:spacing w:line="320" w:lineRule="exact"/>
              <w:ind w:left="399" w:right="374"/>
              <w:rPr>
                <w:sz w:val="21"/>
              </w:rPr>
            </w:pPr>
            <w:r>
              <w:rPr>
                <w:sz w:val="21"/>
              </w:rPr>
              <w:t>料泵</w:t>
            </w:r>
          </w:p>
        </w:tc>
        <w:tc>
          <w:tcPr>
            <w:tcW w:w="1210" w:type="dxa"/>
            <w:tcBorders>
              <w:top w:val="single" w:sz="6" w:space="0" w:color="000000"/>
              <w:left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8</w:t>
            </w:r>
          </w:p>
        </w:tc>
        <w:tc>
          <w:tcPr>
            <w:tcW w:w="1431" w:type="dxa"/>
            <w:tcBorders>
              <w:top w:val="single" w:sz="6" w:space="0" w:color="000000"/>
              <w:left w:val="single" w:sz="6" w:space="0" w:color="000000"/>
              <w:right w:val="single" w:sz="6" w:space="0" w:color="000000"/>
            </w:tcBorders>
          </w:tcPr>
          <w:p>
            <w:pPr>
              <w:pStyle w:val="TableParagraph"/>
              <w:spacing w:before="43"/>
              <w:ind w:left="382" w:right="359"/>
              <w:rPr>
                <w:rFonts w:ascii="Times New Roman"/>
                <w:sz w:val="21"/>
              </w:rPr>
            </w:pPr>
            <w:r>
              <w:rPr>
                <w:rFonts w:ascii="Times New Roman"/>
                <w:sz w:val="21"/>
              </w:rPr>
              <w:t>75-80</w:t>
            </w:r>
          </w:p>
        </w:tc>
        <w:tc>
          <w:tcPr>
            <w:tcW w:w="1686" w:type="dxa"/>
            <w:tcBorders>
              <w:top w:val="single" w:sz="6" w:space="0" w:color="000000"/>
              <w:left w:val="single" w:sz="6" w:space="0" w:color="000000"/>
              <w:right w:val="single" w:sz="6" w:space="0" w:color="000000"/>
            </w:tcBorders>
          </w:tcPr>
          <w:p>
            <w:pPr>
              <w:pStyle w:val="TableParagraph"/>
              <w:spacing w:line="320" w:lineRule="exact"/>
              <w:ind w:left="323"/>
              <w:jc w:val="left"/>
              <w:rPr>
                <w:sz w:val="21"/>
              </w:rPr>
            </w:pPr>
            <w:r>
              <w:rPr>
                <w:sz w:val="21"/>
              </w:rPr>
              <w:t>减振、隔音</w:t>
            </w:r>
          </w:p>
        </w:tc>
        <w:tc>
          <w:tcPr>
            <w:tcW w:w="1237" w:type="dxa"/>
            <w:tcBorders>
              <w:top w:val="single" w:sz="6" w:space="0" w:color="000000"/>
              <w:left w:val="single" w:sz="6" w:space="0" w:color="000000"/>
            </w:tcBorders>
          </w:tcPr>
          <w:p>
            <w:pPr>
              <w:pStyle w:val="TableParagraph"/>
              <w:spacing w:before="43"/>
              <w:ind w:left="497" w:right="467"/>
              <w:rPr>
                <w:rFonts w:ascii="Times New Roman"/>
                <w:sz w:val="21"/>
              </w:rPr>
            </w:pPr>
            <w:r>
              <w:rPr>
                <w:rFonts w:ascii="Times New Roman"/>
                <w:sz w:val="21"/>
              </w:rPr>
              <w:t>68</w:t>
            </w:r>
          </w:p>
        </w:tc>
      </w:tr>
    </w:tbl>
    <w:p>
      <w:pPr>
        <w:pStyle w:val="BodyText"/>
        <w:spacing w:before="1"/>
        <w:rPr>
          <w:sz w:val="13"/>
        </w:rPr>
      </w:pPr>
    </w:p>
    <w:p>
      <w:pPr>
        <w:pStyle w:val="Heading3"/>
        <w:numPr>
          <w:ilvl w:val="2"/>
          <w:numId w:val="2"/>
        </w:numPr>
        <w:tabs>
          <w:tab w:pos="1198" w:val="left" w:leader="none"/>
        </w:tabs>
        <w:spacing w:line="585" w:lineRule="exact" w:before="0" w:after="0"/>
        <w:ind w:left="1198" w:right="0" w:hanging="960"/>
        <w:jc w:val="left"/>
      </w:pPr>
      <w:r>
        <w:rPr/>
        <w:t>固体废物</w:t>
      </w:r>
    </w:p>
    <w:p>
      <w:pPr>
        <w:pStyle w:val="BodyText"/>
        <w:spacing w:line="488" w:lineRule="exact" w:before="204"/>
        <w:ind w:left="720"/>
      </w:pPr>
      <w:r>
        <w:rPr>
          <w:rFonts w:ascii="Times New Roman" w:eastAsia="Times New Roman"/>
          <w:b/>
        </w:rPr>
        <w:t>1</w:t>
      </w:r>
      <w:r>
        <w:rPr/>
        <w:t>、危险废物</w:t>
      </w:r>
    </w:p>
    <w:p>
      <w:pPr>
        <w:pStyle w:val="BodyText"/>
        <w:spacing w:line="468" w:lineRule="exact"/>
        <w:ind w:left="720"/>
      </w:pPr>
      <w:r>
        <w:rPr/>
        <w:t>（</w:t>
      </w:r>
      <w:r>
        <w:rPr>
          <w:rFonts w:ascii="Times New Roman" w:eastAsia="Times New Roman"/>
          <w:b/>
        </w:rPr>
        <w:t>1</w:t>
      </w:r>
      <w:r>
        <w:rPr/>
        <w:t>）各化学原料药生产工艺危废</w:t>
      </w:r>
    </w:p>
    <w:p>
      <w:pPr>
        <w:pStyle w:val="BodyText"/>
        <w:spacing w:line="220" w:lineRule="auto" w:before="8"/>
        <w:ind w:left="238" w:right="131" w:firstLine="479"/>
        <w:jc w:val="both"/>
      </w:pPr>
      <w:r>
        <w:rPr/>
        <w:t>本项目为原料药生产项目，各化学原料药生产过程产生的蒸馏残液、滤渣、</w:t>
      </w:r>
      <w:r>
        <w:rPr>
          <w:spacing w:val="-2"/>
        </w:rPr>
        <w:t>离心母液、洗涤废水等均为危险废物</w:t>
      </w:r>
      <w:r>
        <w:rPr/>
        <w:t>（废物类别：</w:t>
      </w:r>
      <w:r>
        <w:rPr>
          <w:rFonts w:ascii="Times New Roman" w:eastAsia="Times New Roman"/>
        </w:rPr>
        <w:t>HW02</w:t>
      </w:r>
      <w:r>
        <w:rPr>
          <w:rFonts w:ascii="Times New Roman" w:eastAsia="Times New Roman"/>
          <w:spacing w:val="58"/>
        </w:rPr>
        <w:t> </w:t>
      </w:r>
      <w:r>
        <w:rPr>
          <w:spacing w:val="-1"/>
        </w:rPr>
        <w:t>医药废物，废物代码： </w:t>
      </w:r>
      <w:r>
        <w:rPr>
          <w:rFonts w:ascii="Times New Roman" w:eastAsia="Times New Roman"/>
          <w:spacing w:val="-1"/>
        </w:rPr>
        <w:t>271-001-02</w:t>
      </w:r>
      <w:r>
        <w:rPr>
          <w:spacing w:val="-27"/>
        </w:rPr>
        <w:t>、</w:t>
      </w:r>
      <w:r>
        <w:rPr>
          <w:rFonts w:ascii="Times New Roman" w:eastAsia="Times New Roman"/>
        </w:rPr>
        <w:t>271-002-02</w:t>
      </w:r>
      <w:r>
        <w:rPr>
          <w:spacing w:val="-27"/>
        </w:rPr>
        <w:t>、</w:t>
      </w:r>
      <w:r>
        <w:rPr>
          <w:rFonts w:ascii="Times New Roman" w:eastAsia="Times New Roman"/>
        </w:rPr>
        <w:t>271-003-02</w:t>
      </w:r>
      <w:r>
        <w:rPr>
          <w:spacing w:val="-27"/>
        </w:rPr>
        <w:t>、</w:t>
      </w:r>
      <w:r>
        <w:rPr>
          <w:rFonts w:ascii="Times New Roman" w:eastAsia="Times New Roman"/>
          <w:spacing w:val="-5"/>
        </w:rPr>
        <w:t>271-004-02</w:t>
      </w:r>
      <w:r>
        <w:rPr>
          <w:spacing w:val="-5"/>
        </w:rPr>
        <w:t>），</w:t>
      </w:r>
      <w:r>
        <w:rPr/>
        <w:t>委托有危废资质单位处置。</w:t>
      </w:r>
    </w:p>
    <w:p>
      <w:pPr>
        <w:pStyle w:val="BodyText"/>
        <w:spacing w:line="455" w:lineRule="exact"/>
        <w:ind w:left="720"/>
      </w:pPr>
      <w:r>
        <w:rPr/>
        <w:t>（</w:t>
      </w:r>
      <w:r>
        <w:rPr>
          <w:rFonts w:ascii="Times New Roman" w:eastAsia="Times New Roman"/>
          <w:b/>
        </w:rPr>
        <w:t>2</w:t>
      </w:r>
      <w:r>
        <w:rPr/>
        <w:t>）化学合成废水回收车间蒸馏预处理产生危废</w:t>
      </w:r>
    </w:p>
    <w:p>
      <w:pPr>
        <w:pStyle w:val="BodyText"/>
        <w:spacing w:line="220" w:lineRule="auto" w:before="8"/>
        <w:ind w:left="238" w:right="251" w:firstLine="479"/>
        <w:jc w:val="both"/>
      </w:pPr>
      <w:r>
        <w:rPr>
          <w:spacing w:val="2"/>
        </w:rPr>
        <w:t>化学合成废水回收车间蒸馏预处理工序产生的蒸馏残渣和低沸点馏分冷凝液属于危险废物</w:t>
      </w:r>
      <w:r>
        <w:rPr>
          <w:spacing w:val="3"/>
        </w:rPr>
        <w:t>（</w:t>
      </w:r>
      <w:r>
        <w:rPr>
          <w:spacing w:val="2"/>
        </w:rPr>
        <w:t>废物类别：</w:t>
      </w:r>
      <w:r>
        <w:rPr>
          <w:rFonts w:ascii="Times New Roman" w:eastAsia="Times New Roman"/>
          <w:spacing w:val="-1"/>
          <w:w w:val="99"/>
        </w:rPr>
        <w:t>H</w:t>
      </w:r>
      <w:r>
        <w:rPr>
          <w:rFonts w:ascii="Times New Roman" w:eastAsia="Times New Roman"/>
          <w:spacing w:val="1"/>
          <w:w w:val="99"/>
        </w:rPr>
        <w:t>W</w:t>
      </w:r>
      <w:r>
        <w:rPr>
          <w:rFonts w:ascii="Times New Roman" w:eastAsia="Times New Roman"/>
        </w:rPr>
        <w:t>02</w:t>
      </w:r>
      <w:r>
        <w:rPr>
          <w:rFonts w:ascii="Times New Roman" w:eastAsia="Times New Roman"/>
          <w:spacing w:val="1"/>
        </w:rPr>
        <w:t>  </w:t>
      </w:r>
      <w:r>
        <w:rPr>
          <w:spacing w:val="2"/>
        </w:rPr>
        <w:t>医药废物，废物代码：</w:t>
      </w:r>
      <w:r>
        <w:rPr>
          <w:rFonts w:ascii="Times New Roman" w:eastAsia="Times New Roman"/>
        </w:rPr>
        <w:t>271</w:t>
      </w:r>
      <w:r>
        <w:rPr>
          <w:rFonts w:ascii="Times New Roman" w:eastAsia="Times New Roman"/>
          <w:spacing w:val="-1"/>
        </w:rPr>
        <w:t>-</w:t>
      </w:r>
      <w:r>
        <w:rPr>
          <w:rFonts w:ascii="Times New Roman" w:eastAsia="Times New Roman"/>
        </w:rPr>
        <w:t>0</w:t>
      </w:r>
      <w:r>
        <w:rPr>
          <w:rFonts w:ascii="Times New Roman" w:eastAsia="Times New Roman"/>
          <w:spacing w:val="2"/>
        </w:rPr>
        <w:t>0</w:t>
      </w:r>
      <w:r>
        <w:rPr>
          <w:rFonts w:ascii="Times New Roman" w:eastAsia="Times New Roman"/>
        </w:rPr>
        <w:t>1</w:t>
      </w:r>
      <w:r>
        <w:rPr>
          <w:rFonts w:ascii="Times New Roman" w:eastAsia="Times New Roman"/>
          <w:spacing w:val="-1"/>
        </w:rPr>
        <w:t>-</w:t>
      </w:r>
      <w:r>
        <w:rPr>
          <w:rFonts w:ascii="Times New Roman" w:eastAsia="Times New Roman"/>
        </w:rPr>
        <w:t>0</w:t>
      </w:r>
      <w:r>
        <w:rPr>
          <w:rFonts w:ascii="Times New Roman" w:eastAsia="Times New Roman"/>
          <w:spacing w:val="2"/>
        </w:rPr>
        <w:t>2</w:t>
      </w:r>
      <w:r>
        <w:rPr>
          <w:spacing w:val="-118"/>
        </w:rPr>
        <w:t>）</w:t>
      </w:r>
      <w:r>
        <w:rPr>
          <w:spacing w:val="2"/>
        </w:rPr>
        <w:t>，委托</w:t>
      </w:r>
      <w:r>
        <w:rPr/>
        <w:t>有危废资质单位处置。</w:t>
      </w:r>
    </w:p>
    <w:p>
      <w:pPr>
        <w:pStyle w:val="BodyText"/>
        <w:spacing w:line="220" w:lineRule="auto"/>
        <w:ind w:left="238" w:right="255" w:firstLine="479"/>
      </w:pPr>
      <w:r>
        <w:rPr/>
        <w:t>本项目各化学原料药生产工艺危废和化学合成废水回收车间蒸馏预处理工序产生的危废及组成情况见下表 </w:t>
      </w:r>
      <w:r>
        <w:rPr>
          <w:rFonts w:ascii="Times New Roman" w:eastAsia="Times New Roman"/>
        </w:rPr>
        <w:t>4.10-23</w:t>
      </w:r>
      <w:r>
        <w:rPr/>
        <w:t>。</w:t>
      </w:r>
    </w:p>
    <w:p>
      <w:pPr>
        <w:spacing w:after="0" w:line="220" w:lineRule="auto"/>
        <w:sectPr>
          <w:footerReference w:type="default" r:id="rId19"/>
          <w:pgSz w:w="11910" w:h="16840"/>
          <w:pgMar w:footer="973" w:header="877" w:top="1340" w:bottom="1160" w:left="1560" w:right="1540"/>
        </w:sectPr>
      </w:pPr>
    </w:p>
    <w:p>
      <w:pPr>
        <w:pStyle w:val="BodyText"/>
        <w:spacing w:before="5"/>
        <w:rPr>
          <w:sz w:val="14"/>
        </w:rPr>
      </w:pPr>
    </w:p>
    <w:p>
      <w:pPr>
        <w:tabs>
          <w:tab w:pos="1120" w:val="left" w:leader="none"/>
        </w:tabs>
        <w:spacing w:line="424" w:lineRule="exact" w:before="0"/>
        <w:ind w:left="0" w:right="13" w:firstLine="0"/>
        <w:jc w:val="center"/>
        <w:rPr>
          <w:sz w:val="21"/>
        </w:rPr>
      </w:pPr>
      <w:r>
        <w:rPr>
          <w:sz w:val="21"/>
        </w:rPr>
        <w:t>表</w:t>
      </w:r>
      <w:r>
        <w:rPr>
          <w:spacing w:val="7"/>
          <w:sz w:val="21"/>
        </w:rPr>
        <w:t> </w:t>
      </w:r>
      <w:r>
        <w:rPr>
          <w:rFonts w:ascii="Times New Roman" w:eastAsia="Times New Roman"/>
          <w:b/>
          <w:sz w:val="21"/>
        </w:rPr>
        <w:t>4.10-23</w:t>
        <w:tab/>
      </w:r>
      <w:r>
        <w:rPr>
          <w:sz w:val="21"/>
        </w:rPr>
        <w:t>项目产生危废及组成情况一览表</w:t>
      </w:r>
    </w:p>
    <w:p>
      <w:pPr>
        <w:pStyle w:val="BodyText"/>
        <w:spacing w:before="20"/>
        <w:rPr>
          <w:sz w:val="2"/>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8"/>
        <w:gridCol w:w="2571"/>
        <w:gridCol w:w="1754"/>
        <w:gridCol w:w="7249"/>
        <w:gridCol w:w="644"/>
      </w:tblGrid>
      <w:tr>
        <w:trPr>
          <w:trHeight w:val="339" w:hRule="atLeast"/>
        </w:trPr>
        <w:tc>
          <w:tcPr>
            <w:tcW w:w="1058" w:type="dxa"/>
            <w:tcBorders>
              <w:bottom w:val="single" w:sz="6" w:space="0" w:color="000000"/>
              <w:right w:val="single" w:sz="6" w:space="0" w:color="000000"/>
            </w:tcBorders>
          </w:tcPr>
          <w:p>
            <w:pPr>
              <w:pStyle w:val="TableParagraph"/>
              <w:spacing w:line="320" w:lineRule="exact"/>
              <w:ind w:left="352"/>
              <w:jc w:val="left"/>
              <w:rPr>
                <w:sz w:val="18"/>
              </w:rPr>
            </w:pPr>
            <w:r>
              <w:rPr>
                <w:sz w:val="18"/>
              </w:rPr>
              <w:t>产品</w:t>
            </w:r>
          </w:p>
        </w:tc>
        <w:tc>
          <w:tcPr>
            <w:tcW w:w="4325" w:type="dxa"/>
            <w:gridSpan w:val="2"/>
            <w:tcBorders>
              <w:left w:val="single" w:sz="6" w:space="0" w:color="000000"/>
              <w:bottom w:val="single" w:sz="6" w:space="0" w:color="000000"/>
              <w:right w:val="single" w:sz="6" w:space="0" w:color="000000"/>
            </w:tcBorders>
          </w:tcPr>
          <w:p>
            <w:pPr>
              <w:pStyle w:val="TableParagraph"/>
              <w:spacing w:line="320" w:lineRule="exact"/>
              <w:ind w:left="1789" w:right="1760"/>
              <w:rPr>
                <w:sz w:val="18"/>
              </w:rPr>
            </w:pPr>
            <w:r>
              <w:rPr>
                <w:sz w:val="18"/>
              </w:rPr>
              <w:t>产生环节</w:t>
            </w:r>
          </w:p>
        </w:tc>
        <w:tc>
          <w:tcPr>
            <w:tcW w:w="7249" w:type="dxa"/>
            <w:tcBorders>
              <w:left w:val="single" w:sz="6" w:space="0" w:color="000000"/>
              <w:bottom w:val="single" w:sz="6" w:space="0" w:color="000000"/>
              <w:right w:val="single" w:sz="6" w:space="0" w:color="000000"/>
            </w:tcBorders>
          </w:tcPr>
          <w:p>
            <w:pPr>
              <w:pStyle w:val="TableParagraph"/>
              <w:spacing w:line="320" w:lineRule="exact"/>
              <w:ind w:left="32" w:right="7"/>
              <w:rPr>
                <w:sz w:val="18"/>
              </w:rPr>
            </w:pPr>
            <w:r>
              <w:rPr>
                <w:sz w:val="18"/>
              </w:rPr>
              <w:t>产生情况（</w:t>
            </w:r>
            <w:r>
              <w:rPr>
                <w:rFonts w:ascii="Times New Roman" w:eastAsia="Times New Roman"/>
                <w:sz w:val="18"/>
              </w:rPr>
              <w:t>kg/t</w:t>
            </w:r>
            <w:r>
              <w:rPr>
                <w:sz w:val="18"/>
              </w:rPr>
              <w:t>产品）</w:t>
            </w:r>
          </w:p>
        </w:tc>
        <w:tc>
          <w:tcPr>
            <w:tcW w:w="644" w:type="dxa"/>
            <w:tcBorders>
              <w:left w:val="single" w:sz="6" w:space="0" w:color="000000"/>
              <w:bottom w:val="single" w:sz="6" w:space="0" w:color="000000"/>
            </w:tcBorders>
          </w:tcPr>
          <w:p>
            <w:pPr>
              <w:pStyle w:val="TableParagraph"/>
              <w:spacing w:line="320" w:lineRule="exact"/>
              <w:ind w:left="33" w:right="7"/>
              <w:rPr>
                <w:rFonts w:ascii="Times New Roman" w:eastAsia="Times New Roman"/>
                <w:sz w:val="18"/>
              </w:rPr>
            </w:pPr>
            <w:r>
              <w:rPr>
                <w:sz w:val="18"/>
              </w:rPr>
              <w:t>合计</w:t>
            </w:r>
            <w:r>
              <w:rPr>
                <w:rFonts w:ascii="Times New Roman" w:eastAsia="Times New Roman"/>
                <w:sz w:val="18"/>
              </w:rPr>
              <w:t>t/a</w:t>
            </w:r>
          </w:p>
        </w:tc>
      </w:tr>
      <w:tr>
        <w:trPr>
          <w:trHeight w:val="340" w:hRule="atLeast"/>
        </w:trPr>
        <w:tc>
          <w:tcPr>
            <w:tcW w:w="1058" w:type="dxa"/>
            <w:vMerge w:val="restart"/>
            <w:tcBorders>
              <w:top w:val="single" w:sz="6" w:space="0" w:color="000000"/>
              <w:bottom w:val="single" w:sz="6" w:space="0" w:color="000000"/>
              <w:right w:val="single" w:sz="6" w:space="0" w:color="000000"/>
            </w:tcBorders>
          </w:tcPr>
          <w:p>
            <w:pPr>
              <w:pStyle w:val="TableParagraph"/>
              <w:jc w:val="left"/>
              <w:rPr>
                <w:sz w:val="18"/>
              </w:rPr>
            </w:pPr>
          </w:p>
          <w:p>
            <w:pPr>
              <w:pStyle w:val="TableParagraph"/>
              <w:spacing w:before="8"/>
              <w:jc w:val="left"/>
              <w:rPr>
                <w:sz w:val="22"/>
              </w:rPr>
            </w:pPr>
          </w:p>
          <w:p>
            <w:pPr>
              <w:pStyle w:val="TableParagraph"/>
              <w:ind w:left="172"/>
              <w:jc w:val="left"/>
              <w:rPr>
                <w:sz w:val="18"/>
              </w:rPr>
            </w:pPr>
            <w:r>
              <w:rPr>
                <w:sz w:val="18"/>
              </w:rPr>
              <w:t>丙戊酸钠</w:t>
            </w: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8"/>
              <w:jc w:val="left"/>
              <w:rPr>
                <w:sz w:val="18"/>
              </w:rPr>
            </w:pPr>
            <w:r>
              <w:rPr>
                <w:sz w:val="18"/>
              </w:rPr>
              <w:t>烷基化反应减压蒸馏前馏分、残液（</w:t>
            </w:r>
            <w:r>
              <w:rPr>
                <w:rFonts w:ascii="Times New Roman" w:eastAsia="Times New Roman"/>
                <w:sz w:val="18"/>
              </w:rPr>
              <w:t>S1-1</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527.2 </w:t>
            </w:r>
            <w:r>
              <w:rPr>
                <w:sz w:val="18"/>
              </w:rPr>
              <w:t>烷基化副产物 </w:t>
            </w:r>
            <w:r>
              <w:rPr>
                <w:rFonts w:ascii="Times New Roman" w:hAnsi="Times New Roman" w:eastAsia="Times New Roman"/>
                <w:sz w:val="18"/>
              </w:rPr>
              <w:t>442.2</w:t>
            </w:r>
            <w:r>
              <w:rPr>
                <w:sz w:val="18"/>
              </w:rPr>
              <w:t>、烷基化产物</w:t>
            </w:r>
            <w:r>
              <w:rPr>
                <w:rFonts w:ascii="Times New Roman" w:hAnsi="Times New Roman" w:eastAsia="Times New Roman"/>
                <w:sz w:val="18"/>
              </w:rPr>
              <w:t>0.5</w:t>
            </w:r>
            <w:r>
              <w:rPr>
                <w:sz w:val="18"/>
              </w:rPr>
              <w:t>、正溴丙烷 </w:t>
            </w:r>
            <w:r>
              <w:rPr>
                <w:rFonts w:ascii="Times New Roman" w:hAnsi="Times New Roman" w:eastAsia="Times New Roman"/>
                <w:sz w:val="18"/>
              </w:rPr>
              <w:t>84.5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31.63</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8"/>
              <w:jc w:val="left"/>
              <w:rPr>
                <w:sz w:val="18"/>
              </w:rPr>
            </w:pPr>
            <w:r>
              <w:rPr>
                <w:sz w:val="18"/>
              </w:rPr>
              <w:t>脱酰后蒸馏冷凝过程冷凝混合废液（</w:t>
            </w:r>
            <w:r>
              <w:rPr>
                <w:rFonts w:ascii="Times New Roman" w:eastAsia="Times New Roman"/>
                <w:sz w:val="18"/>
              </w:rPr>
              <w:t>S1-2</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900.4 </w:t>
            </w:r>
            <w:r>
              <w:rPr>
                <w:sz w:val="18"/>
              </w:rPr>
              <w:t>甲醇 </w:t>
            </w:r>
            <w:r>
              <w:rPr>
                <w:rFonts w:ascii="Times New Roman" w:hAnsi="Times New Roman" w:eastAsia="Times New Roman"/>
                <w:sz w:val="18"/>
              </w:rPr>
              <w:t>180.4</w:t>
            </w:r>
            <w:r>
              <w:rPr>
                <w:sz w:val="18"/>
              </w:rPr>
              <w:t>、醋酸甲酯 </w:t>
            </w:r>
            <w:r>
              <w:rPr>
                <w:rFonts w:ascii="Times New Roman" w:hAnsi="Times New Roman" w:eastAsia="Times New Roman"/>
                <w:sz w:val="18"/>
              </w:rPr>
              <w:t>720</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54.02</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828"/>
              <w:jc w:val="left"/>
              <w:rPr>
                <w:sz w:val="18"/>
              </w:rPr>
            </w:pPr>
            <w:r>
              <w:rPr>
                <w:sz w:val="18"/>
              </w:rPr>
              <w:t>萃取后蒸酸前馏分、残液（</w:t>
            </w:r>
            <w:r>
              <w:rPr>
                <w:rFonts w:ascii="Times New Roman" w:eastAsia="Times New Roman"/>
                <w:sz w:val="18"/>
              </w:rPr>
              <w:t>S1-3</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258.2</w:t>
            </w:r>
            <w:r>
              <w:rPr>
                <w:sz w:val="18"/>
              </w:rPr>
              <w:t>甲醇</w:t>
            </w:r>
            <w:r>
              <w:rPr>
                <w:rFonts w:ascii="Times New Roman" w:hAnsi="Times New Roman" w:eastAsia="Times New Roman"/>
                <w:sz w:val="18"/>
              </w:rPr>
              <w:t>4.1</w:t>
            </w:r>
            <w:r>
              <w:rPr>
                <w:sz w:val="18"/>
              </w:rPr>
              <w:t>、甲苯</w:t>
            </w:r>
            <w:r>
              <w:rPr>
                <w:rFonts w:ascii="Times New Roman" w:hAnsi="Times New Roman" w:eastAsia="Times New Roman"/>
                <w:sz w:val="18"/>
              </w:rPr>
              <w:t>20</w:t>
            </w:r>
            <w:r>
              <w:rPr>
                <w:sz w:val="18"/>
              </w:rPr>
              <w:t>、丙戊酸</w:t>
            </w:r>
            <w:r>
              <w:rPr>
                <w:rFonts w:ascii="Times New Roman" w:hAnsi="Times New Roman" w:eastAsia="Times New Roman"/>
                <w:sz w:val="18"/>
              </w:rPr>
              <w:t>234.1</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15.49</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468"/>
              <w:jc w:val="left"/>
              <w:rPr>
                <w:sz w:val="18"/>
              </w:rPr>
            </w:pPr>
            <w:r>
              <w:rPr>
                <w:sz w:val="18"/>
              </w:rPr>
              <w:t>萃取后甲苯蒸馏回收过程蒸馏残液（</w:t>
            </w:r>
            <w:r>
              <w:rPr>
                <w:rFonts w:ascii="Times New Roman" w:eastAsia="Times New Roman"/>
                <w:sz w:val="18"/>
              </w:rPr>
              <w:t>S1-4</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6" w:right="7"/>
              <w:rPr>
                <w:rFonts w:ascii="Times New Roman" w:hAnsi="Times New Roman" w:eastAsia="Times New Roman"/>
                <w:sz w:val="18"/>
              </w:rPr>
            </w:pPr>
            <w:r>
              <w:rPr>
                <w:sz w:val="18"/>
              </w:rPr>
              <w:t>Σ</w:t>
            </w:r>
            <w:r>
              <w:rPr>
                <w:rFonts w:ascii="Times New Roman" w:hAnsi="Times New Roman" w:eastAsia="Times New Roman"/>
                <w:sz w:val="18"/>
              </w:rPr>
              <w:t>695.2 </w:t>
            </w:r>
            <w:r>
              <w:rPr>
                <w:sz w:val="18"/>
              </w:rPr>
              <w:t>甲苯</w:t>
            </w:r>
            <w:r>
              <w:rPr>
                <w:rFonts w:ascii="Times New Roman" w:hAnsi="Times New Roman" w:eastAsia="Times New Roman"/>
                <w:sz w:val="18"/>
              </w:rPr>
              <w:t>475</w:t>
            </w:r>
            <w:r>
              <w:rPr>
                <w:sz w:val="18"/>
              </w:rPr>
              <w:t>、丙戊酸</w:t>
            </w:r>
            <w:r>
              <w:rPr>
                <w:rFonts w:ascii="Times New Roman" w:hAnsi="Times New Roman" w:eastAsia="Times New Roman"/>
                <w:sz w:val="18"/>
              </w:rPr>
              <w:t>150</w:t>
            </w:r>
            <w:r>
              <w:rPr>
                <w:sz w:val="18"/>
              </w:rPr>
              <w:t>、甲醇</w:t>
            </w:r>
            <w:r>
              <w:rPr>
                <w:rFonts w:ascii="Times New Roman" w:hAnsi="Times New Roman" w:eastAsia="Times New Roman"/>
                <w:sz w:val="18"/>
              </w:rPr>
              <w:t>23.5</w:t>
            </w:r>
            <w:r>
              <w:rPr>
                <w:sz w:val="18"/>
              </w:rPr>
              <w:t>、烷基化副产物</w:t>
            </w:r>
            <w:r>
              <w:rPr>
                <w:rFonts w:ascii="Times New Roman" w:hAnsi="Times New Roman" w:eastAsia="Times New Roman"/>
                <w:sz w:val="18"/>
              </w:rPr>
              <w:t>46.7</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41.71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1111" w:right="2" w:hanging="1080"/>
              <w:jc w:val="left"/>
              <w:rPr>
                <w:sz w:val="18"/>
              </w:rPr>
            </w:pPr>
            <w:r>
              <w:rPr>
                <w:sz w:val="18"/>
              </w:rPr>
              <w:t>碱解后分层废水回收车间蒸馏预处理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7" w:right="7"/>
              <w:rPr>
                <w:rFonts w:ascii="Times New Roman" w:hAnsi="Times New Roman" w:eastAsia="Times New Roman"/>
                <w:sz w:val="18"/>
              </w:rPr>
            </w:pPr>
            <w:r>
              <w:rPr>
                <w:sz w:val="18"/>
              </w:rPr>
              <w:t>Σ</w:t>
            </w:r>
            <w:r>
              <w:rPr>
                <w:rFonts w:ascii="Times New Roman" w:hAnsi="Times New Roman" w:eastAsia="Times New Roman"/>
                <w:sz w:val="18"/>
              </w:rPr>
              <w:t>1029.8</w:t>
            </w:r>
            <w:r>
              <w:rPr>
                <w:sz w:val="18"/>
              </w:rPr>
              <w:t>氯化钠</w:t>
            </w:r>
            <w:r>
              <w:rPr>
                <w:rFonts w:ascii="Times New Roman" w:hAnsi="Times New Roman" w:eastAsia="Times New Roman"/>
                <w:sz w:val="18"/>
              </w:rPr>
              <w:t>743.3</w:t>
            </w:r>
            <w:r>
              <w:rPr>
                <w:sz w:val="18"/>
              </w:rPr>
              <w:t>、</w:t>
            </w:r>
            <w:r>
              <w:rPr>
                <w:rFonts w:ascii="Times New Roman" w:hAnsi="Times New Roman" w:eastAsia="Times New Roman"/>
                <w:sz w:val="18"/>
              </w:rPr>
              <w:t>HCl 286.5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61.79</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1515.6 </w:t>
            </w:r>
            <w:r>
              <w:rPr>
                <w:sz w:val="18"/>
              </w:rPr>
              <w:t>水</w:t>
            </w:r>
            <w:r>
              <w:rPr>
                <w:rFonts w:ascii="Times New Roman" w:hAnsi="Times New Roman" w:eastAsia="Times New Roman"/>
                <w:sz w:val="18"/>
              </w:rPr>
              <w:t>996.5</w:t>
            </w:r>
            <w:r>
              <w:rPr>
                <w:sz w:val="18"/>
              </w:rPr>
              <w:t>、丙戊酸</w:t>
            </w:r>
            <w:r>
              <w:rPr>
                <w:rFonts w:ascii="Times New Roman" w:hAnsi="Times New Roman" w:eastAsia="Times New Roman"/>
                <w:sz w:val="18"/>
              </w:rPr>
              <w:t>98.7</w:t>
            </w:r>
            <w:r>
              <w:rPr>
                <w:sz w:val="18"/>
              </w:rPr>
              <w:t>、甲醇</w:t>
            </w:r>
            <w:r>
              <w:rPr>
                <w:rFonts w:ascii="Times New Roman" w:hAnsi="Times New Roman" w:eastAsia="Times New Roman"/>
                <w:sz w:val="18"/>
              </w:rPr>
              <w:t>419.8</w:t>
            </w:r>
            <w:r>
              <w:rPr>
                <w:sz w:val="18"/>
              </w:rPr>
              <w:t>、烷基化副产物</w:t>
            </w:r>
            <w:r>
              <w:rPr>
                <w:rFonts w:ascii="Times New Roman" w:hAnsi="Times New Roman" w:eastAsia="Times New Roman"/>
                <w:sz w:val="18"/>
              </w:rPr>
              <w:t>0.5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90.94</w:t>
            </w:r>
          </w:p>
        </w:tc>
      </w:tr>
      <w:tr>
        <w:trPr>
          <w:trHeight w:val="467" w:hRule="atLeast"/>
        </w:trPr>
        <w:tc>
          <w:tcPr>
            <w:tcW w:w="1058" w:type="dxa"/>
            <w:vMerge w:val="restart"/>
            <w:tcBorders>
              <w:top w:val="single" w:sz="6" w:space="0" w:color="000000"/>
              <w:bottom w:val="single" w:sz="6" w:space="0" w:color="000000"/>
              <w:right w:val="single" w:sz="6" w:space="0" w:color="000000"/>
            </w:tcBorders>
          </w:tcPr>
          <w:p>
            <w:pPr>
              <w:pStyle w:val="TableParagraph"/>
              <w:spacing w:before="12"/>
              <w:jc w:val="left"/>
              <w:rPr>
                <w:sz w:val="26"/>
              </w:rPr>
            </w:pPr>
          </w:p>
          <w:p>
            <w:pPr>
              <w:pStyle w:val="TableParagraph"/>
              <w:ind w:left="172"/>
              <w:jc w:val="left"/>
              <w:rPr>
                <w:sz w:val="18"/>
              </w:rPr>
            </w:pPr>
            <w:r>
              <w:rPr>
                <w:sz w:val="18"/>
              </w:rPr>
              <w:t>奥沙普秦</w:t>
            </w: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sz w:val="9"/>
              </w:rPr>
            </w:pPr>
          </w:p>
          <w:p>
            <w:pPr>
              <w:pStyle w:val="TableParagraph"/>
              <w:spacing w:line="146" w:lineRule="auto"/>
              <w:ind w:left="751" w:right="2" w:hanging="720"/>
              <w:jc w:val="left"/>
              <w:rPr>
                <w:sz w:val="18"/>
              </w:rPr>
            </w:pPr>
            <w:r>
              <w:rPr>
                <w:sz w:val="18"/>
              </w:rPr>
              <w:t>粗品离心母液、洗涤废水回收车间蒸馏预处理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31"/>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45" w:right="1"/>
              <w:rPr>
                <w:sz w:val="18"/>
              </w:rPr>
            </w:pPr>
            <w:r>
              <w:rPr>
                <w:sz w:val="18"/>
              </w:rPr>
              <w:t>Σ</w:t>
            </w:r>
            <w:r>
              <w:rPr>
                <w:rFonts w:ascii="Times New Roman" w:hAnsi="Times New Roman" w:eastAsia="Times New Roman"/>
                <w:sz w:val="18"/>
              </w:rPr>
              <w:t>3855.4</w:t>
            </w:r>
            <w:r>
              <w:rPr>
                <w:rFonts w:ascii="Times New Roman" w:hAnsi="Times New Roman" w:eastAsia="Times New Roman"/>
                <w:spacing w:val="17"/>
                <w:sz w:val="18"/>
              </w:rPr>
              <w:t> </w:t>
            </w:r>
            <w:r>
              <w:rPr>
                <w:sz w:val="18"/>
              </w:rPr>
              <w:t>奥沙普秦</w:t>
            </w:r>
            <w:r>
              <w:rPr>
                <w:rFonts w:ascii="Times New Roman" w:hAnsi="Times New Roman" w:eastAsia="Times New Roman"/>
                <w:sz w:val="18"/>
              </w:rPr>
              <w:t>193.4</w:t>
            </w:r>
            <w:r>
              <w:rPr>
                <w:spacing w:val="-1"/>
                <w:sz w:val="18"/>
              </w:rPr>
              <w:t>、酯化副产物</w:t>
            </w:r>
            <w:r>
              <w:rPr>
                <w:rFonts w:ascii="Times New Roman" w:hAnsi="Times New Roman" w:eastAsia="Times New Roman"/>
                <w:sz w:val="18"/>
              </w:rPr>
              <w:t>53.6</w:t>
            </w:r>
            <w:r>
              <w:rPr>
                <w:sz w:val="18"/>
              </w:rPr>
              <w:t>、环合副产物</w:t>
            </w:r>
            <w:r>
              <w:rPr>
                <w:rFonts w:ascii="Times New Roman" w:hAnsi="Times New Roman" w:eastAsia="Times New Roman"/>
                <w:sz w:val="18"/>
              </w:rPr>
              <w:t>22.9</w:t>
            </w:r>
            <w:r>
              <w:rPr>
                <w:spacing w:val="-2"/>
                <w:sz w:val="18"/>
              </w:rPr>
              <w:t>、乙酸铵</w:t>
            </w:r>
            <w:r>
              <w:rPr>
                <w:rFonts w:ascii="Times New Roman" w:hAnsi="Times New Roman" w:eastAsia="Times New Roman"/>
                <w:sz w:val="18"/>
              </w:rPr>
              <w:t>487.9</w:t>
            </w:r>
            <w:r>
              <w:rPr>
                <w:spacing w:val="-1"/>
                <w:sz w:val="18"/>
              </w:rPr>
              <w:t>、醋酸</w:t>
            </w:r>
            <w:r>
              <w:rPr>
                <w:rFonts w:ascii="Times New Roman" w:hAnsi="Times New Roman" w:eastAsia="Times New Roman"/>
                <w:sz w:val="18"/>
              </w:rPr>
              <w:t>2844.2</w:t>
            </w:r>
            <w:r>
              <w:rPr>
                <w:sz w:val="18"/>
              </w:rPr>
              <w:t>、丁</w:t>
            </w:r>
          </w:p>
          <w:p>
            <w:pPr>
              <w:pStyle w:val="TableParagraph"/>
              <w:spacing w:line="227" w:lineRule="exact"/>
              <w:ind w:left="37" w:right="7"/>
              <w:rPr>
                <w:rFonts w:ascii="Times New Roman" w:eastAsia="Times New Roman"/>
                <w:sz w:val="18"/>
              </w:rPr>
            </w:pPr>
            <w:r>
              <w:rPr>
                <w:sz w:val="18"/>
              </w:rPr>
              <w:t>二酸酐</w:t>
            </w:r>
            <w:r>
              <w:rPr>
                <w:rFonts w:ascii="Times New Roman" w:eastAsia="Times New Roman"/>
                <w:sz w:val="18"/>
              </w:rPr>
              <w:t>253.3</w:t>
            </w:r>
          </w:p>
        </w:tc>
        <w:tc>
          <w:tcPr>
            <w:tcW w:w="644" w:type="dxa"/>
            <w:tcBorders>
              <w:top w:val="single" w:sz="6" w:space="0" w:color="000000"/>
              <w:left w:val="single" w:sz="6" w:space="0" w:color="000000"/>
              <w:bottom w:val="single" w:sz="6" w:space="0" w:color="000000"/>
            </w:tcBorders>
          </w:tcPr>
          <w:p>
            <w:pPr>
              <w:pStyle w:val="TableParagraph"/>
              <w:spacing w:before="124"/>
              <w:ind w:left="32" w:right="7"/>
              <w:rPr>
                <w:rFonts w:ascii="Times New Roman"/>
                <w:sz w:val="18"/>
              </w:rPr>
            </w:pPr>
            <w:r>
              <w:rPr>
                <w:rFonts w:ascii="Times New Roman"/>
                <w:sz w:val="18"/>
              </w:rPr>
              <w:t>46.26</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960.2</w:t>
            </w:r>
            <w:r>
              <w:rPr>
                <w:sz w:val="18"/>
              </w:rPr>
              <w:t>吡啶</w:t>
            </w:r>
            <w:r>
              <w:rPr>
                <w:rFonts w:ascii="Times New Roman" w:hAnsi="Times New Roman" w:eastAsia="Times New Roman"/>
                <w:sz w:val="18"/>
              </w:rPr>
              <w:t>479.6</w:t>
            </w:r>
            <w:r>
              <w:rPr>
                <w:sz w:val="18"/>
              </w:rPr>
              <w:t>、水</w:t>
            </w:r>
            <w:r>
              <w:rPr>
                <w:rFonts w:ascii="Times New Roman" w:hAnsi="Times New Roman" w:eastAsia="Times New Roman"/>
                <w:sz w:val="18"/>
              </w:rPr>
              <w:t>480.5</w:t>
            </w:r>
          </w:p>
        </w:tc>
        <w:tc>
          <w:tcPr>
            <w:tcW w:w="644" w:type="dxa"/>
            <w:tcBorders>
              <w:top w:val="single" w:sz="6" w:space="0" w:color="000000"/>
              <w:left w:val="single" w:sz="6" w:space="0" w:color="000000"/>
              <w:bottom w:val="single" w:sz="6" w:space="0" w:color="000000"/>
            </w:tcBorders>
          </w:tcPr>
          <w:p>
            <w:pPr>
              <w:pStyle w:val="TableParagraph"/>
              <w:spacing w:before="62"/>
              <w:ind w:left="33" w:right="5"/>
              <w:rPr>
                <w:rFonts w:ascii="Times New Roman"/>
                <w:sz w:val="18"/>
              </w:rPr>
            </w:pPr>
            <w:r>
              <w:rPr>
                <w:rFonts w:ascii="Times New Roman"/>
                <w:sz w:val="18"/>
              </w:rPr>
              <w:t>11.52</w:t>
            </w:r>
          </w:p>
        </w:tc>
      </w:tr>
      <w:tr>
        <w:trPr>
          <w:trHeight w:val="337"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8" w:lineRule="auto" w:before="127"/>
              <w:ind w:left="751" w:right="2" w:hanging="720"/>
              <w:jc w:val="left"/>
              <w:rPr>
                <w:sz w:val="18"/>
              </w:rPr>
            </w:pPr>
            <w:r>
              <w:rPr>
                <w:sz w:val="18"/>
              </w:rPr>
              <w:t>精品离心母液、洗涤废水回收车间蒸馏预处理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6" w:right="7"/>
              <w:rPr>
                <w:rFonts w:ascii="Times New Roman" w:hAnsi="Times New Roman" w:eastAsia="Times New Roman"/>
                <w:sz w:val="18"/>
              </w:rPr>
            </w:pPr>
            <w:r>
              <w:rPr>
                <w:sz w:val="18"/>
              </w:rPr>
              <w:t>Σ</w:t>
            </w:r>
            <w:r>
              <w:rPr>
                <w:rFonts w:ascii="Times New Roman" w:hAnsi="Times New Roman" w:eastAsia="Times New Roman"/>
                <w:sz w:val="18"/>
              </w:rPr>
              <w:t>2067.2</w:t>
            </w:r>
            <w:r>
              <w:rPr>
                <w:sz w:val="18"/>
              </w:rPr>
              <w:t>醋酸</w:t>
            </w:r>
            <w:r>
              <w:rPr>
                <w:rFonts w:ascii="Times New Roman" w:hAnsi="Times New Roman" w:eastAsia="Times New Roman"/>
                <w:sz w:val="18"/>
              </w:rPr>
              <w:t>1852.3</w:t>
            </w:r>
            <w:r>
              <w:rPr>
                <w:sz w:val="18"/>
              </w:rPr>
              <w:t>、奥沙普秦</w:t>
            </w:r>
            <w:r>
              <w:rPr>
                <w:rFonts w:ascii="Times New Roman" w:hAnsi="Times New Roman" w:eastAsia="Times New Roman"/>
                <w:sz w:val="18"/>
              </w:rPr>
              <w:t>140.4</w:t>
            </w:r>
            <w:r>
              <w:rPr>
                <w:sz w:val="18"/>
              </w:rPr>
              <w:t>、环合副产物</w:t>
            </w:r>
            <w:r>
              <w:rPr>
                <w:rFonts w:ascii="Times New Roman" w:hAnsi="Times New Roman" w:eastAsia="Times New Roman"/>
                <w:sz w:val="18"/>
              </w:rPr>
              <w:t>74.5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24.81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7" w:right="7"/>
              <w:rPr>
                <w:rFonts w:ascii="Times New Roman" w:eastAsia="Times New Roman"/>
                <w:sz w:val="18"/>
              </w:rPr>
            </w:pPr>
            <w:r>
              <w:rPr>
                <w:sz w:val="18"/>
              </w:rPr>
              <w:t>水</w:t>
            </w:r>
            <w:r>
              <w:rPr>
                <w:rFonts w:ascii="Times New Roman" w:eastAsia="Times New Roman"/>
                <w:sz w:val="18"/>
              </w:rPr>
              <w:t>700.5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8.41</w:t>
            </w:r>
          </w:p>
        </w:tc>
      </w:tr>
      <w:tr>
        <w:trPr>
          <w:trHeight w:val="340" w:hRule="atLeast"/>
        </w:trPr>
        <w:tc>
          <w:tcPr>
            <w:tcW w:w="1058" w:type="dxa"/>
            <w:vMerge w:val="restart"/>
            <w:tcBorders>
              <w:top w:val="single" w:sz="6" w:space="0" w:color="000000"/>
              <w:bottom w:val="single" w:sz="6" w:space="0" w:color="000000"/>
              <w:right w:val="single" w:sz="6" w:space="0" w:color="000000"/>
            </w:tcBorders>
          </w:tcPr>
          <w:p>
            <w:pPr>
              <w:pStyle w:val="TableParagraph"/>
              <w:jc w:val="left"/>
              <w:rPr>
                <w:sz w:val="18"/>
              </w:rPr>
            </w:pPr>
          </w:p>
          <w:p>
            <w:pPr>
              <w:pStyle w:val="TableParagraph"/>
              <w:jc w:val="left"/>
              <w:rPr>
                <w:sz w:val="14"/>
              </w:rPr>
            </w:pPr>
          </w:p>
          <w:p>
            <w:pPr>
              <w:pStyle w:val="TableParagraph"/>
              <w:ind w:left="260"/>
              <w:jc w:val="left"/>
              <w:rPr>
                <w:sz w:val="18"/>
              </w:rPr>
            </w:pPr>
            <w:r>
              <w:rPr>
                <w:sz w:val="18"/>
              </w:rPr>
              <w:t>甘羟铝</w:t>
            </w: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19"/>
              <w:jc w:val="left"/>
              <w:rPr>
                <w:sz w:val="18"/>
              </w:rPr>
            </w:pPr>
            <w:r>
              <w:rPr>
                <w:sz w:val="18"/>
              </w:rPr>
              <w:t>缩合后有机层蒸馏残液（</w:t>
            </w:r>
            <w:r>
              <w:rPr>
                <w:rFonts w:ascii="Times New Roman" w:eastAsia="Times New Roman"/>
                <w:sz w:val="18"/>
              </w:rPr>
              <w:t>S3-1</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1043.5 </w:t>
            </w:r>
            <w:r>
              <w:rPr>
                <w:sz w:val="18"/>
              </w:rPr>
              <w:t>异丙醇 </w:t>
            </w:r>
            <w:r>
              <w:rPr>
                <w:rFonts w:ascii="Times New Roman" w:hAnsi="Times New Roman" w:eastAsia="Times New Roman"/>
                <w:sz w:val="18"/>
              </w:rPr>
              <w:t>190.5</w:t>
            </w:r>
            <w:r>
              <w:rPr>
                <w:sz w:val="18"/>
              </w:rPr>
              <w:t>、甘氨酸 </w:t>
            </w:r>
            <w:r>
              <w:rPr>
                <w:rFonts w:ascii="Times New Roman" w:hAnsi="Times New Roman" w:eastAsia="Times New Roman"/>
                <w:sz w:val="18"/>
              </w:rPr>
              <w:t>37.5</w:t>
            </w:r>
            <w:r>
              <w:rPr>
                <w:sz w:val="18"/>
              </w:rPr>
              <w:t>、甲苯 </w:t>
            </w:r>
            <w:r>
              <w:rPr>
                <w:rFonts w:ascii="Times New Roman" w:hAnsi="Times New Roman" w:eastAsia="Times New Roman"/>
                <w:sz w:val="18"/>
              </w:rPr>
              <w:t>732.1</w:t>
            </w:r>
            <w:r>
              <w:rPr>
                <w:sz w:val="18"/>
              </w:rPr>
              <w:t>、甘羟铝 </w:t>
            </w:r>
            <w:r>
              <w:rPr>
                <w:rFonts w:ascii="Times New Roman" w:hAnsi="Times New Roman" w:eastAsia="Times New Roman"/>
                <w:sz w:val="18"/>
              </w:rPr>
              <w:t>83.4</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3.65</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1111" w:right="2" w:hanging="1080"/>
              <w:jc w:val="left"/>
              <w:rPr>
                <w:sz w:val="18"/>
              </w:rPr>
            </w:pPr>
            <w:r>
              <w:rPr>
                <w:sz w:val="18"/>
              </w:rPr>
              <w:t>缩合后压滤母液回收车间蒸馏预处理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888.2 </w:t>
            </w:r>
            <w:r>
              <w:rPr>
                <w:sz w:val="18"/>
              </w:rPr>
              <w:t>甘氨酸 </w:t>
            </w:r>
            <w:r>
              <w:rPr>
                <w:rFonts w:ascii="Times New Roman" w:hAnsi="Times New Roman" w:eastAsia="Times New Roman"/>
                <w:sz w:val="18"/>
              </w:rPr>
              <w:t>810.6</w:t>
            </w:r>
            <w:r>
              <w:rPr>
                <w:sz w:val="18"/>
              </w:rPr>
              <w:t>、甘羟铝 </w:t>
            </w:r>
            <w:r>
              <w:rPr>
                <w:rFonts w:ascii="Times New Roman" w:hAnsi="Times New Roman" w:eastAsia="Times New Roman"/>
                <w:sz w:val="18"/>
              </w:rPr>
              <w:t>77.6</w:t>
            </w:r>
          </w:p>
        </w:tc>
        <w:tc>
          <w:tcPr>
            <w:tcW w:w="644" w:type="dxa"/>
            <w:tcBorders>
              <w:top w:val="single" w:sz="6" w:space="0" w:color="000000"/>
              <w:left w:val="single" w:sz="6" w:space="0" w:color="000000"/>
              <w:bottom w:val="single" w:sz="6" w:space="0" w:color="000000"/>
            </w:tcBorders>
          </w:tcPr>
          <w:p>
            <w:pPr>
              <w:pStyle w:val="TableParagraph"/>
              <w:spacing w:before="62"/>
              <w:ind w:left="33" w:right="5"/>
              <w:rPr>
                <w:rFonts w:ascii="Times New Roman"/>
                <w:sz w:val="18"/>
              </w:rPr>
            </w:pPr>
            <w:r>
              <w:rPr>
                <w:rFonts w:ascii="Times New Roman"/>
                <w:sz w:val="18"/>
              </w:rPr>
              <w:t>3.11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1120.8 </w:t>
            </w:r>
            <w:r>
              <w:rPr>
                <w:sz w:val="18"/>
              </w:rPr>
              <w:t>水 </w:t>
            </w:r>
            <w:r>
              <w:rPr>
                <w:rFonts w:ascii="Times New Roman" w:hAnsi="Times New Roman" w:eastAsia="Times New Roman"/>
                <w:sz w:val="18"/>
              </w:rPr>
              <w:t>752.8</w:t>
            </w:r>
            <w:r>
              <w:rPr>
                <w:sz w:val="18"/>
              </w:rPr>
              <w:t>、甲苯 </w:t>
            </w:r>
            <w:r>
              <w:rPr>
                <w:rFonts w:ascii="Times New Roman" w:hAnsi="Times New Roman" w:eastAsia="Times New Roman"/>
                <w:sz w:val="18"/>
              </w:rPr>
              <w:t>116.6</w:t>
            </w:r>
            <w:r>
              <w:rPr>
                <w:sz w:val="18"/>
              </w:rPr>
              <w:t>、异丙醇 </w:t>
            </w:r>
            <w:r>
              <w:rPr>
                <w:rFonts w:ascii="Times New Roman" w:hAnsi="Times New Roman" w:eastAsia="Times New Roman"/>
                <w:sz w:val="18"/>
              </w:rPr>
              <w:t>251.4</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3.92</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1111" w:right="2" w:hanging="1080"/>
              <w:jc w:val="left"/>
              <w:rPr>
                <w:sz w:val="18"/>
              </w:rPr>
            </w:pPr>
            <w:r>
              <w:rPr>
                <w:sz w:val="18"/>
              </w:rPr>
              <w:t>压滤后洗涤废水回收车间蒸馏预处理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120.3 </w:t>
            </w:r>
            <w:r>
              <w:rPr>
                <w:sz w:val="18"/>
              </w:rPr>
              <w:t>甘氨酸 </w:t>
            </w:r>
            <w:r>
              <w:rPr>
                <w:rFonts w:ascii="Times New Roman" w:hAnsi="Times New Roman" w:eastAsia="Times New Roman"/>
                <w:sz w:val="18"/>
              </w:rPr>
              <w:t>90.1</w:t>
            </w:r>
            <w:r>
              <w:rPr>
                <w:sz w:val="18"/>
              </w:rPr>
              <w:t>、甘羟铝 </w:t>
            </w:r>
            <w:r>
              <w:rPr>
                <w:rFonts w:ascii="Times New Roman" w:hAnsi="Times New Roman" w:eastAsia="Times New Roman"/>
                <w:sz w:val="18"/>
              </w:rPr>
              <w:t>30.2</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0.42</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476.8 </w:t>
            </w:r>
            <w:r>
              <w:rPr>
                <w:sz w:val="18"/>
              </w:rPr>
              <w:t>水 </w:t>
            </w:r>
            <w:r>
              <w:rPr>
                <w:rFonts w:ascii="Times New Roman" w:hAnsi="Times New Roman" w:eastAsia="Times New Roman"/>
                <w:sz w:val="18"/>
              </w:rPr>
              <w:t>435.9</w:t>
            </w:r>
            <w:r>
              <w:rPr>
                <w:sz w:val="18"/>
              </w:rPr>
              <w:t>、甲苯 </w:t>
            </w:r>
            <w:r>
              <w:rPr>
                <w:rFonts w:ascii="Times New Roman" w:hAnsi="Times New Roman" w:eastAsia="Times New Roman"/>
                <w:sz w:val="18"/>
              </w:rPr>
              <w:t>13.0</w:t>
            </w:r>
            <w:r>
              <w:rPr>
                <w:sz w:val="18"/>
              </w:rPr>
              <w:t>、异丙醇 </w:t>
            </w:r>
            <w:r>
              <w:rPr>
                <w:rFonts w:ascii="Times New Roman" w:hAnsi="Times New Roman" w:eastAsia="Times New Roman"/>
                <w:sz w:val="18"/>
              </w:rPr>
              <w:t>27.9</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1.67</w:t>
            </w:r>
          </w:p>
        </w:tc>
      </w:tr>
      <w:tr>
        <w:trPr>
          <w:trHeight w:val="340" w:hRule="atLeast"/>
        </w:trPr>
        <w:tc>
          <w:tcPr>
            <w:tcW w:w="1058" w:type="dxa"/>
            <w:vMerge w:val="restart"/>
            <w:tcBorders>
              <w:top w:val="single" w:sz="6" w:space="0" w:color="000000"/>
              <w:bottom w:val="single" w:sz="6" w:space="0" w:color="000000"/>
              <w:right w:val="single" w:sz="6" w:space="0" w:color="000000"/>
            </w:tcBorders>
          </w:tcPr>
          <w:p>
            <w:pPr>
              <w:pStyle w:val="TableParagraph"/>
              <w:spacing w:line="146" w:lineRule="auto" w:before="132"/>
              <w:ind w:left="440" w:right="52" w:hanging="360"/>
              <w:jc w:val="left"/>
              <w:rPr>
                <w:sz w:val="18"/>
              </w:rPr>
            </w:pPr>
            <w:r>
              <w:rPr>
                <w:sz w:val="18"/>
              </w:rPr>
              <w:t>乳酸氟罗沙星</w:t>
            </w: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59"/>
              <w:jc w:val="left"/>
              <w:rPr>
                <w:sz w:val="18"/>
              </w:rPr>
            </w:pPr>
            <w:r>
              <w:rPr>
                <w:sz w:val="18"/>
              </w:rPr>
              <w:t>压滤滤渣（</w:t>
            </w:r>
            <w:r>
              <w:rPr>
                <w:rFonts w:ascii="Times New Roman" w:eastAsia="Times New Roman"/>
                <w:sz w:val="18"/>
              </w:rPr>
              <w:t>S4-1</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 w:right="7"/>
              <w:rPr>
                <w:rFonts w:ascii="Times New Roman" w:hAnsi="Times New Roman" w:eastAsia="Times New Roman"/>
                <w:sz w:val="18"/>
              </w:rPr>
            </w:pPr>
            <w:r>
              <w:rPr>
                <w:sz w:val="18"/>
              </w:rPr>
              <w:t>Σ</w:t>
            </w:r>
            <w:r>
              <w:rPr>
                <w:rFonts w:ascii="Times New Roman" w:hAnsi="Times New Roman" w:eastAsia="Times New Roman"/>
                <w:sz w:val="18"/>
              </w:rPr>
              <w:t>75.9 </w:t>
            </w:r>
            <w:r>
              <w:rPr>
                <w:sz w:val="18"/>
              </w:rPr>
              <w:t>氟罗沙星杂质 </w:t>
            </w:r>
            <w:r>
              <w:rPr>
                <w:rFonts w:ascii="Times New Roman" w:hAnsi="Times New Roman" w:eastAsia="Times New Roman"/>
                <w:sz w:val="18"/>
              </w:rPr>
              <w:t>35.3</w:t>
            </w:r>
            <w:r>
              <w:rPr>
                <w:sz w:val="18"/>
              </w:rPr>
              <w:t>、水 </w:t>
            </w:r>
            <w:r>
              <w:rPr>
                <w:rFonts w:ascii="Times New Roman" w:hAnsi="Times New Roman" w:eastAsia="Times New Roman"/>
                <w:sz w:val="18"/>
              </w:rPr>
              <w:t>3</w:t>
            </w:r>
            <w:r>
              <w:rPr>
                <w:sz w:val="18"/>
              </w:rPr>
              <w:t>、乙醇 </w:t>
            </w:r>
            <w:r>
              <w:rPr>
                <w:rFonts w:ascii="Times New Roman" w:hAnsi="Times New Roman" w:eastAsia="Times New Roman"/>
                <w:sz w:val="18"/>
              </w:rPr>
              <w:t>23</w:t>
            </w:r>
            <w:r>
              <w:rPr>
                <w:sz w:val="18"/>
              </w:rPr>
              <w:t>、乳酸 </w:t>
            </w:r>
            <w:r>
              <w:rPr>
                <w:rFonts w:ascii="Times New Roman" w:hAnsi="Times New Roman" w:eastAsia="Times New Roman"/>
                <w:sz w:val="18"/>
              </w:rPr>
              <w:t>2.6</w:t>
            </w:r>
            <w:r>
              <w:rPr>
                <w:sz w:val="18"/>
              </w:rPr>
              <w:t>、乳酸氟罗沙星 </w:t>
            </w:r>
            <w:r>
              <w:rPr>
                <w:rFonts w:ascii="Times New Roman" w:hAnsi="Times New Roman" w:eastAsia="Times New Roman"/>
                <w:sz w:val="18"/>
              </w:rPr>
              <w:t>12</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0.06</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468"/>
              <w:jc w:val="left"/>
              <w:rPr>
                <w:sz w:val="18"/>
              </w:rPr>
            </w:pPr>
            <w:r>
              <w:rPr>
                <w:sz w:val="18"/>
              </w:rPr>
              <w:t>离心后乙醇蒸馏回收过程蒸馏残液（</w:t>
            </w:r>
            <w:r>
              <w:rPr>
                <w:rFonts w:ascii="Times New Roman" w:eastAsia="Times New Roman"/>
                <w:sz w:val="18"/>
              </w:rPr>
              <w:t>S4-2</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8" w:right="7"/>
              <w:rPr>
                <w:rFonts w:ascii="Times New Roman" w:hAnsi="Times New Roman" w:eastAsia="Times New Roman"/>
                <w:sz w:val="18"/>
              </w:rPr>
            </w:pPr>
            <w:r>
              <w:rPr>
                <w:sz w:val="18"/>
              </w:rPr>
              <w:t>Σ</w:t>
            </w:r>
            <w:r>
              <w:rPr>
                <w:rFonts w:ascii="Times New Roman" w:hAnsi="Times New Roman" w:eastAsia="Times New Roman"/>
                <w:sz w:val="18"/>
              </w:rPr>
              <w:t>1575.2 </w:t>
            </w:r>
            <w:r>
              <w:rPr>
                <w:sz w:val="18"/>
              </w:rPr>
              <w:t>水 </w:t>
            </w:r>
            <w:r>
              <w:rPr>
                <w:rFonts w:ascii="Times New Roman" w:hAnsi="Times New Roman" w:eastAsia="Times New Roman"/>
                <w:sz w:val="18"/>
              </w:rPr>
              <w:t>288.1</w:t>
            </w:r>
            <w:r>
              <w:rPr>
                <w:sz w:val="18"/>
              </w:rPr>
              <w:t>、乙醇 </w:t>
            </w:r>
            <w:r>
              <w:rPr>
                <w:rFonts w:ascii="Times New Roman" w:hAnsi="Times New Roman" w:eastAsia="Times New Roman"/>
                <w:sz w:val="18"/>
              </w:rPr>
              <w:t>837</w:t>
            </w:r>
            <w:r>
              <w:rPr>
                <w:sz w:val="18"/>
              </w:rPr>
              <w:t>、乳酸 </w:t>
            </w:r>
            <w:r>
              <w:rPr>
                <w:rFonts w:ascii="Times New Roman" w:hAnsi="Times New Roman" w:eastAsia="Times New Roman"/>
                <w:sz w:val="18"/>
              </w:rPr>
              <w:t>262.1</w:t>
            </w:r>
            <w:r>
              <w:rPr>
                <w:sz w:val="18"/>
              </w:rPr>
              <w:t>、乳酸氟罗沙星 </w:t>
            </w:r>
            <w:r>
              <w:rPr>
                <w:rFonts w:ascii="Times New Roman" w:hAnsi="Times New Roman" w:eastAsia="Times New Roman"/>
                <w:sz w:val="18"/>
              </w:rPr>
              <w:t>188</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1.26</w:t>
            </w:r>
          </w:p>
        </w:tc>
      </w:tr>
      <w:tr>
        <w:trPr>
          <w:trHeight w:val="332" w:hRule="atLeast"/>
        </w:trPr>
        <w:tc>
          <w:tcPr>
            <w:tcW w:w="1058" w:type="dxa"/>
            <w:vMerge w:val="restart"/>
            <w:tcBorders>
              <w:top w:val="single" w:sz="6" w:space="0" w:color="000000"/>
              <w:right w:val="single" w:sz="6" w:space="0" w:color="000000"/>
            </w:tcBorders>
          </w:tcPr>
          <w:p>
            <w:pPr>
              <w:pStyle w:val="TableParagraph"/>
              <w:jc w:val="left"/>
              <w:rPr>
                <w:sz w:val="18"/>
              </w:rPr>
            </w:pPr>
          </w:p>
          <w:p>
            <w:pPr>
              <w:pStyle w:val="TableParagraph"/>
              <w:spacing w:before="6"/>
              <w:jc w:val="left"/>
              <w:rPr>
                <w:sz w:val="16"/>
              </w:rPr>
            </w:pPr>
          </w:p>
          <w:p>
            <w:pPr>
              <w:pStyle w:val="TableParagraph"/>
              <w:spacing w:line="146" w:lineRule="auto"/>
              <w:ind w:left="440" w:right="52" w:hanging="360"/>
              <w:jc w:val="left"/>
              <w:rPr>
                <w:sz w:val="18"/>
              </w:rPr>
            </w:pPr>
            <w:r>
              <w:rPr>
                <w:sz w:val="18"/>
              </w:rPr>
              <w:t>盐酸普罗帕酮</w:t>
            </w: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1188"/>
              <w:jc w:val="left"/>
              <w:rPr>
                <w:sz w:val="18"/>
              </w:rPr>
            </w:pPr>
            <w:r>
              <w:rPr>
                <w:sz w:val="18"/>
              </w:rPr>
              <w:t>精制后压滤滤渣（</w:t>
            </w:r>
            <w:r>
              <w:rPr>
                <w:rFonts w:ascii="Times New Roman" w:eastAsia="Times New Roman"/>
                <w:sz w:val="18"/>
              </w:rPr>
              <w:t>S5-1</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38" w:right="7"/>
              <w:rPr>
                <w:rFonts w:ascii="Times New Roman" w:hAnsi="Times New Roman" w:eastAsia="Times New Roman"/>
                <w:sz w:val="18"/>
              </w:rPr>
            </w:pPr>
            <w:r>
              <w:rPr>
                <w:sz w:val="18"/>
              </w:rPr>
              <w:t>Σ</w:t>
            </w:r>
            <w:r>
              <w:rPr>
                <w:rFonts w:ascii="Times New Roman" w:hAnsi="Times New Roman" w:eastAsia="Times New Roman"/>
                <w:sz w:val="18"/>
              </w:rPr>
              <w:t>116.3 </w:t>
            </w:r>
            <w:r>
              <w:rPr>
                <w:sz w:val="18"/>
              </w:rPr>
              <w:t>成盐副产物 </w:t>
            </w:r>
            <w:r>
              <w:rPr>
                <w:rFonts w:ascii="Times New Roman" w:hAnsi="Times New Roman" w:eastAsia="Times New Roman"/>
                <w:sz w:val="18"/>
              </w:rPr>
              <w:t>59.2</w:t>
            </w:r>
            <w:r>
              <w:rPr>
                <w:sz w:val="18"/>
              </w:rPr>
              <w:t>、水 </w:t>
            </w:r>
            <w:r>
              <w:rPr>
                <w:rFonts w:ascii="Times New Roman" w:hAnsi="Times New Roman" w:eastAsia="Times New Roman"/>
                <w:sz w:val="18"/>
              </w:rPr>
              <w:t>5.3</w:t>
            </w:r>
            <w:r>
              <w:rPr>
                <w:sz w:val="18"/>
              </w:rPr>
              <w:t>、乙醇 </w:t>
            </w:r>
            <w:r>
              <w:rPr>
                <w:rFonts w:ascii="Times New Roman" w:hAnsi="Times New Roman" w:eastAsia="Times New Roman"/>
                <w:sz w:val="18"/>
              </w:rPr>
              <w:t>15.0</w:t>
            </w:r>
            <w:r>
              <w:rPr>
                <w:sz w:val="18"/>
              </w:rPr>
              <w:t>、丙酮 </w:t>
            </w:r>
            <w:r>
              <w:rPr>
                <w:rFonts w:ascii="Times New Roman" w:hAnsi="Times New Roman" w:eastAsia="Times New Roman"/>
                <w:sz w:val="18"/>
              </w:rPr>
              <w:t>24.0</w:t>
            </w:r>
            <w:r>
              <w:rPr>
                <w:sz w:val="18"/>
              </w:rPr>
              <w:t>、盐酸普罗帕酮 </w:t>
            </w:r>
            <w:r>
              <w:rPr>
                <w:rFonts w:ascii="Times New Roman" w:hAnsi="Times New Roman" w:eastAsia="Times New Roman"/>
                <w:sz w:val="18"/>
              </w:rPr>
              <w:t>12.8</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1.05</w:t>
            </w:r>
          </w:p>
        </w:tc>
      </w:tr>
      <w:tr>
        <w:trPr>
          <w:trHeight w:val="325"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99"/>
              <w:jc w:val="left"/>
              <w:rPr>
                <w:sz w:val="18"/>
              </w:rPr>
            </w:pPr>
            <w:r>
              <w:rPr>
                <w:sz w:val="18"/>
              </w:rPr>
              <w:t>精制后乙醇、丙酮蒸馏回收过程蒸馏残液（</w:t>
            </w:r>
            <w:r>
              <w:rPr>
                <w:rFonts w:ascii="Times New Roman" w:eastAsia="Times New Roman"/>
                <w:sz w:val="18"/>
              </w:rPr>
              <w:t>S5-2</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8" w:right="7"/>
              <w:rPr>
                <w:rFonts w:ascii="Times New Roman" w:hAnsi="Times New Roman" w:eastAsia="Times New Roman"/>
                <w:sz w:val="18"/>
              </w:rPr>
            </w:pPr>
            <w:r>
              <w:rPr>
                <w:sz w:val="18"/>
              </w:rPr>
              <w:t>Σ</w:t>
            </w:r>
            <w:r>
              <w:rPr>
                <w:rFonts w:ascii="Times New Roman" w:hAnsi="Times New Roman" w:eastAsia="Times New Roman"/>
                <w:sz w:val="18"/>
              </w:rPr>
              <w:t>1362.0 </w:t>
            </w:r>
            <w:r>
              <w:rPr>
                <w:sz w:val="18"/>
              </w:rPr>
              <w:t>乙醇 </w:t>
            </w:r>
            <w:r>
              <w:rPr>
                <w:rFonts w:ascii="Times New Roman" w:hAnsi="Times New Roman" w:eastAsia="Times New Roman"/>
                <w:sz w:val="18"/>
              </w:rPr>
              <w:t>219.0</w:t>
            </w:r>
            <w:r>
              <w:rPr>
                <w:sz w:val="18"/>
              </w:rPr>
              <w:t>、丙酮 </w:t>
            </w:r>
            <w:r>
              <w:rPr>
                <w:rFonts w:ascii="Times New Roman" w:hAnsi="Times New Roman" w:eastAsia="Times New Roman"/>
                <w:sz w:val="18"/>
              </w:rPr>
              <w:t>356.0</w:t>
            </w:r>
            <w:r>
              <w:rPr>
                <w:sz w:val="18"/>
              </w:rPr>
              <w:t>、水 </w:t>
            </w:r>
            <w:r>
              <w:rPr>
                <w:rFonts w:ascii="Times New Roman" w:hAnsi="Times New Roman" w:eastAsia="Times New Roman"/>
                <w:sz w:val="18"/>
              </w:rPr>
              <w:t>514.5</w:t>
            </w:r>
            <w:r>
              <w:rPr>
                <w:sz w:val="18"/>
              </w:rPr>
              <w:t>、盐酸普罗帕酮 </w:t>
            </w:r>
            <w:r>
              <w:rPr>
                <w:rFonts w:ascii="Times New Roman" w:hAnsi="Times New Roman" w:eastAsia="Times New Roman"/>
                <w:sz w:val="18"/>
              </w:rPr>
              <w:t>266.0</w:t>
            </w:r>
            <w:r>
              <w:rPr>
                <w:sz w:val="18"/>
              </w:rPr>
              <w:t>、成盐副产物 </w:t>
            </w:r>
            <w:r>
              <w:rPr>
                <w:rFonts w:ascii="Times New Roman" w:hAnsi="Times New Roman" w:eastAsia="Times New Roman"/>
                <w:sz w:val="18"/>
              </w:rPr>
              <w:t>6.6</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12.26</w:t>
            </w:r>
          </w:p>
        </w:tc>
      </w:tr>
      <w:tr>
        <w:trPr>
          <w:trHeight w:val="450" w:hRule="atLeast"/>
        </w:trPr>
        <w:tc>
          <w:tcPr>
            <w:tcW w:w="1058" w:type="dxa"/>
            <w:vMerge/>
            <w:tcBorders>
              <w:top w:val="nil"/>
              <w:right w:val="single" w:sz="6" w:space="0" w:color="000000"/>
            </w:tcBorders>
          </w:tcPr>
          <w:p>
            <w:pPr>
              <w:rPr>
                <w:sz w:val="2"/>
                <w:szCs w:val="2"/>
              </w:rPr>
            </w:pPr>
          </w:p>
        </w:tc>
        <w:tc>
          <w:tcPr>
            <w:tcW w:w="2571"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27"/>
              <w:rPr>
                <w:sz w:val="18"/>
              </w:rPr>
            </w:pPr>
            <w:r>
              <w:rPr>
                <w:sz w:val="18"/>
              </w:rPr>
              <w:t>缩合后蒸馏冷凝液水层废水回收</w:t>
            </w:r>
          </w:p>
          <w:p>
            <w:pPr>
              <w:pStyle w:val="TableParagraph"/>
              <w:spacing w:line="217" w:lineRule="exact"/>
              <w:ind w:left="28"/>
              <w:rPr>
                <w:sz w:val="18"/>
              </w:rPr>
            </w:pPr>
            <w:r>
              <w:rPr>
                <w:sz w:val="18"/>
              </w:rPr>
              <w:t>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23"/>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before="23"/>
              <w:ind w:left="36" w:right="7"/>
              <w:rPr>
                <w:rFonts w:ascii="Times New Roman" w:hAnsi="Times New Roman" w:eastAsia="Times New Roman"/>
                <w:sz w:val="18"/>
              </w:rPr>
            </w:pPr>
            <w:r>
              <w:rPr>
                <w:sz w:val="18"/>
              </w:rPr>
              <w:t>Σ</w:t>
            </w:r>
            <w:r>
              <w:rPr>
                <w:rFonts w:ascii="Times New Roman" w:hAnsi="Times New Roman" w:eastAsia="Times New Roman"/>
                <w:sz w:val="18"/>
              </w:rPr>
              <w:t>58.8  </w:t>
            </w:r>
            <w:r>
              <w:rPr>
                <w:sz w:val="18"/>
              </w:rPr>
              <w:t>水 </w:t>
            </w:r>
            <w:r>
              <w:rPr>
                <w:rFonts w:ascii="Times New Roman" w:hAnsi="Times New Roman" w:eastAsia="Times New Roman"/>
                <w:sz w:val="18"/>
              </w:rPr>
              <w:t>58.4</w:t>
            </w:r>
            <w:r>
              <w:rPr>
                <w:sz w:val="18"/>
              </w:rPr>
              <w:t>、环氧氯丙烷 </w:t>
            </w:r>
            <w:r>
              <w:rPr>
                <w:rFonts w:ascii="Times New Roman" w:hAnsi="Times New Roman" w:eastAsia="Times New Roman"/>
                <w:sz w:val="18"/>
              </w:rPr>
              <w:t>0.4</w:t>
            </w:r>
          </w:p>
        </w:tc>
        <w:tc>
          <w:tcPr>
            <w:tcW w:w="644" w:type="dxa"/>
            <w:tcBorders>
              <w:top w:val="single" w:sz="6" w:space="0" w:color="000000"/>
              <w:left w:val="single" w:sz="6" w:space="0" w:color="000000"/>
              <w:bottom w:val="single" w:sz="6" w:space="0" w:color="000000"/>
            </w:tcBorders>
          </w:tcPr>
          <w:p>
            <w:pPr>
              <w:pStyle w:val="TableParagraph"/>
              <w:spacing w:before="117"/>
              <w:ind w:left="32" w:right="7"/>
              <w:rPr>
                <w:rFonts w:ascii="Times New Roman"/>
                <w:sz w:val="18"/>
              </w:rPr>
            </w:pPr>
            <w:r>
              <w:rPr>
                <w:rFonts w:ascii="Times New Roman"/>
                <w:sz w:val="18"/>
              </w:rPr>
              <w:t>0.53</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val="restart"/>
            <w:tcBorders>
              <w:top w:val="single" w:sz="6" w:space="0" w:color="000000"/>
              <w:left w:val="single" w:sz="6" w:space="0" w:color="000000"/>
              <w:right w:val="single" w:sz="6" w:space="0" w:color="000000"/>
            </w:tcBorders>
          </w:tcPr>
          <w:p>
            <w:pPr>
              <w:pStyle w:val="TableParagraph"/>
              <w:spacing w:line="146" w:lineRule="auto" w:before="125"/>
              <w:ind w:left="662" w:right="2" w:hanging="632"/>
              <w:jc w:val="left"/>
              <w:rPr>
                <w:sz w:val="18"/>
              </w:rPr>
            </w:pPr>
            <w:r>
              <w:rPr>
                <w:sz w:val="18"/>
              </w:rPr>
              <w:t>成盐后离心母液、洗涤废水回收车间蒸馏预处理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8" w:right="7"/>
              <w:rPr>
                <w:rFonts w:ascii="Times New Roman" w:hAnsi="Times New Roman" w:eastAsia="Times New Roman"/>
                <w:sz w:val="18"/>
              </w:rPr>
            </w:pPr>
            <w:r>
              <w:rPr>
                <w:sz w:val="18"/>
              </w:rPr>
              <w:t>Σ</w:t>
            </w:r>
            <w:r>
              <w:rPr>
                <w:rFonts w:ascii="Times New Roman" w:hAnsi="Times New Roman" w:eastAsia="Times New Roman"/>
                <w:sz w:val="18"/>
              </w:rPr>
              <w:t>1051.5 HCl369.6</w:t>
            </w:r>
            <w:r>
              <w:rPr>
                <w:sz w:val="18"/>
              </w:rPr>
              <w:t>、氯化钾 </w:t>
            </w:r>
            <w:r>
              <w:rPr>
                <w:rFonts w:ascii="Times New Roman" w:hAnsi="Times New Roman" w:eastAsia="Times New Roman"/>
                <w:sz w:val="18"/>
              </w:rPr>
              <w:t>397.8</w:t>
            </w:r>
            <w:r>
              <w:rPr>
                <w:sz w:val="18"/>
              </w:rPr>
              <w:t>、盐酸普罗帕酮 </w:t>
            </w:r>
            <w:r>
              <w:rPr>
                <w:rFonts w:ascii="Times New Roman" w:hAnsi="Times New Roman" w:eastAsia="Times New Roman"/>
                <w:sz w:val="18"/>
              </w:rPr>
              <w:t>268.4</w:t>
            </w:r>
            <w:r>
              <w:rPr>
                <w:sz w:val="18"/>
              </w:rPr>
              <w:t>、成盐副产物 </w:t>
            </w:r>
            <w:r>
              <w:rPr>
                <w:rFonts w:ascii="Times New Roman" w:hAnsi="Times New Roman" w:eastAsia="Times New Roman"/>
                <w:sz w:val="18"/>
              </w:rPr>
              <w:t>15.7</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9.46</w:t>
            </w:r>
          </w:p>
        </w:tc>
      </w:tr>
      <w:tr>
        <w:trPr>
          <w:trHeight w:val="332" w:hRule="atLeast"/>
        </w:trPr>
        <w:tc>
          <w:tcPr>
            <w:tcW w:w="1058" w:type="dxa"/>
            <w:vMerge/>
            <w:tcBorders>
              <w:top w:val="nil"/>
              <w:right w:val="single" w:sz="6" w:space="0" w:color="000000"/>
            </w:tcBorders>
          </w:tcPr>
          <w:p>
            <w:pPr>
              <w:rPr>
                <w:sz w:val="2"/>
                <w:szCs w:val="2"/>
              </w:rPr>
            </w:pPr>
          </w:p>
        </w:tc>
        <w:tc>
          <w:tcPr>
            <w:tcW w:w="2571" w:type="dxa"/>
            <w:vMerge/>
            <w:tcBorders>
              <w:top w:val="nil"/>
              <w:left w:val="single" w:sz="6" w:space="0" w:color="000000"/>
              <w:right w:val="single" w:sz="6" w:space="0" w:color="000000"/>
            </w:tcBorders>
          </w:tcPr>
          <w:p>
            <w:pPr>
              <w:rPr>
                <w:sz w:val="2"/>
                <w:szCs w:val="2"/>
              </w:rPr>
            </w:pPr>
          </w:p>
        </w:tc>
        <w:tc>
          <w:tcPr>
            <w:tcW w:w="1754" w:type="dxa"/>
            <w:tcBorders>
              <w:top w:val="single" w:sz="6" w:space="0" w:color="000000"/>
              <w:left w:val="single" w:sz="6" w:space="0" w:color="000000"/>
              <w:right w:val="single" w:sz="6" w:space="0" w:color="000000"/>
            </w:tcBorders>
          </w:tcPr>
          <w:p>
            <w:pPr>
              <w:pStyle w:val="TableParagraph"/>
              <w:spacing w:line="312" w:lineRule="exact"/>
              <w:ind w:left="143" w:right="116"/>
              <w:rPr>
                <w:sz w:val="18"/>
              </w:rPr>
            </w:pPr>
            <w:r>
              <w:rPr>
                <w:sz w:val="18"/>
              </w:rPr>
              <w:t>低沸点馏分冷凝液</w:t>
            </w:r>
          </w:p>
        </w:tc>
        <w:tc>
          <w:tcPr>
            <w:tcW w:w="7249" w:type="dxa"/>
            <w:tcBorders>
              <w:top w:val="single" w:sz="6" w:space="0" w:color="000000"/>
              <w:left w:val="single" w:sz="6" w:space="0" w:color="000000"/>
              <w:right w:val="single" w:sz="6" w:space="0" w:color="000000"/>
            </w:tcBorders>
          </w:tcPr>
          <w:p>
            <w:pPr>
              <w:pStyle w:val="TableParagraph"/>
              <w:spacing w:line="312" w:lineRule="exact"/>
              <w:ind w:left="38" w:right="7"/>
              <w:rPr>
                <w:rFonts w:ascii="Times New Roman" w:hAnsi="Times New Roman" w:eastAsia="Times New Roman"/>
                <w:sz w:val="18"/>
              </w:rPr>
            </w:pPr>
            <w:r>
              <w:rPr>
                <w:sz w:val="18"/>
              </w:rPr>
              <w:t>Σ</w:t>
            </w:r>
            <w:r>
              <w:rPr>
                <w:rFonts w:ascii="Times New Roman" w:hAnsi="Times New Roman" w:eastAsia="Times New Roman"/>
                <w:sz w:val="18"/>
              </w:rPr>
              <w:t>1009.7 </w:t>
            </w:r>
            <w:r>
              <w:rPr>
                <w:sz w:val="18"/>
              </w:rPr>
              <w:t>水 </w:t>
            </w:r>
            <w:r>
              <w:rPr>
                <w:rFonts w:ascii="Times New Roman" w:hAnsi="Times New Roman" w:eastAsia="Times New Roman"/>
                <w:sz w:val="18"/>
              </w:rPr>
              <w:t>951.8</w:t>
            </w:r>
            <w:r>
              <w:rPr>
                <w:sz w:val="18"/>
              </w:rPr>
              <w:t>、正丙胺 </w:t>
            </w:r>
            <w:r>
              <w:rPr>
                <w:rFonts w:ascii="Times New Roman" w:hAnsi="Times New Roman" w:eastAsia="Times New Roman"/>
                <w:sz w:val="18"/>
              </w:rPr>
              <w:t>23.8</w:t>
            </w:r>
            <w:r>
              <w:rPr>
                <w:sz w:val="18"/>
              </w:rPr>
              <w:t>、环氧氯丙烷 </w:t>
            </w:r>
            <w:r>
              <w:rPr>
                <w:rFonts w:ascii="Times New Roman" w:hAnsi="Times New Roman" w:eastAsia="Times New Roman"/>
                <w:sz w:val="18"/>
              </w:rPr>
              <w:t>27.6</w:t>
            </w:r>
            <w:r>
              <w:rPr>
                <w:sz w:val="18"/>
              </w:rPr>
              <w:t>、聚乙二醇 </w:t>
            </w:r>
            <w:r>
              <w:rPr>
                <w:rFonts w:ascii="Times New Roman" w:hAnsi="Times New Roman" w:eastAsia="Times New Roman"/>
                <w:sz w:val="18"/>
              </w:rPr>
              <w:t>6.5</w:t>
            </w:r>
          </w:p>
        </w:tc>
        <w:tc>
          <w:tcPr>
            <w:tcW w:w="644" w:type="dxa"/>
            <w:tcBorders>
              <w:top w:val="single" w:sz="6" w:space="0" w:color="000000"/>
              <w:left w:val="single" w:sz="6" w:space="0" w:color="000000"/>
            </w:tcBorders>
          </w:tcPr>
          <w:p>
            <w:pPr>
              <w:pStyle w:val="TableParagraph"/>
              <w:spacing w:before="54"/>
              <w:ind w:left="32" w:right="7"/>
              <w:rPr>
                <w:rFonts w:ascii="Times New Roman"/>
                <w:sz w:val="18"/>
              </w:rPr>
            </w:pPr>
            <w:r>
              <w:rPr>
                <w:rFonts w:ascii="Times New Roman"/>
                <w:sz w:val="18"/>
              </w:rPr>
              <w:t>9.09</w:t>
            </w:r>
          </w:p>
        </w:tc>
      </w:tr>
    </w:tbl>
    <w:p>
      <w:pPr>
        <w:spacing w:after="0"/>
        <w:rPr>
          <w:rFonts w:ascii="Times New Roman"/>
          <w:sz w:val="18"/>
        </w:rPr>
        <w:sectPr>
          <w:headerReference w:type="default" r:id="rId20"/>
          <w:footerReference w:type="default" r:id="rId21"/>
          <w:pgSz w:w="16840" w:h="11910" w:orient="landscape"/>
          <w:pgMar w:header="877" w:footer="973" w:top="1180" w:bottom="1160" w:left="1660" w:right="1640"/>
          <w:pgNumType w:start="152"/>
        </w:sectPr>
      </w:pPr>
    </w:p>
    <w:p>
      <w:pPr>
        <w:pStyle w:val="BodyText"/>
        <w:spacing w:before="6"/>
        <w:rPr>
          <w:rFonts w:ascii="Times New Roman"/>
          <w:sz w:val="22"/>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8"/>
        <w:gridCol w:w="2571"/>
        <w:gridCol w:w="1754"/>
        <w:gridCol w:w="7249"/>
        <w:gridCol w:w="644"/>
      </w:tblGrid>
      <w:tr>
        <w:trPr>
          <w:trHeight w:val="339" w:hRule="atLeast"/>
        </w:trPr>
        <w:tc>
          <w:tcPr>
            <w:tcW w:w="1058" w:type="dxa"/>
            <w:vMerge w:val="restart"/>
            <w:tcBorders>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9"/>
              <w:jc w:val="left"/>
              <w:rPr>
                <w:rFonts w:ascii="Times New Roman"/>
                <w:sz w:val="24"/>
              </w:rPr>
            </w:pPr>
          </w:p>
          <w:p>
            <w:pPr>
              <w:pStyle w:val="TableParagraph"/>
              <w:spacing w:line="146" w:lineRule="auto" w:before="1"/>
              <w:ind w:left="440" w:right="52" w:hanging="360"/>
              <w:jc w:val="left"/>
              <w:rPr>
                <w:sz w:val="18"/>
              </w:rPr>
            </w:pPr>
            <w:r>
              <w:rPr>
                <w:sz w:val="18"/>
              </w:rPr>
              <w:t>盐酸地芬尼多</w:t>
            </w:r>
          </w:p>
        </w:tc>
        <w:tc>
          <w:tcPr>
            <w:tcW w:w="4325" w:type="dxa"/>
            <w:gridSpan w:val="2"/>
            <w:tcBorders>
              <w:left w:val="single" w:sz="6" w:space="0" w:color="000000"/>
              <w:bottom w:val="single" w:sz="6" w:space="0" w:color="000000"/>
              <w:right w:val="single" w:sz="6" w:space="0" w:color="000000"/>
            </w:tcBorders>
          </w:tcPr>
          <w:p>
            <w:pPr>
              <w:pStyle w:val="TableParagraph"/>
              <w:spacing w:line="320" w:lineRule="exact"/>
              <w:ind w:left="739"/>
              <w:jc w:val="left"/>
              <w:rPr>
                <w:sz w:val="18"/>
              </w:rPr>
            </w:pPr>
            <w:r>
              <w:rPr>
                <w:sz w:val="18"/>
              </w:rPr>
              <w:t>烷基化反应减压蒸馏前馏分（</w:t>
            </w:r>
            <w:r>
              <w:rPr>
                <w:rFonts w:ascii="Times New Roman" w:eastAsia="Times New Roman"/>
                <w:sz w:val="18"/>
              </w:rPr>
              <w:t>S6-1</w:t>
            </w:r>
            <w:r>
              <w:rPr>
                <w:sz w:val="18"/>
              </w:rPr>
              <w:t>）</w:t>
            </w:r>
          </w:p>
        </w:tc>
        <w:tc>
          <w:tcPr>
            <w:tcW w:w="7249" w:type="dxa"/>
            <w:tcBorders>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327.5 </w:t>
            </w:r>
            <w:r>
              <w:rPr>
                <w:sz w:val="18"/>
              </w:rPr>
              <w:t>烷基化副产物 </w:t>
            </w:r>
            <w:r>
              <w:rPr>
                <w:rFonts w:ascii="Times New Roman" w:hAnsi="Times New Roman" w:eastAsia="Times New Roman"/>
                <w:sz w:val="18"/>
              </w:rPr>
              <w:t>227.5</w:t>
            </w:r>
            <w:r>
              <w:rPr>
                <w:sz w:val="18"/>
              </w:rPr>
              <w:t>、</w:t>
            </w:r>
            <w:r>
              <w:rPr>
                <w:rFonts w:ascii="Times New Roman" w:hAnsi="Times New Roman" w:eastAsia="Times New Roman"/>
                <w:sz w:val="18"/>
              </w:rPr>
              <w:t>1-</w:t>
            </w:r>
            <w:r>
              <w:rPr>
                <w:sz w:val="18"/>
              </w:rPr>
              <w:t>（</w:t>
            </w:r>
            <w:r>
              <w:rPr>
                <w:rFonts w:ascii="Times New Roman" w:hAnsi="Times New Roman" w:eastAsia="Times New Roman"/>
                <w:sz w:val="18"/>
              </w:rPr>
              <w:t>3-</w:t>
            </w:r>
            <w:r>
              <w:rPr>
                <w:sz w:val="18"/>
              </w:rPr>
              <w:t>氯丙基）哌啶 </w:t>
            </w:r>
            <w:r>
              <w:rPr>
                <w:rFonts w:ascii="Times New Roman" w:hAnsi="Times New Roman" w:eastAsia="Times New Roman"/>
                <w:sz w:val="18"/>
              </w:rPr>
              <w:t>91</w:t>
            </w:r>
            <w:r>
              <w:rPr>
                <w:sz w:val="18"/>
              </w:rPr>
              <w:t>、</w:t>
            </w:r>
            <w:r>
              <w:rPr>
                <w:rFonts w:ascii="Times New Roman" w:hAnsi="Times New Roman" w:eastAsia="Times New Roman"/>
                <w:sz w:val="18"/>
              </w:rPr>
              <w:t>1-</w:t>
            </w:r>
            <w:r>
              <w:rPr>
                <w:sz w:val="18"/>
              </w:rPr>
              <w:t>溴</w:t>
            </w:r>
            <w:r>
              <w:rPr>
                <w:rFonts w:ascii="Times New Roman" w:hAnsi="Times New Roman" w:eastAsia="Times New Roman"/>
                <w:sz w:val="18"/>
              </w:rPr>
              <w:t>-3-</w:t>
            </w:r>
            <w:r>
              <w:rPr>
                <w:sz w:val="18"/>
              </w:rPr>
              <w:t>氯丙烷 </w:t>
            </w:r>
            <w:r>
              <w:rPr>
                <w:rFonts w:ascii="Times New Roman" w:hAnsi="Times New Roman" w:eastAsia="Times New Roman"/>
                <w:sz w:val="18"/>
              </w:rPr>
              <w:t>8.9</w:t>
            </w:r>
          </w:p>
        </w:tc>
        <w:tc>
          <w:tcPr>
            <w:tcW w:w="644" w:type="dxa"/>
            <w:tcBorders>
              <w:left w:val="single" w:sz="6" w:space="0" w:color="000000"/>
              <w:bottom w:val="single" w:sz="6" w:space="0" w:color="000000"/>
            </w:tcBorders>
          </w:tcPr>
          <w:p>
            <w:pPr>
              <w:pStyle w:val="TableParagraph"/>
              <w:spacing w:before="61"/>
              <w:ind w:left="32" w:right="7"/>
              <w:rPr>
                <w:rFonts w:ascii="Times New Roman"/>
                <w:sz w:val="18"/>
              </w:rPr>
            </w:pPr>
            <w:r>
              <w:rPr>
                <w:rFonts w:ascii="Times New Roman"/>
                <w:sz w:val="18"/>
              </w:rPr>
              <w:t>6.55</w:t>
            </w:r>
          </w:p>
        </w:tc>
      </w:tr>
      <w:tr>
        <w:trPr>
          <w:trHeight w:val="467"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919"/>
              <w:jc w:val="left"/>
              <w:rPr>
                <w:sz w:val="18"/>
              </w:rPr>
            </w:pPr>
            <w:r>
              <w:rPr>
                <w:sz w:val="18"/>
              </w:rPr>
              <w:t>成盐后压滤活性炭废渣（</w:t>
            </w:r>
            <w:r>
              <w:rPr>
                <w:rFonts w:ascii="Times New Roman" w:eastAsia="Times New Roman"/>
                <w:sz w:val="18"/>
              </w:rPr>
              <w:t>S6-2</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45" w:right="1"/>
              <w:rPr>
                <w:sz w:val="18"/>
              </w:rPr>
            </w:pPr>
            <w:r>
              <w:rPr>
                <w:sz w:val="18"/>
              </w:rPr>
              <w:t>Σ</w:t>
            </w:r>
            <w:r>
              <w:rPr>
                <w:rFonts w:ascii="Times New Roman" w:hAnsi="Times New Roman" w:eastAsia="Times New Roman"/>
                <w:sz w:val="18"/>
              </w:rPr>
              <w:t>180.4</w:t>
            </w:r>
            <w:r>
              <w:rPr>
                <w:rFonts w:ascii="Times New Roman" w:hAnsi="Times New Roman" w:eastAsia="Times New Roman"/>
                <w:spacing w:val="18"/>
                <w:sz w:val="18"/>
              </w:rPr>
              <w:t> </w:t>
            </w:r>
            <w:r>
              <w:rPr>
                <w:spacing w:val="3"/>
                <w:sz w:val="18"/>
              </w:rPr>
              <w:t>活性炭 </w:t>
            </w:r>
            <w:r>
              <w:rPr>
                <w:rFonts w:ascii="Times New Roman" w:hAnsi="Times New Roman" w:eastAsia="Times New Roman"/>
                <w:sz w:val="18"/>
              </w:rPr>
              <w:t>100</w:t>
            </w:r>
            <w:r>
              <w:rPr>
                <w:sz w:val="18"/>
              </w:rPr>
              <w:t>、盐酸地芬尼多 </w:t>
            </w:r>
            <w:r>
              <w:rPr>
                <w:rFonts w:ascii="Times New Roman" w:hAnsi="Times New Roman" w:eastAsia="Times New Roman"/>
                <w:sz w:val="18"/>
              </w:rPr>
              <w:t>15.1</w:t>
            </w:r>
            <w:r>
              <w:rPr>
                <w:spacing w:val="2"/>
                <w:sz w:val="18"/>
              </w:rPr>
              <w:t>、氯化铵 </w:t>
            </w:r>
            <w:r>
              <w:rPr>
                <w:rFonts w:ascii="Times New Roman" w:hAnsi="Times New Roman" w:eastAsia="Times New Roman"/>
                <w:sz w:val="18"/>
              </w:rPr>
              <w:t>0.8</w:t>
            </w:r>
            <w:r>
              <w:rPr>
                <w:spacing w:val="3"/>
                <w:sz w:val="18"/>
              </w:rPr>
              <w:t>、水 </w:t>
            </w:r>
            <w:r>
              <w:rPr>
                <w:rFonts w:ascii="Times New Roman" w:hAnsi="Times New Roman" w:eastAsia="Times New Roman"/>
                <w:sz w:val="18"/>
              </w:rPr>
              <w:t>63.3</w:t>
            </w:r>
            <w:r>
              <w:rPr>
                <w:spacing w:val="3"/>
                <w:sz w:val="18"/>
              </w:rPr>
              <w:t>、氯化镁 </w:t>
            </w:r>
            <w:r>
              <w:rPr>
                <w:rFonts w:ascii="Times New Roman" w:hAnsi="Times New Roman" w:eastAsia="Times New Roman"/>
                <w:sz w:val="18"/>
              </w:rPr>
              <w:t>0.7</w:t>
            </w:r>
            <w:r>
              <w:rPr>
                <w:spacing w:val="1"/>
                <w:sz w:val="18"/>
              </w:rPr>
              <w:t>、二苯甲酮 </w:t>
            </w:r>
            <w:r>
              <w:rPr>
                <w:rFonts w:ascii="Times New Roman" w:hAnsi="Times New Roman" w:eastAsia="Times New Roman"/>
                <w:sz w:val="18"/>
              </w:rPr>
              <w:t>0.1</w:t>
            </w:r>
            <w:r>
              <w:rPr>
                <w:sz w:val="18"/>
              </w:rPr>
              <w:t>、</w:t>
            </w:r>
          </w:p>
          <w:p>
            <w:pPr>
              <w:pStyle w:val="TableParagraph"/>
              <w:spacing w:line="226" w:lineRule="exact"/>
              <w:ind w:left="35" w:right="7"/>
              <w:rPr>
                <w:rFonts w:ascii="Times New Roman" w:eastAsia="Times New Roman"/>
                <w:sz w:val="18"/>
              </w:rPr>
            </w:pPr>
            <w:r>
              <w:rPr>
                <w:sz w:val="18"/>
              </w:rPr>
              <w:t>四氢呋喃 </w:t>
            </w:r>
            <w:r>
              <w:rPr>
                <w:rFonts w:ascii="Times New Roman" w:eastAsia="Times New Roman"/>
                <w:sz w:val="18"/>
              </w:rPr>
              <w:t>0.3</w:t>
            </w:r>
            <w:r>
              <w:rPr>
                <w:sz w:val="18"/>
              </w:rPr>
              <w:t>、</w:t>
            </w:r>
            <w:r>
              <w:rPr>
                <w:rFonts w:ascii="Times New Roman" w:eastAsia="Times New Roman"/>
                <w:sz w:val="18"/>
              </w:rPr>
              <w:t>HCl 0.1</w:t>
            </w:r>
          </w:p>
        </w:tc>
        <w:tc>
          <w:tcPr>
            <w:tcW w:w="644" w:type="dxa"/>
            <w:tcBorders>
              <w:top w:val="single" w:sz="6" w:space="0" w:color="000000"/>
              <w:left w:val="single" w:sz="6" w:space="0" w:color="000000"/>
              <w:bottom w:val="single" w:sz="6" w:space="0" w:color="000000"/>
            </w:tcBorders>
          </w:tcPr>
          <w:p>
            <w:pPr>
              <w:pStyle w:val="TableParagraph"/>
              <w:spacing w:before="127"/>
              <w:ind w:left="32" w:right="7"/>
              <w:rPr>
                <w:rFonts w:ascii="Times New Roman"/>
                <w:sz w:val="18"/>
              </w:rPr>
            </w:pPr>
            <w:r>
              <w:rPr>
                <w:rFonts w:ascii="Times New Roman"/>
                <w:sz w:val="18"/>
              </w:rPr>
              <w:t>3.61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8"/>
              <w:jc w:val="left"/>
              <w:rPr>
                <w:sz w:val="18"/>
              </w:rPr>
            </w:pPr>
            <w:r>
              <w:rPr>
                <w:sz w:val="18"/>
              </w:rPr>
              <w:t>精制过程活性炭废渣（</w:t>
            </w:r>
            <w:r>
              <w:rPr>
                <w:rFonts w:ascii="Times New Roman" w:eastAsia="Times New Roman"/>
                <w:sz w:val="18"/>
              </w:rPr>
              <w:t>S6-3</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38.2 </w:t>
            </w:r>
            <w:r>
              <w:rPr>
                <w:sz w:val="18"/>
              </w:rPr>
              <w:t>活性炭 </w:t>
            </w:r>
            <w:r>
              <w:rPr>
                <w:rFonts w:ascii="Times New Roman" w:hAnsi="Times New Roman" w:eastAsia="Times New Roman"/>
                <w:sz w:val="18"/>
              </w:rPr>
              <w:t>30</w:t>
            </w:r>
            <w:r>
              <w:rPr>
                <w:sz w:val="18"/>
              </w:rPr>
              <w:t>、乙醇 </w:t>
            </w:r>
            <w:r>
              <w:rPr>
                <w:rFonts w:ascii="Times New Roman" w:hAnsi="Times New Roman" w:eastAsia="Times New Roman"/>
                <w:sz w:val="18"/>
              </w:rPr>
              <w:t>6.3</w:t>
            </w:r>
            <w:r>
              <w:rPr>
                <w:sz w:val="18"/>
              </w:rPr>
              <w:t>、水 </w:t>
            </w:r>
            <w:r>
              <w:rPr>
                <w:rFonts w:ascii="Times New Roman" w:hAnsi="Times New Roman" w:eastAsia="Times New Roman"/>
                <w:sz w:val="18"/>
              </w:rPr>
              <w:t>0.6</w:t>
            </w:r>
            <w:r>
              <w:rPr>
                <w:sz w:val="18"/>
              </w:rPr>
              <w:t>、盐酸地芬尼多 </w:t>
            </w:r>
            <w:r>
              <w:rPr>
                <w:rFonts w:ascii="Times New Roman" w:hAnsi="Times New Roman" w:eastAsia="Times New Roman"/>
                <w:sz w:val="18"/>
              </w:rPr>
              <w:t>1.3</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0.76</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931" w:right="2" w:hanging="900"/>
              <w:jc w:val="left"/>
              <w:rPr>
                <w:sz w:val="18"/>
              </w:rPr>
            </w:pPr>
            <w:r>
              <w:rPr>
                <w:sz w:val="18"/>
              </w:rPr>
              <w:t>烷基化分层下层废水回收车间蒸馏预处理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810.5 NaOH 86.6</w:t>
            </w:r>
            <w:r>
              <w:rPr>
                <w:sz w:val="18"/>
              </w:rPr>
              <w:t>、溴化钠 </w:t>
            </w:r>
            <w:r>
              <w:rPr>
                <w:rFonts w:ascii="Times New Roman" w:hAnsi="Times New Roman" w:eastAsia="Times New Roman"/>
                <w:sz w:val="18"/>
              </w:rPr>
              <w:t>723.9</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16.21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495.7 </w:t>
            </w:r>
            <w:r>
              <w:rPr>
                <w:sz w:val="18"/>
              </w:rPr>
              <w:t>水 </w:t>
            </w:r>
            <w:r>
              <w:rPr>
                <w:rFonts w:ascii="Times New Roman" w:hAnsi="Times New Roman" w:eastAsia="Times New Roman"/>
                <w:sz w:val="18"/>
              </w:rPr>
              <w:t>442.4</w:t>
            </w:r>
            <w:r>
              <w:rPr>
                <w:sz w:val="18"/>
              </w:rPr>
              <w:t>、</w:t>
            </w:r>
            <w:r>
              <w:rPr>
                <w:rFonts w:ascii="Times New Roman" w:hAnsi="Times New Roman" w:eastAsia="Times New Roman"/>
                <w:sz w:val="18"/>
              </w:rPr>
              <w:t>1-</w:t>
            </w:r>
            <w:r>
              <w:rPr>
                <w:sz w:val="18"/>
              </w:rPr>
              <w:t>溴</w:t>
            </w:r>
            <w:r>
              <w:rPr>
                <w:rFonts w:ascii="Times New Roman" w:hAnsi="Times New Roman" w:eastAsia="Times New Roman"/>
                <w:sz w:val="18"/>
              </w:rPr>
              <w:t>-3-</w:t>
            </w:r>
            <w:r>
              <w:rPr>
                <w:sz w:val="18"/>
              </w:rPr>
              <w:t>氯丙烷 </w:t>
            </w:r>
            <w:r>
              <w:rPr>
                <w:rFonts w:ascii="Times New Roman" w:hAnsi="Times New Roman" w:eastAsia="Times New Roman"/>
                <w:sz w:val="18"/>
              </w:rPr>
              <w:t>3.9</w:t>
            </w:r>
            <w:r>
              <w:rPr>
                <w:sz w:val="18"/>
              </w:rPr>
              <w:t>、</w:t>
            </w:r>
            <w:r>
              <w:rPr>
                <w:rFonts w:ascii="Times New Roman" w:hAnsi="Times New Roman" w:eastAsia="Times New Roman"/>
                <w:sz w:val="18"/>
              </w:rPr>
              <w:t>1-</w:t>
            </w:r>
            <w:r>
              <w:rPr>
                <w:sz w:val="18"/>
              </w:rPr>
              <w:t>（</w:t>
            </w:r>
            <w:r>
              <w:rPr>
                <w:rFonts w:ascii="Times New Roman" w:hAnsi="Times New Roman" w:eastAsia="Times New Roman"/>
                <w:sz w:val="18"/>
              </w:rPr>
              <w:t>3-</w:t>
            </w:r>
            <w:r>
              <w:rPr>
                <w:sz w:val="18"/>
              </w:rPr>
              <w:t>氯丙基）哌啶 </w:t>
            </w:r>
            <w:r>
              <w:rPr>
                <w:rFonts w:ascii="Times New Roman" w:hAnsi="Times New Roman" w:eastAsia="Times New Roman"/>
                <w:sz w:val="18"/>
              </w:rPr>
              <w:t>39.5</w:t>
            </w:r>
            <w:r>
              <w:rPr>
                <w:sz w:val="18"/>
              </w:rPr>
              <w:t>、烷基化副产物 </w:t>
            </w:r>
            <w:r>
              <w:rPr>
                <w:rFonts w:ascii="Times New Roman" w:hAnsi="Times New Roman" w:eastAsia="Times New Roman"/>
                <w:sz w:val="18"/>
              </w:rPr>
              <w:t>9.9</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9.91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8" w:lineRule="auto" w:before="128"/>
              <w:ind w:left="571" w:right="2" w:hanging="540"/>
              <w:jc w:val="left"/>
              <w:rPr>
                <w:sz w:val="18"/>
              </w:rPr>
            </w:pPr>
            <w:r>
              <w:rPr>
                <w:sz w:val="18"/>
              </w:rPr>
              <w:t>烷基化后洗涤分层底层废盐水回收车间蒸馏预处理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8" w:right="7"/>
              <w:rPr>
                <w:rFonts w:ascii="Times New Roman" w:hAnsi="Times New Roman" w:eastAsia="Times New Roman"/>
                <w:sz w:val="18"/>
              </w:rPr>
            </w:pPr>
            <w:r>
              <w:rPr>
                <w:sz w:val="18"/>
              </w:rPr>
              <w:t>Σ</w:t>
            </w:r>
            <w:r>
              <w:rPr>
                <w:rFonts w:ascii="Times New Roman" w:hAnsi="Times New Roman" w:eastAsia="Times New Roman"/>
                <w:sz w:val="18"/>
              </w:rPr>
              <w:t>295.5 </w:t>
            </w:r>
            <w:r>
              <w:rPr>
                <w:sz w:val="18"/>
              </w:rPr>
              <w:t>溴化钠 </w:t>
            </w:r>
            <w:r>
              <w:rPr>
                <w:rFonts w:ascii="Times New Roman" w:hAnsi="Times New Roman" w:eastAsia="Times New Roman"/>
                <w:sz w:val="18"/>
              </w:rPr>
              <w:t>63</w:t>
            </w:r>
            <w:r>
              <w:rPr>
                <w:sz w:val="18"/>
              </w:rPr>
              <w:t>、</w:t>
            </w:r>
            <w:r>
              <w:rPr>
                <w:rFonts w:ascii="Times New Roman" w:hAnsi="Times New Roman" w:eastAsia="Times New Roman"/>
                <w:sz w:val="18"/>
              </w:rPr>
              <w:t>NaOH7.5</w:t>
            </w:r>
            <w:r>
              <w:rPr>
                <w:sz w:val="18"/>
              </w:rPr>
              <w:t>、</w:t>
            </w:r>
            <w:r>
              <w:rPr>
                <w:rFonts w:ascii="Times New Roman" w:hAnsi="Times New Roman" w:eastAsia="Times New Roman"/>
                <w:sz w:val="18"/>
              </w:rPr>
              <w:t>NaCl 225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5.91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193.8 </w:t>
            </w:r>
            <w:r>
              <w:rPr>
                <w:sz w:val="18"/>
              </w:rPr>
              <w:t>水 </w:t>
            </w:r>
            <w:r>
              <w:rPr>
                <w:rFonts w:ascii="Times New Roman" w:hAnsi="Times New Roman" w:eastAsia="Times New Roman"/>
                <w:sz w:val="18"/>
              </w:rPr>
              <w:t>163.5</w:t>
            </w:r>
            <w:r>
              <w:rPr>
                <w:sz w:val="18"/>
              </w:rPr>
              <w:t>、</w:t>
            </w:r>
            <w:r>
              <w:rPr>
                <w:rFonts w:ascii="Times New Roman" w:hAnsi="Times New Roman" w:eastAsia="Times New Roman"/>
                <w:sz w:val="18"/>
              </w:rPr>
              <w:t>1-</w:t>
            </w:r>
            <w:r>
              <w:rPr>
                <w:sz w:val="18"/>
              </w:rPr>
              <w:t>溴</w:t>
            </w:r>
            <w:r>
              <w:rPr>
                <w:rFonts w:ascii="Times New Roman" w:hAnsi="Times New Roman" w:eastAsia="Times New Roman"/>
                <w:sz w:val="18"/>
              </w:rPr>
              <w:t>-3-</w:t>
            </w:r>
            <w:r>
              <w:rPr>
                <w:sz w:val="18"/>
              </w:rPr>
              <w:t>氯丙烷 </w:t>
            </w:r>
            <w:r>
              <w:rPr>
                <w:rFonts w:ascii="Times New Roman" w:hAnsi="Times New Roman" w:eastAsia="Times New Roman"/>
                <w:sz w:val="18"/>
              </w:rPr>
              <w:t>2.2</w:t>
            </w:r>
            <w:r>
              <w:rPr>
                <w:sz w:val="18"/>
              </w:rPr>
              <w:t>、</w:t>
            </w:r>
            <w:r>
              <w:rPr>
                <w:rFonts w:ascii="Times New Roman" w:hAnsi="Times New Roman" w:eastAsia="Times New Roman"/>
                <w:sz w:val="18"/>
              </w:rPr>
              <w:t>1-</w:t>
            </w:r>
            <w:r>
              <w:rPr>
                <w:sz w:val="18"/>
              </w:rPr>
              <w:t>（</w:t>
            </w:r>
            <w:r>
              <w:rPr>
                <w:rFonts w:ascii="Times New Roman" w:hAnsi="Times New Roman" w:eastAsia="Times New Roman"/>
                <w:sz w:val="18"/>
              </w:rPr>
              <w:t>3-</w:t>
            </w:r>
            <w:r>
              <w:rPr>
                <w:sz w:val="18"/>
              </w:rPr>
              <w:t>氯丙基）哌啶 </w:t>
            </w:r>
            <w:r>
              <w:rPr>
                <w:rFonts w:ascii="Times New Roman" w:hAnsi="Times New Roman" w:eastAsia="Times New Roman"/>
                <w:sz w:val="18"/>
              </w:rPr>
              <w:t>22.5</w:t>
            </w:r>
            <w:r>
              <w:rPr>
                <w:sz w:val="18"/>
              </w:rPr>
              <w:t>、烷基化副产物 </w:t>
            </w:r>
            <w:r>
              <w:rPr>
                <w:rFonts w:ascii="Times New Roman" w:hAnsi="Times New Roman" w:eastAsia="Times New Roman"/>
                <w:sz w:val="18"/>
              </w:rPr>
              <w:t>5.6</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3.88</w:t>
            </w:r>
          </w:p>
        </w:tc>
      </w:tr>
      <w:tr>
        <w:trPr>
          <w:trHeight w:val="337"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8" w:lineRule="auto" w:before="127"/>
              <w:ind w:left="1111" w:right="2" w:hanging="1080"/>
              <w:jc w:val="left"/>
              <w:rPr>
                <w:sz w:val="18"/>
              </w:rPr>
            </w:pPr>
            <w:r>
              <w:rPr>
                <w:sz w:val="18"/>
              </w:rPr>
              <w:t>水解后离心母液回收车间蒸馏预处理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7" w:right="7"/>
              <w:rPr>
                <w:rFonts w:ascii="Times New Roman" w:hAnsi="Times New Roman" w:eastAsia="Times New Roman"/>
                <w:sz w:val="18"/>
              </w:rPr>
            </w:pPr>
            <w:r>
              <w:rPr>
                <w:sz w:val="18"/>
              </w:rPr>
              <w:t>Σ</w:t>
            </w:r>
            <w:r>
              <w:rPr>
                <w:rFonts w:ascii="Times New Roman" w:hAnsi="Times New Roman" w:eastAsia="Times New Roman"/>
                <w:sz w:val="18"/>
              </w:rPr>
              <w:t>889.6 </w:t>
            </w:r>
            <w:r>
              <w:rPr>
                <w:sz w:val="18"/>
              </w:rPr>
              <w:t>水解产物 </w:t>
            </w:r>
            <w:r>
              <w:rPr>
                <w:rFonts w:ascii="Times New Roman" w:hAnsi="Times New Roman" w:eastAsia="Times New Roman"/>
                <w:sz w:val="18"/>
              </w:rPr>
              <w:t>219.5</w:t>
            </w:r>
            <w:r>
              <w:rPr>
                <w:sz w:val="18"/>
              </w:rPr>
              <w:t>、氯化镁 </w:t>
            </w:r>
            <w:r>
              <w:rPr>
                <w:rFonts w:ascii="Times New Roman" w:hAnsi="Times New Roman" w:eastAsia="Times New Roman"/>
                <w:sz w:val="18"/>
              </w:rPr>
              <w:t>410.6</w:t>
            </w:r>
            <w:r>
              <w:rPr>
                <w:sz w:val="18"/>
              </w:rPr>
              <w:t>、二苯甲酮 </w:t>
            </w:r>
            <w:r>
              <w:rPr>
                <w:rFonts w:ascii="Times New Roman" w:hAnsi="Times New Roman" w:eastAsia="Times New Roman"/>
                <w:sz w:val="18"/>
              </w:rPr>
              <w:t>65.1</w:t>
            </w:r>
            <w:r>
              <w:rPr>
                <w:sz w:val="18"/>
              </w:rPr>
              <w:t>、氯化铵 </w:t>
            </w:r>
            <w:r>
              <w:rPr>
                <w:rFonts w:ascii="Times New Roman" w:hAnsi="Times New Roman" w:eastAsia="Times New Roman"/>
                <w:sz w:val="18"/>
              </w:rPr>
              <w:t>194.5</w:t>
            </w:r>
          </w:p>
        </w:tc>
        <w:tc>
          <w:tcPr>
            <w:tcW w:w="644" w:type="dxa"/>
            <w:tcBorders>
              <w:top w:val="single" w:sz="6" w:space="0" w:color="000000"/>
              <w:left w:val="single" w:sz="6" w:space="0" w:color="000000"/>
              <w:bottom w:val="single" w:sz="6" w:space="0" w:color="000000"/>
            </w:tcBorders>
          </w:tcPr>
          <w:p>
            <w:pPr>
              <w:pStyle w:val="TableParagraph"/>
              <w:spacing w:before="59"/>
              <w:ind w:left="32" w:right="7"/>
              <w:rPr>
                <w:rFonts w:ascii="Times New Roman"/>
                <w:sz w:val="18"/>
              </w:rPr>
            </w:pPr>
            <w:r>
              <w:rPr>
                <w:rFonts w:ascii="Times New Roman"/>
                <w:sz w:val="18"/>
              </w:rPr>
              <w:t>17.79</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813.6 </w:t>
            </w:r>
            <w:r>
              <w:rPr>
                <w:sz w:val="18"/>
              </w:rPr>
              <w:t>四氢呋喃 </w:t>
            </w:r>
            <w:r>
              <w:rPr>
                <w:rFonts w:ascii="Times New Roman" w:hAnsi="Times New Roman" w:eastAsia="Times New Roman"/>
                <w:sz w:val="18"/>
              </w:rPr>
              <w:t>202</w:t>
            </w:r>
            <w:r>
              <w:rPr>
                <w:sz w:val="18"/>
              </w:rPr>
              <w:t>、氨水 </w:t>
            </w:r>
            <w:r>
              <w:rPr>
                <w:rFonts w:ascii="Times New Roman" w:hAnsi="Times New Roman" w:eastAsia="Times New Roman"/>
                <w:sz w:val="18"/>
              </w:rPr>
              <w:t>30.2</w:t>
            </w:r>
            <w:r>
              <w:rPr>
                <w:sz w:val="18"/>
              </w:rPr>
              <w:t>、水 </w:t>
            </w:r>
            <w:r>
              <w:rPr>
                <w:rFonts w:ascii="Times New Roman" w:hAnsi="Times New Roman" w:eastAsia="Times New Roman"/>
                <w:sz w:val="18"/>
              </w:rPr>
              <w:t>579.5</w:t>
            </w:r>
            <w:r>
              <w:rPr>
                <w:sz w:val="18"/>
              </w:rPr>
              <w:t>、溴乙烷 </w:t>
            </w:r>
            <w:r>
              <w:rPr>
                <w:rFonts w:ascii="Times New Roman" w:hAnsi="Times New Roman" w:eastAsia="Times New Roman"/>
                <w:sz w:val="18"/>
              </w:rPr>
              <w:t>2.0</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16.27</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1111" w:right="2" w:hanging="1080"/>
              <w:jc w:val="left"/>
              <w:rPr>
                <w:sz w:val="18"/>
              </w:rPr>
            </w:pPr>
            <w:r>
              <w:rPr>
                <w:sz w:val="18"/>
              </w:rPr>
              <w:t>压滤后离心母液回收车间蒸馏预处理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377.1 </w:t>
            </w:r>
            <w:r>
              <w:rPr>
                <w:sz w:val="18"/>
              </w:rPr>
              <w:t>盐酸地芬尼多 </w:t>
            </w:r>
            <w:r>
              <w:rPr>
                <w:rFonts w:ascii="Times New Roman" w:hAnsi="Times New Roman" w:eastAsia="Times New Roman"/>
                <w:sz w:val="18"/>
              </w:rPr>
              <w:t>223.8</w:t>
            </w:r>
            <w:r>
              <w:rPr>
                <w:sz w:val="18"/>
              </w:rPr>
              <w:t>、氯化铵 </w:t>
            </w:r>
            <w:r>
              <w:rPr>
                <w:rFonts w:ascii="Times New Roman" w:hAnsi="Times New Roman" w:eastAsia="Times New Roman"/>
                <w:sz w:val="18"/>
              </w:rPr>
              <w:t>66.8</w:t>
            </w:r>
            <w:r>
              <w:rPr>
                <w:sz w:val="18"/>
              </w:rPr>
              <w:t>、氯化镁 </w:t>
            </w:r>
            <w:r>
              <w:rPr>
                <w:rFonts w:ascii="Times New Roman" w:hAnsi="Times New Roman" w:eastAsia="Times New Roman"/>
                <w:sz w:val="18"/>
              </w:rPr>
              <w:t>64.6</w:t>
            </w:r>
            <w:r>
              <w:rPr>
                <w:sz w:val="18"/>
              </w:rPr>
              <w:t>、二苯甲酮 </w:t>
            </w:r>
            <w:r>
              <w:rPr>
                <w:rFonts w:ascii="Times New Roman" w:hAnsi="Times New Roman" w:eastAsia="Times New Roman"/>
                <w:sz w:val="18"/>
              </w:rPr>
              <w:t>10.2</w:t>
            </w:r>
            <w:r>
              <w:rPr>
                <w:sz w:val="18"/>
              </w:rPr>
              <w:t>、</w:t>
            </w:r>
            <w:r>
              <w:rPr>
                <w:rFonts w:ascii="Times New Roman" w:hAnsi="Times New Roman" w:eastAsia="Times New Roman"/>
                <w:sz w:val="18"/>
              </w:rPr>
              <w:t>HCl 11.6</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7.54</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1151.7 </w:t>
            </w:r>
            <w:r>
              <w:rPr>
                <w:sz w:val="18"/>
              </w:rPr>
              <w:t>四氢呋喃 </w:t>
            </w:r>
            <w:r>
              <w:rPr>
                <w:rFonts w:ascii="Times New Roman" w:hAnsi="Times New Roman" w:eastAsia="Times New Roman"/>
                <w:sz w:val="18"/>
              </w:rPr>
              <w:t>24.6</w:t>
            </w:r>
            <w:r>
              <w:rPr>
                <w:sz w:val="18"/>
              </w:rPr>
              <w:t>、水 </w:t>
            </w:r>
            <w:r>
              <w:rPr>
                <w:rFonts w:ascii="Times New Roman" w:hAnsi="Times New Roman" w:eastAsia="Times New Roman"/>
                <w:sz w:val="18"/>
              </w:rPr>
              <w:t>1127.1</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23.03</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662" w:right="2" w:hanging="632"/>
              <w:jc w:val="left"/>
              <w:rPr>
                <w:sz w:val="18"/>
              </w:rPr>
            </w:pPr>
            <w:r>
              <w:rPr>
                <w:sz w:val="18"/>
              </w:rPr>
              <w:t>精制后离心母液、洗涤废水回收车间蒸馏预处理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7" w:right="7"/>
              <w:rPr>
                <w:rFonts w:ascii="Times New Roman" w:hAnsi="Times New Roman" w:eastAsia="Times New Roman"/>
                <w:sz w:val="18"/>
              </w:rPr>
            </w:pPr>
            <w:r>
              <w:rPr>
                <w:sz w:val="18"/>
              </w:rPr>
              <w:t>Σ</w:t>
            </w:r>
            <w:r>
              <w:rPr>
                <w:rFonts w:ascii="Times New Roman" w:hAnsi="Times New Roman" w:eastAsia="Times New Roman"/>
                <w:sz w:val="18"/>
              </w:rPr>
              <w:t>284.1 </w:t>
            </w:r>
            <w:r>
              <w:rPr>
                <w:sz w:val="18"/>
              </w:rPr>
              <w:t>盐酸地芬尼多 </w:t>
            </w:r>
            <w:r>
              <w:rPr>
                <w:rFonts w:ascii="Times New Roman" w:hAnsi="Times New Roman" w:eastAsia="Times New Roman"/>
                <w:sz w:val="18"/>
              </w:rPr>
              <w:t>267.1</w:t>
            </w:r>
            <w:r>
              <w:rPr>
                <w:sz w:val="18"/>
              </w:rPr>
              <w:t>、氯化铵 </w:t>
            </w:r>
            <w:r>
              <w:rPr>
                <w:rFonts w:ascii="Times New Roman" w:hAnsi="Times New Roman" w:eastAsia="Times New Roman"/>
                <w:sz w:val="18"/>
              </w:rPr>
              <w:t>7.4</w:t>
            </w:r>
            <w:r>
              <w:rPr>
                <w:sz w:val="18"/>
              </w:rPr>
              <w:t>、氯化镁 </w:t>
            </w:r>
            <w:r>
              <w:rPr>
                <w:rFonts w:ascii="Times New Roman" w:hAnsi="Times New Roman" w:eastAsia="Times New Roman"/>
                <w:sz w:val="18"/>
              </w:rPr>
              <w:t>7.2</w:t>
            </w:r>
            <w:r>
              <w:rPr>
                <w:sz w:val="18"/>
              </w:rPr>
              <w:t>、二苯甲酮 </w:t>
            </w:r>
            <w:r>
              <w:rPr>
                <w:rFonts w:ascii="Times New Roman" w:hAnsi="Times New Roman" w:eastAsia="Times New Roman"/>
                <w:sz w:val="18"/>
              </w:rPr>
              <w:t>1.1</w:t>
            </w:r>
            <w:r>
              <w:rPr>
                <w:sz w:val="18"/>
              </w:rPr>
              <w:t>、</w:t>
            </w:r>
            <w:r>
              <w:rPr>
                <w:rFonts w:ascii="Times New Roman" w:hAnsi="Times New Roman" w:eastAsia="Times New Roman"/>
                <w:sz w:val="18"/>
              </w:rPr>
              <w:t>HCl 1.2</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5.68</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8" w:right="7"/>
              <w:rPr>
                <w:rFonts w:ascii="Times New Roman" w:hAnsi="Times New Roman" w:eastAsia="Times New Roman"/>
                <w:sz w:val="18"/>
              </w:rPr>
            </w:pPr>
            <w:r>
              <w:rPr>
                <w:sz w:val="18"/>
              </w:rPr>
              <w:t>Σ</w:t>
            </w:r>
            <w:r>
              <w:rPr>
                <w:rFonts w:ascii="Times New Roman" w:hAnsi="Times New Roman" w:eastAsia="Times New Roman"/>
                <w:sz w:val="18"/>
              </w:rPr>
              <w:t>1024.6 </w:t>
            </w:r>
            <w:r>
              <w:rPr>
                <w:sz w:val="18"/>
              </w:rPr>
              <w:t>乙醇 </w:t>
            </w:r>
            <w:r>
              <w:rPr>
                <w:rFonts w:ascii="Times New Roman" w:hAnsi="Times New Roman" w:eastAsia="Times New Roman"/>
                <w:sz w:val="18"/>
              </w:rPr>
              <w:t>897</w:t>
            </w:r>
            <w:r>
              <w:rPr>
                <w:sz w:val="18"/>
              </w:rPr>
              <w:t>、水 </w:t>
            </w:r>
            <w:r>
              <w:rPr>
                <w:rFonts w:ascii="Times New Roman" w:hAnsi="Times New Roman" w:eastAsia="Times New Roman"/>
                <w:sz w:val="18"/>
              </w:rPr>
              <w:t>125.1</w:t>
            </w:r>
            <w:r>
              <w:rPr>
                <w:sz w:val="18"/>
              </w:rPr>
              <w:t>、四氢呋喃 </w:t>
            </w:r>
            <w:r>
              <w:rPr>
                <w:rFonts w:ascii="Times New Roman" w:hAnsi="Times New Roman" w:eastAsia="Times New Roman"/>
                <w:sz w:val="18"/>
              </w:rPr>
              <w:t>2.5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20.49</w:t>
            </w:r>
          </w:p>
        </w:tc>
      </w:tr>
      <w:tr>
        <w:trPr>
          <w:trHeight w:val="467" w:hRule="atLeast"/>
        </w:trPr>
        <w:tc>
          <w:tcPr>
            <w:tcW w:w="1058"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0"/>
              <w:jc w:val="left"/>
              <w:rPr>
                <w:rFonts w:ascii="Times New Roman"/>
                <w:sz w:val="18"/>
              </w:rPr>
            </w:pPr>
          </w:p>
          <w:p>
            <w:pPr>
              <w:pStyle w:val="TableParagraph"/>
              <w:spacing w:line="146" w:lineRule="auto"/>
              <w:ind w:left="352" w:right="52" w:hanging="272"/>
              <w:jc w:val="left"/>
              <w:rPr>
                <w:sz w:val="18"/>
              </w:rPr>
            </w:pPr>
            <w:r>
              <w:rPr>
                <w:sz w:val="18"/>
              </w:rPr>
              <w:t>单硝酸异山梨酯</w:t>
            </w: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1188"/>
              <w:jc w:val="left"/>
              <w:rPr>
                <w:sz w:val="18"/>
              </w:rPr>
            </w:pPr>
            <w:r>
              <w:rPr>
                <w:sz w:val="18"/>
              </w:rPr>
              <w:t>中和后抽滤滤渣（</w:t>
            </w:r>
            <w:r>
              <w:rPr>
                <w:rFonts w:ascii="Times New Roman" w:eastAsia="Times New Roman"/>
                <w:sz w:val="18"/>
              </w:rPr>
              <w:t>S7-1</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29" w:right="86"/>
              <w:rPr>
                <w:rFonts w:ascii="Times New Roman" w:hAnsi="Times New Roman" w:eastAsia="Times New Roman"/>
                <w:sz w:val="18"/>
              </w:rPr>
            </w:pPr>
            <w:r>
              <w:rPr>
                <w:sz w:val="18"/>
              </w:rPr>
              <w:t>Σ</w:t>
            </w:r>
            <w:r>
              <w:rPr>
                <w:rFonts w:ascii="Times New Roman" w:hAnsi="Times New Roman" w:eastAsia="Times New Roman"/>
                <w:sz w:val="18"/>
              </w:rPr>
              <w:t>3167.0 </w:t>
            </w:r>
            <w:r>
              <w:rPr>
                <w:sz w:val="18"/>
              </w:rPr>
              <w:t>杂质 </w:t>
            </w:r>
            <w:r>
              <w:rPr>
                <w:rFonts w:ascii="Times New Roman" w:hAnsi="Times New Roman" w:eastAsia="Times New Roman"/>
                <w:sz w:val="18"/>
              </w:rPr>
              <w:t>100</w:t>
            </w:r>
            <w:r>
              <w:rPr>
                <w:sz w:val="18"/>
              </w:rPr>
              <w:t>、水 </w:t>
            </w:r>
            <w:r>
              <w:rPr>
                <w:rFonts w:ascii="Times New Roman" w:hAnsi="Times New Roman" w:eastAsia="Times New Roman"/>
                <w:sz w:val="18"/>
              </w:rPr>
              <w:t>1141.6</w:t>
            </w:r>
            <w:r>
              <w:rPr>
                <w:sz w:val="18"/>
              </w:rPr>
              <w:t>、单硝酸异山梨酯 </w:t>
            </w:r>
            <w:r>
              <w:rPr>
                <w:rFonts w:ascii="Times New Roman" w:hAnsi="Times New Roman" w:eastAsia="Times New Roman"/>
                <w:sz w:val="18"/>
              </w:rPr>
              <w:t>94.2</w:t>
            </w:r>
            <w:r>
              <w:rPr>
                <w:sz w:val="18"/>
              </w:rPr>
              <w:t>、硝酸钠 </w:t>
            </w:r>
            <w:r>
              <w:rPr>
                <w:rFonts w:ascii="Times New Roman" w:hAnsi="Times New Roman" w:eastAsia="Times New Roman"/>
                <w:sz w:val="18"/>
              </w:rPr>
              <w:t>8.4</w:t>
            </w:r>
            <w:r>
              <w:rPr>
                <w:sz w:val="18"/>
              </w:rPr>
              <w:t>、醋酸钠 </w:t>
            </w:r>
            <w:r>
              <w:rPr>
                <w:rFonts w:ascii="Times New Roman" w:hAnsi="Times New Roman" w:eastAsia="Times New Roman"/>
                <w:sz w:val="18"/>
              </w:rPr>
              <w:t>1820.6</w:t>
            </w:r>
            <w:r>
              <w:rPr>
                <w:sz w:val="18"/>
              </w:rPr>
              <w:t>、硝酸 </w:t>
            </w:r>
            <w:r>
              <w:rPr>
                <w:rFonts w:ascii="Times New Roman" w:hAnsi="Times New Roman" w:eastAsia="Times New Roman"/>
                <w:sz w:val="18"/>
              </w:rPr>
              <w:t>0.1</w:t>
            </w:r>
          </w:p>
          <w:p>
            <w:pPr>
              <w:pStyle w:val="TableParagraph"/>
              <w:spacing w:line="226" w:lineRule="exact"/>
              <w:ind w:left="35" w:right="7"/>
              <w:rPr>
                <w:rFonts w:ascii="Times New Roman" w:eastAsia="Times New Roman"/>
                <w:sz w:val="18"/>
              </w:rPr>
            </w:pPr>
            <w:r>
              <w:rPr>
                <w:sz w:val="18"/>
              </w:rPr>
              <w:t>乙酸 </w:t>
            </w:r>
            <w:r>
              <w:rPr>
                <w:rFonts w:ascii="Times New Roman" w:eastAsia="Times New Roman"/>
                <w:sz w:val="18"/>
              </w:rPr>
              <w:t>2.3</w:t>
            </w:r>
          </w:p>
        </w:tc>
        <w:tc>
          <w:tcPr>
            <w:tcW w:w="644" w:type="dxa"/>
            <w:tcBorders>
              <w:top w:val="single" w:sz="6" w:space="0" w:color="000000"/>
              <w:left w:val="single" w:sz="6" w:space="0" w:color="000000"/>
              <w:bottom w:val="single" w:sz="6" w:space="0" w:color="000000"/>
            </w:tcBorders>
          </w:tcPr>
          <w:p>
            <w:pPr>
              <w:pStyle w:val="TableParagraph"/>
              <w:spacing w:before="124"/>
              <w:ind w:left="32" w:right="7"/>
              <w:rPr>
                <w:rFonts w:ascii="Times New Roman"/>
                <w:sz w:val="18"/>
              </w:rPr>
            </w:pPr>
            <w:r>
              <w:rPr>
                <w:rFonts w:ascii="Times New Roman"/>
                <w:sz w:val="18"/>
              </w:rPr>
              <w:t>31.67</w:t>
            </w:r>
          </w:p>
        </w:tc>
      </w:tr>
      <w:tr>
        <w:trPr>
          <w:trHeight w:val="441"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6"/>
              <w:ind w:left="984"/>
              <w:jc w:val="left"/>
              <w:rPr>
                <w:sz w:val="18"/>
              </w:rPr>
            </w:pPr>
            <w:r>
              <w:rPr>
                <w:sz w:val="18"/>
              </w:rPr>
              <w:t>分层</w:t>
            </w:r>
            <w:r>
              <w:rPr>
                <w:rFonts w:ascii="Times New Roman" w:eastAsia="Times New Roman"/>
                <w:sz w:val="18"/>
              </w:rPr>
              <w:t>/</w:t>
            </w:r>
            <w:r>
              <w:rPr>
                <w:sz w:val="18"/>
              </w:rPr>
              <w:t>除水后废干燥剂（</w:t>
            </w:r>
            <w:r>
              <w:rPr>
                <w:rFonts w:ascii="Times New Roman" w:eastAsia="Times New Roman"/>
                <w:sz w:val="18"/>
              </w:rPr>
              <w:t>S7-2</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29" w:right="-15"/>
              <w:rPr>
                <w:sz w:val="18"/>
              </w:rPr>
            </w:pPr>
            <w:r>
              <w:rPr>
                <w:sz w:val="18"/>
              </w:rPr>
              <w:t>Σ</w:t>
            </w:r>
            <w:r>
              <w:rPr>
                <w:rFonts w:ascii="Times New Roman" w:hAnsi="Times New Roman" w:eastAsia="Times New Roman"/>
                <w:sz w:val="18"/>
              </w:rPr>
              <w:t>2198</w:t>
            </w:r>
            <w:r>
              <w:rPr>
                <w:rFonts w:ascii="Times New Roman" w:hAnsi="Times New Roman" w:eastAsia="Times New Roman"/>
                <w:spacing w:val="14"/>
                <w:sz w:val="18"/>
              </w:rPr>
              <w:t> </w:t>
            </w:r>
            <w:r>
              <w:rPr>
                <w:spacing w:val="3"/>
                <w:sz w:val="18"/>
              </w:rPr>
              <w:t>硫酸钠 </w:t>
            </w:r>
            <w:r>
              <w:rPr>
                <w:rFonts w:ascii="Times New Roman" w:hAnsi="Times New Roman" w:eastAsia="Times New Roman"/>
                <w:sz w:val="18"/>
              </w:rPr>
              <w:t>1200</w:t>
            </w:r>
            <w:r>
              <w:rPr>
                <w:spacing w:val="4"/>
                <w:sz w:val="18"/>
              </w:rPr>
              <w:t>、水 </w:t>
            </w:r>
            <w:r>
              <w:rPr>
                <w:rFonts w:ascii="Times New Roman" w:hAnsi="Times New Roman" w:eastAsia="Times New Roman"/>
                <w:sz w:val="18"/>
              </w:rPr>
              <w:t>810.6</w:t>
            </w:r>
            <w:r>
              <w:rPr>
                <w:spacing w:val="3"/>
                <w:sz w:val="18"/>
              </w:rPr>
              <w:t>、氯化钠 </w:t>
            </w:r>
            <w:r>
              <w:rPr>
                <w:rFonts w:ascii="Times New Roman" w:hAnsi="Times New Roman" w:eastAsia="Times New Roman"/>
                <w:sz w:val="18"/>
              </w:rPr>
              <w:t>68.9</w:t>
            </w:r>
            <w:r>
              <w:rPr>
                <w:spacing w:val="2"/>
                <w:sz w:val="18"/>
              </w:rPr>
              <w:t>、乙酸乙酯 </w:t>
            </w:r>
            <w:r>
              <w:rPr>
                <w:rFonts w:ascii="Times New Roman" w:hAnsi="Times New Roman" w:eastAsia="Times New Roman"/>
                <w:sz w:val="18"/>
              </w:rPr>
              <w:t>110.1</w:t>
            </w:r>
            <w:r>
              <w:rPr>
                <w:spacing w:val="1"/>
                <w:sz w:val="18"/>
              </w:rPr>
              <w:t>、单硝酸异山梨酯 </w:t>
            </w:r>
            <w:r>
              <w:rPr>
                <w:rFonts w:ascii="Times New Roman" w:hAnsi="Times New Roman" w:eastAsia="Times New Roman"/>
                <w:sz w:val="18"/>
              </w:rPr>
              <w:t>6.6</w:t>
            </w:r>
            <w:r>
              <w:rPr>
                <w:sz w:val="18"/>
              </w:rPr>
              <w:t>、副产物</w:t>
            </w:r>
          </w:p>
          <w:p>
            <w:pPr>
              <w:pStyle w:val="TableParagraph"/>
              <w:spacing w:line="160" w:lineRule="exact"/>
              <w:ind w:left="37" w:right="7"/>
              <w:rPr>
                <w:rFonts w:ascii="Times New Roman"/>
                <w:sz w:val="18"/>
              </w:rPr>
            </w:pPr>
            <w:r>
              <w:rPr>
                <w:rFonts w:ascii="Times New Roman"/>
                <w:sz w:val="18"/>
              </w:rPr>
              <w:t>1.9</w:t>
            </w:r>
          </w:p>
        </w:tc>
        <w:tc>
          <w:tcPr>
            <w:tcW w:w="644" w:type="dxa"/>
            <w:tcBorders>
              <w:top w:val="single" w:sz="6" w:space="0" w:color="000000"/>
              <w:left w:val="single" w:sz="6" w:space="0" w:color="000000"/>
              <w:bottom w:val="single" w:sz="6" w:space="0" w:color="000000"/>
            </w:tcBorders>
          </w:tcPr>
          <w:p>
            <w:pPr>
              <w:pStyle w:val="TableParagraph"/>
              <w:spacing w:before="112"/>
              <w:ind w:left="32" w:right="7"/>
              <w:rPr>
                <w:rFonts w:ascii="Times New Roman"/>
                <w:sz w:val="18"/>
              </w:rPr>
            </w:pPr>
            <w:r>
              <w:rPr>
                <w:rFonts w:ascii="Times New Roman"/>
                <w:sz w:val="18"/>
              </w:rPr>
              <w:t>21.98</w:t>
            </w:r>
          </w:p>
        </w:tc>
      </w:tr>
      <w:tr>
        <w:trPr>
          <w:trHeight w:val="337"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08"/>
              <w:jc w:val="left"/>
              <w:rPr>
                <w:sz w:val="18"/>
              </w:rPr>
            </w:pPr>
            <w:r>
              <w:rPr>
                <w:sz w:val="18"/>
              </w:rPr>
              <w:t>精制后压滤过滤废渣（</w:t>
            </w:r>
            <w:r>
              <w:rPr>
                <w:rFonts w:ascii="Times New Roman" w:eastAsia="Times New Roman"/>
                <w:sz w:val="18"/>
              </w:rPr>
              <w:t>S7-3</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8" w:right="7"/>
              <w:rPr>
                <w:rFonts w:ascii="Times New Roman" w:hAnsi="Times New Roman" w:eastAsia="Times New Roman"/>
                <w:sz w:val="18"/>
              </w:rPr>
            </w:pPr>
            <w:r>
              <w:rPr>
                <w:sz w:val="18"/>
              </w:rPr>
              <w:t>Σ</w:t>
            </w:r>
            <w:r>
              <w:rPr>
                <w:rFonts w:ascii="Times New Roman" w:hAnsi="Times New Roman" w:eastAsia="Times New Roman"/>
                <w:sz w:val="18"/>
              </w:rPr>
              <w:t>276.2 </w:t>
            </w:r>
            <w:r>
              <w:rPr>
                <w:sz w:val="18"/>
              </w:rPr>
              <w:t>活性炭 </w:t>
            </w:r>
            <w:r>
              <w:rPr>
                <w:rFonts w:ascii="Times New Roman" w:hAnsi="Times New Roman" w:eastAsia="Times New Roman"/>
                <w:sz w:val="18"/>
              </w:rPr>
              <w:t>180</w:t>
            </w:r>
            <w:r>
              <w:rPr>
                <w:sz w:val="18"/>
              </w:rPr>
              <w:t>、乙醇 </w:t>
            </w:r>
            <w:r>
              <w:rPr>
                <w:rFonts w:ascii="Times New Roman" w:hAnsi="Times New Roman" w:eastAsia="Times New Roman"/>
                <w:sz w:val="18"/>
              </w:rPr>
              <w:t>60</w:t>
            </w:r>
            <w:r>
              <w:rPr>
                <w:sz w:val="18"/>
              </w:rPr>
              <w:t>、乙酸乙酯 </w:t>
            </w:r>
            <w:r>
              <w:rPr>
                <w:rFonts w:ascii="Times New Roman" w:hAnsi="Times New Roman" w:eastAsia="Times New Roman"/>
                <w:sz w:val="18"/>
              </w:rPr>
              <w:t>19.4</w:t>
            </w:r>
            <w:r>
              <w:rPr>
                <w:sz w:val="18"/>
              </w:rPr>
              <w:t>、单硝酸异山梨酯 </w:t>
            </w:r>
            <w:r>
              <w:rPr>
                <w:rFonts w:ascii="Times New Roman" w:hAnsi="Times New Roman" w:eastAsia="Times New Roman"/>
                <w:sz w:val="18"/>
              </w:rPr>
              <w:t>13.1</w:t>
            </w:r>
            <w:r>
              <w:rPr>
                <w:sz w:val="18"/>
              </w:rPr>
              <w:t>、副产物 </w:t>
            </w:r>
            <w:r>
              <w:rPr>
                <w:rFonts w:ascii="Times New Roman" w:hAnsi="Times New Roman" w:eastAsia="Times New Roman"/>
                <w:sz w:val="18"/>
              </w:rPr>
              <w:t>3.7</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2.76</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9" w:right="-15"/>
              <w:jc w:val="left"/>
              <w:rPr>
                <w:sz w:val="18"/>
              </w:rPr>
            </w:pPr>
            <w:r>
              <w:rPr>
                <w:sz w:val="18"/>
              </w:rPr>
              <w:t>精制后离心母液、洗涤废水溶剂回收蒸馏残液（</w:t>
            </w:r>
            <w:r>
              <w:rPr>
                <w:rFonts w:ascii="Times New Roman" w:eastAsia="Times New Roman"/>
                <w:sz w:val="18"/>
              </w:rPr>
              <w:t>S7-4</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2466.7 </w:t>
            </w:r>
            <w:r>
              <w:rPr>
                <w:sz w:val="18"/>
              </w:rPr>
              <w:t>乙酸乙酯 </w:t>
            </w:r>
            <w:r>
              <w:rPr>
                <w:rFonts w:ascii="Times New Roman" w:hAnsi="Times New Roman" w:eastAsia="Times New Roman"/>
                <w:sz w:val="18"/>
              </w:rPr>
              <w:t>368.5</w:t>
            </w:r>
            <w:r>
              <w:rPr>
                <w:sz w:val="18"/>
              </w:rPr>
              <w:t>、单硝酸异山梨酯 </w:t>
            </w:r>
            <w:r>
              <w:rPr>
                <w:rFonts w:ascii="Times New Roman" w:hAnsi="Times New Roman" w:eastAsia="Times New Roman"/>
                <w:sz w:val="18"/>
              </w:rPr>
              <w:t>296</w:t>
            </w:r>
            <w:r>
              <w:rPr>
                <w:sz w:val="18"/>
              </w:rPr>
              <w:t>、副产物 </w:t>
            </w:r>
            <w:r>
              <w:rPr>
                <w:rFonts w:ascii="Times New Roman" w:hAnsi="Times New Roman" w:eastAsia="Times New Roman"/>
                <w:sz w:val="18"/>
              </w:rPr>
              <w:t>367.2</w:t>
            </w:r>
            <w:r>
              <w:rPr>
                <w:sz w:val="18"/>
              </w:rPr>
              <w:t>、乙醇 </w:t>
            </w:r>
            <w:r>
              <w:rPr>
                <w:rFonts w:ascii="Times New Roman" w:hAnsi="Times New Roman" w:eastAsia="Times New Roman"/>
                <w:sz w:val="18"/>
              </w:rPr>
              <w:t>1435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24.67</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931" w:right="2" w:hanging="900"/>
              <w:jc w:val="left"/>
              <w:rPr>
                <w:sz w:val="18"/>
              </w:rPr>
            </w:pPr>
            <w:r>
              <w:rPr>
                <w:sz w:val="18"/>
              </w:rPr>
              <w:t>中和后萃取水层废水回收车间蒸馏预处理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20"/>
              </w:rPr>
              <w:t>12834.2 </w:t>
            </w:r>
            <w:r>
              <w:rPr>
                <w:sz w:val="18"/>
              </w:rPr>
              <w:t>硝酸钠 </w:t>
            </w:r>
            <w:r>
              <w:rPr>
                <w:rFonts w:ascii="Times New Roman" w:hAnsi="Times New Roman" w:eastAsia="Times New Roman"/>
                <w:sz w:val="18"/>
              </w:rPr>
              <w:t>270.9</w:t>
            </w:r>
            <w:r>
              <w:rPr>
                <w:sz w:val="18"/>
              </w:rPr>
              <w:t>、醋酸钠 </w:t>
            </w:r>
            <w:r>
              <w:rPr>
                <w:rFonts w:ascii="Times New Roman" w:hAnsi="Times New Roman" w:eastAsia="Times New Roman"/>
                <w:sz w:val="18"/>
              </w:rPr>
              <w:t>12183.8</w:t>
            </w:r>
            <w:r>
              <w:rPr>
                <w:sz w:val="18"/>
              </w:rPr>
              <w:t>、单硝酸异山梨酯 </w:t>
            </w:r>
            <w:r>
              <w:rPr>
                <w:rFonts w:ascii="Times New Roman" w:hAnsi="Times New Roman" w:eastAsia="Times New Roman"/>
                <w:sz w:val="18"/>
              </w:rPr>
              <w:t>304.6</w:t>
            </w:r>
            <w:r>
              <w:rPr>
                <w:sz w:val="18"/>
              </w:rPr>
              <w:t>、硝酸 </w:t>
            </w:r>
            <w:r>
              <w:rPr>
                <w:rFonts w:ascii="Times New Roman" w:hAnsi="Times New Roman" w:eastAsia="Times New Roman"/>
                <w:sz w:val="18"/>
              </w:rPr>
              <w:t>2.3</w:t>
            </w:r>
            <w:r>
              <w:rPr>
                <w:sz w:val="18"/>
              </w:rPr>
              <w:t>、乙酸 </w:t>
            </w:r>
            <w:r>
              <w:rPr>
                <w:rFonts w:ascii="Times New Roman" w:hAnsi="Times New Roman" w:eastAsia="Times New Roman"/>
                <w:sz w:val="18"/>
              </w:rPr>
              <w:t>72.7</w:t>
            </w:r>
          </w:p>
        </w:tc>
        <w:tc>
          <w:tcPr>
            <w:tcW w:w="644" w:type="dxa"/>
            <w:tcBorders>
              <w:top w:val="single" w:sz="6" w:space="0" w:color="000000"/>
              <w:left w:val="single" w:sz="6" w:space="0" w:color="000000"/>
              <w:bottom w:val="single" w:sz="6" w:space="0" w:color="000000"/>
            </w:tcBorders>
          </w:tcPr>
          <w:p>
            <w:pPr>
              <w:pStyle w:val="TableParagraph"/>
              <w:spacing w:before="62"/>
              <w:ind w:left="33" w:right="6"/>
              <w:rPr>
                <w:rFonts w:ascii="Times New Roman"/>
                <w:sz w:val="18"/>
              </w:rPr>
            </w:pPr>
            <w:r>
              <w:rPr>
                <w:rFonts w:ascii="Times New Roman"/>
                <w:sz w:val="18"/>
              </w:rPr>
              <w:t>128.34</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8" w:right="7"/>
              <w:rPr>
                <w:rFonts w:ascii="Times New Roman" w:hAnsi="Times New Roman" w:eastAsia="Times New Roman"/>
                <w:sz w:val="18"/>
              </w:rPr>
            </w:pPr>
            <w:r>
              <w:rPr>
                <w:sz w:val="18"/>
              </w:rPr>
              <w:t>Σ</w:t>
            </w:r>
            <w:r>
              <w:rPr>
                <w:rFonts w:ascii="Times New Roman" w:hAnsi="Times New Roman" w:eastAsia="Times New Roman"/>
                <w:sz w:val="18"/>
              </w:rPr>
              <w:t>7520.2 </w:t>
            </w:r>
            <w:r>
              <w:rPr>
                <w:sz w:val="18"/>
              </w:rPr>
              <w:t>水 </w:t>
            </w:r>
            <w:r>
              <w:rPr>
                <w:rFonts w:ascii="Times New Roman" w:hAnsi="Times New Roman" w:eastAsia="Times New Roman"/>
                <w:sz w:val="18"/>
              </w:rPr>
              <w:t>7160.7</w:t>
            </w:r>
            <w:r>
              <w:rPr>
                <w:sz w:val="18"/>
              </w:rPr>
              <w:t>、乙酸乙酯 </w:t>
            </w:r>
            <w:r>
              <w:rPr>
                <w:rFonts w:ascii="Times New Roman" w:hAnsi="Times New Roman" w:eastAsia="Times New Roman"/>
                <w:sz w:val="18"/>
              </w:rPr>
              <w:t>359.5</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75.20</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931" w:right="2" w:hanging="900"/>
              <w:jc w:val="left"/>
              <w:rPr>
                <w:sz w:val="18"/>
              </w:rPr>
            </w:pPr>
            <w:r>
              <w:rPr>
                <w:sz w:val="18"/>
              </w:rPr>
              <w:t>成盐结晶后离心母液回收车间蒸馏预处理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724.7 </w:t>
            </w:r>
            <w:r>
              <w:rPr>
                <w:sz w:val="18"/>
              </w:rPr>
              <w:t>单硝酸山梨酯钠盐 </w:t>
            </w:r>
            <w:r>
              <w:rPr>
                <w:rFonts w:ascii="Times New Roman" w:hAnsi="Times New Roman" w:eastAsia="Times New Roman"/>
                <w:sz w:val="18"/>
              </w:rPr>
              <w:t>611.3</w:t>
            </w:r>
            <w:r>
              <w:rPr>
                <w:sz w:val="18"/>
              </w:rPr>
              <w:t>、</w:t>
            </w:r>
            <w:r>
              <w:rPr>
                <w:rFonts w:ascii="Times New Roman" w:hAnsi="Times New Roman" w:eastAsia="Times New Roman"/>
                <w:sz w:val="18"/>
              </w:rPr>
              <w:t>NaOH 113.4</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7.25</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4222.6 </w:t>
            </w:r>
            <w:r>
              <w:rPr>
                <w:sz w:val="18"/>
              </w:rPr>
              <w:t>水 </w:t>
            </w:r>
            <w:r>
              <w:rPr>
                <w:rFonts w:ascii="Times New Roman" w:hAnsi="Times New Roman" w:eastAsia="Times New Roman"/>
                <w:sz w:val="18"/>
              </w:rPr>
              <w:t>2789.8</w:t>
            </w:r>
            <w:r>
              <w:rPr>
                <w:sz w:val="18"/>
              </w:rPr>
              <w:t>、乙酸乙酯 </w:t>
            </w:r>
            <w:r>
              <w:rPr>
                <w:rFonts w:ascii="Times New Roman" w:hAnsi="Times New Roman" w:eastAsia="Times New Roman"/>
                <w:sz w:val="18"/>
              </w:rPr>
              <w:t>1432.8</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42.23</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751" w:right="2" w:hanging="720"/>
              <w:jc w:val="left"/>
              <w:rPr>
                <w:sz w:val="18"/>
              </w:rPr>
            </w:pPr>
            <w:r>
              <w:rPr>
                <w:sz w:val="18"/>
              </w:rPr>
              <w:t>粗品制备后分层水层废水回收车间蒸馏预处理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 w:right="7"/>
              <w:rPr>
                <w:rFonts w:ascii="Times New Roman" w:hAnsi="Times New Roman" w:eastAsia="Times New Roman"/>
                <w:sz w:val="18"/>
              </w:rPr>
            </w:pPr>
            <w:r>
              <w:rPr>
                <w:sz w:val="18"/>
              </w:rPr>
              <w:t>Σ</w:t>
            </w:r>
            <w:r>
              <w:rPr>
                <w:rFonts w:ascii="Times New Roman" w:hAnsi="Times New Roman" w:eastAsia="Times New Roman"/>
                <w:sz w:val="18"/>
              </w:rPr>
              <w:t>1144.9 HCl 20.1</w:t>
            </w:r>
            <w:r>
              <w:rPr>
                <w:sz w:val="18"/>
              </w:rPr>
              <w:t>、氯化钠 </w:t>
            </w:r>
            <w:r>
              <w:rPr>
                <w:rFonts w:ascii="Times New Roman" w:hAnsi="Times New Roman" w:eastAsia="Times New Roman"/>
                <w:sz w:val="18"/>
              </w:rPr>
              <w:t>620.5</w:t>
            </w:r>
            <w:r>
              <w:rPr>
                <w:sz w:val="18"/>
              </w:rPr>
              <w:t>、乙酸乙酯 </w:t>
            </w:r>
            <w:r>
              <w:rPr>
                <w:rFonts w:ascii="Times New Roman" w:hAnsi="Times New Roman" w:eastAsia="Times New Roman"/>
                <w:sz w:val="18"/>
              </w:rPr>
              <w:t>681</w:t>
            </w:r>
            <w:r>
              <w:rPr>
                <w:sz w:val="18"/>
              </w:rPr>
              <w:t>、单硝酸异山梨酯 </w:t>
            </w:r>
            <w:r>
              <w:rPr>
                <w:rFonts w:ascii="Times New Roman" w:hAnsi="Times New Roman" w:eastAsia="Times New Roman"/>
                <w:sz w:val="18"/>
              </w:rPr>
              <w:t>438.6 </w:t>
            </w:r>
            <w:r>
              <w:rPr>
                <w:sz w:val="18"/>
              </w:rPr>
              <w:t>、副产物 </w:t>
            </w:r>
            <w:r>
              <w:rPr>
                <w:rFonts w:ascii="Times New Roman" w:hAnsi="Times New Roman" w:eastAsia="Times New Roman"/>
                <w:sz w:val="18"/>
              </w:rPr>
              <w:t>65.8</w:t>
            </w:r>
          </w:p>
        </w:tc>
        <w:tc>
          <w:tcPr>
            <w:tcW w:w="644" w:type="dxa"/>
            <w:tcBorders>
              <w:top w:val="single" w:sz="6" w:space="0" w:color="000000"/>
              <w:left w:val="single" w:sz="6" w:space="0" w:color="000000"/>
              <w:bottom w:val="single" w:sz="6" w:space="0" w:color="000000"/>
            </w:tcBorders>
          </w:tcPr>
          <w:p>
            <w:pPr>
              <w:pStyle w:val="TableParagraph"/>
              <w:spacing w:before="62"/>
              <w:ind w:left="33" w:right="5"/>
              <w:rPr>
                <w:rFonts w:ascii="Times New Roman"/>
                <w:sz w:val="18"/>
              </w:rPr>
            </w:pPr>
            <w:r>
              <w:rPr>
                <w:rFonts w:ascii="Times New Roman"/>
                <w:sz w:val="18"/>
              </w:rPr>
              <w:t>11.45</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2003.8 </w:t>
            </w:r>
            <w:r>
              <w:rPr>
                <w:sz w:val="18"/>
              </w:rPr>
              <w:t>水 </w:t>
            </w:r>
            <w:r>
              <w:rPr>
                <w:rFonts w:ascii="Times New Roman" w:hAnsi="Times New Roman" w:eastAsia="Times New Roman"/>
                <w:sz w:val="18"/>
              </w:rPr>
              <w:t>1459</w:t>
            </w:r>
            <w:r>
              <w:rPr>
                <w:sz w:val="18"/>
              </w:rPr>
              <w:t>、乙酸乙酯 </w:t>
            </w:r>
            <w:r>
              <w:rPr>
                <w:rFonts w:ascii="Times New Roman" w:hAnsi="Times New Roman" w:eastAsia="Times New Roman"/>
                <w:sz w:val="18"/>
              </w:rPr>
              <w:t>544.8</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20.04</w:t>
            </w:r>
          </w:p>
        </w:tc>
      </w:tr>
      <w:tr>
        <w:trPr>
          <w:trHeight w:val="339" w:hRule="atLeast"/>
        </w:trPr>
        <w:tc>
          <w:tcPr>
            <w:tcW w:w="1058" w:type="dxa"/>
            <w:tcBorders>
              <w:top w:val="single" w:sz="6" w:space="0" w:color="000000"/>
              <w:right w:val="single" w:sz="6" w:space="0" w:color="000000"/>
            </w:tcBorders>
          </w:tcPr>
          <w:p>
            <w:pPr>
              <w:pStyle w:val="TableParagraph"/>
              <w:spacing w:line="320" w:lineRule="exact"/>
              <w:ind w:left="80"/>
              <w:jc w:val="left"/>
              <w:rPr>
                <w:sz w:val="18"/>
              </w:rPr>
            </w:pPr>
            <w:r>
              <w:rPr>
                <w:sz w:val="18"/>
              </w:rPr>
              <w:t>去甲斑蝥素</w:t>
            </w:r>
          </w:p>
        </w:tc>
        <w:tc>
          <w:tcPr>
            <w:tcW w:w="4325" w:type="dxa"/>
            <w:gridSpan w:val="2"/>
            <w:tcBorders>
              <w:top w:val="single" w:sz="6" w:space="0" w:color="000000"/>
              <w:left w:val="single" w:sz="6" w:space="0" w:color="000000"/>
              <w:right w:val="single" w:sz="6" w:space="0" w:color="000000"/>
            </w:tcBorders>
          </w:tcPr>
          <w:p>
            <w:pPr>
              <w:pStyle w:val="TableParagraph"/>
              <w:spacing w:line="320" w:lineRule="exact"/>
              <w:ind w:left="468"/>
              <w:jc w:val="left"/>
              <w:rPr>
                <w:sz w:val="18"/>
              </w:rPr>
            </w:pPr>
            <w:r>
              <w:rPr>
                <w:sz w:val="18"/>
              </w:rPr>
              <w:t>双烯合成后溶剂回收过程蒸馏残液（</w:t>
            </w:r>
            <w:r>
              <w:rPr>
                <w:rFonts w:ascii="Times New Roman" w:eastAsia="Times New Roman"/>
                <w:sz w:val="18"/>
              </w:rPr>
              <w:t>S8-1</w:t>
            </w:r>
            <w:r>
              <w:rPr>
                <w:sz w:val="18"/>
              </w:rPr>
              <w:t>）</w:t>
            </w:r>
          </w:p>
        </w:tc>
        <w:tc>
          <w:tcPr>
            <w:tcW w:w="7249" w:type="dxa"/>
            <w:tcBorders>
              <w:top w:val="single" w:sz="6" w:space="0" w:color="000000"/>
              <w:left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803.1 </w:t>
            </w:r>
            <w:r>
              <w:rPr>
                <w:sz w:val="18"/>
              </w:rPr>
              <w:t>四氢呋喃 </w:t>
            </w:r>
            <w:r>
              <w:rPr>
                <w:rFonts w:ascii="Times New Roman" w:hAnsi="Times New Roman" w:eastAsia="Times New Roman"/>
                <w:sz w:val="18"/>
              </w:rPr>
              <w:t>277.6 </w:t>
            </w:r>
            <w:r>
              <w:rPr>
                <w:sz w:val="18"/>
              </w:rPr>
              <w:t>、呋喃 </w:t>
            </w:r>
            <w:r>
              <w:rPr>
                <w:rFonts w:ascii="Times New Roman" w:hAnsi="Times New Roman" w:eastAsia="Times New Roman"/>
                <w:sz w:val="18"/>
              </w:rPr>
              <w:t>24.1 </w:t>
            </w:r>
            <w:r>
              <w:rPr>
                <w:sz w:val="18"/>
              </w:rPr>
              <w:t>、双烯合成产物 </w:t>
            </w:r>
            <w:r>
              <w:rPr>
                <w:rFonts w:ascii="Times New Roman" w:hAnsi="Times New Roman" w:eastAsia="Times New Roman"/>
                <w:sz w:val="18"/>
              </w:rPr>
              <w:t>501.4</w:t>
            </w:r>
          </w:p>
        </w:tc>
        <w:tc>
          <w:tcPr>
            <w:tcW w:w="644" w:type="dxa"/>
            <w:tcBorders>
              <w:top w:val="single" w:sz="6" w:space="0" w:color="000000"/>
              <w:left w:val="single" w:sz="6" w:space="0" w:color="000000"/>
            </w:tcBorders>
          </w:tcPr>
          <w:p>
            <w:pPr>
              <w:pStyle w:val="TableParagraph"/>
              <w:spacing w:before="62"/>
              <w:ind w:left="32" w:right="7"/>
              <w:rPr>
                <w:rFonts w:ascii="Times New Roman"/>
                <w:sz w:val="18"/>
              </w:rPr>
            </w:pPr>
            <w:r>
              <w:rPr>
                <w:rFonts w:ascii="Times New Roman"/>
                <w:sz w:val="18"/>
              </w:rPr>
              <w:t>0.16</w:t>
            </w:r>
          </w:p>
        </w:tc>
      </w:tr>
    </w:tbl>
    <w:p>
      <w:pPr>
        <w:spacing w:after="0"/>
        <w:rPr>
          <w:rFonts w:ascii="Times New Roman"/>
          <w:sz w:val="18"/>
        </w:rPr>
        <w:sectPr>
          <w:pgSz w:w="16840" w:h="11910" w:orient="landscape"/>
          <w:pgMar w:header="877" w:footer="973" w:top="1180" w:bottom="1160" w:left="1660" w:right="1640"/>
        </w:sectPr>
      </w:pPr>
    </w:p>
    <w:p>
      <w:pPr>
        <w:pStyle w:val="BodyText"/>
        <w:spacing w:before="6"/>
        <w:rPr>
          <w:rFonts w:ascii="Times New Roman"/>
          <w:sz w:val="22"/>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8"/>
        <w:gridCol w:w="2571"/>
        <w:gridCol w:w="1754"/>
        <w:gridCol w:w="7249"/>
        <w:gridCol w:w="644"/>
      </w:tblGrid>
      <w:tr>
        <w:trPr>
          <w:trHeight w:val="339" w:hRule="atLeast"/>
        </w:trPr>
        <w:tc>
          <w:tcPr>
            <w:tcW w:w="1058" w:type="dxa"/>
            <w:vMerge w:val="restart"/>
            <w:tcBorders>
              <w:bottom w:val="single" w:sz="6" w:space="0" w:color="000000"/>
              <w:right w:val="single" w:sz="6" w:space="0" w:color="000000"/>
            </w:tcBorders>
          </w:tcPr>
          <w:p>
            <w:pPr>
              <w:pStyle w:val="TableParagraph"/>
              <w:jc w:val="left"/>
              <w:rPr>
                <w:rFonts w:ascii="Times New Roman"/>
                <w:sz w:val="18"/>
              </w:rPr>
            </w:pPr>
          </w:p>
        </w:tc>
        <w:tc>
          <w:tcPr>
            <w:tcW w:w="4325" w:type="dxa"/>
            <w:gridSpan w:val="2"/>
            <w:tcBorders>
              <w:left w:val="single" w:sz="6" w:space="0" w:color="000000"/>
              <w:bottom w:val="single" w:sz="6" w:space="0" w:color="000000"/>
              <w:right w:val="single" w:sz="6" w:space="0" w:color="000000"/>
            </w:tcBorders>
          </w:tcPr>
          <w:p>
            <w:pPr>
              <w:pStyle w:val="TableParagraph"/>
              <w:spacing w:line="320" w:lineRule="exact"/>
              <w:ind w:left="1008"/>
              <w:jc w:val="left"/>
              <w:rPr>
                <w:sz w:val="18"/>
              </w:rPr>
            </w:pPr>
            <w:r>
              <w:rPr>
                <w:sz w:val="18"/>
              </w:rPr>
              <w:t>催化氢化后压滤滤渣（</w:t>
            </w:r>
            <w:r>
              <w:rPr>
                <w:rFonts w:ascii="Times New Roman" w:eastAsia="Times New Roman"/>
                <w:sz w:val="18"/>
              </w:rPr>
              <w:t>S8-2</w:t>
            </w:r>
            <w:r>
              <w:rPr>
                <w:sz w:val="18"/>
              </w:rPr>
              <w:t>）</w:t>
            </w:r>
          </w:p>
        </w:tc>
        <w:tc>
          <w:tcPr>
            <w:tcW w:w="7249" w:type="dxa"/>
            <w:tcBorders>
              <w:left w:val="single" w:sz="6" w:space="0" w:color="000000"/>
              <w:bottom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73.7 </w:t>
            </w:r>
            <w:r>
              <w:rPr>
                <w:sz w:val="18"/>
              </w:rPr>
              <w:t>丙酮 </w:t>
            </w:r>
            <w:r>
              <w:rPr>
                <w:rFonts w:ascii="Times New Roman" w:hAnsi="Times New Roman" w:eastAsia="Times New Roman"/>
                <w:sz w:val="18"/>
              </w:rPr>
              <w:t>19.2</w:t>
            </w:r>
            <w:r>
              <w:rPr>
                <w:sz w:val="18"/>
              </w:rPr>
              <w:t>、四氢呋喃 </w:t>
            </w:r>
            <w:r>
              <w:rPr>
                <w:rFonts w:ascii="Times New Roman" w:hAnsi="Times New Roman" w:eastAsia="Times New Roman"/>
                <w:sz w:val="18"/>
              </w:rPr>
              <w:t>0.9</w:t>
            </w:r>
            <w:r>
              <w:rPr>
                <w:sz w:val="18"/>
              </w:rPr>
              <w:t>、钯碳 </w:t>
            </w:r>
            <w:r>
              <w:rPr>
                <w:rFonts w:ascii="Times New Roman" w:hAnsi="Times New Roman" w:eastAsia="Times New Roman"/>
                <w:sz w:val="18"/>
              </w:rPr>
              <w:t>50.0</w:t>
            </w:r>
            <w:r>
              <w:rPr>
                <w:sz w:val="18"/>
              </w:rPr>
              <w:t>、去甲斑蝥素 </w:t>
            </w:r>
            <w:r>
              <w:rPr>
                <w:rFonts w:ascii="Times New Roman" w:hAnsi="Times New Roman" w:eastAsia="Times New Roman"/>
                <w:sz w:val="18"/>
              </w:rPr>
              <w:t>3.6</w:t>
            </w:r>
          </w:p>
        </w:tc>
        <w:tc>
          <w:tcPr>
            <w:tcW w:w="644" w:type="dxa"/>
            <w:tcBorders>
              <w:left w:val="single" w:sz="6" w:space="0" w:color="000000"/>
              <w:bottom w:val="single" w:sz="6" w:space="0" w:color="000000"/>
            </w:tcBorders>
          </w:tcPr>
          <w:p>
            <w:pPr>
              <w:pStyle w:val="TableParagraph"/>
              <w:spacing w:before="61"/>
              <w:ind w:left="32" w:right="7"/>
              <w:rPr>
                <w:rFonts w:ascii="Times New Roman"/>
                <w:sz w:val="18"/>
              </w:rPr>
            </w:pPr>
            <w:r>
              <w:rPr>
                <w:rFonts w:ascii="Times New Roman"/>
                <w:sz w:val="18"/>
              </w:rPr>
              <w:t>0.01</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8"/>
              <w:jc w:val="left"/>
              <w:rPr>
                <w:sz w:val="18"/>
              </w:rPr>
            </w:pPr>
            <w:r>
              <w:rPr>
                <w:sz w:val="18"/>
              </w:rPr>
              <w:t>催化氢化后溶剂回收过程蒸馏残液（</w:t>
            </w:r>
            <w:r>
              <w:rPr>
                <w:rFonts w:ascii="Times New Roman" w:eastAsia="Times New Roman"/>
                <w:sz w:val="18"/>
              </w:rPr>
              <w:t>S8-3</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923.5 </w:t>
            </w:r>
            <w:r>
              <w:rPr>
                <w:sz w:val="18"/>
              </w:rPr>
              <w:t>丙酮 </w:t>
            </w:r>
            <w:r>
              <w:rPr>
                <w:rFonts w:ascii="Times New Roman" w:hAnsi="Times New Roman" w:eastAsia="Times New Roman"/>
                <w:sz w:val="18"/>
              </w:rPr>
              <w:t>420.7 </w:t>
            </w:r>
            <w:r>
              <w:rPr>
                <w:sz w:val="18"/>
              </w:rPr>
              <w:t>、四氢呋喃 </w:t>
            </w:r>
            <w:r>
              <w:rPr>
                <w:rFonts w:ascii="Times New Roman" w:hAnsi="Times New Roman" w:eastAsia="Times New Roman"/>
                <w:sz w:val="18"/>
              </w:rPr>
              <w:t>299.5 </w:t>
            </w:r>
            <w:r>
              <w:rPr>
                <w:sz w:val="18"/>
              </w:rPr>
              <w:t>、去甲斑蝥素 </w:t>
            </w:r>
            <w:r>
              <w:rPr>
                <w:rFonts w:ascii="Times New Roman" w:hAnsi="Times New Roman" w:eastAsia="Times New Roman"/>
                <w:sz w:val="18"/>
              </w:rPr>
              <w:t>203.2</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0.18</w:t>
            </w:r>
          </w:p>
        </w:tc>
      </w:tr>
      <w:tr>
        <w:trPr>
          <w:trHeight w:val="459" w:hRule="atLeast"/>
        </w:trPr>
        <w:tc>
          <w:tcPr>
            <w:tcW w:w="1058" w:type="dxa"/>
            <w:vMerge w:val="restart"/>
            <w:tcBorders>
              <w:top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line="146" w:lineRule="auto" w:before="161"/>
              <w:ind w:left="440" w:right="52" w:hanging="360"/>
              <w:jc w:val="left"/>
              <w:rPr>
                <w:sz w:val="18"/>
              </w:rPr>
            </w:pPr>
            <w:r>
              <w:rPr>
                <w:sz w:val="18"/>
              </w:rPr>
              <w:t>盐酸米安色林</w:t>
            </w: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1188"/>
              <w:jc w:val="left"/>
              <w:rPr>
                <w:sz w:val="18"/>
              </w:rPr>
            </w:pPr>
            <w:r>
              <w:rPr>
                <w:sz w:val="18"/>
              </w:rPr>
              <w:t>反应后离心废渣（</w:t>
            </w:r>
            <w:r>
              <w:rPr>
                <w:rFonts w:ascii="Times New Roman" w:eastAsia="Times New Roman"/>
                <w:sz w:val="18"/>
              </w:rPr>
              <w:t>S9-1</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45" w:right="1"/>
              <w:rPr>
                <w:sz w:val="18"/>
              </w:rPr>
            </w:pPr>
            <w:r>
              <w:rPr>
                <w:sz w:val="18"/>
              </w:rPr>
              <w:t>Σ</w:t>
            </w:r>
            <w:r>
              <w:rPr>
                <w:rFonts w:ascii="Times New Roman" w:hAnsi="Times New Roman" w:eastAsia="Times New Roman"/>
                <w:sz w:val="18"/>
              </w:rPr>
              <w:t>5415.6</w:t>
            </w:r>
            <w:r>
              <w:rPr>
                <w:rFonts w:ascii="Times New Roman" w:hAnsi="Times New Roman" w:eastAsia="Times New Roman"/>
                <w:spacing w:val="17"/>
                <w:sz w:val="18"/>
              </w:rPr>
              <w:t> </w:t>
            </w:r>
            <w:r>
              <w:rPr>
                <w:spacing w:val="2"/>
                <w:sz w:val="18"/>
              </w:rPr>
              <w:t>硼氢化钾 </w:t>
            </w:r>
            <w:r>
              <w:rPr>
                <w:rFonts w:ascii="Times New Roman" w:hAnsi="Times New Roman" w:eastAsia="Times New Roman"/>
                <w:sz w:val="18"/>
              </w:rPr>
              <w:t>1983.8</w:t>
            </w:r>
            <w:r>
              <w:rPr>
                <w:sz w:val="18"/>
              </w:rPr>
              <w:t>、偏硼酸钾 </w:t>
            </w:r>
            <w:r>
              <w:rPr>
                <w:rFonts w:ascii="Times New Roman" w:hAnsi="Times New Roman" w:eastAsia="Times New Roman"/>
                <w:sz w:val="18"/>
              </w:rPr>
              <w:t>2150.6</w:t>
            </w:r>
            <w:r>
              <w:rPr>
                <w:rFonts w:ascii="Times New Roman" w:hAnsi="Times New Roman" w:eastAsia="Times New Roman"/>
                <w:spacing w:val="18"/>
                <w:sz w:val="18"/>
              </w:rPr>
              <w:t> </w:t>
            </w:r>
            <w:r>
              <w:rPr>
                <w:sz w:val="18"/>
              </w:rPr>
              <w:t>、苄氨基乙醇 </w:t>
            </w:r>
            <w:r>
              <w:rPr>
                <w:rFonts w:ascii="Times New Roman" w:hAnsi="Times New Roman" w:eastAsia="Times New Roman"/>
                <w:sz w:val="18"/>
              </w:rPr>
              <w:t>525</w:t>
            </w:r>
            <w:r>
              <w:rPr>
                <w:spacing w:val="2"/>
                <w:sz w:val="18"/>
              </w:rPr>
              <w:t>、苯甲醛 </w:t>
            </w:r>
            <w:r>
              <w:rPr>
                <w:rFonts w:ascii="Times New Roman" w:hAnsi="Times New Roman" w:eastAsia="Times New Roman"/>
                <w:sz w:val="18"/>
              </w:rPr>
              <w:t>43.9</w:t>
            </w:r>
            <w:r>
              <w:rPr>
                <w:spacing w:val="2"/>
                <w:sz w:val="18"/>
              </w:rPr>
              <w:t>、甲醇 </w:t>
            </w:r>
            <w:r>
              <w:rPr>
                <w:rFonts w:ascii="Times New Roman" w:hAnsi="Times New Roman" w:eastAsia="Times New Roman"/>
                <w:sz w:val="18"/>
              </w:rPr>
              <w:t>420.4</w:t>
            </w:r>
            <w:r>
              <w:rPr>
                <w:sz w:val="18"/>
              </w:rPr>
              <w:t>、</w:t>
            </w:r>
          </w:p>
          <w:p>
            <w:pPr>
              <w:pStyle w:val="TableParagraph"/>
              <w:spacing w:line="218" w:lineRule="exact"/>
              <w:ind w:left="37" w:right="7"/>
              <w:rPr>
                <w:rFonts w:ascii="Times New Roman" w:eastAsia="Times New Roman"/>
                <w:sz w:val="18"/>
              </w:rPr>
            </w:pPr>
            <w:r>
              <w:rPr>
                <w:sz w:val="18"/>
              </w:rPr>
              <w:t>副产物 </w:t>
            </w:r>
            <w:r>
              <w:rPr>
                <w:rFonts w:ascii="Times New Roman" w:eastAsia="Times New Roman"/>
                <w:sz w:val="18"/>
              </w:rPr>
              <w:t>267</w:t>
            </w:r>
            <w:r>
              <w:rPr>
                <w:sz w:val="18"/>
              </w:rPr>
              <w:t>、乙醇胺 </w:t>
            </w:r>
            <w:r>
              <w:rPr>
                <w:rFonts w:ascii="Times New Roman" w:eastAsia="Times New Roman"/>
                <w:sz w:val="18"/>
              </w:rPr>
              <w:t>25</w:t>
            </w:r>
          </w:p>
        </w:tc>
        <w:tc>
          <w:tcPr>
            <w:tcW w:w="644" w:type="dxa"/>
            <w:tcBorders>
              <w:top w:val="single" w:sz="6" w:space="0" w:color="000000"/>
              <w:left w:val="single" w:sz="6" w:space="0" w:color="000000"/>
              <w:bottom w:val="single" w:sz="6" w:space="0" w:color="000000"/>
            </w:tcBorders>
          </w:tcPr>
          <w:p>
            <w:pPr>
              <w:pStyle w:val="TableParagraph"/>
              <w:spacing w:before="124"/>
              <w:ind w:left="32" w:right="7"/>
              <w:rPr>
                <w:rFonts w:ascii="Times New Roman"/>
                <w:sz w:val="18"/>
              </w:rPr>
            </w:pPr>
            <w:r>
              <w:rPr>
                <w:rFonts w:ascii="Times New Roman"/>
                <w:sz w:val="18"/>
              </w:rPr>
              <w:t>1.62</w:t>
            </w:r>
          </w:p>
        </w:tc>
      </w:tr>
      <w:tr>
        <w:trPr>
          <w:trHeight w:val="325"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828"/>
              <w:jc w:val="left"/>
              <w:rPr>
                <w:sz w:val="18"/>
              </w:rPr>
            </w:pPr>
            <w:r>
              <w:rPr>
                <w:sz w:val="18"/>
              </w:rPr>
              <w:t>反应后前馏分、蒸馏残液（</w:t>
            </w:r>
            <w:r>
              <w:rPr>
                <w:rFonts w:ascii="Times New Roman" w:eastAsia="Times New Roman"/>
                <w:sz w:val="18"/>
              </w:rPr>
              <w:t>S9-2</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8" w:right="7"/>
              <w:rPr>
                <w:rFonts w:ascii="Times New Roman" w:hAnsi="Times New Roman" w:eastAsia="Times New Roman"/>
                <w:sz w:val="18"/>
              </w:rPr>
            </w:pPr>
            <w:r>
              <w:rPr>
                <w:w w:val="140"/>
                <w:sz w:val="18"/>
              </w:rPr>
              <w:t>Σ </w:t>
            </w:r>
            <w:r>
              <w:rPr>
                <w:rFonts w:ascii="Times New Roman" w:hAnsi="Times New Roman" w:eastAsia="Times New Roman"/>
                <w:sz w:val="18"/>
              </w:rPr>
              <w:t>3693.3 </w:t>
            </w:r>
            <w:r>
              <w:rPr>
                <w:sz w:val="18"/>
              </w:rPr>
              <w:t>苯甲醛 </w:t>
            </w:r>
            <w:r>
              <w:rPr>
                <w:rFonts w:ascii="Times New Roman" w:hAnsi="Times New Roman" w:eastAsia="Times New Roman"/>
                <w:sz w:val="18"/>
              </w:rPr>
              <w:t>792.4</w:t>
            </w:r>
            <w:r>
              <w:rPr>
                <w:sz w:val="18"/>
              </w:rPr>
              <w:t>、甲醇 </w:t>
            </w:r>
            <w:r>
              <w:rPr>
                <w:rFonts w:ascii="Times New Roman" w:hAnsi="Times New Roman" w:eastAsia="Times New Roman"/>
                <w:sz w:val="18"/>
              </w:rPr>
              <w:t>79.9</w:t>
            </w:r>
            <w:r>
              <w:rPr>
                <w:sz w:val="18"/>
              </w:rPr>
              <w:t>、乙醇胺 </w:t>
            </w:r>
            <w:r>
              <w:rPr>
                <w:rFonts w:ascii="Times New Roman" w:hAnsi="Times New Roman" w:eastAsia="Times New Roman"/>
                <w:sz w:val="18"/>
              </w:rPr>
              <w:t>451.6</w:t>
            </w:r>
            <w:r>
              <w:rPr>
                <w:sz w:val="18"/>
              </w:rPr>
              <w:t>、苄氨基乙醇 </w:t>
            </w:r>
            <w:r>
              <w:rPr>
                <w:rFonts w:ascii="Times New Roman" w:hAnsi="Times New Roman" w:eastAsia="Times New Roman"/>
                <w:sz w:val="18"/>
              </w:rPr>
              <w:t>340</w:t>
            </w:r>
            <w:r>
              <w:rPr>
                <w:sz w:val="18"/>
              </w:rPr>
              <w:t>、副产物 </w:t>
            </w:r>
            <w:r>
              <w:rPr>
                <w:rFonts w:ascii="Times New Roman" w:hAnsi="Times New Roman" w:eastAsia="Times New Roman"/>
                <w:sz w:val="18"/>
              </w:rPr>
              <w:t>2029.5</w:t>
            </w:r>
          </w:p>
        </w:tc>
        <w:tc>
          <w:tcPr>
            <w:tcW w:w="644" w:type="dxa"/>
            <w:tcBorders>
              <w:top w:val="single" w:sz="6" w:space="0" w:color="000000"/>
              <w:left w:val="single" w:sz="6" w:space="0" w:color="000000"/>
              <w:bottom w:val="single" w:sz="6" w:space="0" w:color="000000"/>
            </w:tcBorders>
          </w:tcPr>
          <w:p>
            <w:pPr>
              <w:pStyle w:val="TableParagraph"/>
              <w:spacing w:before="54"/>
              <w:ind w:left="33" w:right="5"/>
              <w:rPr>
                <w:rFonts w:ascii="Times New Roman"/>
                <w:sz w:val="18"/>
              </w:rPr>
            </w:pPr>
            <w:r>
              <w:rPr>
                <w:rFonts w:ascii="Times New Roman"/>
                <w:sz w:val="18"/>
              </w:rPr>
              <w:t>1.11</w:t>
            </w:r>
          </w:p>
        </w:tc>
      </w:tr>
      <w:tr>
        <w:trPr>
          <w:trHeight w:val="325"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19"/>
              <w:jc w:val="left"/>
              <w:rPr>
                <w:sz w:val="18"/>
              </w:rPr>
            </w:pPr>
            <w:r>
              <w:rPr>
                <w:sz w:val="18"/>
              </w:rPr>
              <w:t>缩合反应后蒸馏冷凝液（</w:t>
            </w:r>
            <w:r>
              <w:rPr>
                <w:rFonts w:ascii="Times New Roman" w:eastAsia="Times New Roman"/>
                <w:sz w:val="18"/>
              </w:rPr>
              <w:t>S9-3</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7" w:right="7"/>
              <w:rPr>
                <w:rFonts w:ascii="Times New Roman" w:eastAsia="Times New Roman"/>
                <w:sz w:val="18"/>
              </w:rPr>
            </w:pPr>
            <w:r>
              <w:rPr>
                <w:sz w:val="18"/>
              </w:rPr>
              <w:t>氯苯 </w:t>
            </w:r>
            <w:r>
              <w:rPr>
                <w:rFonts w:ascii="Times New Roman" w:eastAsia="Times New Roman"/>
                <w:sz w:val="18"/>
              </w:rPr>
              <w:t>15900</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4.77</w:t>
            </w:r>
          </w:p>
        </w:tc>
      </w:tr>
      <w:tr>
        <w:trPr>
          <w:trHeight w:val="450"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4"/>
              <w:ind w:left="559"/>
              <w:jc w:val="left"/>
              <w:rPr>
                <w:sz w:val="18"/>
              </w:rPr>
            </w:pPr>
            <w:r>
              <w:rPr>
                <w:sz w:val="18"/>
              </w:rPr>
              <w:t>成盐反应后过滤母液、洗涤废水（</w:t>
            </w:r>
            <w:r>
              <w:rPr>
                <w:rFonts w:ascii="Times New Roman" w:eastAsia="Times New Roman"/>
                <w:sz w:val="18"/>
              </w:rPr>
              <w:t>S9-4</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37" w:right="7"/>
              <w:rPr>
                <w:sz w:val="18"/>
              </w:rPr>
            </w:pPr>
            <w:r>
              <w:rPr>
                <w:sz w:val="18"/>
              </w:rPr>
              <w:t>Σ</w:t>
            </w:r>
            <w:r>
              <w:rPr>
                <w:rFonts w:ascii="Times New Roman" w:hAnsi="Times New Roman" w:eastAsia="Times New Roman"/>
                <w:sz w:val="18"/>
              </w:rPr>
              <w:t>18524.8 </w:t>
            </w:r>
            <w:r>
              <w:rPr>
                <w:sz w:val="18"/>
              </w:rPr>
              <w:t>丙酮 </w:t>
            </w:r>
            <w:r>
              <w:rPr>
                <w:rFonts w:ascii="Times New Roman" w:hAnsi="Times New Roman" w:eastAsia="Times New Roman"/>
                <w:sz w:val="18"/>
              </w:rPr>
              <w:t>11690.1</w:t>
            </w:r>
            <w:r>
              <w:rPr>
                <w:sz w:val="18"/>
              </w:rPr>
              <w:t>、氯苯 </w:t>
            </w:r>
            <w:r>
              <w:rPr>
                <w:rFonts w:ascii="Times New Roman" w:hAnsi="Times New Roman" w:eastAsia="Times New Roman"/>
                <w:sz w:val="18"/>
              </w:rPr>
              <w:t>1766.7</w:t>
            </w:r>
            <w:r>
              <w:rPr>
                <w:sz w:val="18"/>
              </w:rPr>
              <w:t>、富马酸 </w:t>
            </w:r>
            <w:r>
              <w:rPr>
                <w:rFonts w:ascii="Times New Roman" w:hAnsi="Times New Roman" w:eastAsia="Times New Roman"/>
                <w:sz w:val="18"/>
              </w:rPr>
              <w:t>443.2</w:t>
            </w:r>
            <w:r>
              <w:rPr>
                <w:sz w:val="18"/>
              </w:rPr>
              <w:t>、富马酸盐 </w:t>
            </w:r>
            <w:r>
              <w:rPr>
                <w:rFonts w:ascii="Times New Roman" w:hAnsi="Times New Roman" w:eastAsia="Times New Roman"/>
                <w:sz w:val="18"/>
              </w:rPr>
              <w:t>2263.2</w:t>
            </w:r>
            <w:r>
              <w:rPr>
                <w:sz w:val="18"/>
              </w:rPr>
              <w:t>、副产物 </w:t>
            </w:r>
            <w:r>
              <w:rPr>
                <w:rFonts w:ascii="Times New Roman" w:hAnsi="Times New Roman" w:eastAsia="Times New Roman"/>
                <w:sz w:val="18"/>
              </w:rPr>
              <w:t>2254.4</w:t>
            </w:r>
            <w:r>
              <w:rPr>
                <w:sz w:val="18"/>
              </w:rPr>
              <w:t>、氧</w:t>
            </w:r>
          </w:p>
          <w:p>
            <w:pPr>
              <w:pStyle w:val="TableParagraph"/>
              <w:spacing w:line="217" w:lineRule="exact"/>
              <w:ind w:left="37" w:right="7"/>
              <w:rPr>
                <w:rFonts w:ascii="Times New Roman" w:eastAsia="Times New Roman"/>
                <w:sz w:val="18"/>
              </w:rPr>
            </w:pPr>
            <w:r>
              <w:rPr>
                <w:sz w:val="18"/>
              </w:rPr>
              <w:t>化苯乙烯 </w:t>
            </w:r>
            <w:r>
              <w:rPr>
                <w:rFonts w:ascii="Times New Roman" w:eastAsia="Times New Roman"/>
                <w:sz w:val="18"/>
              </w:rPr>
              <w:t>107.3</w:t>
            </w:r>
          </w:p>
        </w:tc>
        <w:tc>
          <w:tcPr>
            <w:tcW w:w="644" w:type="dxa"/>
            <w:tcBorders>
              <w:top w:val="single" w:sz="6" w:space="0" w:color="000000"/>
              <w:left w:val="single" w:sz="6" w:space="0" w:color="000000"/>
              <w:bottom w:val="single" w:sz="6" w:space="0" w:color="000000"/>
            </w:tcBorders>
          </w:tcPr>
          <w:p>
            <w:pPr>
              <w:pStyle w:val="TableParagraph"/>
              <w:spacing w:before="117"/>
              <w:ind w:left="32" w:right="7"/>
              <w:rPr>
                <w:rFonts w:ascii="Times New Roman"/>
                <w:sz w:val="18"/>
              </w:rPr>
            </w:pPr>
            <w:r>
              <w:rPr>
                <w:rFonts w:ascii="Times New Roman"/>
                <w:sz w:val="18"/>
              </w:rPr>
              <w:t>5.56</w:t>
            </w:r>
          </w:p>
        </w:tc>
      </w:tr>
      <w:tr>
        <w:trPr>
          <w:trHeight w:val="325"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739"/>
              <w:jc w:val="left"/>
              <w:rPr>
                <w:sz w:val="18"/>
              </w:rPr>
            </w:pPr>
            <w:r>
              <w:rPr>
                <w:sz w:val="18"/>
              </w:rPr>
              <w:t>碱化游离反应后蒸馏冷凝液（</w:t>
            </w:r>
            <w:r>
              <w:rPr>
                <w:rFonts w:ascii="Times New Roman" w:eastAsia="Times New Roman"/>
                <w:sz w:val="18"/>
              </w:rPr>
              <w:t>S9-5</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5" w:right="7"/>
              <w:rPr>
                <w:rFonts w:ascii="Times New Roman" w:eastAsia="Times New Roman"/>
                <w:sz w:val="18"/>
              </w:rPr>
            </w:pPr>
            <w:r>
              <w:rPr>
                <w:sz w:val="18"/>
              </w:rPr>
              <w:t>甲苯 </w:t>
            </w:r>
            <w:r>
              <w:rPr>
                <w:rFonts w:ascii="Times New Roman" w:eastAsia="Times New Roman"/>
                <w:sz w:val="18"/>
              </w:rPr>
              <w:t>10181.8</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3.05</w:t>
            </w:r>
          </w:p>
        </w:tc>
      </w:tr>
      <w:tr>
        <w:trPr>
          <w:trHeight w:val="325"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19"/>
              <w:jc w:val="left"/>
              <w:rPr>
                <w:sz w:val="18"/>
              </w:rPr>
            </w:pPr>
            <w:r>
              <w:rPr>
                <w:sz w:val="18"/>
              </w:rPr>
              <w:t>脱苄反应后蒸馏冷凝液（</w:t>
            </w:r>
            <w:r>
              <w:rPr>
                <w:rFonts w:ascii="Times New Roman" w:eastAsia="Times New Roman"/>
                <w:sz w:val="18"/>
              </w:rPr>
              <w:t>S9-6</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5" w:right="7"/>
              <w:rPr>
                <w:rFonts w:ascii="Times New Roman" w:eastAsia="Times New Roman"/>
                <w:sz w:val="18"/>
              </w:rPr>
            </w:pPr>
            <w:r>
              <w:rPr>
                <w:sz w:val="18"/>
              </w:rPr>
              <w:t>甲苯 </w:t>
            </w:r>
            <w:r>
              <w:rPr>
                <w:rFonts w:ascii="Times New Roman" w:eastAsia="Times New Roman"/>
                <w:sz w:val="18"/>
              </w:rPr>
              <w:t>4658.6</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1.40</w:t>
            </w:r>
          </w:p>
        </w:tc>
      </w:tr>
      <w:tr>
        <w:trPr>
          <w:trHeight w:val="325"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19"/>
              <w:jc w:val="left"/>
              <w:rPr>
                <w:sz w:val="18"/>
              </w:rPr>
            </w:pPr>
            <w:r>
              <w:rPr>
                <w:sz w:val="18"/>
              </w:rPr>
              <w:t>甲化反应后蒸馏冷凝液（</w:t>
            </w:r>
            <w:r>
              <w:rPr>
                <w:rFonts w:ascii="Times New Roman" w:eastAsia="Times New Roman"/>
                <w:sz w:val="18"/>
              </w:rPr>
              <w:t>S9-7</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6" w:right="7"/>
              <w:rPr>
                <w:rFonts w:ascii="Times New Roman" w:hAnsi="Times New Roman" w:eastAsia="Times New Roman"/>
                <w:sz w:val="18"/>
              </w:rPr>
            </w:pPr>
            <w:r>
              <w:rPr>
                <w:sz w:val="18"/>
              </w:rPr>
              <w:t>Σ</w:t>
            </w:r>
            <w:r>
              <w:rPr>
                <w:rFonts w:ascii="Times New Roman" w:hAnsi="Times New Roman" w:eastAsia="Times New Roman"/>
                <w:sz w:val="18"/>
              </w:rPr>
              <w:t>14243.7 </w:t>
            </w:r>
            <w:r>
              <w:rPr>
                <w:sz w:val="18"/>
              </w:rPr>
              <w:t>甲醛 </w:t>
            </w:r>
            <w:r>
              <w:rPr>
                <w:rFonts w:ascii="Times New Roman" w:hAnsi="Times New Roman" w:eastAsia="Times New Roman"/>
                <w:sz w:val="18"/>
              </w:rPr>
              <w:t>908</w:t>
            </w:r>
            <w:r>
              <w:rPr>
                <w:sz w:val="18"/>
              </w:rPr>
              <w:t>、甲酸 </w:t>
            </w:r>
            <w:r>
              <w:rPr>
                <w:rFonts w:ascii="Times New Roman" w:hAnsi="Times New Roman" w:eastAsia="Times New Roman"/>
                <w:sz w:val="18"/>
              </w:rPr>
              <w:t>6906.7</w:t>
            </w:r>
            <w:r>
              <w:rPr>
                <w:sz w:val="18"/>
              </w:rPr>
              <w:t>、正丁醇 </w:t>
            </w:r>
            <w:r>
              <w:rPr>
                <w:rFonts w:ascii="Times New Roman" w:hAnsi="Times New Roman" w:eastAsia="Times New Roman"/>
                <w:sz w:val="18"/>
              </w:rPr>
              <w:t>4134.5</w:t>
            </w:r>
            <w:r>
              <w:rPr>
                <w:sz w:val="18"/>
              </w:rPr>
              <w:t>、水 </w:t>
            </w:r>
            <w:r>
              <w:rPr>
                <w:rFonts w:ascii="Times New Roman" w:hAnsi="Times New Roman" w:eastAsia="Times New Roman"/>
                <w:sz w:val="18"/>
              </w:rPr>
              <w:t>2294.5</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4.27</w:t>
            </w:r>
          </w:p>
        </w:tc>
      </w:tr>
      <w:tr>
        <w:trPr>
          <w:trHeight w:val="452"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3"/>
              <w:ind w:left="919"/>
              <w:jc w:val="left"/>
              <w:rPr>
                <w:sz w:val="18"/>
              </w:rPr>
            </w:pPr>
            <w:r>
              <w:rPr>
                <w:sz w:val="18"/>
              </w:rPr>
              <w:t>米安色林精制过滤滤渣（</w:t>
            </w:r>
            <w:r>
              <w:rPr>
                <w:rFonts w:ascii="Times New Roman" w:eastAsia="Times New Roman"/>
                <w:sz w:val="18"/>
              </w:rPr>
              <w:t>S9-8</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36" w:right="7"/>
              <w:rPr>
                <w:sz w:val="18"/>
              </w:rPr>
            </w:pPr>
            <w:r>
              <w:rPr>
                <w:sz w:val="18"/>
              </w:rPr>
              <w:t>Σ</w:t>
            </w:r>
            <w:r>
              <w:rPr>
                <w:rFonts w:ascii="Times New Roman" w:hAnsi="Times New Roman" w:eastAsia="Times New Roman"/>
                <w:sz w:val="18"/>
              </w:rPr>
              <w:t>232</w:t>
            </w:r>
            <w:r>
              <w:rPr>
                <w:rFonts w:ascii="Times New Roman" w:hAnsi="Times New Roman" w:eastAsia="Times New Roman"/>
                <w:spacing w:val="19"/>
                <w:sz w:val="18"/>
              </w:rPr>
              <w:t> </w:t>
            </w:r>
            <w:r>
              <w:rPr>
                <w:spacing w:val="3"/>
                <w:sz w:val="18"/>
              </w:rPr>
              <w:t>活性炭 </w:t>
            </w:r>
            <w:r>
              <w:rPr>
                <w:rFonts w:ascii="Times New Roman" w:hAnsi="Times New Roman" w:eastAsia="Times New Roman"/>
                <w:sz w:val="18"/>
              </w:rPr>
              <w:t>200</w:t>
            </w:r>
            <w:r>
              <w:rPr>
                <w:spacing w:val="-1"/>
                <w:sz w:val="18"/>
              </w:rPr>
              <w:t>、盐酸米安色林 </w:t>
            </w:r>
            <w:r>
              <w:rPr>
                <w:rFonts w:ascii="Times New Roman" w:hAnsi="Times New Roman" w:eastAsia="Times New Roman"/>
                <w:sz w:val="18"/>
              </w:rPr>
              <w:t>12.8</w:t>
            </w:r>
            <w:r>
              <w:rPr>
                <w:spacing w:val="-1"/>
                <w:sz w:val="18"/>
              </w:rPr>
              <w:t>、乙醇 </w:t>
            </w:r>
            <w:r>
              <w:rPr>
                <w:rFonts w:ascii="Times New Roman" w:hAnsi="Times New Roman" w:eastAsia="Times New Roman"/>
                <w:sz w:val="18"/>
              </w:rPr>
              <w:t>10</w:t>
            </w:r>
            <w:r>
              <w:rPr>
                <w:sz w:val="18"/>
              </w:rPr>
              <w:t>、甲苯 </w:t>
            </w:r>
            <w:r>
              <w:rPr>
                <w:rFonts w:ascii="Times New Roman" w:hAnsi="Times New Roman" w:eastAsia="Times New Roman"/>
                <w:sz w:val="18"/>
              </w:rPr>
              <w:t>0.5</w:t>
            </w:r>
            <w:r>
              <w:rPr>
                <w:sz w:val="18"/>
              </w:rPr>
              <w:t>、丙酮 </w:t>
            </w:r>
            <w:r>
              <w:rPr>
                <w:rFonts w:ascii="Times New Roman" w:hAnsi="Times New Roman" w:eastAsia="Times New Roman"/>
                <w:sz w:val="18"/>
              </w:rPr>
              <w:t>7.1</w:t>
            </w:r>
            <w:r>
              <w:rPr>
                <w:spacing w:val="-1"/>
                <w:sz w:val="18"/>
              </w:rPr>
              <w:t>、盐酸乙酸乙酯 </w:t>
            </w:r>
            <w:r>
              <w:rPr>
                <w:rFonts w:ascii="Times New Roman" w:hAnsi="Times New Roman" w:eastAsia="Times New Roman"/>
                <w:sz w:val="18"/>
              </w:rPr>
              <w:t>0.9</w:t>
            </w:r>
            <w:r>
              <w:rPr>
                <w:spacing w:val="-12"/>
                <w:sz w:val="18"/>
              </w:rPr>
              <w:t>、乙</w:t>
            </w:r>
          </w:p>
          <w:p>
            <w:pPr>
              <w:pStyle w:val="TableParagraph"/>
              <w:spacing w:line="218" w:lineRule="exact"/>
              <w:ind w:left="37" w:right="7"/>
              <w:rPr>
                <w:rFonts w:ascii="Times New Roman" w:eastAsia="Times New Roman"/>
                <w:sz w:val="18"/>
              </w:rPr>
            </w:pPr>
            <w:r>
              <w:rPr>
                <w:sz w:val="18"/>
              </w:rPr>
              <w:t>酸乙酯 </w:t>
            </w:r>
            <w:r>
              <w:rPr>
                <w:rFonts w:ascii="Times New Roman" w:eastAsia="Times New Roman"/>
                <w:sz w:val="18"/>
              </w:rPr>
              <w:t>0.6</w:t>
            </w:r>
          </w:p>
        </w:tc>
        <w:tc>
          <w:tcPr>
            <w:tcW w:w="644" w:type="dxa"/>
            <w:tcBorders>
              <w:top w:val="single" w:sz="6" w:space="0" w:color="000000"/>
              <w:left w:val="single" w:sz="6" w:space="0" w:color="000000"/>
              <w:bottom w:val="single" w:sz="6" w:space="0" w:color="000000"/>
            </w:tcBorders>
          </w:tcPr>
          <w:p>
            <w:pPr>
              <w:pStyle w:val="TableParagraph"/>
              <w:spacing w:before="119"/>
              <w:ind w:left="32" w:right="7"/>
              <w:rPr>
                <w:rFonts w:ascii="Times New Roman"/>
                <w:sz w:val="18"/>
              </w:rPr>
            </w:pPr>
            <w:r>
              <w:rPr>
                <w:rFonts w:ascii="Times New Roman"/>
                <w:sz w:val="18"/>
              </w:rPr>
              <w:t>0.07</w:t>
            </w:r>
          </w:p>
        </w:tc>
      </w:tr>
      <w:tr>
        <w:trPr>
          <w:trHeight w:val="452"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3"/>
              <w:ind w:left="739"/>
              <w:jc w:val="left"/>
              <w:rPr>
                <w:sz w:val="18"/>
              </w:rPr>
            </w:pPr>
            <w:r>
              <w:rPr>
                <w:sz w:val="18"/>
              </w:rPr>
              <w:t>精制后离心母液、洗涤废水（</w:t>
            </w:r>
            <w:r>
              <w:rPr>
                <w:rFonts w:ascii="Times New Roman" w:eastAsia="Times New Roman"/>
                <w:sz w:val="18"/>
              </w:rPr>
              <w:t>S9-9</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36" w:right="7"/>
              <w:rPr>
                <w:sz w:val="18"/>
              </w:rPr>
            </w:pPr>
            <w:r>
              <w:rPr>
                <w:sz w:val="18"/>
              </w:rPr>
              <w:t>Σ</w:t>
            </w:r>
            <w:r>
              <w:rPr>
                <w:rFonts w:ascii="Times New Roman" w:hAnsi="Times New Roman" w:eastAsia="Times New Roman"/>
                <w:sz w:val="18"/>
              </w:rPr>
              <w:t>5076.6</w:t>
            </w:r>
            <w:r>
              <w:rPr>
                <w:rFonts w:ascii="Times New Roman" w:hAnsi="Times New Roman" w:eastAsia="Times New Roman"/>
                <w:spacing w:val="22"/>
                <w:sz w:val="18"/>
              </w:rPr>
              <w:t> </w:t>
            </w:r>
            <w:r>
              <w:rPr>
                <w:spacing w:val="3"/>
                <w:sz w:val="18"/>
              </w:rPr>
              <w:t>乙醇 </w:t>
            </w:r>
            <w:r>
              <w:rPr>
                <w:rFonts w:ascii="Times New Roman" w:hAnsi="Times New Roman" w:eastAsia="Times New Roman"/>
                <w:sz w:val="18"/>
              </w:rPr>
              <w:t>3895.5</w:t>
            </w:r>
            <w:r>
              <w:rPr>
                <w:spacing w:val="-1"/>
                <w:sz w:val="18"/>
              </w:rPr>
              <w:t>、盐酸米安色林 </w:t>
            </w:r>
            <w:r>
              <w:rPr>
                <w:rFonts w:ascii="Times New Roman" w:hAnsi="Times New Roman" w:eastAsia="Times New Roman"/>
                <w:sz w:val="18"/>
              </w:rPr>
              <w:t>267.7</w:t>
            </w:r>
            <w:r>
              <w:rPr>
                <w:spacing w:val="2"/>
                <w:sz w:val="18"/>
              </w:rPr>
              <w:t>、甲苯 </w:t>
            </w:r>
            <w:r>
              <w:rPr>
                <w:rFonts w:ascii="Times New Roman" w:hAnsi="Times New Roman" w:eastAsia="Times New Roman"/>
                <w:sz w:val="18"/>
              </w:rPr>
              <w:t>53.6</w:t>
            </w:r>
            <w:r>
              <w:rPr>
                <w:spacing w:val="2"/>
                <w:sz w:val="18"/>
              </w:rPr>
              <w:t>、丙酮 </w:t>
            </w:r>
            <w:r>
              <w:rPr>
                <w:rFonts w:ascii="Times New Roman" w:hAnsi="Times New Roman" w:eastAsia="Times New Roman"/>
                <w:sz w:val="18"/>
              </w:rPr>
              <w:t>705.4</w:t>
            </w:r>
            <w:r>
              <w:rPr>
                <w:spacing w:val="-1"/>
                <w:sz w:val="18"/>
              </w:rPr>
              <w:t>、盐酸乙酸乙酯 </w:t>
            </w:r>
            <w:r>
              <w:rPr>
                <w:rFonts w:ascii="Times New Roman" w:hAnsi="Times New Roman" w:eastAsia="Times New Roman"/>
                <w:sz w:val="18"/>
              </w:rPr>
              <w:t>92.4</w:t>
            </w:r>
            <w:r>
              <w:rPr>
                <w:spacing w:val="-5"/>
                <w:sz w:val="18"/>
              </w:rPr>
              <w:t>、乙</w:t>
            </w:r>
          </w:p>
          <w:p>
            <w:pPr>
              <w:pStyle w:val="TableParagraph"/>
              <w:spacing w:line="218" w:lineRule="exact"/>
              <w:ind w:left="35" w:right="7"/>
              <w:rPr>
                <w:rFonts w:ascii="Times New Roman" w:eastAsia="Times New Roman"/>
                <w:sz w:val="18"/>
              </w:rPr>
            </w:pPr>
            <w:r>
              <w:rPr>
                <w:sz w:val="18"/>
              </w:rPr>
              <w:t>酸乙酯 </w:t>
            </w:r>
            <w:r>
              <w:rPr>
                <w:rFonts w:ascii="Times New Roman" w:eastAsia="Times New Roman"/>
                <w:sz w:val="18"/>
              </w:rPr>
              <w:t>61.9</w:t>
            </w:r>
          </w:p>
        </w:tc>
        <w:tc>
          <w:tcPr>
            <w:tcW w:w="644" w:type="dxa"/>
            <w:tcBorders>
              <w:top w:val="single" w:sz="6" w:space="0" w:color="000000"/>
              <w:left w:val="single" w:sz="6" w:space="0" w:color="000000"/>
              <w:bottom w:val="single" w:sz="6" w:space="0" w:color="000000"/>
            </w:tcBorders>
          </w:tcPr>
          <w:p>
            <w:pPr>
              <w:pStyle w:val="TableParagraph"/>
              <w:spacing w:before="117"/>
              <w:ind w:left="32" w:right="7"/>
              <w:rPr>
                <w:rFonts w:ascii="Times New Roman"/>
                <w:sz w:val="18"/>
              </w:rPr>
            </w:pPr>
            <w:r>
              <w:rPr>
                <w:rFonts w:ascii="Times New Roman"/>
                <w:sz w:val="18"/>
              </w:rPr>
              <w:t>1.52</w:t>
            </w:r>
          </w:p>
        </w:tc>
      </w:tr>
      <w:tr>
        <w:trPr>
          <w:trHeight w:val="325" w:hRule="atLeast"/>
        </w:trPr>
        <w:tc>
          <w:tcPr>
            <w:tcW w:w="1058" w:type="dxa"/>
            <w:vMerge/>
            <w:tcBorders>
              <w:top w:val="nil"/>
              <w:right w:val="single" w:sz="6" w:space="0" w:color="000000"/>
            </w:tcBorders>
          </w:tcPr>
          <w:p>
            <w:pPr>
              <w:rPr>
                <w:sz w:val="2"/>
                <w:szCs w:val="2"/>
              </w:rPr>
            </w:pPr>
          </w:p>
        </w:tc>
        <w:tc>
          <w:tcPr>
            <w:tcW w:w="43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964"/>
              <w:jc w:val="left"/>
              <w:rPr>
                <w:sz w:val="18"/>
              </w:rPr>
            </w:pPr>
            <w:r>
              <w:rPr>
                <w:sz w:val="18"/>
              </w:rPr>
              <w:t>干燥挥发乙醇冷凝液（</w:t>
            </w:r>
            <w:r>
              <w:rPr>
                <w:rFonts w:ascii="Times New Roman" w:eastAsia="Times New Roman"/>
                <w:sz w:val="18"/>
              </w:rPr>
              <w:t>S9-10</w:t>
            </w:r>
            <w:r>
              <w:rPr>
                <w:sz w:val="18"/>
              </w:rPr>
              <w:t>）</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8" w:right="7"/>
              <w:rPr>
                <w:rFonts w:ascii="Times New Roman" w:eastAsia="Times New Roman"/>
                <w:sz w:val="18"/>
              </w:rPr>
            </w:pPr>
            <w:r>
              <w:rPr>
                <w:sz w:val="18"/>
              </w:rPr>
              <w:t>乙醇 </w:t>
            </w:r>
            <w:r>
              <w:rPr>
                <w:rFonts w:ascii="Times New Roman" w:eastAsia="Times New Roman"/>
                <w:sz w:val="18"/>
              </w:rPr>
              <w:t>94.5</w:t>
            </w:r>
          </w:p>
        </w:tc>
        <w:tc>
          <w:tcPr>
            <w:tcW w:w="644" w:type="dxa"/>
            <w:tcBorders>
              <w:top w:val="single" w:sz="6" w:space="0" w:color="000000"/>
              <w:left w:val="single" w:sz="6" w:space="0" w:color="000000"/>
              <w:bottom w:val="single" w:sz="6" w:space="0" w:color="000000"/>
            </w:tcBorders>
          </w:tcPr>
          <w:p>
            <w:pPr>
              <w:pStyle w:val="TableParagraph"/>
              <w:spacing w:before="55"/>
              <w:ind w:left="32" w:right="7"/>
              <w:rPr>
                <w:rFonts w:ascii="Times New Roman"/>
                <w:sz w:val="18"/>
              </w:rPr>
            </w:pPr>
            <w:r>
              <w:rPr>
                <w:rFonts w:ascii="Times New Roman"/>
                <w:sz w:val="18"/>
              </w:rPr>
              <w:t>0.03</w:t>
            </w:r>
          </w:p>
        </w:tc>
      </w:tr>
      <w:tr>
        <w:trPr>
          <w:trHeight w:val="450" w:hRule="atLeast"/>
        </w:trPr>
        <w:tc>
          <w:tcPr>
            <w:tcW w:w="1058" w:type="dxa"/>
            <w:vMerge/>
            <w:tcBorders>
              <w:top w:val="nil"/>
              <w:right w:val="single" w:sz="6" w:space="0" w:color="000000"/>
            </w:tcBorders>
          </w:tcPr>
          <w:p>
            <w:pPr>
              <w:rPr>
                <w:sz w:val="2"/>
                <w:szCs w:val="2"/>
              </w:rPr>
            </w:pPr>
          </w:p>
        </w:tc>
        <w:tc>
          <w:tcPr>
            <w:tcW w:w="2571"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27"/>
              <w:rPr>
                <w:sz w:val="18"/>
              </w:rPr>
            </w:pPr>
            <w:r>
              <w:rPr>
                <w:sz w:val="18"/>
              </w:rPr>
              <w:t>反应后分层水层废水回收车间蒸</w:t>
            </w:r>
          </w:p>
          <w:p>
            <w:pPr>
              <w:pStyle w:val="TableParagraph"/>
              <w:spacing w:line="217" w:lineRule="exact"/>
              <w:ind w:left="26"/>
              <w:rPr>
                <w:sz w:val="18"/>
              </w:rPr>
            </w:pPr>
            <w:r>
              <w:rPr>
                <w:sz w:val="18"/>
              </w:rPr>
              <w:t>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23"/>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before="23"/>
              <w:ind w:left="38" w:right="7"/>
              <w:rPr>
                <w:rFonts w:ascii="Times New Roman" w:hAnsi="Times New Roman" w:eastAsia="Times New Roman"/>
                <w:sz w:val="18"/>
              </w:rPr>
            </w:pPr>
            <w:r>
              <w:rPr>
                <w:sz w:val="18"/>
              </w:rPr>
              <w:t>Σ</w:t>
            </w:r>
            <w:r>
              <w:rPr>
                <w:rFonts w:ascii="Times New Roman" w:hAnsi="Times New Roman" w:eastAsia="Times New Roman"/>
                <w:sz w:val="18"/>
              </w:rPr>
              <w:t>2376.8 </w:t>
            </w:r>
            <w:r>
              <w:rPr>
                <w:sz w:val="18"/>
              </w:rPr>
              <w:t>水 </w:t>
            </w:r>
            <w:r>
              <w:rPr>
                <w:rFonts w:ascii="Times New Roman" w:hAnsi="Times New Roman" w:eastAsia="Times New Roman"/>
                <w:sz w:val="18"/>
              </w:rPr>
              <w:t>1560</w:t>
            </w:r>
            <w:r>
              <w:rPr>
                <w:sz w:val="18"/>
              </w:rPr>
              <w:t>、甲醇 </w:t>
            </w:r>
            <w:r>
              <w:rPr>
                <w:rFonts w:ascii="Times New Roman" w:hAnsi="Times New Roman" w:eastAsia="Times New Roman"/>
                <w:sz w:val="18"/>
              </w:rPr>
              <w:t>575</w:t>
            </w:r>
            <w:r>
              <w:rPr>
                <w:sz w:val="18"/>
              </w:rPr>
              <w:t>、苯甲醛 </w:t>
            </w:r>
            <w:r>
              <w:rPr>
                <w:rFonts w:ascii="Times New Roman" w:hAnsi="Times New Roman" w:eastAsia="Times New Roman"/>
                <w:sz w:val="18"/>
              </w:rPr>
              <w:t>33.4</w:t>
            </w:r>
            <w:r>
              <w:rPr>
                <w:sz w:val="18"/>
              </w:rPr>
              <w:t>、乙醇胺 </w:t>
            </w:r>
            <w:r>
              <w:rPr>
                <w:rFonts w:ascii="Times New Roman" w:hAnsi="Times New Roman" w:eastAsia="Times New Roman"/>
                <w:sz w:val="18"/>
              </w:rPr>
              <w:t>19</w:t>
            </w:r>
            <w:r>
              <w:rPr>
                <w:sz w:val="18"/>
              </w:rPr>
              <w:t>、苄氨基乙醇 </w:t>
            </w:r>
            <w:r>
              <w:rPr>
                <w:rFonts w:ascii="Times New Roman" w:hAnsi="Times New Roman" w:eastAsia="Times New Roman"/>
                <w:sz w:val="18"/>
              </w:rPr>
              <w:t>168</w:t>
            </w:r>
            <w:r>
              <w:rPr>
                <w:sz w:val="18"/>
              </w:rPr>
              <w:t>、副产物 </w:t>
            </w:r>
            <w:r>
              <w:rPr>
                <w:rFonts w:ascii="Times New Roman" w:hAnsi="Times New Roman" w:eastAsia="Times New Roman"/>
                <w:sz w:val="18"/>
              </w:rPr>
              <w:t>21.4</w:t>
            </w:r>
          </w:p>
        </w:tc>
        <w:tc>
          <w:tcPr>
            <w:tcW w:w="644" w:type="dxa"/>
            <w:tcBorders>
              <w:top w:val="single" w:sz="6" w:space="0" w:color="000000"/>
              <w:left w:val="single" w:sz="6" w:space="0" w:color="000000"/>
              <w:bottom w:val="single" w:sz="6" w:space="0" w:color="000000"/>
            </w:tcBorders>
          </w:tcPr>
          <w:p>
            <w:pPr>
              <w:pStyle w:val="TableParagraph"/>
              <w:spacing w:before="117"/>
              <w:ind w:left="32" w:right="7"/>
              <w:rPr>
                <w:rFonts w:ascii="Times New Roman"/>
                <w:sz w:val="18"/>
              </w:rPr>
            </w:pPr>
            <w:r>
              <w:rPr>
                <w:rFonts w:ascii="Times New Roman"/>
                <w:sz w:val="18"/>
              </w:rPr>
              <w:t>0.71</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8" w:lineRule="auto" w:before="122"/>
              <w:ind w:left="751" w:right="2" w:hanging="720"/>
              <w:jc w:val="left"/>
              <w:rPr>
                <w:sz w:val="18"/>
              </w:rPr>
            </w:pPr>
            <w:r>
              <w:rPr>
                <w:sz w:val="18"/>
              </w:rPr>
              <w:t>缩合反应后分层水层废水回收车间蒸馏预处理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5" w:right="7"/>
              <w:rPr>
                <w:rFonts w:ascii="Times New Roman" w:hAnsi="Times New Roman" w:eastAsia="Times New Roman"/>
                <w:sz w:val="18"/>
              </w:rPr>
            </w:pPr>
            <w:r>
              <w:rPr>
                <w:sz w:val="18"/>
              </w:rPr>
              <w:t>Σ</w:t>
            </w:r>
            <w:r>
              <w:rPr>
                <w:rFonts w:ascii="Times New Roman" w:hAnsi="Times New Roman" w:eastAsia="Times New Roman"/>
                <w:sz w:val="18"/>
              </w:rPr>
              <w:t>14386.1 </w:t>
            </w:r>
            <w:r>
              <w:rPr>
                <w:sz w:val="18"/>
              </w:rPr>
              <w:t>硫酸钠 </w:t>
            </w:r>
            <w:r>
              <w:rPr>
                <w:rFonts w:ascii="Times New Roman" w:hAnsi="Times New Roman" w:eastAsia="Times New Roman"/>
                <w:sz w:val="18"/>
              </w:rPr>
              <w:t>7122.7</w:t>
            </w:r>
            <w:r>
              <w:rPr>
                <w:sz w:val="18"/>
              </w:rPr>
              <w:t>、氯化钠 </w:t>
            </w:r>
            <w:r>
              <w:rPr>
                <w:rFonts w:ascii="Times New Roman" w:hAnsi="Times New Roman" w:eastAsia="Times New Roman"/>
                <w:sz w:val="18"/>
              </w:rPr>
              <w:t>3029.1</w:t>
            </w:r>
            <w:r>
              <w:rPr>
                <w:sz w:val="18"/>
              </w:rPr>
              <w:t>、碳酸钾 </w:t>
            </w:r>
            <w:r>
              <w:rPr>
                <w:rFonts w:ascii="Times New Roman" w:hAnsi="Times New Roman" w:eastAsia="Times New Roman"/>
                <w:sz w:val="18"/>
              </w:rPr>
              <w:t>1060.2</w:t>
            </w:r>
            <w:r>
              <w:rPr>
                <w:sz w:val="18"/>
              </w:rPr>
              <w:t>、氯化钾 </w:t>
            </w:r>
            <w:r>
              <w:rPr>
                <w:rFonts w:ascii="Times New Roman" w:hAnsi="Times New Roman" w:eastAsia="Times New Roman"/>
                <w:sz w:val="18"/>
              </w:rPr>
              <w:t>3174.1</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4.32</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8" w:right="7"/>
              <w:rPr>
                <w:rFonts w:ascii="Times New Roman" w:hAnsi="Times New Roman" w:eastAsia="Times New Roman"/>
                <w:sz w:val="18"/>
              </w:rPr>
            </w:pPr>
            <w:r>
              <w:rPr>
                <w:sz w:val="18"/>
              </w:rPr>
              <w:t>Σ</w:t>
            </w:r>
            <w:r>
              <w:rPr>
                <w:rFonts w:ascii="Times New Roman" w:hAnsi="Times New Roman" w:eastAsia="Times New Roman"/>
                <w:sz w:val="18"/>
              </w:rPr>
              <w:t>9284 </w:t>
            </w:r>
            <w:r>
              <w:rPr>
                <w:sz w:val="18"/>
              </w:rPr>
              <w:t>水 </w:t>
            </w:r>
            <w:r>
              <w:rPr>
                <w:rFonts w:ascii="Times New Roman" w:hAnsi="Times New Roman" w:eastAsia="Times New Roman"/>
                <w:sz w:val="18"/>
              </w:rPr>
              <w:t>8903.9 </w:t>
            </w:r>
            <w:r>
              <w:rPr>
                <w:sz w:val="18"/>
              </w:rPr>
              <w:t>、吡啶 </w:t>
            </w:r>
            <w:r>
              <w:rPr>
                <w:rFonts w:ascii="Times New Roman" w:hAnsi="Times New Roman" w:eastAsia="Times New Roman"/>
                <w:sz w:val="18"/>
              </w:rPr>
              <w:t>183.2</w:t>
            </w:r>
            <w:r>
              <w:rPr>
                <w:sz w:val="18"/>
              </w:rPr>
              <w:t>、氯苯 </w:t>
            </w:r>
            <w:r>
              <w:rPr>
                <w:rFonts w:ascii="Times New Roman" w:hAnsi="Times New Roman" w:eastAsia="Times New Roman"/>
                <w:sz w:val="18"/>
              </w:rPr>
              <w:t>14.2</w:t>
            </w:r>
            <w:r>
              <w:rPr>
                <w:sz w:val="18"/>
              </w:rPr>
              <w:t>、二氯物 </w:t>
            </w:r>
            <w:r>
              <w:rPr>
                <w:rFonts w:ascii="Times New Roman" w:hAnsi="Times New Roman" w:eastAsia="Times New Roman"/>
                <w:sz w:val="18"/>
              </w:rPr>
              <w:t>182.8</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2.79</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25"/>
              <w:ind w:left="482" w:right="2" w:hanging="452"/>
              <w:jc w:val="left"/>
              <w:rPr>
                <w:sz w:val="18"/>
              </w:rPr>
            </w:pPr>
            <w:r>
              <w:rPr>
                <w:sz w:val="18"/>
              </w:rPr>
              <w:t>环合反应后离心母液、洗涤废水回收车间蒸馏预处理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5" w:right="7"/>
              <w:rPr>
                <w:rFonts w:ascii="Times New Roman" w:hAnsi="Times New Roman" w:eastAsia="Times New Roman"/>
                <w:sz w:val="18"/>
              </w:rPr>
            </w:pPr>
            <w:r>
              <w:rPr>
                <w:sz w:val="18"/>
              </w:rPr>
              <w:t>Σ</w:t>
            </w:r>
            <w:r>
              <w:rPr>
                <w:rFonts w:ascii="Times New Roman" w:hAnsi="Times New Roman" w:eastAsia="Times New Roman"/>
                <w:sz w:val="18"/>
              </w:rPr>
              <w:t>15279.1 </w:t>
            </w:r>
            <w:r>
              <w:rPr>
                <w:sz w:val="18"/>
              </w:rPr>
              <w:t>环合物 </w:t>
            </w:r>
            <w:r>
              <w:rPr>
                <w:rFonts w:ascii="Times New Roman" w:hAnsi="Times New Roman" w:eastAsia="Times New Roman"/>
                <w:sz w:val="18"/>
              </w:rPr>
              <w:t>649.1</w:t>
            </w:r>
            <w:r>
              <w:rPr>
                <w:sz w:val="18"/>
              </w:rPr>
              <w:t>、硫酸 </w:t>
            </w:r>
            <w:r>
              <w:rPr>
                <w:rFonts w:ascii="Times New Roman" w:hAnsi="Times New Roman" w:eastAsia="Times New Roman"/>
                <w:sz w:val="18"/>
              </w:rPr>
              <w:t>14630.0</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4.58</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7" w:right="7"/>
              <w:rPr>
                <w:rFonts w:ascii="Times New Roman" w:eastAsia="Times New Roman"/>
                <w:sz w:val="18"/>
              </w:rPr>
            </w:pPr>
            <w:r>
              <w:rPr>
                <w:sz w:val="18"/>
              </w:rPr>
              <w:t>水 </w:t>
            </w:r>
            <w:r>
              <w:rPr>
                <w:rFonts w:ascii="Times New Roman" w:eastAsia="Times New Roman"/>
                <w:sz w:val="18"/>
              </w:rPr>
              <w:t>5129.2</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1.54</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25"/>
              <w:ind w:left="751" w:right="2" w:hanging="720"/>
              <w:jc w:val="left"/>
              <w:rPr>
                <w:sz w:val="18"/>
              </w:rPr>
            </w:pPr>
            <w:r>
              <w:rPr>
                <w:sz w:val="18"/>
              </w:rPr>
              <w:t>碱化游离分层后水层废水回收车间蒸馏预处理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5" w:right="7"/>
              <w:rPr>
                <w:rFonts w:ascii="Times New Roman" w:hAnsi="Times New Roman" w:eastAsia="Times New Roman"/>
                <w:sz w:val="18"/>
              </w:rPr>
            </w:pPr>
            <w:r>
              <w:rPr>
                <w:sz w:val="18"/>
              </w:rPr>
              <w:t>Σ</w:t>
            </w:r>
            <w:r>
              <w:rPr>
                <w:rFonts w:ascii="Times New Roman" w:hAnsi="Times New Roman" w:eastAsia="Times New Roman"/>
                <w:sz w:val="18"/>
              </w:rPr>
              <w:t>2969.6 </w:t>
            </w:r>
            <w:r>
              <w:rPr>
                <w:sz w:val="18"/>
              </w:rPr>
              <w:t>碳酸钠 </w:t>
            </w:r>
            <w:r>
              <w:rPr>
                <w:rFonts w:ascii="Times New Roman" w:hAnsi="Times New Roman" w:eastAsia="Times New Roman"/>
                <w:sz w:val="18"/>
              </w:rPr>
              <w:t>1414.6</w:t>
            </w:r>
            <w:r>
              <w:rPr>
                <w:sz w:val="18"/>
              </w:rPr>
              <w:t>、游离碱 </w:t>
            </w:r>
            <w:r>
              <w:rPr>
                <w:rFonts w:ascii="Times New Roman" w:hAnsi="Times New Roman" w:eastAsia="Times New Roman"/>
                <w:sz w:val="18"/>
              </w:rPr>
              <w:t>263.9</w:t>
            </w:r>
            <w:r>
              <w:rPr>
                <w:sz w:val="18"/>
              </w:rPr>
              <w:t>、富马酸钠 </w:t>
            </w:r>
            <w:r>
              <w:rPr>
                <w:rFonts w:ascii="Times New Roman" w:hAnsi="Times New Roman" w:eastAsia="Times New Roman"/>
                <w:sz w:val="18"/>
              </w:rPr>
              <w:t>1291.2</w:t>
            </w:r>
          </w:p>
        </w:tc>
        <w:tc>
          <w:tcPr>
            <w:tcW w:w="644" w:type="dxa"/>
            <w:tcBorders>
              <w:top w:val="single" w:sz="6" w:space="0" w:color="000000"/>
              <w:left w:val="single" w:sz="6" w:space="0" w:color="000000"/>
              <w:bottom w:val="single" w:sz="6" w:space="0" w:color="000000"/>
            </w:tcBorders>
          </w:tcPr>
          <w:p>
            <w:pPr>
              <w:pStyle w:val="TableParagraph"/>
              <w:spacing w:before="55"/>
              <w:ind w:left="32" w:right="7"/>
              <w:rPr>
                <w:rFonts w:ascii="Times New Roman"/>
                <w:sz w:val="18"/>
              </w:rPr>
            </w:pPr>
            <w:r>
              <w:rPr>
                <w:rFonts w:ascii="Times New Roman"/>
                <w:sz w:val="18"/>
              </w:rPr>
              <w:t>0.89</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8" w:right="7"/>
              <w:rPr>
                <w:rFonts w:ascii="Times New Roman" w:hAnsi="Times New Roman" w:eastAsia="Times New Roman"/>
                <w:sz w:val="18"/>
              </w:rPr>
            </w:pPr>
            <w:r>
              <w:rPr>
                <w:sz w:val="18"/>
              </w:rPr>
              <w:t>Σ</w:t>
            </w:r>
            <w:r>
              <w:rPr>
                <w:rFonts w:ascii="Times New Roman" w:hAnsi="Times New Roman" w:eastAsia="Times New Roman"/>
                <w:sz w:val="18"/>
              </w:rPr>
              <w:t>7533.9 </w:t>
            </w:r>
            <w:r>
              <w:rPr>
                <w:sz w:val="18"/>
              </w:rPr>
              <w:t>甲苯 </w:t>
            </w:r>
            <w:r>
              <w:rPr>
                <w:rFonts w:ascii="Times New Roman" w:hAnsi="Times New Roman" w:eastAsia="Times New Roman"/>
                <w:sz w:val="18"/>
              </w:rPr>
              <w:t>447.8</w:t>
            </w:r>
            <w:r>
              <w:rPr>
                <w:sz w:val="18"/>
              </w:rPr>
              <w:t>、乙醇 </w:t>
            </w:r>
            <w:r>
              <w:rPr>
                <w:rFonts w:ascii="Times New Roman" w:hAnsi="Times New Roman" w:eastAsia="Times New Roman"/>
                <w:sz w:val="18"/>
              </w:rPr>
              <w:t>4152.0</w:t>
            </w:r>
            <w:r>
              <w:rPr>
                <w:sz w:val="18"/>
              </w:rPr>
              <w:t>、水 </w:t>
            </w:r>
            <w:r>
              <w:rPr>
                <w:rFonts w:ascii="Times New Roman" w:hAnsi="Times New Roman" w:eastAsia="Times New Roman"/>
                <w:sz w:val="18"/>
              </w:rPr>
              <w:t>2934.1</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2.26</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25"/>
              <w:ind w:left="751" w:right="2" w:hanging="720"/>
              <w:jc w:val="left"/>
              <w:rPr>
                <w:sz w:val="18"/>
              </w:rPr>
            </w:pPr>
            <w:r>
              <w:rPr>
                <w:sz w:val="18"/>
              </w:rPr>
              <w:t>脱卞精制后分层水层废水回收车间蒸馏预处理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8" w:right="7"/>
              <w:rPr>
                <w:rFonts w:ascii="Times New Roman" w:hAnsi="Times New Roman" w:eastAsia="Times New Roman"/>
                <w:sz w:val="18"/>
              </w:rPr>
            </w:pPr>
            <w:r>
              <w:rPr>
                <w:sz w:val="18"/>
              </w:rPr>
              <w:t>Σ</w:t>
            </w:r>
            <w:r>
              <w:rPr>
                <w:rFonts w:ascii="Times New Roman" w:hAnsi="Times New Roman" w:eastAsia="Times New Roman"/>
                <w:sz w:val="18"/>
              </w:rPr>
              <w:t>3447.0 </w:t>
            </w:r>
            <w:r>
              <w:rPr>
                <w:sz w:val="18"/>
              </w:rPr>
              <w:t>脱苄物 </w:t>
            </w:r>
            <w:r>
              <w:rPr>
                <w:rFonts w:ascii="Times New Roman" w:hAnsi="Times New Roman" w:eastAsia="Times New Roman"/>
                <w:sz w:val="18"/>
              </w:rPr>
              <w:t>182.4</w:t>
            </w:r>
            <w:r>
              <w:rPr>
                <w:sz w:val="18"/>
              </w:rPr>
              <w:t>、氢氧化钾 </w:t>
            </w:r>
            <w:r>
              <w:rPr>
                <w:rFonts w:ascii="Times New Roman" w:hAnsi="Times New Roman" w:eastAsia="Times New Roman"/>
                <w:sz w:val="18"/>
              </w:rPr>
              <w:t>291.9</w:t>
            </w:r>
            <w:r>
              <w:rPr>
                <w:sz w:val="18"/>
              </w:rPr>
              <w:t>、碳酸钾 </w:t>
            </w:r>
            <w:r>
              <w:rPr>
                <w:rFonts w:ascii="Times New Roman" w:hAnsi="Times New Roman" w:eastAsia="Times New Roman"/>
                <w:sz w:val="18"/>
              </w:rPr>
              <w:t>1721.1</w:t>
            </w:r>
            <w:r>
              <w:rPr>
                <w:sz w:val="18"/>
              </w:rPr>
              <w:t>、一氯代甲苯 </w:t>
            </w:r>
            <w:r>
              <w:rPr>
                <w:rFonts w:ascii="Times New Roman" w:hAnsi="Times New Roman" w:eastAsia="Times New Roman"/>
                <w:sz w:val="18"/>
              </w:rPr>
              <w:t>784.3</w:t>
            </w:r>
            <w:r>
              <w:rPr>
                <w:sz w:val="18"/>
              </w:rPr>
              <w:t>、氯化钾 </w:t>
            </w:r>
            <w:r>
              <w:rPr>
                <w:rFonts w:ascii="Times New Roman" w:hAnsi="Times New Roman" w:eastAsia="Times New Roman"/>
                <w:sz w:val="18"/>
              </w:rPr>
              <w:t>467.3</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1.03</w:t>
            </w:r>
          </w:p>
        </w:tc>
      </w:tr>
      <w:tr>
        <w:trPr>
          <w:trHeight w:val="325" w:hRule="atLeast"/>
        </w:trPr>
        <w:tc>
          <w:tcPr>
            <w:tcW w:w="1058" w:type="dxa"/>
            <w:vMerge/>
            <w:tcBorders>
              <w:top w:val="nil"/>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5" w:right="7"/>
              <w:rPr>
                <w:rFonts w:ascii="Times New Roman" w:hAnsi="Times New Roman" w:eastAsia="Times New Roman"/>
                <w:sz w:val="18"/>
              </w:rPr>
            </w:pPr>
            <w:r>
              <w:rPr>
                <w:sz w:val="18"/>
              </w:rPr>
              <w:t>Σ</w:t>
            </w:r>
            <w:r>
              <w:rPr>
                <w:rFonts w:ascii="Times New Roman" w:hAnsi="Times New Roman" w:eastAsia="Times New Roman"/>
                <w:sz w:val="18"/>
              </w:rPr>
              <w:t>1212.5 </w:t>
            </w:r>
            <w:r>
              <w:rPr>
                <w:sz w:val="18"/>
              </w:rPr>
              <w:t>水 </w:t>
            </w:r>
            <w:r>
              <w:rPr>
                <w:rFonts w:ascii="Times New Roman" w:hAnsi="Times New Roman" w:eastAsia="Times New Roman"/>
                <w:sz w:val="18"/>
              </w:rPr>
              <w:t>447.6</w:t>
            </w:r>
            <w:r>
              <w:rPr>
                <w:sz w:val="18"/>
              </w:rPr>
              <w:t>、正丁醇 </w:t>
            </w:r>
            <w:r>
              <w:rPr>
                <w:rFonts w:ascii="Times New Roman" w:hAnsi="Times New Roman" w:eastAsia="Times New Roman"/>
                <w:sz w:val="18"/>
              </w:rPr>
              <w:t>222.8</w:t>
            </w:r>
            <w:r>
              <w:rPr>
                <w:sz w:val="18"/>
              </w:rPr>
              <w:t>、甲苯 </w:t>
            </w:r>
            <w:r>
              <w:rPr>
                <w:rFonts w:ascii="Times New Roman" w:hAnsi="Times New Roman" w:eastAsia="Times New Roman"/>
                <w:sz w:val="18"/>
              </w:rPr>
              <w:t>83.2</w:t>
            </w:r>
            <w:r>
              <w:rPr>
                <w:sz w:val="18"/>
              </w:rPr>
              <w:t>、乙醇 </w:t>
            </w:r>
            <w:r>
              <w:rPr>
                <w:rFonts w:ascii="Times New Roman" w:hAnsi="Times New Roman" w:eastAsia="Times New Roman"/>
                <w:sz w:val="18"/>
              </w:rPr>
              <w:t>459.0</w:t>
            </w:r>
          </w:p>
        </w:tc>
        <w:tc>
          <w:tcPr>
            <w:tcW w:w="644" w:type="dxa"/>
            <w:tcBorders>
              <w:top w:val="single" w:sz="6" w:space="0" w:color="000000"/>
              <w:left w:val="single" w:sz="6" w:space="0" w:color="000000"/>
              <w:bottom w:val="single" w:sz="6" w:space="0" w:color="000000"/>
            </w:tcBorders>
          </w:tcPr>
          <w:p>
            <w:pPr>
              <w:pStyle w:val="TableParagraph"/>
              <w:spacing w:before="54"/>
              <w:ind w:left="32" w:right="7"/>
              <w:rPr>
                <w:rFonts w:ascii="Times New Roman"/>
                <w:sz w:val="18"/>
              </w:rPr>
            </w:pPr>
            <w:r>
              <w:rPr>
                <w:rFonts w:ascii="Times New Roman"/>
                <w:sz w:val="18"/>
              </w:rPr>
              <w:t>0.36</w:t>
            </w:r>
          </w:p>
        </w:tc>
      </w:tr>
      <w:tr>
        <w:trPr>
          <w:trHeight w:val="452" w:hRule="atLeast"/>
        </w:trPr>
        <w:tc>
          <w:tcPr>
            <w:tcW w:w="1058" w:type="dxa"/>
            <w:vMerge/>
            <w:tcBorders>
              <w:top w:val="nil"/>
              <w:right w:val="single" w:sz="6" w:space="0" w:color="000000"/>
            </w:tcBorders>
          </w:tcPr>
          <w:p>
            <w:pPr>
              <w:rPr>
                <w:sz w:val="2"/>
                <w:szCs w:val="2"/>
              </w:rPr>
            </w:pPr>
          </w:p>
        </w:tc>
        <w:tc>
          <w:tcPr>
            <w:tcW w:w="2571" w:type="dxa"/>
            <w:vMerge w:val="restart"/>
            <w:tcBorders>
              <w:top w:val="single" w:sz="6" w:space="0" w:color="000000"/>
              <w:left w:val="single" w:sz="6" w:space="0" w:color="000000"/>
              <w:right w:val="single" w:sz="6" w:space="0" w:color="000000"/>
            </w:tcBorders>
          </w:tcPr>
          <w:p>
            <w:pPr>
              <w:pStyle w:val="TableParagraph"/>
              <w:spacing w:before="3"/>
              <w:jc w:val="left"/>
              <w:rPr>
                <w:rFonts w:ascii="Times New Roman"/>
                <w:sz w:val="16"/>
              </w:rPr>
            </w:pPr>
          </w:p>
          <w:p>
            <w:pPr>
              <w:pStyle w:val="TableParagraph"/>
              <w:spacing w:line="146" w:lineRule="auto"/>
              <w:ind w:left="751" w:right="2" w:hanging="720"/>
              <w:jc w:val="left"/>
              <w:rPr>
                <w:sz w:val="18"/>
              </w:rPr>
            </w:pPr>
            <w:r>
              <w:rPr>
                <w:sz w:val="18"/>
              </w:rPr>
              <w:t>脱卞精制后洗涤水层废水回收车间蒸馏预处理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23"/>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45" w:right="1"/>
              <w:rPr>
                <w:sz w:val="18"/>
              </w:rPr>
            </w:pPr>
            <w:r>
              <w:rPr>
                <w:sz w:val="18"/>
              </w:rPr>
              <w:t>Σ</w:t>
            </w:r>
            <w:r>
              <w:rPr>
                <w:rFonts w:ascii="Times New Roman" w:hAnsi="Times New Roman" w:eastAsia="Times New Roman"/>
                <w:sz w:val="18"/>
              </w:rPr>
              <w:t>4617.3</w:t>
            </w:r>
            <w:r>
              <w:rPr>
                <w:rFonts w:ascii="Times New Roman" w:hAnsi="Times New Roman" w:eastAsia="Times New Roman"/>
                <w:spacing w:val="20"/>
                <w:sz w:val="18"/>
              </w:rPr>
              <w:t> </w:t>
            </w:r>
            <w:r>
              <w:rPr>
                <w:spacing w:val="3"/>
                <w:sz w:val="18"/>
              </w:rPr>
              <w:t>盐水 </w:t>
            </w:r>
            <w:r>
              <w:rPr>
                <w:rFonts w:ascii="Times New Roman" w:hAnsi="Times New Roman" w:eastAsia="Times New Roman"/>
                <w:sz w:val="18"/>
              </w:rPr>
              <w:t>3900</w:t>
            </w:r>
            <w:r>
              <w:rPr>
                <w:spacing w:val="2"/>
                <w:sz w:val="18"/>
              </w:rPr>
              <w:t>、脱苄物 </w:t>
            </w:r>
            <w:r>
              <w:rPr>
                <w:rFonts w:ascii="Times New Roman" w:hAnsi="Times New Roman" w:eastAsia="Times New Roman"/>
                <w:sz w:val="18"/>
              </w:rPr>
              <w:t>141.2</w:t>
            </w:r>
            <w:r>
              <w:rPr>
                <w:spacing w:val="2"/>
                <w:sz w:val="18"/>
              </w:rPr>
              <w:t>、氢氧化钾 </w:t>
            </w:r>
            <w:r>
              <w:rPr>
                <w:rFonts w:ascii="Times New Roman" w:hAnsi="Times New Roman" w:eastAsia="Times New Roman"/>
                <w:sz w:val="18"/>
              </w:rPr>
              <w:t>51.5</w:t>
            </w:r>
            <w:r>
              <w:rPr>
                <w:spacing w:val="2"/>
                <w:sz w:val="18"/>
              </w:rPr>
              <w:t>、碳酸钾 </w:t>
            </w:r>
            <w:r>
              <w:rPr>
                <w:rFonts w:ascii="Times New Roman" w:hAnsi="Times New Roman" w:eastAsia="Times New Roman"/>
                <w:sz w:val="18"/>
              </w:rPr>
              <w:t>303.7</w:t>
            </w:r>
            <w:r>
              <w:rPr>
                <w:spacing w:val="2"/>
                <w:sz w:val="18"/>
              </w:rPr>
              <w:t>、一氯代甲苯 </w:t>
            </w:r>
            <w:r>
              <w:rPr>
                <w:rFonts w:ascii="Times New Roman" w:hAnsi="Times New Roman" w:eastAsia="Times New Roman"/>
                <w:sz w:val="18"/>
              </w:rPr>
              <w:t>138.4</w:t>
            </w:r>
            <w:r>
              <w:rPr>
                <w:sz w:val="18"/>
              </w:rPr>
              <w:t>、氯化</w:t>
            </w:r>
          </w:p>
          <w:p>
            <w:pPr>
              <w:pStyle w:val="TableParagraph"/>
              <w:spacing w:line="219" w:lineRule="exact"/>
              <w:ind w:left="35" w:right="7"/>
              <w:rPr>
                <w:rFonts w:ascii="Times New Roman" w:eastAsia="Times New Roman"/>
                <w:sz w:val="18"/>
              </w:rPr>
            </w:pPr>
            <w:r>
              <w:rPr>
                <w:sz w:val="18"/>
              </w:rPr>
              <w:t>钾 </w:t>
            </w:r>
            <w:r>
              <w:rPr>
                <w:rFonts w:ascii="Times New Roman" w:eastAsia="Times New Roman"/>
                <w:sz w:val="18"/>
              </w:rPr>
              <w:t>82.5</w:t>
            </w:r>
          </w:p>
        </w:tc>
        <w:tc>
          <w:tcPr>
            <w:tcW w:w="644" w:type="dxa"/>
            <w:tcBorders>
              <w:top w:val="single" w:sz="6" w:space="0" w:color="000000"/>
              <w:left w:val="single" w:sz="6" w:space="0" w:color="000000"/>
              <w:bottom w:val="single" w:sz="6" w:space="0" w:color="000000"/>
            </w:tcBorders>
          </w:tcPr>
          <w:p>
            <w:pPr>
              <w:pStyle w:val="TableParagraph"/>
              <w:spacing w:before="117"/>
              <w:ind w:left="32" w:right="7"/>
              <w:rPr>
                <w:rFonts w:ascii="Times New Roman"/>
                <w:sz w:val="18"/>
              </w:rPr>
            </w:pPr>
            <w:r>
              <w:rPr>
                <w:rFonts w:ascii="Times New Roman"/>
                <w:sz w:val="18"/>
              </w:rPr>
              <w:t>1.39</w:t>
            </w:r>
          </w:p>
        </w:tc>
      </w:tr>
      <w:tr>
        <w:trPr>
          <w:trHeight w:val="330" w:hRule="atLeast"/>
        </w:trPr>
        <w:tc>
          <w:tcPr>
            <w:tcW w:w="1058" w:type="dxa"/>
            <w:vMerge/>
            <w:tcBorders>
              <w:top w:val="nil"/>
              <w:right w:val="single" w:sz="6" w:space="0" w:color="000000"/>
            </w:tcBorders>
          </w:tcPr>
          <w:p>
            <w:pPr>
              <w:rPr>
                <w:sz w:val="2"/>
                <w:szCs w:val="2"/>
              </w:rPr>
            </w:pPr>
          </w:p>
        </w:tc>
        <w:tc>
          <w:tcPr>
            <w:tcW w:w="2571" w:type="dxa"/>
            <w:vMerge/>
            <w:tcBorders>
              <w:top w:val="nil"/>
              <w:left w:val="single" w:sz="6" w:space="0" w:color="000000"/>
              <w:right w:val="single" w:sz="6" w:space="0" w:color="000000"/>
            </w:tcBorders>
          </w:tcPr>
          <w:p>
            <w:pPr>
              <w:rPr>
                <w:sz w:val="2"/>
                <w:szCs w:val="2"/>
              </w:rPr>
            </w:pPr>
          </w:p>
        </w:tc>
        <w:tc>
          <w:tcPr>
            <w:tcW w:w="1754" w:type="dxa"/>
            <w:tcBorders>
              <w:top w:val="single" w:sz="6" w:space="0" w:color="000000"/>
              <w:left w:val="single" w:sz="6" w:space="0" w:color="000000"/>
              <w:right w:val="single" w:sz="6" w:space="0" w:color="000000"/>
            </w:tcBorders>
          </w:tcPr>
          <w:p>
            <w:pPr>
              <w:pStyle w:val="TableParagraph"/>
              <w:spacing w:line="310" w:lineRule="exact"/>
              <w:ind w:left="143" w:right="116"/>
              <w:rPr>
                <w:sz w:val="18"/>
              </w:rPr>
            </w:pPr>
            <w:r>
              <w:rPr>
                <w:sz w:val="18"/>
              </w:rPr>
              <w:t>低沸点馏分冷凝液</w:t>
            </w:r>
          </w:p>
        </w:tc>
        <w:tc>
          <w:tcPr>
            <w:tcW w:w="7249" w:type="dxa"/>
            <w:tcBorders>
              <w:top w:val="single" w:sz="6" w:space="0" w:color="000000"/>
              <w:left w:val="single" w:sz="6" w:space="0" w:color="000000"/>
              <w:right w:val="single" w:sz="6" w:space="0" w:color="000000"/>
            </w:tcBorders>
          </w:tcPr>
          <w:p>
            <w:pPr>
              <w:pStyle w:val="TableParagraph"/>
              <w:spacing w:line="310" w:lineRule="exact"/>
              <w:ind w:left="35" w:right="7"/>
              <w:rPr>
                <w:rFonts w:ascii="Times New Roman" w:hAnsi="Times New Roman" w:eastAsia="Times New Roman"/>
                <w:sz w:val="18"/>
              </w:rPr>
            </w:pPr>
            <w:r>
              <w:rPr>
                <w:sz w:val="18"/>
              </w:rPr>
              <w:t>Σ</w:t>
            </w:r>
            <w:r>
              <w:rPr>
                <w:rFonts w:ascii="Times New Roman" w:hAnsi="Times New Roman" w:eastAsia="Times New Roman"/>
                <w:sz w:val="18"/>
              </w:rPr>
              <w:t>716.4 </w:t>
            </w:r>
            <w:r>
              <w:rPr>
                <w:sz w:val="18"/>
              </w:rPr>
              <w:t>水 </w:t>
            </w:r>
            <w:r>
              <w:rPr>
                <w:rFonts w:ascii="Times New Roman" w:hAnsi="Times New Roman" w:eastAsia="Times New Roman"/>
                <w:sz w:val="18"/>
              </w:rPr>
              <w:t>79.0</w:t>
            </w:r>
            <w:r>
              <w:rPr>
                <w:sz w:val="18"/>
              </w:rPr>
              <w:t>、正丁醇 </w:t>
            </w:r>
            <w:r>
              <w:rPr>
                <w:rFonts w:ascii="Times New Roman" w:hAnsi="Times New Roman" w:eastAsia="Times New Roman"/>
                <w:sz w:val="18"/>
              </w:rPr>
              <w:t>423.3</w:t>
            </w:r>
            <w:r>
              <w:rPr>
                <w:sz w:val="18"/>
              </w:rPr>
              <w:t>、甲苯 </w:t>
            </w:r>
            <w:r>
              <w:rPr>
                <w:rFonts w:ascii="Times New Roman" w:hAnsi="Times New Roman" w:eastAsia="Times New Roman"/>
                <w:sz w:val="18"/>
              </w:rPr>
              <w:t>133.1</w:t>
            </w:r>
            <w:r>
              <w:rPr>
                <w:sz w:val="18"/>
              </w:rPr>
              <w:t>、乙醇 </w:t>
            </w:r>
            <w:r>
              <w:rPr>
                <w:rFonts w:ascii="Times New Roman" w:hAnsi="Times New Roman" w:eastAsia="Times New Roman"/>
                <w:sz w:val="18"/>
              </w:rPr>
              <w:t>81</w:t>
            </w:r>
          </w:p>
        </w:tc>
        <w:tc>
          <w:tcPr>
            <w:tcW w:w="644" w:type="dxa"/>
            <w:tcBorders>
              <w:top w:val="single" w:sz="6" w:space="0" w:color="000000"/>
              <w:left w:val="single" w:sz="6" w:space="0" w:color="000000"/>
            </w:tcBorders>
          </w:tcPr>
          <w:p>
            <w:pPr>
              <w:pStyle w:val="TableParagraph"/>
              <w:spacing w:before="54"/>
              <w:ind w:left="32" w:right="7"/>
              <w:rPr>
                <w:rFonts w:ascii="Times New Roman"/>
                <w:sz w:val="18"/>
              </w:rPr>
            </w:pPr>
            <w:r>
              <w:rPr>
                <w:rFonts w:ascii="Times New Roman"/>
                <w:sz w:val="18"/>
              </w:rPr>
              <w:t>0.21</w:t>
            </w:r>
          </w:p>
        </w:tc>
      </w:tr>
    </w:tbl>
    <w:p>
      <w:pPr>
        <w:spacing w:after="0"/>
        <w:rPr>
          <w:rFonts w:ascii="Times New Roman"/>
          <w:sz w:val="18"/>
        </w:rPr>
        <w:sectPr>
          <w:pgSz w:w="16840" w:h="11910" w:orient="landscape"/>
          <w:pgMar w:header="877" w:footer="973" w:top="1180" w:bottom="1160" w:left="1660" w:right="1640"/>
        </w:sectPr>
      </w:pPr>
    </w:p>
    <w:p>
      <w:pPr>
        <w:pStyle w:val="BodyText"/>
        <w:spacing w:before="6"/>
        <w:rPr>
          <w:rFonts w:ascii="Times New Roman"/>
          <w:sz w:val="22"/>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8"/>
        <w:gridCol w:w="2571"/>
        <w:gridCol w:w="1754"/>
        <w:gridCol w:w="7249"/>
        <w:gridCol w:w="644"/>
      </w:tblGrid>
      <w:tr>
        <w:trPr>
          <w:trHeight w:val="339" w:hRule="atLeast"/>
        </w:trPr>
        <w:tc>
          <w:tcPr>
            <w:tcW w:w="1058" w:type="dxa"/>
            <w:vMerge w:val="restart"/>
            <w:tcBorders>
              <w:bottom w:val="single" w:sz="6" w:space="0" w:color="000000"/>
              <w:right w:val="single" w:sz="6" w:space="0" w:color="000000"/>
            </w:tcBorders>
          </w:tcPr>
          <w:p>
            <w:pPr>
              <w:pStyle w:val="TableParagraph"/>
              <w:jc w:val="left"/>
              <w:rPr>
                <w:rFonts w:ascii="Times New Roman"/>
                <w:sz w:val="18"/>
              </w:rPr>
            </w:pPr>
          </w:p>
        </w:tc>
        <w:tc>
          <w:tcPr>
            <w:tcW w:w="2571" w:type="dxa"/>
            <w:vMerge w:val="restart"/>
            <w:tcBorders>
              <w:left w:val="single" w:sz="6" w:space="0" w:color="000000"/>
              <w:bottom w:val="single" w:sz="6" w:space="0" w:color="000000"/>
              <w:right w:val="single" w:sz="6" w:space="0" w:color="000000"/>
            </w:tcBorders>
          </w:tcPr>
          <w:p>
            <w:pPr>
              <w:pStyle w:val="TableParagraph"/>
              <w:spacing w:line="146" w:lineRule="auto" w:before="132"/>
              <w:ind w:left="751" w:right="2" w:hanging="720"/>
              <w:jc w:val="left"/>
              <w:rPr>
                <w:sz w:val="18"/>
              </w:rPr>
            </w:pPr>
            <w:r>
              <w:rPr>
                <w:sz w:val="18"/>
              </w:rPr>
              <w:t>甲化中和后分层水层废水回收车间蒸馏预处理</w:t>
            </w:r>
          </w:p>
        </w:tc>
        <w:tc>
          <w:tcPr>
            <w:tcW w:w="1754" w:type="dxa"/>
            <w:tcBorders>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2263.8 </w:t>
            </w:r>
            <w:r>
              <w:rPr>
                <w:sz w:val="18"/>
              </w:rPr>
              <w:t>甲酸钠 </w:t>
            </w:r>
            <w:r>
              <w:rPr>
                <w:rFonts w:ascii="Times New Roman" w:hAnsi="Times New Roman" w:eastAsia="Times New Roman"/>
                <w:sz w:val="18"/>
              </w:rPr>
              <w:t>1260.3</w:t>
            </w:r>
            <w:r>
              <w:rPr>
                <w:sz w:val="18"/>
              </w:rPr>
              <w:t>、米安色林 </w:t>
            </w:r>
            <w:r>
              <w:rPr>
                <w:rFonts w:ascii="Times New Roman" w:hAnsi="Times New Roman" w:eastAsia="Times New Roman"/>
                <w:sz w:val="18"/>
              </w:rPr>
              <w:t>190.1</w:t>
            </w:r>
            <w:r>
              <w:rPr>
                <w:sz w:val="18"/>
              </w:rPr>
              <w:t>、氢氧化钠 </w:t>
            </w:r>
            <w:r>
              <w:rPr>
                <w:rFonts w:ascii="Times New Roman" w:hAnsi="Times New Roman" w:eastAsia="Times New Roman"/>
                <w:sz w:val="18"/>
              </w:rPr>
              <w:t>813.5</w:t>
            </w:r>
          </w:p>
        </w:tc>
        <w:tc>
          <w:tcPr>
            <w:tcW w:w="644" w:type="dxa"/>
            <w:tcBorders>
              <w:left w:val="single" w:sz="6" w:space="0" w:color="000000"/>
              <w:bottom w:val="single" w:sz="6" w:space="0" w:color="000000"/>
            </w:tcBorders>
          </w:tcPr>
          <w:p>
            <w:pPr>
              <w:pStyle w:val="TableParagraph"/>
              <w:spacing w:before="61"/>
              <w:ind w:left="32" w:right="7"/>
              <w:rPr>
                <w:rFonts w:ascii="Times New Roman"/>
                <w:sz w:val="18"/>
              </w:rPr>
            </w:pPr>
            <w:r>
              <w:rPr>
                <w:rFonts w:ascii="Times New Roman"/>
                <w:sz w:val="18"/>
              </w:rPr>
              <w:t>0.68</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2321.0 </w:t>
            </w:r>
            <w:r>
              <w:rPr>
                <w:sz w:val="18"/>
              </w:rPr>
              <w:t>甲苯 </w:t>
            </w:r>
            <w:r>
              <w:rPr>
                <w:rFonts w:ascii="Times New Roman" w:hAnsi="Times New Roman" w:eastAsia="Times New Roman"/>
                <w:sz w:val="18"/>
              </w:rPr>
              <w:t>298.0</w:t>
            </w:r>
            <w:r>
              <w:rPr>
                <w:sz w:val="18"/>
              </w:rPr>
              <w:t>、正丁醇 </w:t>
            </w:r>
            <w:r>
              <w:rPr>
                <w:rFonts w:ascii="Times New Roman" w:hAnsi="Times New Roman" w:eastAsia="Times New Roman"/>
                <w:sz w:val="18"/>
              </w:rPr>
              <w:t>204.4</w:t>
            </w:r>
            <w:r>
              <w:rPr>
                <w:sz w:val="18"/>
              </w:rPr>
              <w:t>、甲醛 </w:t>
            </w:r>
            <w:r>
              <w:rPr>
                <w:rFonts w:ascii="Times New Roman" w:hAnsi="Times New Roman" w:eastAsia="Times New Roman"/>
                <w:sz w:val="18"/>
              </w:rPr>
              <w:t>81.6</w:t>
            </w:r>
            <w:r>
              <w:rPr>
                <w:sz w:val="18"/>
              </w:rPr>
              <w:t>、水 </w:t>
            </w:r>
            <w:r>
              <w:rPr>
                <w:rFonts w:ascii="Times New Roman" w:hAnsi="Times New Roman" w:eastAsia="Times New Roman"/>
                <w:sz w:val="18"/>
              </w:rPr>
              <w:t>1737</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0.70</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751" w:right="2" w:hanging="720"/>
              <w:jc w:val="left"/>
              <w:rPr>
                <w:sz w:val="18"/>
              </w:rPr>
            </w:pPr>
            <w:r>
              <w:rPr>
                <w:sz w:val="18"/>
              </w:rPr>
              <w:t>甲化中和后盐酸洗涤废水回收车间蒸馏预处理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6" w:right="7"/>
              <w:rPr>
                <w:rFonts w:ascii="Times New Roman" w:hAnsi="Times New Roman" w:eastAsia="Times New Roman"/>
                <w:sz w:val="18"/>
              </w:rPr>
            </w:pPr>
            <w:r>
              <w:rPr>
                <w:sz w:val="18"/>
              </w:rPr>
              <w:t>Σ</w:t>
            </w:r>
            <w:r>
              <w:rPr>
                <w:rFonts w:ascii="Times New Roman" w:hAnsi="Times New Roman" w:eastAsia="Times New Roman"/>
                <w:sz w:val="18"/>
              </w:rPr>
              <w:t>2926.8 </w:t>
            </w:r>
            <w:r>
              <w:rPr>
                <w:sz w:val="18"/>
              </w:rPr>
              <w:t>盐水 </w:t>
            </w:r>
            <w:r>
              <w:rPr>
                <w:rFonts w:ascii="Times New Roman" w:hAnsi="Times New Roman" w:eastAsia="Times New Roman"/>
                <w:sz w:val="18"/>
              </w:rPr>
              <w:t>2600</w:t>
            </w:r>
            <w:r>
              <w:rPr>
                <w:sz w:val="18"/>
              </w:rPr>
              <w:t>、甲酸钠 </w:t>
            </w:r>
            <w:r>
              <w:rPr>
                <w:rFonts w:ascii="Times New Roman" w:hAnsi="Times New Roman" w:eastAsia="Times New Roman"/>
                <w:sz w:val="18"/>
              </w:rPr>
              <w:t>140</w:t>
            </w:r>
            <w:r>
              <w:rPr>
                <w:sz w:val="18"/>
              </w:rPr>
              <w:t>、米安色林 </w:t>
            </w:r>
            <w:r>
              <w:rPr>
                <w:rFonts w:ascii="Times New Roman" w:hAnsi="Times New Roman" w:eastAsia="Times New Roman"/>
                <w:sz w:val="18"/>
              </w:rPr>
              <w:t>143.9</w:t>
            </w:r>
            <w:r>
              <w:rPr>
                <w:sz w:val="18"/>
              </w:rPr>
              <w:t>、氢氧化钠 </w:t>
            </w:r>
            <w:r>
              <w:rPr>
                <w:rFonts w:ascii="Times New Roman" w:hAnsi="Times New Roman" w:eastAsia="Times New Roman"/>
                <w:sz w:val="18"/>
              </w:rPr>
              <w:t>42.8</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0.88</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737.6 </w:t>
            </w:r>
            <w:r>
              <w:rPr>
                <w:sz w:val="18"/>
              </w:rPr>
              <w:t>甲苯 </w:t>
            </w:r>
            <w:r>
              <w:rPr>
                <w:rFonts w:ascii="Times New Roman" w:hAnsi="Times New Roman" w:eastAsia="Times New Roman"/>
                <w:sz w:val="18"/>
              </w:rPr>
              <w:t>396.3 </w:t>
            </w:r>
            <w:r>
              <w:rPr>
                <w:sz w:val="18"/>
              </w:rPr>
              <w:t>、正丁醇 </w:t>
            </w:r>
            <w:r>
              <w:rPr>
                <w:rFonts w:ascii="Times New Roman" w:hAnsi="Times New Roman" w:eastAsia="Times New Roman"/>
                <w:sz w:val="18"/>
              </w:rPr>
              <w:t>249.9</w:t>
            </w:r>
            <w:r>
              <w:rPr>
                <w:sz w:val="18"/>
              </w:rPr>
              <w:t>、水 </w:t>
            </w:r>
            <w:r>
              <w:rPr>
                <w:rFonts w:ascii="Times New Roman" w:hAnsi="Times New Roman" w:eastAsia="Times New Roman"/>
                <w:sz w:val="18"/>
              </w:rPr>
              <w:t>91.4</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0.22</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32"/>
              <w:ind w:left="931" w:right="2" w:hanging="900"/>
              <w:jc w:val="left"/>
              <w:rPr>
                <w:sz w:val="18"/>
              </w:rPr>
            </w:pPr>
            <w:r>
              <w:rPr>
                <w:sz w:val="18"/>
              </w:rPr>
              <w:t>成盐反应后离心母液回收车间蒸馏预处理</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43" w:right="116"/>
              <w:rPr>
                <w:sz w:val="18"/>
              </w:rPr>
            </w:pPr>
            <w:r>
              <w:rPr>
                <w:sz w:val="18"/>
              </w:rPr>
              <w:t>蒸馏残渣</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8" w:right="7"/>
              <w:rPr>
                <w:rFonts w:ascii="Times New Roman" w:hAnsi="Times New Roman" w:eastAsia="Times New Roman"/>
                <w:sz w:val="18"/>
              </w:rPr>
            </w:pPr>
            <w:r>
              <w:rPr>
                <w:sz w:val="18"/>
              </w:rPr>
              <w:t>Σ</w:t>
            </w:r>
            <w:r>
              <w:rPr>
                <w:rFonts w:ascii="Times New Roman" w:hAnsi="Times New Roman" w:eastAsia="Times New Roman"/>
                <w:sz w:val="18"/>
              </w:rPr>
              <w:t>195.2 </w:t>
            </w:r>
            <w:r>
              <w:rPr>
                <w:sz w:val="18"/>
              </w:rPr>
              <w:t>盐酸米安色林 </w:t>
            </w:r>
            <w:r>
              <w:rPr>
                <w:rFonts w:ascii="Times New Roman" w:hAnsi="Times New Roman" w:eastAsia="Times New Roman"/>
                <w:sz w:val="18"/>
              </w:rPr>
              <w:t>142.3</w:t>
            </w:r>
            <w:r>
              <w:rPr>
                <w:sz w:val="18"/>
              </w:rPr>
              <w:t>、盐酸乙酸乙酯 </w:t>
            </w:r>
            <w:r>
              <w:rPr>
                <w:rFonts w:ascii="Times New Roman" w:hAnsi="Times New Roman" w:eastAsia="Times New Roman"/>
                <w:sz w:val="18"/>
              </w:rPr>
              <w:t>52.9</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0.06</w:t>
            </w:r>
          </w:p>
        </w:tc>
      </w:tr>
      <w:tr>
        <w:trPr>
          <w:trHeight w:val="340" w:hRule="atLeast"/>
        </w:trPr>
        <w:tc>
          <w:tcPr>
            <w:tcW w:w="1058" w:type="dxa"/>
            <w:vMerge/>
            <w:tcBorders>
              <w:top w:val="nil"/>
              <w:bottom w:val="single" w:sz="6" w:space="0" w:color="000000"/>
              <w:right w:val="single" w:sz="6" w:space="0" w:color="000000"/>
            </w:tcBorders>
          </w:tcPr>
          <w:p>
            <w:pPr>
              <w:rPr>
                <w:sz w:val="2"/>
                <w:szCs w:val="2"/>
              </w:rPr>
            </w:pPr>
          </w:p>
        </w:tc>
        <w:tc>
          <w:tcPr>
            <w:tcW w:w="2571" w:type="dxa"/>
            <w:vMerge/>
            <w:tcBorders>
              <w:top w:val="nil"/>
              <w:left w:val="single" w:sz="6" w:space="0" w:color="000000"/>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43" w:right="116"/>
              <w:rPr>
                <w:sz w:val="18"/>
              </w:rPr>
            </w:pPr>
            <w:r>
              <w:rPr>
                <w:sz w:val="18"/>
              </w:rPr>
              <w:t>低沸点馏分冷凝液</w:t>
            </w:r>
          </w:p>
        </w:tc>
        <w:tc>
          <w:tcPr>
            <w:tcW w:w="72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7" w:right="7"/>
              <w:rPr>
                <w:rFonts w:ascii="Times New Roman" w:hAnsi="Times New Roman" w:eastAsia="Times New Roman"/>
                <w:sz w:val="18"/>
              </w:rPr>
            </w:pPr>
            <w:r>
              <w:rPr>
                <w:sz w:val="18"/>
              </w:rPr>
              <w:t>Σ</w:t>
            </w:r>
            <w:r>
              <w:rPr>
                <w:rFonts w:ascii="Times New Roman" w:hAnsi="Times New Roman" w:eastAsia="Times New Roman"/>
                <w:sz w:val="18"/>
              </w:rPr>
              <w:t>4284.3 </w:t>
            </w:r>
            <w:r>
              <w:rPr>
                <w:sz w:val="18"/>
              </w:rPr>
              <w:t>甲苯 </w:t>
            </w:r>
            <w:r>
              <w:rPr>
                <w:rFonts w:ascii="Times New Roman" w:hAnsi="Times New Roman" w:eastAsia="Times New Roman"/>
                <w:sz w:val="18"/>
              </w:rPr>
              <w:t>390.0</w:t>
            </w:r>
            <w:r>
              <w:rPr>
                <w:sz w:val="18"/>
              </w:rPr>
              <w:t>、丙酮 </w:t>
            </w:r>
            <w:r>
              <w:rPr>
                <w:rFonts w:ascii="Times New Roman" w:hAnsi="Times New Roman" w:eastAsia="Times New Roman"/>
                <w:sz w:val="18"/>
              </w:rPr>
              <w:t>3230.0</w:t>
            </w:r>
            <w:r>
              <w:rPr>
                <w:sz w:val="18"/>
              </w:rPr>
              <w:t>、盐酸乙酸乙酯 </w:t>
            </w:r>
            <w:r>
              <w:rPr>
                <w:rFonts w:ascii="Times New Roman" w:hAnsi="Times New Roman" w:eastAsia="Times New Roman"/>
                <w:sz w:val="18"/>
              </w:rPr>
              <w:t>381.0</w:t>
            </w:r>
            <w:r>
              <w:rPr>
                <w:sz w:val="18"/>
              </w:rPr>
              <w:t>、乙酸乙酯 </w:t>
            </w:r>
            <w:r>
              <w:rPr>
                <w:rFonts w:ascii="Times New Roman" w:hAnsi="Times New Roman" w:eastAsia="Times New Roman"/>
                <w:sz w:val="18"/>
              </w:rPr>
              <w:t>283.3</w:t>
            </w:r>
          </w:p>
        </w:tc>
        <w:tc>
          <w:tcPr>
            <w:tcW w:w="644" w:type="dxa"/>
            <w:tcBorders>
              <w:top w:val="single" w:sz="6" w:space="0" w:color="000000"/>
              <w:left w:val="single" w:sz="6" w:space="0" w:color="000000"/>
              <w:bottom w:val="single" w:sz="6" w:space="0" w:color="000000"/>
            </w:tcBorders>
          </w:tcPr>
          <w:p>
            <w:pPr>
              <w:pStyle w:val="TableParagraph"/>
              <w:spacing w:before="62"/>
              <w:ind w:left="32" w:right="7"/>
              <w:rPr>
                <w:rFonts w:ascii="Times New Roman"/>
                <w:sz w:val="18"/>
              </w:rPr>
            </w:pPr>
            <w:r>
              <w:rPr>
                <w:rFonts w:ascii="Times New Roman"/>
                <w:sz w:val="18"/>
              </w:rPr>
              <w:t>1.29</w:t>
            </w:r>
          </w:p>
        </w:tc>
      </w:tr>
      <w:tr>
        <w:trPr>
          <w:trHeight w:val="339" w:hRule="atLeast"/>
        </w:trPr>
        <w:tc>
          <w:tcPr>
            <w:tcW w:w="12632" w:type="dxa"/>
            <w:gridSpan w:val="4"/>
            <w:tcBorders>
              <w:top w:val="single" w:sz="6" w:space="0" w:color="000000"/>
              <w:right w:val="single" w:sz="6" w:space="0" w:color="000000"/>
            </w:tcBorders>
          </w:tcPr>
          <w:p>
            <w:pPr>
              <w:pStyle w:val="TableParagraph"/>
              <w:spacing w:line="320" w:lineRule="exact"/>
              <w:ind w:left="5938" w:right="5910"/>
              <w:rPr>
                <w:sz w:val="18"/>
              </w:rPr>
            </w:pPr>
            <w:r>
              <w:rPr>
                <w:sz w:val="18"/>
              </w:rPr>
              <w:t>危废合计</w:t>
            </w:r>
          </w:p>
        </w:tc>
        <w:tc>
          <w:tcPr>
            <w:tcW w:w="644" w:type="dxa"/>
            <w:tcBorders>
              <w:top w:val="single" w:sz="6" w:space="0" w:color="000000"/>
              <w:left w:val="single" w:sz="6" w:space="0" w:color="000000"/>
            </w:tcBorders>
          </w:tcPr>
          <w:p>
            <w:pPr>
              <w:pStyle w:val="TableParagraph"/>
              <w:spacing w:before="62"/>
              <w:ind w:left="33" w:right="6"/>
              <w:rPr>
                <w:rFonts w:ascii="Times New Roman"/>
                <w:sz w:val="18"/>
              </w:rPr>
            </w:pPr>
            <w:r>
              <w:rPr>
                <w:rFonts w:ascii="Times New Roman"/>
                <w:sz w:val="18"/>
              </w:rPr>
              <w:t>983.96</w:t>
            </w:r>
          </w:p>
        </w:tc>
      </w:tr>
    </w:tbl>
    <w:p>
      <w:pPr>
        <w:spacing w:after="0"/>
        <w:rPr>
          <w:rFonts w:ascii="Times New Roman"/>
          <w:sz w:val="18"/>
        </w:rPr>
        <w:sectPr>
          <w:pgSz w:w="16840" w:h="11910" w:orient="landscape"/>
          <w:pgMar w:header="877" w:footer="973" w:top="1180" w:bottom="1160" w:left="1660" w:right="1640"/>
        </w:sectPr>
      </w:pPr>
    </w:p>
    <w:p>
      <w:pPr>
        <w:pStyle w:val="BodyText"/>
        <w:spacing w:line="458" w:lineRule="exact"/>
        <w:ind w:left="1060"/>
      </w:pPr>
      <w:r>
        <w:rPr/>
        <w:t>（</w:t>
      </w:r>
      <w:r>
        <w:rPr>
          <w:rFonts w:ascii="Times New Roman" w:eastAsia="Times New Roman"/>
          <w:b/>
        </w:rPr>
        <w:t>3</w:t>
      </w:r>
      <w:r>
        <w:rPr/>
        <w:t>）废活性炭</w:t>
      </w:r>
    </w:p>
    <w:p>
      <w:pPr>
        <w:pStyle w:val="BodyText"/>
        <w:spacing w:line="220" w:lineRule="auto" w:before="8"/>
        <w:ind w:left="578" w:right="751" w:firstLine="479"/>
        <w:jc w:val="both"/>
      </w:pPr>
      <w:r>
        <w:rPr>
          <w:spacing w:val="-4"/>
        </w:rPr>
        <w:t>项目生产过程中的有机废气全部去活性炭吸附装置处理，处理过程产生废活性炭（</w:t>
      </w:r>
      <w:r>
        <w:rPr>
          <w:spacing w:val="-1"/>
        </w:rPr>
        <w:t>项目废气处理用活性炭添加量 </w:t>
      </w:r>
      <w:r>
        <w:rPr>
          <w:rFonts w:ascii="Times New Roman" w:eastAsia="Times New Roman"/>
        </w:rPr>
        <w:t>30t/a</w:t>
      </w:r>
      <w:r>
        <w:rPr>
          <w:spacing w:val="3"/>
        </w:rPr>
        <w:t>，活性炭吸附能力按自重的 </w:t>
      </w:r>
      <w:r>
        <w:rPr>
          <w:rFonts w:ascii="Times New Roman" w:eastAsia="Times New Roman"/>
        </w:rPr>
        <w:t>30%</w:t>
      </w:r>
      <w:r>
        <w:rPr/>
        <w:t>，年</w:t>
      </w:r>
      <w:r>
        <w:rPr>
          <w:spacing w:val="1"/>
        </w:rPr>
        <w:t>更换次数为 </w:t>
      </w:r>
      <w:r>
        <w:rPr>
          <w:rFonts w:ascii="Times New Roman" w:eastAsia="Times New Roman"/>
        </w:rPr>
        <w:t>20 </w:t>
      </w:r>
      <w:r>
        <w:rPr/>
        <w:t>次，每次添加量约 </w:t>
      </w:r>
      <w:r>
        <w:rPr>
          <w:rFonts w:ascii="Times New Roman" w:eastAsia="Times New Roman"/>
        </w:rPr>
        <w:t>1.5t</w:t>
      </w:r>
      <w:r>
        <w:rPr>
          <w:spacing w:val="1"/>
        </w:rPr>
        <w:t>，年产生废活性炭 </w:t>
      </w:r>
      <w:r>
        <w:rPr>
          <w:rFonts w:ascii="Times New Roman" w:eastAsia="Times New Roman"/>
        </w:rPr>
        <w:t>39t/a</w:t>
      </w:r>
      <w:r>
        <w:rPr/>
        <w:t>），属于《国家危险废物名录》（</w:t>
      </w:r>
      <w:r>
        <w:rPr>
          <w:rFonts w:ascii="Times New Roman" w:eastAsia="Times New Roman"/>
        </w:rPr>
        <w:t>2016</w:t>
      </w:r>
      <w:r>
        <w:rPr>
          <w:rFonts w:ascii="Times New Roman" w:eastAsia="Times New Roman"/>
          <w:spacing w:val="52"/>
        </w:rPr>
        <w:t> </w:t>
      </w:r>
      <w:r>
        <w:rPr/>
        <w:t>版）中的危险废物（废物类别：</w:t>
      </w:r>
      <w:r>
        <w:rPr>
          <w:rFonts w:ascii="Times New Roman" w:eastAsia="Times New Roman"/>
        </w:rPr>
        <w:t>HW49</w:t>
      </w:r>
      <w:r>
        <w:rPr>
          <w:rFonts w:ascii="Times New Roman" w:eastAsia="Times New Roman"/>
          <w:spacing w:val="60"/>
        </w:rPr>
        <w:t> </w:t>
      </w:r>
      <w:r>
        <w:rPr/>
        <w:t>其他废物，废物代码：</w:t>
      </w:r>
      <w:r>
        <w:rPr>
          <w:rFonts w:ascii="Times New Roman" w:eastAsia="Times New Roman"/>
        </w:rPr>
        <w:t>900-041-49</w:t>
      </w:r>
      <w:r>
        <w:rPr/>
        <w:t>），委托有危废资质单位处置。</w:t>
      </w:r>
    </w:p>
    <w:p>
      <w:pPr>
        <w:pStyle w:val="BodyText"/>
        <w:spacing w:line="453" w:lineRule="exact"/>
        <w:ind w:left="1060"/>
      </w:pPr>
      <w:r>
        <w:rPr/>
        <w:t>（</w:t>
      </w:r>
      <w:r>
        <w:rPr>
          <w:rFonts w:ascii="Times New Roman" w:eastAsia="Times New Roman"/>
          <w:b/>
        </w:rPr>
        <w:t>4</w:t>
      </w:r>
      <w:r>
        <w:rPr/>
        <w:t>）废树脂</w:t>
      </w:r>
    </w:p>
    <w:p>
      <w:pPr>
        <w:pStyle w:val="BodyText"/>
        <w:spacing w:line="220" w:lineRule="auto" w:before="8"/>
        <w:ind w:left="578" w:right="646" w:firstLine="479"/>
        <w:jc w:val="both"/>
      </w:pPr>
      <w:r>
        <w:rPr/>
        <w:t>废酸再生系统产生废树脂，产生量为 </w:t>
      </w:r>
      <w:r>
        <w:rPr>
          <w:rFonts w:ascii="Times New Roman" w:eastAsia="Times New Roman"/>
        </w:rPr>
        <w:t>360L/3a</w:t>
      </w:r>
      <w:r>
        <w:rPr>
          <w:spacing w:val="-10"/>
        </w:rPr>
        <w:t>。根据《国家危险废物名录》， </w:t>
      </w:r>
      <w:r>
        <w:rPr>
          <w:spacing w:val="28"/>
        </w:rPr>
        <w:t>废树脂属于危险废物</w:t>
      </w:r>
      <w:r>
        <w:rPr/>
        <w:t>（</w:t>
      </w:r>
      <w:r>
        <w:rPr>
          <w:spacing w:val="8"/>
        </w:rPr>
        <w:t> 废物类别： </w:t>
      </w:r>
      <w:r>
        <w:rPr>
          <w:rFonts w:ascii="Times New Roman" w:eastAsia="Times New Roman"/>
        </w:rPr>
        <w:t>HW13 </w:t>
      </w:r>
      <w:r>
        <w:rPr>
          <w:spacing w:val="17"/>
        </w:rPr>
        <w:t>有机树脂类废物， 废物代码： </w:t>
      </w:r>
      <w:r>
        <w:rPr>
          <w:rFonts w:ascii="Times New Roman" w:eastAsia="Times New Roman"/>
          <w:spacing w:val="17"/>
        </w:rPr>
        <w:t>90</w:t>
      </w:r>
      <w:r>
        <w:rPr>
          <w:rFonts w:ascii="Times New Roman" w:eastAsia="Times New Roman"/>
          <w:spacing w:val="-1"/>
        </w:rPr>
        <w:t>0-</w:t>
      </w:r>
      <w:r>
        <w:rPr>
          <w:rFonts w:ascii="Times New Roman" w:eastAsia="Times New Roman"/>
        </w:rPr>
        <w:t>015</w:t>
      </w:r>
      <w:r>
        <w:rPr>
          <w:rFonts w:ascii="Times New Roman" w:eastAsia="Times New Roman"/>
          <w:spacing w:val="-1"/>
        </w:rPr>
        <w:t>-</w:t>
      </w:r>
      <w:r>
        <w:rPr>
          <w:rFonts w:ascii="Times New Roman" w:eastAsia="Times New Roman"/>
        </w:rPr>
        <w:t>13</w:t>
      </w:r>
      <w:r>
        <w:rPr>
          <w:spacing w:val="-120"/>
        </w:rPr>
        <w:t>）</w:t>
      </w:r>
      <w:r>
        <w:rPr/>
        <w:t>，委托有资质单位处置。</w:t>
      </w:r>
    </w:p>
    <w:p>
      <w:pPr>
        <w:pStyle w:val="BodyText"/>
        <w:spacing w:line="455" w:lineRule="exact"/>
        <w:ind w:left="1060"/>
      </w:pPr>
      <w:r>
        <w:rPr/>
        <w:t>（</w:t>
      </w:r>
      <w:r>
        <w:rPr>
          <w:rFonts w:ascii="Times New Roman" w:eastAsia="Times New Roman"/>
          <w:b/>
        </w:rPr>
        <w:t>5</w:t>
      </w:r>
      <w:r>
        <w:rPr/>
        <w:t>）废反渗透膜</w:t>
      </w:r>
    </w:p>
    <w:p>
      <w:pPr>
        <w:pStyle w:val="BodyText"/>
        <w:spacing w:line="220" w:lineRule="auto" w:before="8"/>
        <w:ind w:left="578" w:right="753" w:firstLine="479"/>
        <w:jc w:val="both"/>
      </w:pPr>
      <w:r>
        <w:rPr>
          <w:spacing w:val="1"/>
        </w:rPr>
        <w:t>脱盐水站制备软水采用反渗透工艺，产生废反渗透膜约 </w:t>
      </w:r>
      <w:r>
        <w:rPr>
          <w:rFonts w:ascii="Times New Roman" w:eastAsia="Times New Roman"/>
        </w:rPr>
        <w:t>0.5t/a</w:t>
      </w:r>
      <w:r>
        <w:rPr/>
        <w:t>，属于危险废</w:t>
      </w:r>
      <w:r>
        <w:rPr>
          <w:spacing w:val="2"/>
        </w:rPr>
        <w:t>物（废物类别：</w:t>
      </w:r>
      <w:r>
        <w:rPr>
          <w:rFonts w:ascii="Times New Roman" w:eastAsia="Times New Roman"/>
          <w:w w:val="99"/>
        </w:rPr>
        <w:t>HW</w:t>
      </w:r>
      <w:r>
        <w:rPr>
          <w:rFonts w:ascii="Times New Roman" w:eastAsia="Times New Roman"/>
        </w:rPr>
        <w:t>49</w:t>
      </w:r>
      <w:r>
        <w:rPr>
          <w:rFonts w:ascii="Times New Roman" w:eastAsia="Times New Roman"/>
          <w:spacing w:val="1"/>
        </w:rPr>
        <w:t>  </w:t>
      </w:r>
      <w:r>
        <w:rPr>
          <w:spacing w:val="2"/>
        </w:rPr>
        <w:t>其他废物，废物代码：</w:t>
      </w:r>
      <w:r>
        <w:rPr>
          <w:rFonts w:ascii="Times New Roman" w:eastAsia="Times New Roman"/>
        </w:rPr>
        <w:t>900</w:t>
      </w:r>
      <w:r>
        <w:rPr>
          <w:rFonts w:ascii="Times New Roman" w:eastAsia="Times New Roman"/>
          <w:spacing w:val="-1"/>
        </w:rPr>
        <w:t>-</w:t>
      </w:r>
      <w:r>
        <w:rPr>
          <w:rFonts w:ascii="Times New Roman" w:eastAsia="Times New Roman"/>
        </w:rPr>
        <w:t>041</w:t>
      </w:r>
      <w:r>
        <w:rPr>
          <w:rFonts w:ascii="Times New Roman" w:eastAsia="Times New Roman"/>
          <w:spacing w:val="-1"/>
        </w:rPr>
        <w:t>-</w:t>
      </w:r>
      <w:r>
        <w:rPr>
          <w:rFonts w:ascii="Times New Roman" w:eastAsia="Times New Roman"/>
        </w:rPr>
        <w:t>4</w:t>
      </w:r>
      <w:r>
        <w:rPr>
          <w:rFonts w:ascii="Times New Roman" w:eastAsia="Times New Roman"/>
          <w:spacing w:val="2"/>
        </w:rPr>
        <w:t>9</w:t>
      </w:r>
      <w:r>
        <w:rPr>
          <w:spacing w:val="-118"/>
        </w:rPr>
        <w:t>）</w:t>
      </w:r>
      <w:r>
        <w:rPr>
          <w:spacing w:val="1"/>
        </w:rPr>
        <w:t>，在危废暂存库暂存后，委托有资质公司处理。</w:t>
      </w:r>
    </w:p>
    <w:p>
      <w:pPr>
        <w:pStyle w:val="BodyText"/>
        <w:spacing w:line="220" w:lineRule="auto"/>
        <w:ind w:left="578" w:right="673" w:firstLine="479"/>
      </w:pPr>
      <w:r>
        <w:rPr/>
        <w:t>本项目产生的危险废物均采用厂区临时堆存的形式集中存放于危废库中，用塑料桶盛放堆存。</w:t>
      </w:r>
    </w:p>
    <w:p>
      <w:pPr>
        <w:pStyle w:val="BodyText"/>
        <w:spacing w:line="459" w:lineRule="exact"/>
        <w:ind w:left="1060"/>
      </w:pPr>
      <w:r>
        <w:rPr>
          <w:rFonts w:ascii="Times New Roman" w:eastAsia="Times New Roman"/>
          <w:b/>
        </w:rPr>
        <w:t>2</w:t>
      </w:r>
      <w:r>
        <w:rPr/>
        <w:t>、一般固废</w:t>
      </w:r>
    </w:p>
    <w:p>
      <w:pPr>
        <w:pStyle w:val="BodyText"/>
        <w:spacing w:line="467" w:lineRule="exact"/>
        <w:ind w:left="1060"/>
      </w:pPr>
      <w:r>
        <w:rPr/>
        <w:t>（</w:t>
      </w:r>
      <w:r>
        <w:rPr>
          <w:rFonts w:ascii="Times New Roman" w:eastAsia="Times New Roman"/>
          <w:b/>
        </w:rPr>
        <w:t>1</w:t>
      </w:r>
      <w:r>
        <w:rPr/>
        <w:t>）白葡萄球菌压滤过程滤渣</w:t>
      </w:r>
    </w:p>
    <w:p>
      <w:pPr>
        <w:pStyle w:val="BodyText"/>
        <w:spacing w:line="220" w:lineRule="auto" w:before="3"/>
        <w:ind w:left="578" w:right="756" w:firstLine="479"/>
      </w:pPr>
      <w:r>
        <w:rPr/>
        <w:t>白葡萄球菌压滤过程滤渣产生量为 </w:t>
      </w:r>
      <w:r>
        <w:rPr>
          <w:rFonts w:ascii="Times New Roman" w:eastAsia="Times New Roman"/>
        </w:rPr>
        <w:t>72t/a</w:t>
      </w:r>
      <w:r>
        <w:rPr/>
        <w:t>，主要成分为有机物、水等，属于一般固废，回用于污水处理站。</w:t>
      </w:r>
    </w:p>
    <w:p>
      <w:pPr>
        <w:pStyle w:val="BodyText"/>
        <w:spacing w:line="456" w:lineRule="exact"/>
        <w:ind w:left="1060"/>
      </w:pPr>
      <w:r>
        <w:rPr/>
        <w:t>（</w:t>
      </w:r>
      <w:r>
        <w:rPr>
          <w:rFonts w:ascii="Times New Roman" w:eastAsia="Times New Roman"/>
          <w:b/>
        </w:rPr>
        <w:t>2</w:t>
      </w:r>
      <w:r>
        <w:rPr/>
        <w:t>）废溴化钾盐</w:t>
      </w:r>
    </w:p>
    <w:p>
      <w:pPr>
        <w:pStyle w:val="BodyText"/>
        <w:spacing w:line="220" w:lineRule="auto" w:before="7"/>
        <w:ind w:left="578" w:right="706" w:firstLine="479"/>
      </w:pPr>
      <w:r>
        <w:rPr/>
        <w:t>丙戊酸钠废水预处理过程结晶溴化钾盐产生量 </w:t>
      </w:r>
      <w:r>
        <w:rPr>
          <w:rFonts w:ascii="Times New Roman" w:eastAsia="Times New Roman"/>
        </w:rPr>
        <w:t>573t/a</w:t>
      </w:r>
      <w:r>
        <w:rPr/>
        <w:t>。结晶溴化钾盐进行特性鉴别，经鉴别后属于一般固废，企业作为副产品进行外售。</w:t>
      </w:r>
    </w:p>
    <w:p>
      <w:pPr>
        <w:pStyle w:val="BodyText"/>
        <w:spacing w:line="458" w:lineRule="exact"/>
        <w:ind w:left="1060"/>
      </w:pPr>
      <w:r>
        <w:rPr/>
        <w:t>（</w:t>
      </w:r>
      <w:r>
        <w:rPr>
          <w:rFonts w:ascii="Times New Roman" w:eastAsia="Times New Roman"/>
          <w:b/>
        </w:rPr>
        <w:t>3</w:t>
      </w:r>
      <w:r>
        <w:rPr/>
        <w:t>）污水处理站物化污泥</w:t>
      </w:r>
    </w:p>
    <w:p>
      <w:pPr>
        <w:pStyle w:val="BodyText"/>
        <w:spacing w:line="467" w:lineRule="exact"/>
        <w:ind w:left="1058"/>
      </w:pPr>
      <w:r>
        <w:rPr/>
        <w:t>污水处理站物化污泥产生量约 </w:t>
      </w:r>
      <w:r>
        <w:rPr>
          <w:rFonts w:ascii="Times New Roman" w:eastAsia="Times New Roman"/>
        </w:rPr>
        <w:t>10t/a</w:t>
      </w:r>
      <w:r>
        <w:rPr/>
        <w:t>，属于一般固废。</w:t>
      </w:r>
    </w:p>
    <w:p>
      <w:pPr>
        <w:pStyle w:val="BodyText"/>
        <w:spacing w:line="467" w:lineRule="exact"/>
        <w:ind w:left="1060"/>
      </w:pPr>
      <w:r>
        <w:rPr/>
        <w:t>（</w:t>
      </w:r>
      <w:r>
        <w:rPr>
          <w:rFonts w:ascii="Times New Roman" w:eastAsia="Times New Roman"/>
          <w:b/>
        </w:rPr>
        <w:t>4</w:t>
      </w:r>
      <w:r>
        <w:rPr/>
        <w:t>）污水处理站生化污泥</w:t>
      </w:r>
    </w:p>
    <w:p>
      <w:pPr>
        <w:pStyle w:val="BodyText"/>
        <w:spacing w:line="220" w:lineRule="auto" w:before="8"/>
        <w:ind w:left="578" w:right="755" w:firstLine="479"/>
      </w:pPr>
      <w:r>
        <w:rPr/>
        <w:t>污水处理站生化污泥产生量约 </w:t>
      </w:r>
      <w:r>
        <w:rPr>
          <w:rFonts w:ascii="Times New Roman" w:eastAsia="Times New Roman"/>
        </w:rPr>
        <w:t>10t/a</w:t>
      </w:r>
      <w:r>
        <w:rPr/>
        <w:t>。污水处理站污泥进行特性鉴别，经鉴别后属于一般固废。</w:t>
      </w:r>
    </w:p>
    <w:p>
      <w:pPr>
        <w:pStyle w:val="BodyText"/>
        <w:spacing w:line="456" w:lineRule="exact"/>
        <w:ind w:left="1060"/>
      </w:pPr>
      <w:r>
        <w:rPr>
          <w:rFonts w:ascii="Times New Roman" w:eastAsia="Times New Roman"/>
          <w:b/>
        </w:rPr>
        <w:t>3</w:t>
      </w:r>
      <w:r>
        <w:rPr/>
        <w:t>、生活垃圾</w:t>
      </w:r>
    </w:p>
    <w:p>
      <w:pPr>
        <w:pStyle w:val="BodyText"/>
        <w:spacing w:line="487" w:lineRule="exact"/>
        <w:ind w:left="1058"/>
      </w:pPr>
      <w:r>
        <w:rPr/>
        <w:t>本项目职工定员 </w:t>
      </w:r>
      <w:r>
        <w:rPr>
          <w:rFonts w:ascii="Times New Roman" w:eastAsia="Times New Roman"/>
        </w:rPr>
        <w:t>160 </w:t>
      </w:r>
      <w:r>
        <w:rPr/>
        <w:t>人，生活垃圾按每人每天产生量 </w:t>
      </w:r>
      <w:r>
        <w:rPr>
          <w:rFonts w:ascii="Times New Roman" w:eastAsia="Times New Roman"/>
        </w:rPr>
        <w:t>1kg </w:t>
      </w:r>
      <w:r>
        <w:rPr/>
        <w:t>计算，产生量约</w:t>
      </w:r>
    </w:p>
    <w:p>
      <w:pPr>
        <w:spacing w:after="0" w:line="487" w:lineRule="exact"/>
        <w:sectPr>
          <w:headerReference w:type="default" r:id="rId22"/>
          <w:footerReference w:type="default" r:id="rId23"/>
          <w:pgSz w:w="11910" w:h="16840"/>
          <w:pgMar w:header="877" w:footer="973" w:top="1340" w:bottom="1160" w:left="1220" w:right="1040"/>
          <w:pgNumType w:start="156"/>
        </w:sectPr>
      </w:pPr>
    </w:p>
    <w:p>
      <w:pPr>
        <w:pStyle w:val="BodyText"/>
        <w:spacing w:line="220" w:lineRule="auto"/>
        <w:ind w:left="1058" w:right="3305" w:hanging="480"/>
      </w:pPr>
      <w:r>
        <w:rPr>
          <w:rFonts w:ascii="Times New Roman" w:eastAsia="Times New Roman"/>
        </w:rPr>
        <w:t>48t/a</w:t>
      </w:r>
      <w:r>
        <w:rPr/>
        <w:t>，厂区统一收集，由市政环卫部门统一收集处理。本项目固体废物产生与处置情况见表 </w:t>
      </w:r>
      <w:r>
        <w:rPr>
          <w:rFonts w:ascii="Times New Roman" w:eastAsia="Times New Roman"/>
        </w:rPr>
        <w:t>4.10-24</w:t>
      </w:r>
      <w:r>
        <w:rPr/>
        <w:t>。</w:t>
      </w:r>
    </w:p>
    <w:p>
      <w:pPr>
        <w:tabs>
          <w:tab w:pos="3816" w:val="left" w:leader="none"/>
        </w:tabs>
        <w:spacing w:before="102"/>
        <w:ind w:left="2695" w:right="0" w:firstLine="0"/>
        <w:jc w:val="left"/>
        <w:rPr>
          <w:sz w:val="21"/>
        </w:rPr>
      </w:pPr>
      <w:r>
        <w:rPr>
          <w:sz w:val="21"/>
        </w:rPr>
        <w:t>表</w:t>
      </w:r>
      <w:r>
        <w:rPr>
          <w:spacing w:val="7"/>
          <w:sz w:val="21"/>
        </w:rPr>
        <w:t> </w:t>
      </w:r>
      <w:r>
        <w:rPr>
          <w:rFonts w:ascii="Times New Roman" w:eastAsia="Times New Roman"/>
          <w:b/>
          <w:sz w:val="21"/>
        </w:rPr>
        <w:t>4.10-24</w:t>
        <w:tab/>
      </w:r>
      <w:r>
        <w:rPr>
          <w:sz w:val="21"/>
        </w:rPr>
        <w:t>本工程固体废物处置情况一览表</w:t>
      </w:r>
    </w:p>
    <w:p>
      <w:pPr>
        <w:pStyle w:val="BodyText"/>
        <w:spacing w:before="20"/>
        <w:rPr>
          <w:sz w:val="2"/>
        </w:rPr>
      </w:pPr>
    </w:p>
    <w:tbl>
      <w:tblPr>
        <w:tblW w:w="0" w:type="auto"/>
        <w:jc w:val="left"/>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8"/>
        <w:gridCol w:w="694"/>
        <w:gridCol w:w="1542"/>
        <w:gridCol w:w="536"/>
        <w:gridCol w:w="519"/>
        <w:gridCol w:w="3213"/>
        <w:gridCol w:w="1477"/>
      </w:tblGrid>
      <w:tr>
        <w:trPr>
          <w:trHeight w:val="606" w:hRule="atLeast"/>
        </w:trPr>
        <w:tc>
          <w:tcPr>
            <w:tcW w:w="358" w:type="dxa"/>
          </w:tcPr>
          <w:p>
            <w:pPr>
              <w:pStyle w:val="TableParagraph"/>
              <w:spacing w:line="146" w:lineRule="auto" w:before="89"/>
              <w:ind w:left="85" w:right="71"/>
              <w:jc w:val="left"/>
              <w:rPr>
                <w:sz w:val="18"/>
              </w:rPr>
            </w:pPr>
            <w:r>
              <w:rPr>
                <w:sz w:val="18"/>
              </w:rPr>
              <w:t>来源</w:t>
            </w:r>
          </w:p>
        </w:tc>
        <w:tc>
          <w:tcPr>
            <w:tcW w:w="2236" w:type="dxa"/>
            <w:gridSpan w:val="2"/>
          </w:tcPr>
          <w:p>
            <w:pPr>
              <w:pStyle w:val="TableParagraph"/>
              <w:spacing w:before="100"/>
              <w:ind w:left="666"/>
              <w:jc w:val="left"/>
              <w:rPr>
                <w:sz w:val="18"/>
              </w:rPr>
            </w:pPr>
            <w:r>
              <w:rPr>
                <w:sz w:val="18"/>
              </w:rPr>
              <w:t>产生源名称</w:t>
            </w:r>
          </w:p>
        </w:tc>
        <w:tc>
          <w:tcPr>
            <w:tcW w:w="536" w:type="dxa"/>
          </w:tcPr>
          <w:p>
            <w:pPr>
              <w:pStyle w:val="TableParagraph"/>
              <w:spacing w:line="146" w:lineRule="auto" w:before="89"/>
              <w:ind w:left="62" w:right="44" w:firstLine="21"/>
              <w:jc w:val="left"/>
              <w:rPr>
                <w:rFonts w:ascii="Times New Roman" w:eastAsia="Times New Roman"/>
                <w:sz w:val="18"/>
              </w:rPr>
            </w:pPr>
            <w:r>
              <w:rPr>
                <w:sz w:val="18"/>
              </w:rPr>
              <w:t>产生量 </w:t>
            </w:r>
            <w:r>
              <w:rPr>
                <w:rFonts w:ascii="Times New Roman" w:eastAsia="Times New Roman"/>
                <w:sz w:val="18"/>
              </w:rPr>
              <w:t>t/a</w:t>
            </w:r>
          </w:p>
        </w:tc>
        <w:tc>
          <w:tcPr>
            <w:tcW w:w="519" w:type="dxa"/>
          </w:tcPr>
          <w:p>
            <w:pPr>
              <w:pStyle w:val="TableParagraph"/>
              <w:spacing w:line="146" w:lineRule="auto" w:before="89"/>
              <w:ind w:left="76" w:right="60"/>
              <w:jc w:val="left"/>
              <w:rPr>
                <w:sz w:val="18"/>
              </w:rPr>
            </w:pPr>
            <w:r>
              <w:rPr>
                <w:sz w:val="18"/>
              </w:rPr>
              <w:t>产生特征</w:t>
            </w:r>
          </w:p>
        </w:tc>
        <w:tc>
          <w:tcPr>
            <w:tcW w:w="3213" w:type="dxa"/>
          </w:tcPr>
          <w:p>
            <w:pPr>
              <w:pStyle w:val="TableParagraph"/>
              <w:spacing w:before="100"/>
              <w:ind w:left="30" w:right="23"/>
              <w:rPr>
                <w:sz w:val="18"/>
              </w:rPr>
            </w:pPr>
            <w:r>
              <w:rPr>
                <w:sz w:val="18"/>
              </w:rPr>
              <w:t>主要污染物及组成</w:t>
            </w:r>
          </w:p>
        </w:tc>
        <w:tc>
          <w:tcPr>
            <w:tcW w:w="1477" w:type="dxa"/>
          </w:tcPr>
          <w:p>
            <w:pPr>
              <w:pStyle w:val="TableParagraph"/>
              <w:spacing w:before="100"/>
              <w:ind w:left="166"/>
              <w:jc w:val="left"/>
              <w:rPr>
                <w:sz w:val="18"/>
              </w:rPr>
            </w:pPr>
            <w:r>
              <w:rPr>
                <w:sz w:val="18"/>
              </w:rPr>
              <w:t>性质</w:t>
            </w:r>
            <w:r>
              <w:rPr>
                <w:rFonts w:ascii="Times New Roman" w:eastAsia="Times New Roman"/>
                <w:sz w:val="18"/>
              </w:rPr>
              <w:t>/</w:t>
            </w:r>
            <w:r>
              <w:rPr>
                <w:sz w:val="18"/>
              </w:rPr>
              <w:t>处置措施</w:t>
            </w:r>
          </w:p>
        </w:tc>
      </w:tr>
      <w:tr>
        <w:trPr>
          <w:trHeight w:val="467" w:hRule="atLeast"/>
        </w:trPr>
        <w:tc>
          <w:tcPr>
            <w:tcW w:w="358"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8"/>
              <w:jc w:val="left"/>
              <w:rPr>
                <w:sz w:val="15"/>
              </w:rPr>
            </w:pPr>
          </w:p>
          <w:p>
            <w:pPr>
              <w:pStyle w:val="TableParagraph"/>
              <w:spacing w:line="146" w:lineRule="auto" w:before="1"/>
              <w:ind w:left="85" w:right="71"/>
              <w:jc w:val="both"/>
              <w:rPr>
                <w:sz w:val="18"/>
              </w:rPr>
            </w:pPr>
            <w:r>
              <w:rPr>
                <w:sz w:val="18"/>
              </w:rPr>
              <w:t>生产工艺过程固废</w:t>
            </w:r>
          </w:p>
        </w:tc>
        <w:tc>
          <w:tcPr>
            <w:tcW w:w="694" w:type="dxa"/>
            <w:vMerge w:val="restart"/>
          </w:tcPr>
          <w:p>
            <w:pPr>
              <w:pStyle w:val="TableParagraph"/>
              <w:spacing w:before="14"/>
              <w:jc w:val="left"/>
              <w:rPr>
                <w:sz w:val="23"/>
              </w:rPr>
            </w:pPr>
          </w:p>
          <w:p>
            <w:pPr>
              <w:pStyle w:val="TableParagraph"/>
              <w:spacing w:line="148" w:lineRule="auto"/>
              <w:ind w:left="164" w:right="147"/>
              <w:jc w:val="left"/>
              <w:rPr>
                <w:sz w:val="18"/>
              </w:rPr>
            </w:pPr>
            <w:r>
              <w:rPr>
                <w:sz w:val="18"/>
              </w:rPr>
              <w:t>奥沙普秦</w:t>
            </w:r>
          </w:p>
        </w:tc>
        <w:tc>
          <w:tcPr>
            <w:tcW w:w="1542" w:type="dxa"/>
          </w:tcPr>
          <w:p>
            <w:pPr>
              <w:pStyle w:val="TableParagraph"/>
              <w:spacing w:line="222" w:lineRule="exact"/>
              <w:ind w:left="26" w:right="15"/>
              <w:rPr>
                <w:sz w:val="18"/>
              </w:rPr>
            </w:pPr>
            <w:r>
              <w:rPr>
                <w:sz w:val="18"/>
              </w:rPr>
              <w:t>过滤除杂过程滤渣</w:t>
            </w:r>
          </w:p>
          <w:p>
            <w:pPr>
              <w:pStyle w:val="TableParagraph"/>
              <w:spacing w:line="226" w:lineRule="exact"/>
              <w:ind w:left="26" w:right="12"/>
              <w:rPr>
                <w:sz w:val="18"/>
              </w:rPr>
            </w:pPr>
            <w:r>
              <w:rPr>
                <w:sz w:val="18"/>
              </w:rPr>
              <w:t>（</w:t>
            </w:r>
            <w:r>
              <w:rPr>
                <w:rFonts w:ascii="Times New Roman" w:eastAsia="Times New Roman"/>
                <w:sz w:val="18"/>
              </w:rPr>
              <w:t>S1-1</w:t>
            </w:r>
            <w:r>
              <w:rPr>
                <w:sz w:val="18"/>
              </w:rPr>
              <w:t>）</w:t>
            </w:r>
          </w:p>
        </w:tc>
        <w:tc>
          <w:tcPr>
            <w:tcW w:w="536" w:type="dxa"/>
          </w:tcPr>
          <w:p>
            <w:pPr>
              <w:pStyle w:val="TableParagraph"/>
              <w:spacing w:before="126"/>
              <w:ind w:left="-89" w:right="135"/>
              <w:jc w:val="right"/>
              <w:rPr>
                <w:rFonts w:ascii="Times New Roman"/>
                <w:sz w:val="18"/>
              </w:rPr>
            </w:pPr>
            <w:r>
              <w:rPr>
                <w:rFonts w:ascii="Times New Roman"/>
                <w:sz w:val="18"/>
              </w:rPr>
              <w:t>0.6</w:t>
            </w:r>
          </w:p>
        </w:tc>
        <w:tc>
          <w:tcPr>
            <w:tcW w:w="519" w:type="dxa"/>
            <w:vMerge w:val="restart"/>
          </w:tcPr>
          <w:p>
            <w:pPr>
              <w:pStyle w:val="TableParagraph"/>
              <w:spacing w:before="9"/>
              <w:jc w:val="left"/>
              <w:rPr>
                <w:sz w:val="24"/>
              </w:rPr>
            </w:pPr>
          </w:p>
          <w:p>
            <w:pPr>
              <w:pStyle w:val="TableParagraph"/>
              <w:ind w:left="76"/>
              <w:jc w:val="left"/>
              <w:rPr>
                <w:sz w:val="18"/>
              </w:rPr>
            </w:pPr>
            <w:r>
              <w:rPr>
                <w:sz w:val="18"/>
              </w:rPr>
              <w:t>间断</w:t>
            </w:r>
          </w:p>
        </w:tc>
        <w:tc>
          <w:tcPr>
            <w:tcW w:w="3213" w:type="dxa"/>
          </w:tcPr>
          <w:p>
            <w:pPr>
              <w:pStyle w:val="TableParagraph"/>
              <w:spacing w:line="222" w:lineRule="exact"/>
              <w:ind w:right="118"/>
              <w:rPr>
                <w:sz w:val="18"/>
              </w:rPr>
            </w:pPr>
            <w:r>
              <w:rPr>
                <w:sz w:val="18"/>
              </w:rPr>
              <w:t>奥沙普秦、乙酸铵、醋酸、安息香杂质</w:t>
            </w:r>
          </w:p>
          <w:p>
            <w:pPr>
              <w:pStyle w:val="TableParagraph"/>
              <w:spacing w:line="226" w:lineRule="exact"/>
              <w:ind w:left="30" w:right="20"/>
              <w:rPr>
                <w:sz w:val="18"/>
              </w:rPr>
            </w:pPr>
            <w:r>
              <w:rPr>
                <w:sz w:val="18"/>
              </w:rPr>
              <w:t>吡啶、丁二酸酐</w:t>
            </w:r>
          </w:p>
        </w:tc>
        <w:tc>
          <w:tcPr>
            <w:tcW w:w="1477" w:type="dxa"/>
            <w:vMerge w:val="restart"/>
          </w:tcPr>
          <w:p>
            <w:pPr>
              <w:pStyle w:val="TableParagraph"/>
              <w:spacing w:line="295" w:lineRule="exact"/>
              <w:ind w:left="-147"/>
              <w:jc w:val="left"/>
              <w:rPr>
                <w:sz w:val="18"/>
              </w:rPr>
            </w:pPr>
            <w:r>
              <w:rPr>
                <w:sz w:val="18"/>
              </w:rPr>
              <w:t>、</w:t>
            </w: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2"/>
              <w:jc w:val="left"/>
              <w:rPr>
                <w:sz w:val="23"/>
              </w:rPr>
            </w:pPr>
          </w:p>
          <w:p>
            <w:pPr>
              <w:pStyle w:val="TableParagraph"/>
              <w:spacing w:line="348" w:lineRule="exact"/>
              <w:ind w:left="370"/>
              <w:jc w:val="left"/>
              <w:rPr>
                <w:sz w:val="18"/>
              </w:rPr>
            </w:pPr>
            <w:r>
              <w:rPr>
                <w:sz w:val="18"/>
              </w:rPr>
              <w:t>医药废物</w:t>
            </w:r>
          </w:p>
          <w:p>
            <w:pPr>
              <w:pStyle w:val="TableParagraph"/>
              <w:spacing w:line="173" w:lineRule="exact"/>
              <w:ind w:left="46"/>
              <w:jc w:val="left"/>
              <w:rPr>
                <w:rFonts w:ascii="Times New Roman"/>
                <w:sz w:val="18"/>
              </w:rPr>
            </w:pPr>
            <w:r>
              <w:rPr>
                <w:rFonts w:ascii="Times New Roman"/>
                <w:sz w:val="18"/>
              </w:rPr>
              <w:t>HW02/272-001-02</w:t>
            </w:r>
          </w:p>
          <w:p>
            <w:pPr>
              <w:pStyle w:val="TableParagraph"/>
              <w:spacing w:before="2"/>
              <w:ind w:left="46" w:right="35"/>
              <w:jc w:val="both"/>
              <w:rPr>
                <w:rFonts w:ascii="Times New Roman"/>
                <w:sz w:val="18"/>
              </w:rPr>
            </w:pPr>
            <w:r>
              <w:rPr>
                <w:rFonts w:ascii="Times New Roman"/>
                <w:sz w:val="18"/>
              </w:rPr>
              <w:t>HW02/272-002-02 HW02/272-003-02 HW02/272-004-02</w:t>
            </w:r>
          </w:p>
          <w:p>
            <w:pPr>
              <w:pStyle w:val="TableParagraph"/>
              <w:spacing w:line="148" w:lineRule="auto" w:before="18"/>
              <w:ind w:left="461" w:right="4" w:hanging="452"/>
              <w:jc w:val="left"/>
              <w:rPr>
                <w:sz w:val="18"/>
              </w:rPr>
            </w:pPr>
            <w:r>
              <w:rPr>
                <w:sz w:val="18"/>
              </w:rPr>
              <w:t>危废委托有资质单位处置</w:t>
            </w:r>
          </w:p>
          <w:p>
            <w:pPr>
              <w:pStyle w:val="TableParagraph"/>
              <w:jc w:val="left"/>
              <w:rPr>
                <w:sz w:val="18"/>
              </w:rPr>
            </w:pPr>
          </w:p>
          <w:p>
            <w:pPr>
              <w:pStyle w:val="TableParagraph"/>
              <w:spacing w:before="2"/>
              <w:jc w:val="left"/>
              <w:rPr>
                <w:sz w:val="19"/>
              </w:rPr>
            </w:pPr>
          </w:p>
          <w:p>
            <w:pPr>
              <w:pStyle w:val="TableParagraph"/>
              <w:ind w:left="-109"/>
              <w:jc w:val="left"/>
              <w:rPr>
                <w:sz w:val="18"/>
              </w:rPr>
            </w:pPr>
            <w:r>
              <w:rPr>
                <w:sz w:val="18"/>
              </w:rPr>
              <w:t>、</w:t>
            </w: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2" w:lineRule="exact"/>
              <w:ind w:left="26" w:right="13"/>
              <w:rPr>
                <w:sz w:val="18"/>
              </w:rPr>
            </w:pPr>
            <w:r>
              <w:rPr>
                <w:sz w:val="18"/>
              </w:rPr>
              <w:t>结晶后离心母液</w:t>
            </w:r>
          </w:p>
          <w:p>
            <w:pPr>
              <w:pStyle w:val="TableParagraph"/>
              <w:spacing w:line="226" w:lineRule="exact"/>
              <w:ind w:left="26" w:right="12"/>
              <w:rPr>
                <w:sz w:val="18"/>
              </w:rPr>
            </w:pPr>
            <w:r>
              <w:rPr>
                <w:sz w:val="18"/>
              </w:rPr>
              <w:t>（</w:t>
            </w:r>
            <w:r>
              <w:rPr>
                <w:rFonts w:ascii="Times New Roman" w:eastAsia="Times New Roman"/>
                <w:sz w:val="18"/>
              </w:rPr>
              <w:t>S1-2</w:t>
            </w:r>
            <w:r>
              <w:rPr>
                <w:sz w:val="18"/>
              </w:rPr>
              <w:t>）</w:t>
            </w:r>
          </w:p>
        </w:tc>
        <w:tc>
          <w:tcPr>
            <w:tcW w:w="536" w:type="dxa"/>
          </w:tcPr>
          <w:p>
            <w:pPr>
              <w:pStyle w:val="TableParagraph"/>
              <w:spacing w:before="124"/>
              <w:ind w:left="-89" w:right="90"/>
              <w:jc w:val="right"/>
              <w:rPr>
                <w:rFonts w:ascii="Times New Roman"/>
                <w:sz w:val="18"/>
              </w:rPr>
            </w:pPr>
            <w:r>
              <w:rPr>
                <w:rFonts w:ascii="Times New Roman"/>
                <w:sz w:val="18"/>
              </w:rPr>
              <w:t>56.4</w:t>
            </w:r>
          </w:p>
        </w:tc>
        <w:tc>
          <w:tcPr>
            <w:tcW w:w="519" w:type="dxa"/>
            <w:vMerge/>
            <w:tcBorders>
              <w:top w:val="nil"/>
            </w:tcBorders>
          </w:tcPr>
          <w:p>
            <w:pPr>
              <w:rPr>
                <w:sz w:val="2"/>
                <w:szCs w:val="2"/>
              </w:rPr>
            </w:pPr>
          </w:p>
        </w:tc>
        <w:tc>
          <w:tcPr>
            <w:tcW w:w="3213" w:type="dxa"/>
          </w:tcPr>
          <w:p>
            <w:pPr>
              <w:pStyle w:val="TableParagraph"/>
              <w:spacing w:line="222" w:lineRule="exact"/>
              <w:ind w:left="21"/>
              <w:rPr>
                <w:sz w:val="18"/>
              </w:rPr>
            </w:pPr>
            <w:r>
              <w:rPr>
                <w:spacing w:val="-7"/>
                <w:sz w:val="18"/>
              </w:rPr>
              <w:t>奥沙普秦、乙酸铵、醋酸、吡啶、丁二酸</w:t>
            </w:r>
          </w:p>
          <w:p>
            <w:pPr>
              <w:pStyle w:val="TableParagraph"/>
              <w:spacing w:line="226" w:lineRule="exact"/>
              <w:ind w:left="30" w:right="20"/>
              <w:rPr>
                <w:sz w:val="18"/>
              </w:rPr>
            </w:pPr>
            <w:r>
              <w:rPr>
                <w:sz w:val="18"/>
              </w:rPr>
              <w:t>酐、水</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1" w:lineRule="exact"/>
              <w:ind w:left="26" w:right="15"/>
              <w:rPr>
                <w:sz w:val="18"/>
              </w:rPr>
            </w:pPr>
            <w:r>
              <w:rPr>
                <w:sz w:val="18"/>
              </w:rPr>
              <w:t>重结晶后离心母液</w:t>
            </w:r>
          </w:p>
          <w:p>
            <w:pPr>
              <w:pStyle w:val="TableParagraph"/>
              <w:spacing w:line="227" w:lineRule="exact"/>
              <w:ind w:left="26" w:right="12"/>
              <w:rPr>
                <w:sz w:val="18"/>
              </w:rPr>
            </w:pPr>
            <w:r>
              <w:rPr>
                <w:sz w:val="18"/>
              </w:rPr>
              <w:t>（</w:t>
            </w:r>
            <w:r>
              <w:rPr>
                <w:rFonts w:ascii="Times New Roman" w:eastAsia="Times New Roman"/>
                <w:sz w:val="18"/>
              </w:rPr>
              <w:t>S1-3</w:t>
            </w:r>
            <w:r>
              <w:rPr>
                <w:sz w:val="18"/>
              </w:rPr>
              <w:t>）</w:t>
            </w:r>
          </w:p>
        </w:tc>
        <w:tc>
          <w:tcPr>
            <w:tcW w:w="536" w:type="dxa"/>
          </w:tcPr>
          <w:p>
            <w:pPr>
              <w:pStyle w:val="TableParagraph"/>
              <w:spacing w:before="124"/>
              <w:ind w:left="-89" w:right="90"/>
              <w:jc w:val="right"/>
              <w:rPr>
                <w:rFonts w:ascii="Times New Roman"/>
                <w:sz w:val="18"/>
              </w:rPr>
            </w:pPr>
            <w:r>
              <w:rPr>
                <w:rFonts w:ascii="Times New Roman"/>
                <w:sz w:val="18"/>
              </w:rPr>
              <w:t>36.4</w:t>
            </w:r>
          </w:p>
        </w:tc>
        <w:tc>
          <w:tcPr>
            <w:tcW w:w="519" w:type="dxa"/>
            <w:vMerge/>
            <w:tcBorders>
              <w:top w:val="nil"/>
            </w:tcBorders>
          </w:tcPr>
          <w:p>
            <w:pPr>
              <w:rPr>
                <w:sz w:val="2"/>
                <w:szCs w:val="2"/>
              </w:rPr>
            </w:pPr>
          </w:p>
        </w:tc>
        <w:tc>
          <w:tcPr>
            <w:tcW w:w="3213" w:type="dxa"/>
          </w:tcPr>
          <w:p>
            <w:pPr>
              <w:pStyle w:val="TableParagraph"/>
              <w:spacing w:before="31"/>
              <w:ind w:left="30" w:right="23"/>
              <w:rPr>
                <w:sz w:val="18"/>
              </w:rPr>
            </w:pPr>
            <w:r>
              <w:rPr>
                <w:sz w:val="18"/>
              </w:rPr>
              <w:t>奥沙普秦、冰醋酸</w:t>
            </w:r>
          </w:p>
        </w:tc>
        <w:tc>
          <w:tcPr>
            <w:tcW w:w="1477" w:type="dxa"/>
            <w:vMerge/>
            <w:tcBorders>
              <w:top w:val="nil"/>
            </w:tcBorders>
          </w:tcPr>
          <w:p>
            <w:pPr>
              <w:rPr>
                <w:sz w:val="2"/>
                <w:szCs w:val="2"/>
              </w:rPr>
            </w:pPr>
          </w:p>
        </w:tc>
      </w:tr>
      <w:tr>
        <w:trPr>
          <w:trHeight w:val="700" w:hRule="atLeast"/>
        </w:trPr>
        <w:tc>
          <w:tcPr>
            <w:tcW w:w="358" w:type="dxa"/>
            <w:vMerge/>
            <w:tcBorders>
              <w:top w:val="nil"/>
            </w:tcBorders>
          </w:tcPr>
          <w:p>
            <w:pPr>
              <w:rPr>
                <w:sz w:val="2"/>
                <w:szCs w:val="2"/>
              </w:rPr>
            </w:pPr>
          </w:p>
        </w:tc>
        <w:tc>
          <w:tcPr>
            <w:tcW w:w="694" w:type="dxa"/>
            <w:vMerge w:val="restart"/>
          </w:tcPr>
          <w:p>
            <w:pPr>
              <w:pStyle w:val="TableParagraph"/>
              <w:jc w:val="left"/>
              <w:rPr>
                <w:sz w:val="18"/>
              </w:rPr>
            </w:pPr>
          </w:p>
          <w:p>
            <w:pPr>
              <w:pStyle w:val="TableParagraph"/>
              <w:spacing w:before="16"/>
              <w:jc w:val="left"/>
              <w:rPr>
                <w:sz w:val="16"/>
              </w:rPr>
            </w:pPr>
          </w:p>
          <w:p>
            <w:pPr>
              <w:pStyle w:val="TableParagraph"/>
              <w:spacing w:line="146" w:lineRule="auto"/>
              <w:ind w:left="164" w:right="147"/>
              <w:jc w:val="left"/>
              <w:rPr>
                <w:sz w:val="18"/>
              </w:rPr>
            </w:pPr>
            <w:r>
              <w:rPr>
                <w:sz w:val="18"/>
              </w:rPr>
              <w:t>丙戊酸钠</w:t>
            </w:r>
          </w:p>
        </w:tc>
        <w:tc>
          <w:tcPr>
            <w:tcW w:w="1542" w:type="dxa"/>
          </w:tcPr>
          <w:p>
            <w:pPr>
              <w:pStyle w:val="TableParagraph"/>
              <w:spacing w:line="146" w:lineRule="auto" w:before="17"/>
              <w:ind w:left="46" w:right="33"/>
              <w:rPr>
                <w:sz w:val="18"/>
              </w:rPr>
            </w:pPr>
            <w:r>
              <w:rPr>
                <w:sz w:val="18"/>
              </w:rPr>
              <w:t>脱酰后蒸馏冷凝过程混合冷凝残液</w:t>
            </w:r>
          </w:p>
          <w:p>
            <w:pPr>
              <w:pStyle w:val="TableParagraph"/>
              <w:spacing w:line="197" w:lineRule="exact"/>
              <w:ind w:left="26" w:right="12"/>
              <w:rPr>
                <w:sz w:val="18"/>
              </w:rPr>
            </w:pPr>
            <w:r>
              <w:rPr>
                <w:sz w:val="18"/>
              </w:rPr>
              <w:t>（</w:t>
            </w:r>
            <w:r>
              <w:rPr>
                <w:rFonts w:ascii="Times New Roman" w:eastAsia="Times New Roman"/>
                <w:sz w:val="18"/>
              </w:rPr>
              <w:t>S2-1</w:t>
            </w:r>
            <w:r>
              <w:rPr>
                <w:sz w:val="18"/>
              </w:rPr>
              <w:t>）</w:t>
            </w:r>
          </w:p>
        </w:tc>
        <w:tc>
          <w:tcPr>
            <w:tcW w:w="536" w:type="dxa"/>
          </w:tcPr>
          <w:p>
            <w:pPr>
              <w:pStyle w:val="TableParagraph"/>
              <w:spacing w:before="8"/>
              <w:jc w:val="left"/>
              <w:rPr>
                <w:sz w:val="11"/>
              </w:rPr>
            </w:pPr>
          </w:p>
          <w:p>
            <w:pPr>
              <w:pStyle w:val="TableParagraph"/>
              <w:ind w:left="-89" w:right="90"/>
              <w:jc w:val="right"/>
              <w:rPr>
                <w:rFonts w:ascii="Times New Roman"/>
                <w:sz w:val="18"/>
              </w:rPr>
            </w:pPr>
            <w:r>
              <w:rPr>
                <w:rFonts w:ascii="Times New Roman"/>
                <w:sz w:val="18"/>
              </w:rPr>
              <w:t>27.6</w:t>
            </w:r>
          </w:p>
        </w:tc>
        <w:tc>
          <w:tcPr>
            <w:tcW w:w="519" w:type="dxa"/>
            <w:vMerge w:val="restart"/>
          </w:tcPr>
          <w:p>
            <w:pPr>
              <w:pStyle w:val="TableParagraph"/>
              <w:jc w:val="left"/>
              <w:rPr>
                <w:sz w:val="18"/>
              </w:rPr>
            </w:pPr>
          </w:p>
          <w:p>
            <w:pPr>
              <w:pStyle w:val="TableParagraph"/>
              <w:spacing w:before="8"/>
              <w:jc w:val="left"/>
              <w:rPr>
                <w:sz w:val="17"/>
              </w:rPr>
            </w:pPr>
          </w:p>
          <w:p>
            <w:pPr>
              <w:pStyle w:val="TableParagraph"/>
              <w:spacing w:before="1"/>
              <w:ind w:left="76"/>
              <w:jc w:val="left"/>
              <w:rPr>
                <w:sz w:val="18"/>
              </w:rPr>
            </w:pPr>
            <w:r>
              <w:rPr>
                <w:sz w:val="18"/>
              </w:rPr>
              <w:t>间断</w:t>
            </w:r>
          </w:p>
        </w:tc>
        <w:tc>
          <w:tcPr>
            <w:tcW w:w="3213" w:type="dxa"/>
          </w:tcPr>
          <w:p>
            <w:pPr>
              <w:pStyle w:val="TableParagraph"/>
              <w:spacing w:before="146"/>
              <w:ind w:left="30" w:right="23"/>
              <w:rPr>
                <w:sz w:val="18"/>
              </w:rPr>
            </w:pPr>
            <w:r>
              <w:rPr>
                <w:sz w:val="18"/>
              </w:rPr>
              <w:t>甲醇、醋酸甲酯、正溴丙烷</w:t>
            </w:r>
          </w:p>
        </w:tc>
        <w:tc>
          <w:tcPr>
            <w:tcW w:w="1477" w:type="dxa"/>
            <w:vMerge/>
            <w:tcBorders>
              <w:top w:val="nil"/>
            </w:tcBorders>
          </w:tcPr>
          <w:p>
            <w:pPr>
              <w:rPr>
                <w:sz w:val="2"/>
                <w:szCs w:val="2"/>
              </w:rPr>
            </w:pPr>
          </w:p>
        </w:tc>
      </w:tr>
      <w:tr>
        <w:trPr>
          <w:trHeight w:val="700"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146" w:lineRule="auto" w:before="17"/>
              <w:ind w:left="46" w:right="33"/>
              <w:rPr>
                <w:sz w:val="18"/>
              </w:rPr>
            </w:pPr>
            <w:r>
              <w:rPr>
                <w:sz w:val="18"/>
              </w:rPr>
              <w:t>萃取后甲苯蒸馏回用过程冷凝残液</w:t>
            </w:r>
          </w:p>
          <w:p>
            <w:pPr>
              <w:pStyle w:val="TableParagraph"/>
              <w:spacing w:line="197" w:lineRule="exact"/>
              <w:ind w:left="26" w:right="12"/>
              <w:rPr>
                <w:sz w:val="18"/>
              </w:rPr>
            </w:pPr>
            <w:r>
              <w:rPr>
                <w:sz w:val="18"/>
              </w:rPr>
              <w:t>（</w:t>
            </w:r>
            <w:r>
              <w:rPr>
                <w:rFonts w:ascii="Times New Roman" w:eastAsia="Times New Roman"/>
                <w:sz w:val="18"/>
              </w:rPr>
              <w:t>S2-2</w:t>
            </w:r>
            <w:r>
              <w:rPr>
                <w:sz w:val="18"/>
              </w:rPr>
              <w:t>）</w:t>
            </w:r>
          </w:p>
        </w:tc>
        <w:tc>
          <w:tcPr>
            <w:tcW w:w="536" w:type="dxa"/>
          </w:tcPr>
          <w:p>
            <w:pPr>
              <w:pStyle w:val="TableParagraph"/>
              <w:spacing w:before="8"/>
              <w:jc w:val="left"/>
              <w:rPr>
                <w:sz w:val="11"/>
              </w:rPr>
            </w:pPr>
          </w:p>
          <w:p>
            <w:pPr>
              <w:pStyle w:val="TableParagraph"/>
              <w:ind w:left="-89" w:right="44"/>
              <w:jc w:val="right"/>
              <w:rPr>
                <w:rFonts w:ascii="Times New Roman"/>
                <w:sz w:val="18"/>
              </w:rPr>
            </w:pPr>
            <w:r>
              <w:rPr>
                <w:rFonts w:ascii="Times New Roman"/>
                <w:sz w:val="18"/>
              </w:rPr>
              <w:t>116.5</w:t>
            </w:r>
          </w:p>
        </w:tc>
        <w:tc>
          <w:tcPr>
            <w:tcW w:w="519" w:type="dxa"/>
            <w:vMerge/>
            <w:tcBorders>
              <w:top w:val="nil"/>
            </w:tcBorders>
          </w:tcPr>
          <w:p>
            <w:pPr>
              <w:rPr>
                <w:sz w:val="2"/>
                <w:szCs w:val="2"/>
              </w:rPr>
            </w:pPr>
          </w:p>
        </w:tc>
        <w:tc>
          <w:tcPr>
            <w:tcW w:w="3213" w:type="dxa"/>
          </w:tcPr>
          <w:p>
            <w:pPr>
              <w:pStyle w:val="TableParagraph"/>
              <w:spacing w:before="146"/>
              <w:ind w:left="30" w:right="24"/>
              <w:rPr>
                <w:sz w:val="18"/>
              </w:rPr>
            </w:pPr>
            <w:r>
              <w:rPr>
                <w:sz w:val="18"/>
              </w:rPr>
              <w:t>甲苯、丙戊酸、正溴丙烷、甲醇</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2" w:lineRule="exact"/>
              <w:ind w:left="26" w:right="14"/>
              <w:rPr>
                <w:sz w:val="18"/>
              </w:rPr>
            </w:pPr>
            <w:r>
              <w:rPr>
                <w:sz w:val="18"/>
              </w:rPr>
              <w:t>萃取后蒸酸过程残</w:t>
            </w:r>
          </w:p>
          <w:p>
            <w:pPr>
              <w:pStyle w:val="TableParagraph"/>
              <w:spacing w:line="226" w:lineRule="exact"/>
              <w:ind w:left="26" w:right="10"/>
              <w:rPr>
                <w:sz w:val="18"/>
              </w:rPr>
            </w:pPr>
            <w:r>
              <w:rPr>
                <w:sz w:val="18"/>
              </w:rPr>
              <w:t>液（</w:t>
            </w:r>
            <w:r>
              <w:rPr>
                <w:rFonts w:ascii="Times New Roman" w:eastAsia="Times New Roman"/>
                <w:sz w:val="18"/>
              </w:rPr>
              <w:t>S2-3</w:t>
            </w:r>
            <w:r>
              <w:rPr>
                <w:sz w:val="18"/>
              </w:rPr>
              <w:t>）</w:t>
            </w:r>
          </w:p>
        </w:tc>
        <w:tc>
          <w:tcPr>
            <w:tcW w:w="536" w:type="dxa"/>
          </w:tcPr>
          <w:p>
            <w:pPr>
              <w:pStyle w:val="TableParagraph"/>
              <w:spacing w:before="124"/>
              <w:ind w:left="-89" w:right="90"/>
              <w:jc w:val="right"/>
              <w:rPr>
                <w:rFonts w:ascii="Times New Roman"/>
                <w:sz w:val="18"/>
              </w:rPr>
            </w:pPr>
            <w:r>
              <w:rPr>
                <w:rFonts w:ascii="Times New Roman"/>
                <w:sz w:val="18"/>
              </w:rPr>
              <w:t>30.3</w:t>
            </w:r>
          </w:p>
        </w:tc>
        <w:tc>
          <w:tcPr>
            <w:tcW w:w="519" w:type="dxa"/>
            <w:vMerge/>
            <w:tcBorders>
              <w:top w:val="nil"/>
            </w:tcBorders>
          </w:tcPr>
          <w:p>
            <w:pPr>
              <w:rPr>
                <w:sz w:val="2"/>
                <w:szCs w:val="2"/>
              </w:rPr>
            </w:pPr>
          </w:p>
        </w:tc>
        <w:tc>
          <w:tcPr>
            <w:tcW w:w="3213" w:type="dxa"/>
          </w:tcPr>
          <w:p>
            <w:pPr>
              <w:pStyle w:val="TableParagraph"/>
              <w:spacing w:before="31"/>
              <w:ind w:left="30" w:right="24"/>
              <w:rPr>
                <w:sz w:val="18"/>
              </w:rPr>
            </w:pPr>
            <w:r>
              <w:rPr>
                <w:sz w:val="18"/>
              </w:rPr>
              <w:t>甲苯、丙戊酸、正溴丙烷、甲醇</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val="restart"/>
          </w:tcPr>
          <w:p>
            <w:pPr>
              <w:pStyle w:val="TableParagraph"/>
              <w:jc w:val="left"/>
              <w:rPr>
                <w:sz w:val="18"/>
              </w:rPr>
            </w:pPr>
          </w:p>
          <w:p>
            <w:pPr>
              <w:pStyle w:val="TableParagraph"/>
              <w:spacing w:before="2"/>
              <w:jc w:val="left"/>
              <w:rPr>
                <w:sz w:val="17"/>
              </w:rPr>
            </w:pPr>
          </w:p>
          <w:p>
            <w:pPr>
              <w:pStyle w:val="TableParagraph"/>
              <w:spacing w:line="148" w:lineRule="auto"/>
              <w:ind w:left="75" w:right="56"/>
              <w:jc w:val="left"/>
              <w:rPr>
                <w:sz w:val="18"/>
              </w:rPr>
            </w:pPr>
            <w:r>
              <w:rPr>
                <w:sz w:val="18"/>
              </w:rPr>
              <w:t>盐酸地芬尼多</w:t>
            </w:r>
          </w:p>
        </w:tc>
        <w:tc>
          <w:tcPr>
            <w:tcW w:w="1542" w:type="dxa"/>
          </w:tcPr>
          <w:p>
            <w:pPr>
              <w:pStyle w:val="TableParagraph"/>
              <w:spacing w:line="220" w:lineRule="exact"/>
              <w:ind w:left="26" w:right="15"/>
              <w:rPr>
                <w:sz w:val="18"/>
              </w:rPr>
            </w:pPr>
            <w:r>
              <w:rPr>
                <w:sz w:val="18"/>
              </w:rPr>
              <w:t>减压蒸馏残液</w:t>
            </w:r>
          </w:p>
          <w:p>
            <w:pPr>
              <w:pStyle w:val="TableParagraph"/>
              <w:spacing w:line="227" w:lineRule="exact"/>
              <w:ind w:left="26" w:right="12"/>
              <w:rPr>
                <w:sz w:val="18"/>
              </w:rPr>
            </w:pPr>
            <w:r>
              <w:rPr>
                <w:sz w:val="18"/>
              </w:rPr>
              <w:t>（</w:t>
            </w:r>
            <w:r>
              <w:rPr>
                <w:rFonts w:ascii="Times New Roman" w:eastAsia="Times New Roman"/>
                <w:sz w:val="18"/>
              </w:rPr>
              <w:t>S4-1</w:t>
            </w:r>
            <w:r>
              <w:rPr>
                <w:sz w:val="18"/>
              </w:rPr>
              <w:t>）</w:t>
            </w:r>
          </w:p>
        </w:tc>
        <w:tc>
          <w:tcPr>
            <w:tcW w:w="536" w:type="dxa"/>
          </w:tcPr>
          <w:p>
            <w:pPr>
              <w:pStyle w:val="TableParagraph"/>
              <w:spacing w:before="124"/>
              <w:ind w:left="-89" w:right="90"/>
              <w:jc w:val="right"/>
              <w:rPr>
                <w:rFonts w:ascii="Times New Roman"/>
                <w:sz w:val="18"/>
              </w:rPr>
            </w:pPr>
            <w:r>
              <w:rPr>
                <w:rFonts w:ascii="Times New Roman"/>
                <w:sz w:val="18"/>
              </w:rPr>
              <w:t>41.3</w:t>
            </w:r>
          </w:p>
        </w:tc>
        <w:tc>
          <w:tcPr>
            <w:tcW w:w="519" w:type="dxa"/>
            <w:vMerge w:val="restart"/>
          </w:tcPr>
          <w:p>
            <w:pPr>
              <w:pStyle w:val="TableParagraph"/>
              <w:jc w:val="left"/>
              <w:rPr>
                <w:sz w:val="18"/>
              </w:rPr>
            </w:pPr>
          </w:p>
          <w:p>
            <w:pPr>
              <w:pStyle w:val="TableParagraph"/>
              <w:spacing w:before="18"/>
              <w:jc w:val="left"/>
              <w:rPr>
                <w:sz w:val="17"/>
              </w:rPr>
            </w:pPr>
          </w:p>
          <w:p>
            <w:pPr>
              <w:pStyle w:val="TableParagraph"/>
              <w:ind w:left="76"/>
              <w:jc w:val="left"/>
              <w:rPr>
                <w:sz w:val="18"/>
              </w:rPr>
            </w:pPr>
            <w:r>
              <w:rPr>
                <w:sz w:val="18"/>
              </w:rPr>
              <w:t>间断</w:t>
            </w:r>
          </w:p>
        </w:tc>
        <w:tc>
          <w:tcPr>
            <w:tcW w:w="3213" w:type="dxa"/>
          </w:tcPr>
          <w:p>
            <w:pPr>
              <w:pStyle w:val="TableParagraph"/>
              <w:spacing w:line="220" w:lineRule="exact"/>
              <w:ind w:left="9"/>
              <w:rPr>
                <w:sz w:val="18"/>
              </w:rPr>
            </w:pPr>
            <w:r>
              <w:rPr>
                <w:rFonts w:ascii="Times New Roman" w:eastAsia="Times New Roman"/>
                <w:sz w:val="18"/>
              </w:rPr>
              <w:t>1-</w:t>
            </w:r>
            <w:r>
              <w:rPr>
                <w:sz w:val="18"/>
              </w:rPr>
              <w:t>溴</w:t>
            </w:r>
            <w:r>
              <w:rPr>
                <w:rFonts w:ascii="Times New Roman" w:eastAsia="Times New Roman"/>
                <w:sz w:val="18"/>
              </w:rPr>
              <w:t>-3-</w:t>
            </w:r>
            <w:r>
              <w:rPr>
                <w:sz w:val="18"/>
              </w:rPr>
              <w:t>氯丙烷、</w:t>
            </w:r>
            <w:r>
              <w:rPr>
                <w:rFonts w:ascii="Times New Roman" w:eastAsia="Times New Roman"/>
                <w:sz w:val="18"/>
              </w:rPr>
              <w:t>1-</w:t>
            </w:r>
            <w:r>
              <w:rPr>
                <w:sz w:val="18"/>
              </w:rPr>
              <w:t>（</w:t>
            </w:r>
            <w:r>
              <w:rPr>
                <w:rFonts w:ascii="Times New Roman" w:eastAsia="Times New Roman"/>
                <w:sz w:val="18"/>
              </w:rPr>
              <w:t>3-</w:t>
            </w:r>
            <w:r>
              <w:rPr>
                <w:sz w:val="18"/>
              </w:rPr>
              <w:t>氯丙基）哌啶、烷</w:t>
            </w:r>
          </w:p>
          <w:p>
            <w:pPr>
              <w:pStyle w:val="TableParagraph"/>
              <w:spacing w:line="227" w:lineRule="exact"/>
              <w:ind w:left="30" w:right="20"/>
              <w:rPr>
                <w:sz w:val="18"/>
              </w:rPr>
            </w:pPr>
            <w:r>
              <w:rPr>
                <w:sz w:val="18"/>
              </w:rPr>
              <w:t>基化副产物、氯化钠、水</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0" w:lineRule="exact"/>
              <w:ind w:left="26" w:right="15"/>
              <w:rPr>
                <w:sz w:val="18"/>
              </w:rPr>
            </w:pPr>
            <w:r>
              <w:rPr>
                <w:sz w:val="18"/>
              </w:rPr>
              <w:t>成盐后压滤废活性</w:t>
            </w:r>
          </w:p>
          <w:p>
            <w:pPr>
              <w:pStyle w:val="TableParagraph"/>
              <w:spacing w:line="227" w:lineRule="exact"/>
              <w:ind w:left="26" w:right="10"/>
              <w:rPr>
                <w:sz w:val="18"/>
              </w:rPr>
            </w:pPr>
            <w:r>
              <w:rPr>
                <w:sz w:val="18"/>
              </w:rPr>
              <w:t>炭（</w:t>
            </w:r>
            <w:r>
              <w:rPr>
                <w:rFonts w:ascii="Times New Roman" w:eastAsia="Times New Roman"/>
                <w:sz w:val="18"/>
              </w:rPr>
              <w:t>S4-2</w:t>
            </w:r>
            <w:r>
              <w:rPr>
                <w:sz w:val="18"/>
              </w:rPr>
              <w:t>）</w:t>
            </w:r>
          </w:p>
        </w:tc>
        <w:tc>
          <w:tcPr>
            <w:tcW w:w="536" w:type="dxa"/>
          </w:tcPr>
          <w:p>
            <w:pPr>
              <w:pStyle w:val="TableParagraph"/>
              <w:spacing w:before="124"/>
              <w:ind w:left="-89" w:right="90"/>
              <w:jc w:val="right"/>
              <w:rPr>
                <w:rFonts w:ascii="Times New Roman"/>
                <w:sz w:val="18"/>
              </w:rPr>
            </w:pPr>
            <w:r>
              <w:rPr>
                <w:rFonts w:ascii="Times New Roman"/>
                <w:sz w:val="18"/>
              </w:rPr>
              <w:t>23.5</w:t>
            </w:r>
          </w:p>
        </w:tc>
        <w:tc>
          <w:tcPr>
            <w:tcW w:w="519" w:type="dxa"/>
            <w:vMerge/>
            <w:tcBorders>
              <w:top w:val="nil"/>
            </w:tcBorders>
          </w:tcPr>
          <w:p>
            <w:pPr>
              <w:rPr>
                <w:sz w:val="2"/>
                <w:szCs w:val="2"/>
              </w:rPr>
            </w:pPr>
          </w:p>
        </w:tc>
        <w:tc>
          <w:tcPr>
            <w:tcW w:w="3213" w:type="dxa"/>
          </w:tcPr>
          <w:p>
            <w:pPr>
              <w:pStyle w:val="TableParagraph"/>
              <w:spacing w:line="220" w:lineRule="exact"/>
              <w:ind w:left="6" w:right="-15"/>
              <w:rPr>
                <w:sz w:val="18"/>
              </w:rPr>
            </w:pPr>
            <w:r>
              <w:rPr>
                <w:spacing w:val="-5"/>
                <w:sz w:val="18"/>
              </w:rPr>
              <w:t>盐酸地芬尼多、氯化铵、水、氯化镁、二</w:t>
            </w:r>
          </w:p>
          <w:p>
            <w:pPr>
              <w:pStyle w:val="TableParagraph"/>
              <w:spacing w:line="227" w:lineRule="exact"/>
              <w:ind w:left="30" w:right="23"/>
              <w:rPr>
                <w:sz w:val="18"/>
              </w:rPr>
            </w:pPr>
            <w:r>
              <w:rPr>
                <w:sz w:val="18"/>
              </w:rPr>
              <w:t>苯甲酮、四氢呋喃、</w:t>
            </w:r>
            <w:r>
              <w:rPr>
                <w:rFonts w:ascii="Times New Roman" w:eastAsia="Times New Roman"/>
                <w:sz w:val="18"/>
              </w:rPr>
              <w:t>HCl </w:t>
            </w:r>
            <w:r>
              <w:rPr>
                <w:sz w:val="18"/>
              </w:rPr>
              <w:t>、活性炭</w:t>
            </w:r>
          </w:p>
        </w:tc>
        <w:tc>
          <w:tcPr>
            <w:tcW w:w="1477" w:type="dxa"/>
            <w:vMerge/>
            <w:tcBorders>
              <w:top w:val="nil"/>
            </w:tcBorders>
          </w:tcPr>
          <w:p>
            <w:pPr>
              <w:rPr>
                <w:sz w:val="2"/>
                <w:szCs w:val="2"/>
              </w:rPr>
            </w:pPr>
          </w:p>
        </w:tc>
      </w:tr>
      <w:tr>
        <w:trPr>
          <w:trHeight w:val="465"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1" w:lineRule="exact"/>
              <w:ind w:left="26" w:right="15"/>
              <w:rPr>
                <w:sz w:val="18"/>
              </w:rPr>
            </w:pPr>
            <w:r>
              <w:rPr>
                <w:sz w:val="18"/>
              </w:rPr>
              <w:t>精制废活性炭</w:t>
            </w:r>
          </w:p>
          <w:p>
            <w:pPr>
              <w:pStyle w:val="TableParagraph"/>
              <w:spacing w:line="225" w:lineRule="exact"/>
              <w:ind w:left="26" w:right="12"/>
              <w:rPr>
                <w:sz w:val="18"/>
              </w:rPr>
            </w:pPr>
            <w:r>
              <w:rPr>
                <w:sz w:val="18"/>
              </w:rPr>
              <w:t>（</w:t>
            </w:r>
            <w:r>
              <w:rPr>
                <w:rFonts w:ascii="Times New Roman" w:eastAsia="Times New Roman"/>
                <w:sz w:val="18"/>
              </w:rPr>
              <w:t>S4-3</w:t>
            </w:r>
            <w:r>
              <w:rPr>
                <w:sz w:val="18"/>
              </w:rPr>
              <w:t>）</w:t>
            </w:r>
          </w:p>
        </w:tc>
        <w:tc>
          <w:tcPr>
            <w:tcW w:w="536" w:type="dxa"/>
          </w:tcPr>
          <w:p>
            <w:pPr>
              <w:pStyle w:val="TableParagraph"/>
              <w:spacing w:before="124"/>
              <w:ind w:left="-89" w:right="135"/>
              <w:jc w:val="right"/>
              <w:rPr>
                <w:rFonts w:ascii="Times New Roman"/>
                <w:sz w:val="18"/>
              </w:rPr>
            </w:pPr>
            <w:r>
              <w:rPr>
                <w:rFonts w:ascii="Times New Roman"/>
                <w:sz w:val="18"/>
              </w:rPr>
              <w:t>3.4</w:t>
            </w:r>
          </w:p>
        </w:tc>
        <w:tc>
          <w:tcPr>
            <w:tcW w:w="519" w:type="dxa"/>
            <w:vMerge/>
            <w:tcBorders>
              <w:top w:val="nil"/>
            </w:tcBorders>
          </w:tcPr>
          <w:p>
            <w:pPr>
              <w:rPr>
                <w:sz w:val="2"/>
                <w:szCs w:val="2"/>
              </w:rPr>
            </w:pPr>
          </w:p>
        </w:tc>
        <w:tc>
          <w:tcPr>
            <w:tcW w:w="3213" w:type="dxa"/>
          </w:tcPr>
          <w:p>
            <w:pPr>
              <w:pStyle w:val="TableParagraph"/>
              <w:spacing w:before="31"/>
              <w:ind w:left="30" w:right="21"/>
              <w:rPr>
                <w:sz w:val="18"/>
              </w:rPr>
            </w:pPr>
            <w:r>
              <w:rPr>
                <w:sz w:val="18"/>
              </w:rPr>
              <w:t>活性炭、乙醇、水、盐酸地芬尼多</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3" w:lineRule="exact"/>
              <w:ind w:left="26" w:right="15"/>
              <w:rPr>
                <w:sz w:val="18"/>
              </w:rPr>
            </w:pPr>
            <w:r>
              <w:rPr>
                <w:sz w:val="18"/>
              </w:rPr>
              <w:t>乙醇回收过程蒸馏</w:t>
            </w:r>
          </w:p>
          <w:p>
            <w:pPr>
              <w:pStyle w:val="TableParagraph"/>
              <w:spacing w:line="224" w:lineRule="exact"/>
              <w:ind w:left="26" w:right="12"/>
              <w:rPr>
                <w:sz w:val="18"/>
              </w:rPr>
            </w:pPr>
            <w:r>
              <w:rPr>
                <w:sz w:val="18"/>
              </w:rPr>
              <w:t>残液（</w:t>
            </w:r>
            <w:r>
              <w:rPr>
                <w:rFonts w:ascii="Times New Roman" w:eastAsia="Times New Roman"/>
                <w:sz w:val="18"/>
              </w:rPr>
              <w:t>S4-4</w:t>
            </w:r>
            <w:r>
              <w:rPr>
                <w:sz w:val="18"/>
              </w:rPr>
              <w:t>）</w:t>
            </w:r>
          </w:p>
        </w:tc>
        <w:tc>
          <w:tcPr>
            <w:tcW w:w="536" w:type="dxa"/>
          </w:tcPr>
          <w:p>
            <w:pPr>
              <w:pStyle w:val="TableParagraph"/>
              <w:spacing w:before="126"/>
              <w:ind w:left="-89" w:right="44"/>
              <w:jc w:val="right"/>
              <w:rPr>
                <w:rFonts w:ascii="Times New Roman"/>
                <w:sz w:val="18"/>
              </w:rPr>
            </w:pPr>
            <w:r>
              <w:rPr>
                <w:rFonts w:ascii="Times New Roman"/>
                <w:sz w:val="18"/>
              </w:rPr>
              <w:t>173.8</w:t>
            </w:r>
          </w:p>
        </w:tc>
        <w:tc>
          <w:tcPr>
            <w:tcW w:w="519" w:type="dxa"/>
            <w:vMerge/>
            <w:tcBorders>
              <w:top w:val="nil"/>
            </w:tcBorders>
          </w:tcPr>
          <w:p>
            <w:pPr>
              <w:rPr>
                <w:sz w:val="2"/>
                <w:szCs w:val="2"/>
              </w:rPr>
            </w:pPr>
          </w:p>
        </w:tc>
        <w:tc>
          <w:tcPr>
            <w:tcW w:w="3213" w:type="dxa"/>
          </w:tcPr>
          <w:p>
            <w:pPr>
              <w:pStyle w:val="TableParagraph"/>
              <w:spacing w:line="223" w:lineRule="exact"/>
              <w:ind w:left="21"/>
              <w:rPr>
                <w:sz w:val="18"/>
              </w:rPr>
            </w:pPr>
            <w:r>
              <w:rPr>
                <w:spacing w:val="-6"/>
                <w:sz w:val="18"/>
              </w:rPr>
              <w:t>盐酸地芬尼多、乙醇、水、氯化铵、氯化</w:t>
            </w:r>
          </w:p>
          <w:p>
            <w:pPr>
              <w:pStyle w:val="TableParagraph"/>
              <w:spacing w:line="224" w:lineRule="exact"/>
              <w:ind w:left="30" w:right="21"/>
              <w:rPr>
                <w:rFonts w:ascii="Times New Roman" w:eastAsia="Times New Roman"/>
                <w:sz w:val="18"/>
              </w:rPr>
            </w:pPr>
            <w:r>
              <w:rPr>
                <w:sz w:val="18"/>
              </w:rPr>
              <w:t>镁、二苯甲酮、四氢呋喃、</w:t>
            </w:r>
            <w:r>
              <w:rPr>
                <w:rFonts w:ascii="Times New Roman" w:eastAsia="Times New Roman"/>
                <w:sz w:val="18"/>
              </w:rPr>
              <w:t>HCl</w:t>
            </w:r>
          </w:p>
        </w:tc>
        <w:tc>
          <w:tcPr>
            <w:tcW w:w="1477" w:type="dxa"/>
            <w:vMerge/>
            <w:tcBorders>
              <w:top w:val="nil"/>
            </w:tcBorders>
          </w:tcPr>
          <w:p>
            <w:pPr>
              <w:rPr>
                <w:sz w:val="2"/>
                <w:szCs w:val="2"/>
              </w:rPr>
            </w:pPr>
          </w:p>
        </w:tc>
      </w:tr>
      <w:tr>
        <w:trPr>
          <w:trHeight w:val="608" w:hRule="atLeast"/>
        </w:trPr>
        <w:tc>
          <w:tcPr>
            <w:tcW w:w="358" w:type="dxa"/>
            <w:vMerge/>
            <w:tcBorders>
              <w:top w:val="nil"/>
            </w:tcBorders>
          </w:tcPr>
          <w:p>
            <w:pPr>
              <w:rPr>
                <w:sz w:val="2"/>
                <w:szCs w:val="2"/>
              </w:rPr>
            </w:pPr>
          </w:p>
        </w:tc>
        <w:tc>
          <w:tcPr>
            <w:tcW w:w="694" w:type="dxa"/>
          </w:tcPr>
          <w:p>
            <w:pPr>
              <w:pStyle w:val="TableParagraph"/>
              <w:spacing w:before="103"/>
              <w:ind w:left="75"/>
              <w:jc w:val="left"/>
              <w:rPr>
                <w:sz w:val="18"/>
              </w:rPr>
            </w:pPr>
            <w:r>
              <w:rPr>
                <w:sz w:val="18"/>
              </w:rPr>
              <w:t>甘羟铝</w:t>
            </w:r>
          </w:p>
        </w:tc>
        <w:tc>
          <w:tcPr>
            <w:tcW w:w="1542" w:type="dxa"/>
          </w:tcPr>
          <w:p>
            <w:pPr>
              <w:pStyle w:val="TableParagraph"/>
              <w:spacing w:line="146" w:lineRule="auto" w:before="89"/>
              <w:ind w:left="236" w:right="33" w:hanging="190"/>
              <w:jc w:val="left"/>
              <w:rPr>
                <w:sz w:val="18"/>
              </w:rPr>
            </w:pPr>
            <w:r>
              <w:rPr>
                <w:sz w:val="18"/>
              </w:rPr>
              <w:t>缩合后有机层蒸馏残液（</w:t>
            </w:r>
            <w:r>
              <w:rPr>
                <w:rFonts w:ascii="Times New Roman" w:eastAsia="Times New Roman"/>
                <w:sz w:val="18"/>
              </w:rPr>
              <w:t>S5-1</w:t>
            </w:r>
            <w:r>
              <w:rPr>
                <w:sz w:val="18"/>
              </w:rPr>
              <w:t>）</w:t>
            </w:r>
          </w:p>
        </w:tc>
        <w:tc>
          <w:tcPr>
            <w:tcW w:w="536" w:type="dxa"/>
          </w:tcPr>
          <w:p>
            <w:pPr>
              <w:pStyle w:val="TableParagraph"/>
              <w:spacing w:before="5"/>
              <w:jc w:val="left"/>
              <w:rPr>
                <w:sz w:val="9"/>
              </w:rPr>
            </w:pPr>
          </w:p>
          <w:p>
            <w:pPr>
              <w:pStyle w:val="TableParagraph"/>
              <w:ind w:left="-89" w:right="135"/>
              <w:jc w:val="right"/>
              <w:rPr>
                <w:rFonts w:ascii="Times New Roman"/>
                <w:sz w:val="18"/>
              </w:rPr>
            </w:pPr>
            <w:r>
              <w:rPr>
                <w:rFonts w:ascii="Times New Roman"/>
                <w:sz w:val="18"/>
              </w:rPr>
              <w:t>1.7</w:t>
            </w:r>
          </w:p>
        </w:tc>
        <w:tc>
          <w:tcPr>
            <w:tcW w:w="519" w:type="dxa"/>
          </w:tcPr>
          <w:p>
            <w:pPr>
              <w:pStyle w:val="TableParagraph"/>
              <w:spacing w:before="103"/>
              <w:ind w:left="76"/>
              <w:jc w:val="left"/>
              <w:rPr>
                <w:sz w:val="18"/>
              </w:rPr>
            </w:pPr>
            <w:r>
              <w:rPr>
                <w:sz w:val="18"/>
              </w:rPr>
              <w:t>间断</w:t>
            </w:r>
          </w:p>
        </w:tc>
        <w:tc>
          <w:tcPr>
            <w:tcW w:w="3213" w:type="dxa"/>
          </w:tcPr>
          <w:p>
            <w:pPr>
              <w:pStyle w:val="TableParagraph"/>
              <w:spacing w:before="103"/>
              <w:ind w:left="30" w:right="24"/>
              <w:rPr>
                <w:sz w:val="18"/>
              </w:rPr>
            </w:pPr>
            <w:r>
              <w:rPr>
                <w:sz w:val="18"/>
              </w:rPr>
              <w:t>异丙醇、甘氨酸、甲苯、甘羟铝、水</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val="restart"/>
          </w:tcPr>
          <w:p>
            <w:pPr>
              <w:pStyle w:val="TableParagraph"/>
              <w:spacing w:before="7"/>
              <w:jc w:val="left"/>
              <w:rPr>
                <w:sz w:val="12"/>
              </w:rPr>
            </w:pPr>
          </w:p>
          <w:p>
            <w:pPr>
              <w:pStyle w:val="TableParagraph"/>
              <w:spacing w:line="146" w:lineRule="auto"/>
              <w:ind w:left="75" w:right="56"/>
              <w:jc w:val="left"/>
              <w:rPr>
                <w:sz w:val="18"/>
              </w:rPr>
            </w:pPr>
            <w:r>
              <w:rPr>
                <w:sz w:val="18"/>
              </w:rPr>
              <w:t>乳酸氟罗沙星</w:t>
            </w:r>
          </w:p>
        </w:tc>
        <w:tc>
          <w:tcPr>
            <w:tcW w:w="1542" w:type="dxa"/>
          </w:tcPr>
          <w:p>
            <w:pPr>
              <w:pStyle w:val="TableParagraph"/>
              <w:spacing w:before="31"/>
              <w:ind w:left="56"/>
              <w:jc w:val="left"/>
              <w:rPr>
                <w:sz w:val="18"/>
              </w:rPr>
            </w:pPr>
            <w:r>
              <w:rPr>
                <w:sz w:val="18"/>
              </w:rPr>
              <w:t>压滤滤渣（</w:t>
            </w:r>
            <w:r>
              <w:rPr>
                <w:rFonts w:ascii="Times New Roman" w:eastAsia="Times New Roman"/>
                <w:sz w:val="18"/>
              </w:rPr>
              <w:t>S6-1</w:t>
            </w:r>
            <w:r>
              <w:rPr>
                <w:sz w:val="18"/>
              </w:rPr>
              <w:t>）</w:t>
            </w:r>
          </w:p>
        </w:tc>
        <w:tc>
          <w:tcPr>
            <w:tcW w:w="536" w:type="dxa"/>
          </w:tcPr>
          <w:p>
            <w:pPr>
              <w:pStyle w:val="TableParagraph"/>
              <w:spacing w:before="124"/>
              <w:ind w:left="-89" w:right="135"/>
              <w:jc w:val="right"/>
              <w:rPr>
                <w:rFonts w:ascii="Times New Roman"/>
                <w:sz w:val="18"/>
              </w:rPr>
            </w:pPr>
            <w:r>
              <w:rPr>
                <w:rFonts w:ascii="Times New Roman"/>
                <w:sz w:val="18"/>
              </w:rPr>
              <w:t>0.2</w:t>
            </w:r>
          </w:p>
        </w:tc>
        <w:tc>
          <w:tcPr>
            <w:tcW w:w="519" w:type="dxa"/>
            <w:vMerge w:val="restart"/>
          </w:tcPr>
          <w:p>
            <w:pPr>
              <w:pStyle w:val="TableParagraph"/>
              <w:spacing w:before="18"/>
              <w:jc w:val="left"/>
              <w:rPr>
                <w:sz w:val="12"/>
              </w:rPr>
            </w:pPr>
          </w:p>
          <w:p>
            <w:pPr>
              <w:pStyle w:val="TableParagraph"/>
              <w:spacing w:before="1"/>
              <w:ind w:left="76"/>
              <w:jc w:val="left"/>
              <w:rPr>
                <w:sz w:val="18"/>
              </w:rPr>
            </w:pPr>
            <w:r>
              <w:rPr>
                <w:sz w:val="18"/>
              </w:rPr>
              <w:t>间断</w:t>
            </w:r>
          </w:p>
        </w:tc>
        <w:tc>
          <w:tcPr>
            <w:tcW w:w="3213" w:type="dxa"/>
          </w:tcPr>
          <w:p>
            <w:pPr>
              <w:pStyle w:val="TableParagraph"/>
              <w:spacing w:line="222" w:lineRule="exact"/>
              <w:ind w:left="30" w:right="110"/>
              <w:rPr>
                <w:sz w:val="18"/>
              </w:rPr>
            </w:pPr>
            <w:r>
              <w:rPr>
                <w:spacing w:val="-13"/>
                <w:sz w:val="18"/>
              </w:rPr>
              <w:t>氟罗沙星杂质、乳酸氟罗沙星、水、乙醇</w:t>
            </w:r>
          </w:p>
          <w:p>
            <w:pPr>
              <w:pStyle w:val="TableParagraph"/>
              <w:spacing w:line="226" w:lineRule="exact"/>
              <w:ind w:left="30" w:right="23"/>
              <w:rPr>
                <w:sz w:val="18"/>
              </w:rPr>
            </w:pPr>
            <w:r>
              <w:rPr>
                <w:sz w:val="18"/>
              </w:rPr>
              <w:t>乳酸</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0" w:lineRule="exact"/>
              <w:ind w:left="26" w:right="15"/>
              <w:rPr>
                <w:sz w:val="18"/>
              </w:rPr>
            </w:pPr>
            <w:r>
              <w:rPr>
                <w:sz w:val="18"/>
              </w:rPr>
              <w:t>乙醇回收过程蒸馏</w:t>
            </w:r>
          </w:p>
          <w:p>
            <w:pPr>
              <w:pStyle w:val="TableParagraph"/>
              <w:spacing w:line="227" w:lineRule="exact"/>
              <w:ind w:left="26" w:right="12"/>
              <w:rPr>
                <w:sz w:val="18"/>
              </w:rPr>
            </w:pPr>
            <w:r>
              <w:rPr>
                <w:sz w:val="18"/>
              </w:rPr>
              <w:t>残液（</w:t>
            </w:r>
            <w:r>
              <w:rPr>
                <w:rFonts w:ascii="Times New Roman" w:eastAsia="Times New Roman"/>
                <w:sz w:val="18"/>
              </w:rPr>
              <w:t>S6-2</w:t>
            </w:r>
            <w:r>
              <w:rPr>
                <w:sz w:val="18"/>
              </w:rPr>
              <w:t>）</w:t>
            </w:r>
          </w:p>
        </w:tc>
        <w:tc>
          <w:tcPr>
            <w:tcW w:w="536" w:type="dxa"/>
          </w:tcPr>
          <w:p>
            <w:pPr>
              <w:pStyle w:val="TableParagraph"/>
              <w:spacing w:before="124"/>
              <w:ind w:left="-89" w:right="135"/>
              <w:jc w:val="right"/>
              <w:rPr>
                <w:rFonts w:ascii="Times New Roman"/>
                <w:sz w:val="18"/>
              </w:rPr>
            </w:pPr>
            <w:r>
              <w:rPr>
                <w:rFonts w:ascii="Times New Roman"/>
                <w:sz w:val="18"/>
              </w:rPr>
              <w:t>4.0</w:t>
            </w:r>
          </w:p>
        </w:tc>
        <w:tc>
          <w:tcPr>
            <w:tcW w:w="519" w:type="dxa"/>
            <w:vMerge/>
            <w:tcBorders>
              <w:top w:val="nil"/>
            </w:tcBorders>
          </w:tcPr>
          <w:p>
            <w:pPr>
              <w:rPr>
                <w:sz w:val="2"/>
                <w:szCs w:val="2"/>
              </w:rPr>
            </w:pPr>
          </w:p>
        </w:tc>
        <w:tc>
          <w:tcPr>
            <w:tcW w:w="3213" w:type="dxa"/>
          </w:tcPr>
          <w:p>
            <w:pPr>
              <w:pStyle w:val="TableParagraph"/>
              <w:spacing w:before="31"/>
              <w:ind w:left="30" w:right="24"/>
              <w:rPr>
                <w:sz w:val="18"/>
              </w:rPr>
            </w:pPr>
            <w:r>
              <w:rPr>
                <w:sz w:val="18"/>
              </w:rPr>
              <w:t>乳酸氟罗沙星、水、乙醇、乳酸</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val="restart"/>
          </w:tcPr>
          <w:p>
            <w:pPr>
              <w:pStyle w:val="TableParagraph"/>
              <w:jc w:val="left"/>
              <w:rPr>
                <w:sz w:val="18"/>
              </w:rPr>
            </w:pPr>
          </w:p>
          <w:p>
            <w:pPr>
              <w:pStyle w:val="TableParagraph"/>
              <w:spacing w:before="7"/>
              <w:jc w:val="left"/>
              <w:rPr>
                <w:sz w:val="11"/>
              </w:rPr>
            </w:pPr>
          </w:p>
          <w:p>
            <w:pPr>
              <w:pStyle w:val="TableParagraph"/>
              <w:spacing w:line="146" w:lineRule="auto"/>
              <w:ind w:left="75" w:right="56" w:firstLine="88"/>
              <w:jc w:val="left"/>
              <w:rPr>
                <w:sz w:val="18"/>
              </w:rPr>
            </w:pPr>
            <w:r>
              <w:rPr>
                <w:sz w:val="18"/>
              </w:rPr>
              <w:t>去甲斑蝥素</w:t>
            </w:r>
          </w:p>
        </w:tc>
        <w:tc>
          <w:tcPr>
            <w:tcW w:w="1542" w:type="dxa"/>
          </w:tcPr>
          <w:p>
            <w:pPr>
              <w:pStyle w:val="TableParagraph"/>
              <w:spacing w:line="220" w:lineRule="exact"/>
              <w:ind w:left="46"/>
              <w:jc w:val="left"/>
              <w:rPr>
                <w:sz w:val="18"/>
              </w:rPr>
            </w:pPr>
            <w:r>
              <w:rPr>
                <w:sz w:val="18"/>
              </w:rPr>
              <w:t>合成后溶剂回收过</w:t>
            </w:r>
          </w:p>
          <w:p>
            <w:pPr>
              <w:pStyle w:val="TableParagraph"/>
              <w:spacing w:line="227" w:lineRule="exact"/>
              <w:ind w:left="8"/>
              <w:jc w:val="left"/>
              <w:rPr>
                <w:rFonts w:ascii="Times New Roman" w:eastAsia="Times New Roman"/>
                <w:sz w:val="18"/>
              </w:rPr>
            </w:pPr>
            <w:r>
              <w:rPr>
                <w:sz w:val="18"/>
              </w:rPr>
              <w:t>程蒸馏残液（</w:t>
            </w:r>
            <w:r>
              <w:rPr>
                <w:rFonts w:ascii="Times New Roman" w:eastAsia="Times New Roman"/>
                <w:sz w:val="18"/>
              </w:rPr>
              <w:t>S8-1</w:t>
            </w:r>
          </w:p>
        </w:tc>
        <w:tc>
          <w:tcPr>
            <w:tcW w:w="536" w:type="dxa"/>
          </w:tcPr>
          <w:p>
            <w:pPr>
              <w:pStyle w:val="TableParagraph"/>
              <w:spacing w:line="151" w:lineRule="auto" w:before="178"/>
              <w:ind w:left="-89" w:right="135"/>
              <w:jc w:val="right"/>
              <w:rPr>
                <w:rFonts w:ascii="Times New Roman" w:eastAsia="Times New Roman"/>
                <w:sz w:val="18"/>
              </w:rPr>
            </w:pPr>
            <w:r>
              <w:rPr>
                <w:position w:val="-11"/>
                <w:sz w:val="18"/>
              </w:rPr>
              <w:t>）</w:t>
            </w:r>
            <w:r>
              <w:rPr>
                <w:spacing w:val="4"/>
                <w:position w:val="-11"/>
                <w:sz w:val="18"/>
              </w:rPr>
              <w:t> </w:t>
            </w:r>
            <w:r>
              <w:rPr>
                <w:rFonts w:ascii="Times New Roman" w:eastAsia="Times New Roman"/>
                <w:sz w:val="18"/>
              </w:rPr>
              <w:t>0.7</w:t>
            </w:r>
          </w:p>
        </w:tc>
        <w:tc>
          <w:tcPr>
            <w:tcW w:w="519" w:type="dxa"/>
            <w:vMerge w:val="restart"/>
          </w:tcPr>
          <w:p>
            <w:pPr>
              <w:pStyle w:val="TableParagraph"/>
              <w:jc w:val="left"/>
              <w:rPr>
                <w:sz w:val="18"/>
              </w:rPr>
            </w:pPr>
          </w:p>
          <w:p>
            <w:pPr>
              <w:pStyle w:val="TableParagraph"/>
              <w:spacing w:before="18"/>
              <w:jc w:val="left"/>
              <w:rPr>
                <w:sz w:val="11"/>
              </w:rPr>
            </w:pPr>
          </w:p>
          <w:p>
            <w:pPr>
              <w:pStyle w:val="TableParagraph"/>
              <w:ind w:left="76"/>
              <w:jc w:val="left"/>
              <w:rPr>
                <w:sz w:val="18"/>
              </w:rPr>
            </w:pPr>
            <w:r>
              <w:rPr>
                <w:sz w:val="18"/>
              </w:rPr>
              <w:t>间断</w:t>
            </w:r>
          </w:p>
        </w:tc>
        <w:tc>
          <w:tcPr>
            <w:tcW w:w="3213" w:type="dxa"/>
          </w:tcPr>
          <w:p>
            <w:pPr>
              <w:pStyle w:val="TableParagraph"/>
              <w:spacing w:before="30"/>
              <w:ind w:left="30" w:right="21"/>
              <w:rPr>
                <w:sz w:val="18"/>
              </w:rPr>
            </w:pPr>
            <w:r>
              <w:rPr>
                <w:sz w:val="18"/>
              </w:rPr>
              <w:t>四氢呋喃、呋喃双烯合成产物</w:t>
            </w:r>
          </w:p>
        </w:tc>
        <w:tc>
          <w:tcPr>
            <w:tcW w:w="1477" w:type="dxa"/>
            <w:vMerge/>
            <w:tcBorders>
              <w:top w:val="nil"/>
            </w:tcBorders>
          </w:tcPr>
          <w:p>
            <w:pPr>
              <w:rPr>
                <w:sz w:val="2"/>
                <w:szCs w:val="2"/>
              </w:rPr>
            </w:pPr>
          </w:p>
        </w:tc>
      </w:tr>
      <w:tr>
        <w:trPr>
          <w:trHeight w:val="464"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0" w:lineRule="exact"/>
              <w:ind w:left="26" w:right="15"/>
              <w:rPr>
                <w:sz w:val="18"/>
              </w:rPr>
            </w:pPr>
            <w:r>
              <w:rPr>
                <w:sz w:val="18"/>
              </w:rPr>
              <w:t>催化氢化后压滤滤</w:t>
            </w:r>
          </w:p>
          <w:p>
            <w:pPr>
              <w:pStyle w:val="TableParagraph"/>
              <w:spacing w:line="224" w:lineRule="exact"/>
              <w:ind w:left="26" w:right="10"/>
              <w:rPr>
                <w:sz w:val="18"/>
              </w:rPr>
            </w:pPr>
            <w:r>
              <w:rPr>
                <w:sz w:val="18"/>
              </w:rPr>
              <w:t>渣（</w:t>
            </w:r>
            <w:r>
              <w:rPr>
                <w:rFonts w:ascii="Times New Roman" w:eastAsia="Times New Roman"/>
                <w:sz w:val="18"/>
              </w:rPr>
              <w:t>S8-2</w:t>
            </w:r>
            <w:r>
              <w:rPr>
                <w:sz w:val="18"/>
              </w:rPr>
              <w:t>）</w:t>
            </w:r>
          </w:p>
        </w:tc>
        <w:tc>
          <w:tcPr>
            <w:tcW w:w="536" w:type="dxa"/>
          </w:tcPr>
          <w:p>
            <w:pPr>
              <w:pStyle w:val="TableParagraph"/>
              <w:spacing w:before="124"/>
              <w:ind w:left="-89" w:right="135"/>
              <w:jc w:val="right"/>
              <w:rPr>
                <w:rFonts w:ascii="Times New Roman"/>
                <w:sz w:val="18"/>
              </w:rPr>
            </w:pPr>
            <w:r>
              <w:rPr>
                <w:rFonts w:ascii="Times New Roman"/>
                <w:sz w:val="18"/>
              </w:rPr>
              <w:t>0.1</w:t>
            </w:r>
          </w:p>
        </w:tc>
        <w:tc>
          <w:tcPr>
            <w:tcW w:w="519" w:type="dxa"/>
            <w:vMerge/>
            <w:tcBorders>
              <w:top w:val="nil"/>
            </w:tcBorders>
          </w:tcPr>
          <w:p>
            <w:pPr>
              <w:rPr>
                <w:sz w:val="2"/>
                <w:szCs w:val="2"/>
              </w:rPr>
            </w:pPr>
          </w:p>
        </w:tc>
        <w:tc>
          <w:tcPr>
            <w:tcW w:w="3213" w:type="dxa"/>
          </w:tcPr>
          <w:p>
            <w:pPr>
              <w:pStyle w:val="TableParagraph"/>
              <w:spacing w:before="30"/>
              <w:ind w:left="30" w:right="24"/>
              <w:rPr>
                <w:sz w:val="18"/>
              </w:rPr>
            </w:pPr>
            <w:r>
              <w:rPr>
                <w:sz w:val="18"/>
              </w:rPr>
              <w:t>钯碳、丙酮、四氢呋喃、去甲斑蝥素</w:t>
            </w:r>
          </w:p>
        </w:tc>
        <w:tc>
          <w:tcPr>
            <w:tcW w:w="1477" w:type="dxa"/>
            <w:vMerge/>
            <w:tcBorders>
              <w:top w:val="nil"/>
            </w:tcBorders>
          </w:tcPr>
          <w:p>
            <w:pPr>
              <w:rPr>
                <w:sz w:val="2"/>
                <w:szCs w:val="2"/>
              </w:rPr>
            </w:pPr>
          </w:p>
        </w:tc>
      </w:tr>
      <w:tr>
        <w:trPr>
          <w:trHeight w:val="703"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146" w:lineRule="auto" w:before="20"/>
              <w:ind w:left="46" w:right="33"/>
              <w:rPr>
                <w:sz w:val="18"/>
              </w:rPr>
            </w:pPr>
            <w:r>
              <w:rPr>
                <w:sz w:val="18"/>
              </w:rPr>
              <w:t>催化氢化后溶剂回收过程蒸馏残液</w:t>
            </w:r>
          </w:p>
          <w:p>
            <w:pPr>
              <w:pStyle w:val="TableParagraph"/>
              <w:spacing w:line="197" w:lineRule="exact"/>
              <w:ind w:left="26" w:right="12"/>
              <w:rPr>
                <w:sz w:val="18"/>
              </w:rPr>
            </w:pPr>
            <w:r>
              <w:rPr>
                <w:sz w:val="18"/>
              </w:rPr>
              <w:t>（</w:t>
            </w:r>
            <w:r>
              <w:rPr>
                <w:rFonts w:ascii="Times New Roman" w:eastAsia="Times New Roman"/>
                <w:sz w:val="18"/>
              </w:rPr>
              <w:t>S8-3</w:t>
            </w:r>
            <w:r>
              <w:rPr>
                <w:sz w:val="18"/>
              </w:rPr>
              <w:t>）</w:t>
            </w:r>
          </w:p>
        </w:tc>
        <w:tc>
          <w:tcPr>
            <w:tcW w:w="536" w:type="dxa"/>
          </w:tcPr>
          <w:p>
            <w:pPr>
              <w:pStyle w:val="TableParagraph"/>
              <w:spacing w:before="11"/>
              <w:jc w:val="left"/>
              <w:rPr>
                <w:sz w:val="11"/>
              </w:rPr>
            </w:pPr>
          </w:p>
          <w:p>
            <w:pPr>
              <w:pStyle w:val="TableParagraph"/>
              <w:ind w:left="-89" w:right="135"/>
              <w:jc w:val="right"/>
              <w:rPr>
                <w:rFonts w:ascii="Times New Roman"/>
                <w:sz w:val="18"/>
              </w:rPr>
            </w:pPr>
            <w:r>
              <w:rPr>
                <w:rFonts w:ascii="Times New Roman"/>
                <w:sz w:val="18"/>
              </w:rPr>
              <w:t>0.8</w:t>
            </w:r>
          </w:p>
        </w:tc>
        <w:tc>
          <w:tcPr>
            <w:tcW w:w="519" w:type="dxa"/>
            <w:vMerge/>
            <w:tcBorders>
              <w:top w:val="nil"/>
            </w:tcBorders>
          </w:tcPr>
          <w:p>
            <w:pPr>
              <w:rPr>
                <w:sz w:val="2"/>
                <w:szCs w:val="2"/>
              </w:rPr>
            </w:pPr>
          </w:p>
        </w:tc>
        <w:tc>
          <w:tcPr>
            <w:tcW w:w="3213" w:type="dxa"/>
          </w:tcPr>
          <w:p>
            <w:pPr>
              <w:pStyle w:val="TableParagraph"/>
              <w:spacing w:before="149"/>
              <w:ind w:left="30" w:right="21"/>
              <w:rPr>
                <w:sz w:val="18"/>
              </w:rPr>
            </w:pPr>
            <w:r>
              <w:rPr>
                <w:sz w:val="18"/>
              </w:rPr>
              <w:t>丙酮、去甲斑蝥素、四氢呋喃</w:t>
            </w:r>
          </w:p>
        </w:tc>
        <w:tc>
          <w:tcPr>
            <w:tcW w:w="1477" w:type="dxa"/>
            <w:vMerge/>
            <w:tcBorders>
              <w:top w:val="nil"/>
            </w:tcBorders>
          </w:tcPr>
          <w:p>
            <w:pPr>
              <w:rPr>
                <w:sz w:val="2"/>
                <w:szCs w:val="2"/>
              </w:rPr>
            </w:pPr>
          </w:p>
        </w:tc>
      </w:tr>
      <w:tr>
        <w:trPr>
          <w:trHeight w:val="464" w:hRule="atLeast"/>
        </w:trPr>
        <w:tc>
          <w:tcPr>
            <w:tcW w:w="358" w:type="dxa"/>
            <w:vMerge w:val="restart"/>
          </w:tcPr>
          <w:p>
            <w:pPr>
              <w:pStyle w:val="TableParagraph"/>
              <w:jc w:val="left"/>
              <w:rPr>
                <w:sz w:val="18"/>
              </w:rPr>
            </w:pPr>
          </w:p>
          <w:p>
            <w:pPr>
              <w:pStyle w:val="TableParagraph"/>
              <w:spacing w:before="14"/>
              <w:jc w:val="left"/>
              <w:rPr>
                <w:sz w:val="12"/>
              </w:rPr>
            </w:pPr>
          </w:p>
          <w:p>
            <w:pPr>
              <w:pStyle w:val="TableParagraph"/>
              <w:spacing w:line="146" w:lineRule="auto"/>
              <w:ind w:left="85" w:right="71"/>
              <w:jc w:val="both"/>
              <w:rPr>
                <w:sz w:val="18"/>
              </w:rPr>
            </w:pPr>
            <w:r>
              <w:rPr>
                <w:sz w:val="18"/>
              </w:rPr>
              <w:t>生产工艺过程固废</w:t>
            </w:r>
          </w:p>
        </w:tc>
        <w:tc>
          <w:tcPr>
            <w:tcW w:w="694" w:type="dxa"/>
            <w:vMerge w:val="restart"/>
          </w:tcPr>
          <w:p>
            <w:pPr>
              <w:pStyle w:val="TableParagraph"/>
              <w:spacing w:before="2"/>
              <w:jc w:val="left"/>
              <w:rPr>
                <w:sz w:val="12"/>
              </w:rPr>
            </w:pPr>
          </w:p>
          <w:p>
            <w:pPr>
              <w:pStyle w:val="TableParagraph"/>
              <w:spacing w:line="148" w:lineRule="auto"/>
              <w:ind w:left="75" w:right="56"/>
              <w:jc w:val="left"/>
              <w:rPr>
                <w:sz w:val="18"/>
              </w:rPr>
            </w:pPr>
            <w:r>
              <w:rPr>
                <w:sz w:val="18"/>
              </w:rPr>
              <w:t>盐酸普罗帕酮</w:t>
            </w:r>
          </w:p>
        </w:tc>
        <w:tc>
          <w:tcPr>
            <w:tcW w:w="1542" w:type="dxa"/>
          </w:tcPr>
          <w:p>
            <w:pPr>
              <w:pStyle w:val="TableParagraph"/>
              <w:spacing w:line="220" w:lineRule="exact"/>
              <w:ind w:left="26" w:right="13"/>
              <w:rPr>
                <w:sz w:val="18"/>
              </w:rPr>
            </w:pPr>
            <w:r>
              <w:rPr>
                <w:sz w:val="18"/>
              </w:rPr>
              <w:t>精制后压滤滤渣</w:t>
            </w:r>
          </w:p>
          <w:p>
            <w:pPr>
              <w:pStyle w:val="TableParagraph"/>
              <w:spacing w:line="224" w:lineRule="exact"/>
              <w:ind w:left="26" w:right="10"/>
              <w:rPr>
                <w:sz w:val="18"/>
              </w:rPr>
            </w:pPr>
            <w:r>
              <w:rPr>
                <w:sz w:val="18"/>
              </w:rPr>
              <w:t>（</w:t>
            </w:r>
            <w:r>
              <w:rPr>
                <w:rFonts w:ascii="Times New Roman" w:eastAsia="Times New Roman"/>
                <w:sz w:val="18"/>
              </w:rPr>
              <w:t>S10-1</w:t>
            </w:r>
            <w:r>
              <w:rPr>
                <w:sz w:val="18"/>
              </w:rPr>
              <w:t>）</w:t>
            </w:r>
          </w:p>
        </w:tc>
        <w:tc>
          <w:tcPr>
            <w:tcW w:w="536" w:type="dxa"/>
          </w:tcPr>
          <w:p>
            <w:pPr>
              <w:pStyle w:val="TableParagraph"/>
              <w:spacing w:before="124"/>
              <w:ind w:left="-89" w:right="135"/>
              <w:jc w:val="right"/>
              <w:rPr>
                <w:rFonts w:ascii="Times New Roman"/>
                <w:sz w:val="18"/>
              </w:rPr>
            </w:pPr>
            <w:r>
              <w:rPr>
                <w:rFonts w:ascii="Times New Roman"/>
                <w:sz w:val="18"/>
              </w:rPr>
              <w:t>3.1</w:t>
            </w:r>
          </w:p>
        </w:tc>
        <w:tc>
          <w:tcPr>
            <w:tcW w:w="519" w:type="dxa"/>
            <w:vMerge w:val="restart"/>
          </w:tcPr>
          <w:p>
            <w:pPr>
              <w:pStyle w:val="TableParagraph"/>
              <w:spacing w:before="18"/>
              <w:jc w:val="left"/>
              <w:rPr>
                <w:sz w:val="12"/>
              </w:rPr>
            </w:pPr>
          </w:p>
          <w:p>
            <w:pPr>
              <w:pStyle w:val="TableParagraph"/>
              <w:spacing w:before="1"/>
              <w:ind w:left="76"/>
              <w:jc w:val="left"/>
              <w:rPr>
                <w:sz w:val="18"/>
              </w:rPr>
            </w:pPr>
            <w:r>
              <w:rPr>
                <w:sz w:val="18"/>
              </w:rPr>
              <w:t>间断</w:t>
            </w:r>
          </w:p>
        </w:tc>
        <w:tc>
          <w:tcPr>
            <w:tcW w:w="3213" w:type="dxa"/>
          </w:tcPr>
          <w:p>
            <w:pPr>
              <w:pStyle w:val="TableParagraph"/>
              <w:spacing w:before="31"/>
              <w:ind w:left="21"/>
              <w:rPr>
                <w:sz w:val="18"/>
              </w:rPr>
            </w:pPr>
            <w:r>
              <w:rPr>
                <w:spacing w:val="-8"/>
                <w:sz w:val="18"/>
              </w:rPr>
              <w:t>副产物、水、乙醇、丙酮、盐酸普罗帕酮</w:t>
            </w:r>
          </w:p>
        </w:tc>
        <w:tc>
          <w:tcPr>
            <w:tcW w:w="1477" w:type="dxa"/>
            <w:vMerge w:val="restart"/>
          </w:tcPr>
          <w:p>
            <w:pPr>
              <w:pStyle w:val="TableParagraph"/>
              <w:jc w:val="left"/>
              <w:rPr>
                <w:sz w:val="18"/>
              </w:rPr>
            </w:pPr>
          </w:p>
          <w:p>
            <w:pPr>
              <w:pStyle w:val="TableParagraph"/>
              <w:spacing w:before="17"/>
              <w:jc w:val="left"/>
              <w:rPr>
                <w:sz w:val="15"/>
              </w:rPr>
            </w:pPr>
          </w:p>
          <w:p>
            <w:pPr>
              <w:pStyle w:val="TableParagraph"/>
              <w:spacing w:line="348" w:lineRule="exact"/>
              <w:ind w:left="370"/>
              <w:jc w:val="left"/>
              <w:rPr>
                <w:sz w:val="18"/>
              </w:rPr>
            </w:pPr>
            <w:r>
              <w:rPr>
                <w:sz w:val="18"/>
              </w:rPr>
              <w:t>医药废物</w:t>
            </w:r>
          </w:p>
          <w:p>
            <w:pPr>
              <w:pStyle w:val="TableParagraph"/>
              <w:spacing w:line="173" w:lineRule="exact"/>
              <w:ind w:left="46"/>
              <w:jc w:val="left"/>
              <w:rPr>
                <w:rFonts w:ascii="Times New Roman"/>
                <w:sz w:val="18"/>
              </w:rPr>
            </w:pPr>
            <w:r>
              <w:rPr>
                <w:rFonts w:ascii="Times New Roman"/>
                <w:sz w:val="18"/>
              </w:rPr>
              <w:t>HW02/272-001-02</w:t>
            </w:r>
          </w:p>
          <w:p>
            <w:pPr>
              <w:pStyle w:val="TableParagraph"/>
              <w:ind w:left="46" w:right="35"/>
              <w:jc w:val="both"/>
              <w:rPr>
                <w:rFonts w:ascii="Times New Roman"/>
                <w:sz w:val="18"/>
              </w:rPr>
            </w:pPr>
            <w:r>
              <w:rPr>
                <w:rFonts w:ascii="Times New Roman"/>
                <w:sz w:val="18"/>
              </w:rPr>
              <w:t>HW02/272-002-02 HW02/272-003-02 HW02/272-004-02</w:t>
            </w:r>
          </w:p>
          <w:p>
            <w:pPr>
              <w:pStyle w:val="TableParagraph"/>
              <w:spacing w:line="146" w:lineRule="auto" w:before="23"/>
              <w:ind w:left="461" w:right="4" w:hanging="452"/>
              <w:jc w:val="left"/>
              <w:rPr>
                <w:sz w:val="18"/>
              </w:rPr>
            </w:pPr>
            <w:r>
              <w:rPr>
                <w:sz w:val="18"/>
              </w:rPr>
              <w:t>危废委托有资质单位处置</w:t>
            </w: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3" w:lineRule="exact"/>
              <w:ind w:left="26" w:right="15"/>
              <w:rPr>
                <w:sz w:val="18"/>
              </w:rPr>
            </w:pPr>
            <w:r>
              <w:rPr>
                <w:sz w:val="18"/>
              </w:rPr>
              <w:t>溶剂回收过程蒸馏</w:t>
            </w:r>
          </w:p>
          <w:p>
            <w:pPr>
              <w:pStyle w:val="TableParagraph"/>
              <w:spacing w:line="224" w:lineRule="exact"/>
              <w:ind w:left="26" w:right="10"/>
              <w:rPr>
                <w:sz w:val="18"/>
              </w:rPr>
            </w:pPr>
            <w:r>
              <w:rPr>
                <w:sz w:val="18"/>
              </w:rPr>
              <w:t>残液（</w:t>
            </w:r>
            <w:r>
              <w:rPr>
                <w:rFonts w:ascii="Times New Roman" w:eastAsia="Times New Roman"/>
                <w:sz w:val="18"/>
              </w:rPr>
              <w:t>S10-2</w:t>
            </w:r>
            <w:r>
              <w:rPr>
                <w:sz w:val="18"/>
              </w:rPr>
              <w:t>）</w:t>
            </w:r>
          </w:p>
        </w:tc>
        <w:tc>
          <w:tcPr>
            <w:tcW w:w="536" w:type="dxa"/>
          </w:tcPr>
          <w:p>
            <w:pPr>
              <w:pStyle w:val="TableParagraph"/>
              <w:spacing w:before="126"/>
              <w:ind w:left="-89" w:right="44"/>
              <w:jc w:val="right"/>
              <w:rPr>
                <w:rFonts w:ascii="Times New Roman"/>
                <w:sz w:val="18"/>
              </w:rPr>
            </w:pPr>
            <w:r>
              <w:rPr>
                <w:rFonts w:ascii="Times New Roman"/>
                <w:sz w:val="18"/>
              </w:rPr>
              <w:t>101.8</w:t>
            </w:r>
          </w:p>
        </w:tc>
        <w:tc>
          <w:tcPr>
            <w:tcW w:w="519" w:type="dxa"/>
            <w:vMerge/>
            <w:tcBorders>
              <w:top w:val="nil"/>
            </w:tcBorders>
          </w:tcPr>
          <w:p>
            <w:pPr>
              <w:rPr>
                <w:sz w:val="2"/>
                <w:szCs w:val="2"/>
              </w:rPr>
            </w:pPr>
          </w:p>
        </w:tc>
        <w:tc>
          <w:tcPr>
            <w:tcW w:w="3213" w:type="dxa"/>
          </w:tcPr>
          <w:p>
            <w:pPr>
              <w:pStyle w:val="TableParagraph"/>
              <w:spacing w:before="31"/>
              <w:ind w:left="21"/>
              <w:rPr>
                <w:sz w:val="18"/>
              </w:rPr>
            </w:pPr>
            <w:r>
              <w:rPr>
                <w:spacing w:val="-8"/>
                <w:sz w:val="18"/>
              </w:rPr>
              <w:t>乙醇、丙酮、水、副产物、盐酸普罗帕酮</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val="restart"/>
          </w:tcPr>
          <w:p>
            <w:pPr>
              <w:pStyle w:val="TableParagraph"/>
              <w:jc w:val="left"/>
              <w:rPr>
                <w:sz w:val="18"/>
              </w:rPr>
            </w:pPr>
          </w:p>
          <w:p>
            <w:pPr>
              <w:pStyle w:val="TableParagraph"/>
              <w:spacing w:before="7"/>
              <w:jc w:val="left"/>
              <w:rPr>
                <w:sz w:val="17"/>
              </w:rPr>
            </w:pPr>
          </w:p>
          <w:p>
            <w:pPr>
              <w:pStyle w:val="TableParagraph"/>
              <w:spacing w:line="146" w:lineRule="auto"/>
              <w:ind w:left="75" w:right="56"/>
              <w:jc w:val="both"/>
              <w:rPr>
                <w:sz w:val="18"/>
              </w:rPr>
            </w:pPr>
            <w:r>
              <w:rPr>
                <w:sz w:val="18"/>
              </w:rPr>
              <w:t>单硝酸异山梨酯</w:t>
            </w:r>
          </w:p>
        </w:tc>
        <w:tc>
          <w:tcPr>
            <w:tcW w:w="1542" w:type="dxa"/>
          </w:tcPr>
          <w:p>
            <w:pPr>
              <w:pStyle w:val="TableParagraph"/>
              <w:spacing w:line="223" w:lineRule="exact"/>
              <w:ind w:left="26" w:right="13"/>
              <w:rPr>
                <w:sz w:val="18"/>
              </w:rPr>
            </w:pPr>
            <w:r>
              <w:rPr>
                <w:sz w:val="18"/>
              </w:rPr>
              <w:t>中和后抽滤液渣</w:t>
            </w:r>
          </w:p>
          <w:p>
            <w:pPr>
              <w:pStyle w:val="TableParagraph"/>
              <w:spacing w:line="224" w:lineRule="exact"/>
              <w:ind w:left="26" w:right="10"/>
              <w:rPr>
                <w:sz w:val="18"/>
              </w:rPr>
            </w:pPr>
            <w:r>
              <w:rPr>
                <w:sz w:val="18"/>
              </w:rPr>
              <w:t>（</w:t>
            </w:r>
            <w:r>
              <w:rPr>
                <w:rFonts w:ascii="Times New Roman" w:eastAsia="Times New Roman"/>
                <w:sz w:val="18"/>
              </w:rPr>
              <w:t>S12-1</w:t>
            </w:r>
            <w:r>
              <w:rPr>
                <w:sz w:val="18"/>
              </w:rPr>
              <w:t>）</w:t>
            </w:r>
          </w:p>
        </w:tc>
        <w:tc>
          <w:tcPr>
            <w:tcW w:w="536" w:type="dxa"/>
          </w:tcPr>
          <w:p>
            <w:pPr>
              <w:pStyle w:val="TableParagraph"/>
              <w:spacing w:before="126"/>
              <w:ind w:left="-89" w:right="135"/>
              <w:jc w:val="right"/>
              <w:rPr>
                <w:rFonts w:ascii="Times New Roman"/>
                <w:sz w:val="18"/>
              </w:rPr>
            </w:pPr>
            <w:r>
              <w:rPr>
                <w:rFonts w:ascii="Times New Roman"/>
                <w:sz w:val="18"/>
              </w:rPr>
              <w:t>4.3</w:t>
            </w:r>
          </w:p>
        </w:tc>
        <w:tc>
          <w:tcPr>
            <w:tcW w:w="519" w:type="dxa"/>
            <w:vMerge w:val="restart"/>
          </w:tcPr>
          <w:p>
            <w:pPr>
              <w:pStyle w:val="TableParagraph"/>
              <w:jc w:val="left"/>
              <w:rPr>
                <w:sz w:val="18"/>
              </w:rPr>
            </w:pPr>
          </w:p>
          <w:p>
            <w:pPr>
              <w:pStyle w:val="TableParagraph"/>
              <w:spacing w:before="8"/>
              <w:jc w:val="left"/>
              <w:rPr>
                <w:sz w:val="23"/>
              </w:rPr>
            </w:pPr>
          </w:p>
          <w:p>
            <w:pPr>
              <w:pStyle w:val="TableParagraph"/>
              <w:ind w:left="76"/>
              <w:jc w:val="left"/>
              <w:rPr>
                <w:sz w:val="18"/>
              </w:rPr>
            </w:pPr>
            <w:r>
              <w:rPr>
                <w:sz w:val="18"/>
              </w:rPr>
              <w:t>间断</w:t>
            </w:r>
          </w:p>
        </w:tc>
        <w:tc>
          <w:tcPr>
            <w:tcW w:w="3213" w:type="dxa"/>
          </w:tcPr>
          <w:p>
            <w:pPr>
              <w:pStyle w:val="TableParagraph"/>
              <w:spacing w:line="223" w:lineRule="exact"/>
              <w:ind w:left="21"/>
              <w:rPr>
                <w:sz w:val="18"/>
              </w:rPr>
            </w:pPr>
            <w:r>
              <w:rPr>
                <w:spacing w:val="-8"/>
                <w:sz w:val="18"/>
              </w:rPr>
              <w:t>醋酸钠、水、单硝酸异山梨酯、杂质、硝</w:t>
            </w:r>
          </w:p>
          <w:p>
            <w:pPr>
              <w:pStyle w:val="TableParagraph"/>
              <w:spacing w:line="224" w:lineRule="exact"/>
              <w:ind w:left="30" w:right="20"/>
              <w:rPr>
                <w:sz w:val="18"/>
              </w:rPr>
            </w:pPr>
            <w:r>
              <w:rPr>
                <w:sz w:val="18"/>
              </w:rPr>
              <w:t>酸、冰乙酸、硝酸钠</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2" w:lineRule="exact"/>
              <w:ind w:left="26" w:right="13"/>
              <w:rPr>
                <w:sz w:val="18"/>
              </w:rPr>
            </w:pPr>
            <w:r>
              <w:rPr>
                <w:sz w:val="18"/>
              </w:rPr>
              <w:t>除水后废干燥剂</w:t>
            </w:r>
          </w:p>
          <w:p>
            <w:pPr>
              <w:pStyle w:val="TableParagraph"/>
              <w:spacing w:line="226" w:lineRule="exact"/>
              <w:ind w:left="26" w:right="10"/>
              <w:rPr>
                <w:sz w:val="18"/>
              </w:rPr>
            </w:pPr>
            <w:r>
              <w:rPr>
                <w:sz w:val="18"/>
              </w:rPr>
              <w:t>（</w:t>
            </w:r>
            <w:r>
              <w:rPr>
                <w:rFonts w:ascii="Times New Roman" w:eastAsia="Times New Roman"/>
                <w:sz w:val="18"/>
              </w:rPr>
              <w:t>S12-2</w:t>
            </w:r>
            <w:r>
              <w:rPr>
                <w:sz w:val="18"/>
              </w:rPr>
              <w:t>）</w:t>
            </w:r>
          </w:p>
        </w:tc>
        <w:tc>
          <w:tcPr>
            <w:tcW w:w="536" w:type="dxa"/>
          </w:tcPr>
          <w:p>
            <w:pPr>
              <w:pStyle w:val="TableParagraph"/>
              <w:spacing w:before="126"/>
              <w:ind w:left="-89" w:right="135"/>
              <w:jc w:val="right"/>
              <w:rPr>
                <w:rFonts w:ascii="Times New Roman"/>
                <w:sz w:val="18"/>
              </w:rPr>
            </w:pPr>
            <w:r>
              <w:rPr>
                <w:rFonts w:ascii="Times New Roman"/>
                <w:sz w:val="18"/>
              </w:rPr>
              <w:t>3.8</w:t>
            </w:r>
          </w:p>
        </w:tc>
        <w:tc>
          <w:tcPr>
            <w:tcW w:w="519" w:type="dxa"/>
            <w:vMerge/>
            <w:tcBorders>
              <w:top w:val="nil"/>
            </w:tcBorders>
          </w:tcPr>
          <w:p>
            <w:pPr>
              <w:rPr>
                <w:sz w:val="2"/>
                <w:szCs w:val="2"/>
              </w:rPr>
            </w:pPr>
          </w:p>
        </w:tc>
        <w:tc>
          <w:tcPr>
            <w:tcW w:w="3213" w:type="dxa"/>
          </w:tcPr>
          <w:p>
            <w:pPr>
              <w:pStyle w:val="TableParagraph"/>
              <w:spacing w:line="222" w:lineRule="exact"/>
              <w:ind w:left="21"/>
              <w:rPr>
                <w:sz w:val="18"/>
              </w:rPr>
            </w:pPr>
            <w:r>
              <w:rPr>
                <w:spacing w:val="-8"/>
                <w:sz w:val="18"/>
              </w:rPr>
              <w:t>硫酸钠、水、氯化钠、乙酸乙酯、单硝酸</w:t>
            </w:r>
          </w:p>
          <w:p>
            <w:pPr>
              <w:pStyle w:val="TableParagraph"/>
              <w:spacing w:line="226" w:lineRule="exact"/>
              <w:ind w:left="30" w:right="23"/>
              <w:rPr>
                <w:sz w:val="18"/>
              </w:rPr>
            </w:pPr>
            <w:r>
              <w:rPr>
                <w:sz w:val="18"/>
              </w:rPr>
              <w:t>异山梨酯、副产物</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2" w:lineRule="exact"/>
              <w:ind w:left="26" w:right="15"/>
              <w:rPr>
                <w:sz w:val="18"/>
              </w:rPr>
            </w:pPr>
            <w:r>
              <w:rPr>
                <w:sz w:val="18"/>
              </w:rPr>
              <w:t>精制过滤废渣</w:t>
            </w:r>
          </w:p>
          <w:p>
            <w:pPr>
              <w:pStyle w:val="TableParagraph"/>
              <w:spacing w:line="226" w:lineRule="exact"/>
              <w:ind w:left="26" w:right="10"/>
              <w:rPr>
                <w:sz w:val="18"/>
              </w:rPr>
            </w:pPr>
            <w:r>
              <w:rPr>
                <w:sz w:val="18"/>
              </w:rPr>
              <w:t>（</w:t>
            </w:r>
            <w:r>
              <w:rPr>
                <w:rFonts w:ascii="Times New Roman" w:eastAsia="Times New Roman"/>
                <w:sz w:val="18"/>
              </w:rPr>
              <w:t>S12-3</w:t>
            </w:r>
            <w:r>
              <w:rPr>
                <w:sz w:val="18"/>
              </w:rPr>
              <w:t>）</w:t>
            </w:r>
          </w:p>
        </w:tc>
        <w:tc>
          <w:tcPr>
            <w:tcW w:w="536" w:type="dxa"/>
          </w:tcPr>
          <w:p>
            <w:pPr>
              <w:pStyle w:val="TableParagraph"/>
              <w:spacing w:before="124"/>
              <w:ind w:left="-89" w:right="135"/>
              <w:jc w:val="right"/>
              <w:rPr>
                <w:rFonts w:ascii="Times New Roman"/>
                <w:sz w:val="18"/>
              </w:rPr>
            </w:pPr>
            <w:r>
              <w:rPr>
                <w:rFonts w:ascii="Times New Roman"/>
                <w:sz w:val="18"/>
              </w:rPr>
              <w:t>0.5</w:t>
            </w:r>
          </w:p>
        </w:tc>
        <w:tc>
          <w:tcPr>
            <w:tcW w:w="519" w:type="dxa"/>
            <w:vMerge/>
            <w:tcBorders>
              <w:top w:val="nil"/>
            </w:tcBorders>
          </w:tcPr>
          <w:p>
            <w:pPr>
              <w:rPr>
                <w:sz w:val="2"/>
                <w:szCs w:val="2"/>
              </w:rPr>
            </w:pPr>
          </w:p>
        </w:tc>
        <w:tc>
          <w:tcPr>
            <w:tcW w:w="3213" w:type="dxa"/>
          </w:tcPr>
          <w:p>
            <w:pPr>
              <w:pStyle w:val="TableParagraph"/>
              <w:spacing w:line="222" w:lineRule="exact"/>
              <w:ind w:left="21"/>
              <w:rPr>
                <w:sz w:val="18"/>
              </w:rPr>
            </w:pPr>
            <w:r>
              <w:rPr>
                <w:spacing w:val="-7"/>
                <w:sz w:val="18"/>
              </w:rPr>
              <w:t>活性炭、乙醇、乙酸乙酯、单硝酸异山梨</w:t>
            </w:r>
          </w:p>
          <w:p>
            <w:pPr>
              <w:pStyle w:val="TableParagraph"/>
              <w:spacing w:line="226" w:lineRule="exact"/>
              <w:ind w:left="30" w:right="20"/>
              <w:rPr>
                <w:sz w:val="18"/>
              </w:rPr>
            </w:pPr>
            <w:r>
              <w:rPr>
                <w:sz w:val="18"/>
              </w:rPr>
              <w:t>酯、副产物</w:t>
            </w:r>
          </w:p>
        </w:tc>
        <w:tc>
          <w:tcPr>
            <w:tcW w:w="1477" w:type="dxa"/>
            <w:vMerge/>
            <w:tcBorders>
              <w:top w:val="nil"/>
            </w:tcBorders>
          </w:tcPr>
          <w:p>
            <w:pPr>
              <w:rPr>
                <w:sz w:val="2"/>
                <w:szCs w:val="2"/>
              </w:rPr>
            </w:pPr>
          </w:p>
        </w:tc>
      </w:tr>
      <w:tr>
        <w:trPr>
          <w:trHeight w:val="700"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146" w:lineRule="auto" w:before="17"/>
              <w:ind w:left="46" w:right="32"/>
              <w:jc w:val="left"/>
              <w:rPr>
                <w:sz w:val="18"/>
              </w:rPr>
            </w:pPr>
            <w:r>
              <w:rPr>
                <w:sz w:val="18"/>
              </w:rPr>
              <w:t>精制后离心母液、洗涤废水溶剂回收</w:t>
            </w:r>
          </w:p>
          <w:p>
            <w:pPr>
              <w:pStyle w:val="TableParagraph"/>
              <w:spacing w:line="198" w:lineRule="exact"/>
              <w:ind w:left="13" w:right="-15"/>
              <w:jc w:val="left"/>
              <w:rPr>
                <w:sz w:val="18"/>
              </w:rPr>
            </w:pPr>
            <w:r>
              <w:rPr>
                <w:w w:val="95"/>
                <w:sz w:val="18"/>
              </w:rPr>
              <w:t>蒸馏残液（</w:t>
            </w:r>
            <w:r>
              <w:rPr>
                <w:rFonts w:ascii="Times New Roman" w:eastAsia="Times New Roman"/>
                <w:w w:val="95"/>
                <w:sz w:val="18"/>
              </w:rPr>
              <w:t>S12-4</w:t>
            </w:r>
            <w:r>
              <w:rPr>
                <w:w w:val="95"/>
                <w:sz w:val="18"/>
              </w:rPr>
              <w:t>）</w:t>
            </w:r>
          </w:p>
        </w:tc>
        <w:tc>
          <w:tcPr>
            <w:tcW w:w="536" w:type="dxa"/>
          </w:tcPr>
          <w:p>
            <w:pPr>
              <w:pStyle w:val="TableParagraph"/>
              <w:spacing w:before="9"/>
              <w:jc w:val="left"/>
              <w:rPr>
                <w:sz w:val="11"/>
              </w:rPr>
            </w:pPr>
          </w:p>
          <w:p>
            <w:pPr>
              <w:pStyle w:val="TableParagraph"/>
              <w:ind w:left="-89" w:right="135"/>
              <w:jc w:val="right"/>
              <w:rPr>
                <w:rFonts w:ascii="Times New Roman"/>
                <w:sz w:val="18"/>
              </w:rPr>
            </w:pPr>
            <w:r>
              <w:rPr>
                <w:rFonts w:ascii="Times New Roman"/>
                <w:sz w:val="18"/>
              </w:rPr>
              <w:t>4.2</w:t>
            </w:r>
          </w:p>
        </w:tc>
        <w:tc>
          <w:tcPr>
            <w:tcW w:w="519" w:type="dxa"/>
            <w:vMerge/>
            <w:tcBorders>
              <w:top w:val="nil"/>
            </w:tcBorders>
          </w:tcPr>
          <w:p>
            <w:pPr>
              <w:rPr>
                <w:sz w:val="2"/>
                <w:szCs w:val="2"/>
              </w:rPr>
            </w:pPr>
          </w:p>
        </w:tc>
        <w:tc>
          <w:tcPr>
            <w:tcW w:w="3213" w:type="dxa"/>
          </w:tcPr>
          <w:p>
            <w:pPr>
              <w:pStyle w:val="TableParagraph"/>
              <w:spacing w:before="146"/>
              <w:ind w:left="21"/>
              <w:rPr>
                <w:sz w:val="18"/>
              </w:rPr>
            </w:pPr>
            <w:r>
              <w:rPr>
                <w:spacing w:val="-7"/>
                <w:sz w:val="18"/>
              </w:rPr>
              <w:t>乙酸乙酯、单硝酸异山梨酯、副产物乙醇</w:t>
            </w:r>
          </w:p>
        </w:tc>
        <w:tc>
          <w:tcPr>
            <w:tcW w:w="1477" w:type="dxa"/>
            <w:vMerge/>
            <w:tcBorders>
              <w:top w:val="nil"/>
            </w:tcBorders>
          </w:tcPr>
          <w:p>
            <w:pPr>
              <w:rPr>
                <w:sz w:val="2"/>
                <w:szCs w:val="2"/>
              </w:rPr>
            </w:pPr>
          </w:p>
        </w:tc>
      </w:tr>
    </w:tbl>
    <w:p>
      <w:pPr>
        <w:spacing w:after="0"/>
        <w:rPr>
          <w:sz w:val="2"/>
          <w:szCs w:val="2"/>
        </w:rPr>
        <w:sectPr>
          <w:pgSz w:w="11910" w:h="16840"/>
          <w:pgMar w:header="877" w:footer="973" w:top="1340" w:bottom="1160" w:left="1220" w:right="1040"/>
        </w:sectPr>
      </w:pPr>
    </w:p>
    <w:p>
      <w:pPr>
        <w:pStyle w:val="BodyText"/>
        <w:spacing w:before="20"/>
        <w:rPr>
          <w:sz w:val="3"/>
        </w:rPr>
      </w:pPr>
    </w:p>
    <w:tbl>
      <w:tblPr>
        <w:tblW w:w="0" w:type="auto"/>
        <w:jc w:val="left"/>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8"/>
        <w:gridCol w:w="694"/>
        <w:gridCol w:w="1542"/>
        <w:gridCol w:w="536"/>
        <w:gridCol w:w="519"/>
        <w:gridCol w:w="3213"/>
        <w:gridCol w:w="1477"/>
      </w:tblGrid>
      <w:tr>
        <w:trPr>
          <w:trHeight w:val="467" w:hRule="atLeast"/>
        </w:trPr>
        <w:tc>
          <w:tcPr>
            <w:tcW w:w="358" w:type="dxa"/>
            <w:vMerge w:val="restart"/>
          </w:tcPr>
          <w:p>
            <w:pPr>
              <w:pStyle w:val="TableParagraph"/>
              <w:jc w:val="left"/>
              <w:rPr>
                <w:rFonts w:ascii="Times New Roman"/>
                <w:sz w:val="18"/>
              </w:rPr>
            </w:pPr>
          </w:p>
        </w:tc>
        <w:tc>
          <w:tcPr>
            <w:tcW w:w="694"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7"/>
              <w:jc w:val="left"/>
              <w:rPr>
                <w:sz w:val="13"/>
              </w:rPr>
            </w:pPr>
          </w:p>
          <w:p>
            <w:pPr>
              <w:pStyle w:val="TableParagraph"/>
              <w:spacing w:line="146" w:lineRule="auto" w:before="1"/>
              <w:ind w:left="75" w:right="56"/>
              <w:jc w:val="left"/>
              <w:rPr>
                <w:sz w:val="18"/>
              </w:rPr>
            </w:pPr>
            <w:r>
              <w:rPr>
                <w:sz w:val="18"/>
              </w:rPr>
              <w:t>盐酸米安色林</w:t>
            </w:r>
          </w:p>
        </w:tc>
        <w:tc>
          <w:tcPr>
            <w:tcW w:w="1542" w:type="dxa"/>
          </w:tcPr>
          <w:p>
            <w:pPr>
              <w:pStyle w:val="TableParagraph"/>
              <w:spacing w:line="222" w:lineRule="exact"/>
              <w:ind w:left="46"/>
              <w:jc w:val="left"/>
              <w:rPr>
                <w:sz w:val="18"/>
              </w:rPr>
            </w:pPr>
            <w:r>
              <w:rPr>
                <w:sz w:val="18"/>
              </w:rPr>
              <w:t>苄氨基乙醇制备后</w:t>
            </w:r>
          </w:p>
          <w:p>
            <w:pPr>
              <w:pStyle w:val="TableParagraph"/>
              <w:spacing w:line="226" w:lineRule="exact"/>
              <w:ind w:left="13" w:right="-15"/>
              <w:jc w:val="left"/>
              <w:rPr>
                <w:sz w:val="18"/>
              </w:rPr>
            </w:pPr>
            <w:r>
              <w:rPr>
                <w:w w:val="95"/>
                <w:sz w:val="18"/>
              </w:rPr>
              <w:t>离心滤渣（</w:t>
            </w:r>
            <w:r>
              <w:rPr>
                <w:rFonts w:ascii="Times New Roman" w:eastAsia="Times New Roman"/>
                <w:w w:val="95"/>
                <w:sz w:val="18"/>
              </w:rPr>
              <w:t>S13-1</w:t>
            </w:r>
            <w:r>
              <w:rPr>
                <w:w w:val="95"/>
                <w:sz w:val="18"/>
              </w:rPr>
              <w:t>）</w:t>
            </w:r>
          </w:p>
        </w:tc>
        <w:tc>
          <w:tcPr>
            <w:tcW w:w="536" w:type="dxa"/>
          </w:tcPr>
          <w:p>
            <w:pPr>
              <w:pStyle w:val="TableParagraph"/>
              <w:spacing w:before="124"/>
              <w:ind w:left="16"/>
              <w:rPr>
                <w:rFonts w:ascii="Times New Roman"/>
                <w:sz w:val="18"/>
              </w:rPr>
            </w:pPr>
            <w:r>
              <w:rPr>
                <w:rFonts w:ascii="Times New Roman"/>
                <w:sz w:val="18"/>
              </w:rPr>
              <w:t>59.4</w:t>
            </w:r>
          </w:p>
        </w:tc>
        <w:tc>
          <w:tcPr>
            <w:tcW w:w="519"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8"/>
              <w:jc w:val="left"/>
              <w:rPr>
                <w:sz w:val="14"/>
              </w:rPr>
            </w:pPr>
          </w:p>
          <w:p>
            <w:pPr>
              <w:pStyle w:val="TableParagraph"/>
              <w:ind w:left="76"/>
              <w:jc w:val="left"/>
              <w:rPr>
                <w:sz w:val="18"/>
              </w:rPr>
            </w:pPr>
            <w:r>
              <w:rPr>
                <w:sz w:val="18"/>
              </w:rPr>
              <w:t>间断</w:t>
            </w:r>
          </w:p>
        </w:tc>
        <w:tc>
          <w:tcPr>
            <w:tcW w:w="3213" w:type="dxa"/>
          </w:tcPr>
          <w:p>
            <w:pPr>
              <w:pStyle w:val="TableParagraph"/>
              <w:spacing w:line="222" w:lineRule="exact"/>
              <w:ind w:left="21"/>
              <w:rPr>
                <w:sz w:val="18"/>
              </w:rPr>
            </w:pPr>
            <w:r>
              <w:rPr>
                <w:spacing w:val="-7"/>
                <w:sz w:val="18"/>
              </w:rPr>
              <w:t>硼氢化钾、偏硼酸钾、苄氨基乙醇、苯甲</w:t>
            </w:r>
          </w:p>
          <w:p>
            <w:pPr>
              <w:pStyle w:val="TableParagraph"/>
              <w:spacing w:line="226" w:lineRule="exact"/>
              <w:ind w:left="30" w:right="23"/>
              <w:rPr>
                <w:sz w:val="18"/>
              </w:rPr>
            </w:pPr>
            <w:r>
              <w:rPr>
                <w:sz w:val="18"/>
              </w:rPr>
              <w:t>醛、甲醇、副产物、乙醇胺</w:t>
            </w:r>
          </w:p>
        </w:tc>
        <w:tc>
          <w:tcPr>
            <w:tcW w:w="1477" w:type="dxa"/>
            <w:vMerge w:val="restart"/>
          </w:tcPr>
          <w:p>
            <w:pPr>
              <w:pStyle w:val="TableParagraph"/>
              <w:jc w:val="left"/>
              <w:rPr>
                <w:rFonts w:ascii="Times New Roman"/>
                <w:sz w:val="18"/>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0" w:lineRule="exact"/>
              <w:ind w:left="46"/>
              <w:jc w:val="left"/>
              <w:rPr>
                <w:sz w:val="18"/>
              </w:rPr>
            </w:pPr>
            <w:r>
              <w:rPr>
                <w:sz w:val="18"/>
              </w:rPr>
              <w:t>苄氨基乙醇制备后</w:t>
            </w:r>
          </w:p>
          <w:p>
            <w:pPr>
              <w:pStyle w:val="TableParagraph"/>
              <w:spacing w:line="227" w:lineRule="exact"/>
              <w:ind w:left="13" w:right="-15"/>
              <w:jc w:val="left"/>
              <w:rPr>
                <w:sz w:val="18"/>
              </w:rPr>
            </w:pPr>
            <w:r>
              <w:rPr>
                <w:w w:val="95"/>
                <w:sz w:val="18"/>
              </w:rPr>
              <w:t>蒸馏残液（</w:t>
            </w:r>
            <w:r>
              <w:rPr>
                <w:rFonts w:ascii="Times New Roman" w:eastAsia="Times New Roman"/>
                <w:w w:val="95"/>
                <w:sz w:val="18"/>
              </w:rPr>
              <w:t>S13-2</w:t>
            </w:r>
            <w:r>
              <w:rPr>
                <w:w w:val="95"/>
                <w:sz w:val="18"/>
              </w:rPr>
              <w:t>）</w:t>
            </w:r>
          </w:p>
        </w:tc>
        <w:tc>
          <w:tcPr>
            <w:tcW w:w="536" w:type="dxa"/>
          </w:tcPr>
          <w:p>
            <w:pPr>
              <w:pStyle w:val="TableParagraph"/>
              <w:spacing w:before="124"/>
              <w:ind w:left="16"/>
              <w:rPr>
                <w:rFonts w:ascii="Times New Roman"/>
                <w:sz w:val="18"/>
              </w:rPr>
            </w:pPr>
            <w:r>
              <w:rPr>
                <w:rFonts w:ascii="Times New Roman"/>
                <w:sz w:val="18"/>
              </w:rPr>
              <w:t>34.2</w:t>
            </w:r>
          </w:p>
        </w:tc>
        <w:tc>
          <w:tcPr>
            <w:tcW w:w="519" w:type="dxa"/>
            <w:vMerge/>
            <w:tcBorders>
              <w:top w:val="nil"/>
            </w:tcBorders>
          </w:tcPr>
          <w:p>
            <w:pPr>
              <w:rPr>
                <w:sz w:val="2"/>
                <w:szCs w:val="2"/>
              </w:rPr>
            </w:pPr>
          </w:p>
        </w:tc>
        <w:tc>
          <w:tcPr>
            <w:tcW w:w="3213" w:type="dxa"/>
          </w:tcPr>
          <w:p>
            <w:pPr>
              <w:pStyle w:val="TableParagraph"/>
              <w:spacing w:line="220" w:lineRule="exact"/>
              <w:ind w:left="21"/>
              <w:rPr>
                <w:sz w:val="18"/>
              </w:rPr>
            </w:pPr>
            <w:r>
              <w:rPr>
                <w:spacing w:val="-6"/>
                <w:sz w:val="18"/>
              </w:rPr>
              <w:t>苄氨基乙醇、苯甲醛、甲醇、乙醇胺、副</w:t>
            </w:r>
          </w:p>
          <w:p>
            <w:pPr>
              <w:pStyle w:val="TableParagraph"/>
              <w:spacing w:line="227" w:lineRule="exact"/>
              <w:ind w:left="30" w:right="23"/>
              <w:rPr>
                <w:sz w:val="18"/>
              </w:rPr>
            </w:pPr>
            <w:r>
              <w:rPr>
                <w:sz w:val="18"/>
              </w:rPr>
              <w:t>产物</w:t>
            </w:r>
          </w:p>
        </w:tc>
        <w:tc>
          <w:tcPr>
            <w:tcW w:w="1477" w:type="dxa"/>
            <w:vMerge/>
            <w:tcBorders>
              <w:top w:val="nil"/>
            </w:tcBorders>
          </w:tcPr>
          <w:p>
            <w:pPr>
              <w:rPr>
                <w:sz w:val="2"/>
                <w:szCs w:val="2"/>
              </w:rPr>
            </w:pPr>
          </w:p>
        </w:tc>
      </w:tr>
      <w:tr>
        <w:trPr>
          <w:trHeight w:val="932"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146" w:lineRule="auto" w:before="17"/>
              <w:ind w:left="46" w:right="32"/>
              <w:jc w:val="both"/>
              <w:rPr>
                <w:sz w:val="18"/>
              </w:rPr>
            </w:pPr>
            <w:r>
              <w:rPr>
                <w:sz w:val="18"/>
              </w:rPr>
              <w:t>富马酸盐成盐后过滤母液、洗涤废水溶剂回收过程蒸馏</w:t>
            </w:r>
          </w:p>
          <w:p>
            <w:pPr>
              <w:pStyle w:val="TableParagraph"/>
              <w:spacing w:line="197" w:lineRule="exact"/>
              <w:ind w:left="193"/>
              <w:jc w:val="left"/>
              <w:rPr>
                <w:sz w:val="18"/>
              </w:rPr>
            </w:pPr>
            <w:r>
              <w:rPr>
                <w:sz w:val="18"/>
              </w:rPr>
              <w:t>残液（</w:t>
            </w:r>
            <w:r>
              <w:rPr>
                <w:rFonts w:ascii="Times New Roman" w:eastAsia="Times New Roman"/>
                <w:sz w:val="18"/>
              </w:rPr>
              <w:t>S13-3</w:t>
            </w:r>
            <w:r>
              <w:rPr>
                <w:sz w:val="18"/>
              </w:rPr>
              <w:t>）</w:t>
            </w:r>
          </w:p>
        </w:tc>
        <w:tc>
          <w:tcPr>
            <w:tcW w:w="536" w:type="dxa"/>
          </w:tcPr>
          <w:p>
            <w:pPr>
              <w:pStyle w:val="TableParagraph"/>
              <w:spacing w:before="17"/>
              <w:jc w:val="left"/>
              <w:rPr>
                <w:sz w:val="16"/>
              </w:rPr>
            </w:pPr>
          </w:p>
          <w:p>
            <w:pPr>
              <w:pStyle w:val="TableParagraph"/>
              <w:spacing w:before="1"/>
              <w:ind w:left="16"/>
              <w:rPr>
                <w:rFonts w:ascii="Times New Roman"/>
                <w:sz w:val="18"/>
              </w:rPr>
            </w:pPr>
            <w:r>
              <w:rPr>
                <w:rFonts w:ascii="Times New Roman"/>
                <w:sz w:val="18"/>
              </w:rPr>
              <w:t>104.8</w:t>
            </w:r>
          </w:p>
        </w:tc>
        <w:tc>
          <w:tcPr>
            <w:tcW w:w="519" w:type="dxa"/>
            <w:vMerge/>
            <w:tcBorders>
              <w:top w:val="nil"/>
            </w:tcBorders>
          </w:tcPr>
          <w:p>
            <w:pPr>
              <w:rPr>
                <w:sz w:val="2"/>
                <w:szCs w:val="2"/>
              </w:rPr>
            </w:pPr>
          </w:p>
        </w:tc>
        <w:tc>
          <w:tcPr>
            <w:tcW w:w="3213" w:type="dxa"/>
          </w:tcPr>
          <w:p>
            <w:pPr>
              <w:pStyle w:val="TableParagraph"/>
              <w:spacing w:before="14"/>
              <w:jc w:val="left"/>
              <w:rPr>
                <w:sz w:val="11"/>
              </w:rPr>
            </w:pPr>
          </w:p>
          <w:p>
            <w:pPr>
              <w:pStyle w:val="TableParagraph"/>
              <w:spacing w:line="148" w:lineRule="auto"/>
              <w:ind w:left="1060" w:right="-15" w:hanging="1054"/>
              <w:jc w:val="left"/>
              <w:rPr>
                <w:sz w:val="18"/>
              </w:rPr>
            </w:pPr>
            <w:r>
              <w:rPr>
                <w:spacing w:val="-8"/>
                <w:sz w:val="18"/>
              </w:rPr>
              <w:t>丙酮、富马酸、富马酸盐、副产物、氧化苯乙烯、氯苯</w:t>
            </w:r>
          </w:p>
        </w:tc>
        <w:tc>
          <w:tcPr>
            <w:tcW w:w="1477" w:type="dxa"/>
            <w:vMerge/>
            <w:tcBorders>
              <w:top w:val="nil"/>
            </w:tcBorders>
          </w:tcPr>
          <w:p>
            <w:pPr>
              <w:rPr>
                <w:sz w:val="2"/>
                <w:szCs w:val="2"/>
              </w:rPr>
            </w:pPr>
          </w:p>
        </w:tc>
      </w:tr>
      <w:tr>
        <w:trPr>
          <w:trHeight w:val="699"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148" w:lineRule="auto" w:before="14"/>
              <w:ind w:left="46" w:right="33"/>
              <w:jc w:val="left"/>
              <w:rPr>
                <w:sz w:val="18"/>
              </w:rPr>
            </w:pPr>
            <w:r>
              <w:rPr>
                <w:sz w:val="18"/>
              </w:rPr>
              <w:t>米安色林成盐后离心母液溶剂回收蒸</w:t>
            </w:r>
          </w:p>
          <w:p>
            <w:pPr>
              <w:pStyle w:val="TableParagraph"/>
              <w:spacing w:line="192" w:lineRule="exact"/>
              <w:ind w:left="56"/>
              <w:jc w:val="left"/>
              <w:rPr>
                <w:sz w:val="18"/>
              </w:rPr>
            </w:pPr>
            <w:r>
              <w:rPr>
                <w:spacing w:val="1"/>
                <w:sz w:val="18"/>
              </w:rPr>
              <w:t>馏残液  </w:t>
            </w:r>
            <w:r>
              <w:rPr>
                <w:sz w:val="18"/>
              </w:rPr>
              <w:t>（</w:t>
            </w:r>
            <w:r>
              <w:rPr>
                <w:rFonts w:ascii="Times New Roman" w:eastAsia="Times New Roman"/>
                <w:sz w:val="18"/>
              </w:rPr>
              <w:t>S13-4</w:t>
            </w:r>
            <w:r>
              <w:rPr>
                <w:sz w:val="18"/>
              </w:rPr>
              <w:t>）</w:t>
            </w:r>
          </w:p>
        </w:tc>
        <w:tc>
          <w:tcPr>
            <w:tcW w:w="536" w:type="dxa"/>
          </w:tcPr>
          <w:p>
            <w:pPr>
              <w:pStyle w:val="TableParagraph"/>
              <w:spacing w:before="8"/>
              <w:jc w:val="left"/>
              <w:rPr>
                <w:sz w:val="11"/>
              </w:rPr>
            </w:pPr>
          </w:p>
          <w:p>
            <w:pPr>
              <w:pStyle w:val="TableParagraph"/>
              <w:ind w:left="16"/>
              <w:rPr>
                <w:rFonts w:ascii="Times New Roman"/>
                <w:sz w:val="18"/>
              </w:rPr>
            </w:pPr>
            <w:r>
              <w:rPr>
                <w:rFonts w:ascii="Times New Roman"/>
                <w:sz w:val="18"/>
              </w:rPr>
              <w:t>24.2</w:t>
            </w:r>
          </w:p>
        </w:tc>
        <w:tc>
          <w:tcPr>
            <w:tcW w:w="519" w:type="dxa"/>
            <w:vMerge/>
            <w:tcBorders>
              <w:top w:val="nil"/>
            </w:tcBorders>
          </w:tcPr>
          <w:p>
            <w:pPr>
              <w:rPr>
                <w:sz w:val="2"/>
                <w:szCs w:val="2"/>
              </w:rPr>
            </w:pPr>
          </w:p>
        </w:tc>
        <w:tc>
          <w:tcPr>
            <w:tcW w:w="3213" w:type="dxa"/>
          </w:tcPr>
          <w:p>
            <w:pPr>
              <w:pStyle w:val="TableParagraph"/>
              <w:spacing w:line="146" w:lineRule="auto" w:before="134"/>
              <w:ind w:left="1060" w:right="-15" w:hanging="1054"/>
              <w:jc w:val="left"/>
              <w:rPr>
                <w:sz w:val="18"/>
              </w:rPr>
            </w:pPr>
            <w:r>
              <w:rPr>
                <w:spacing w:val="-6"/>
                <w:sz w:val="18"/>
              </w:rPr>
              <w:t>盐酸米安色林、甲苯、丙酮、盐酸乙酸乙酯、乙酸乙酯</w:t>
            </w:r>
          </w:p>
        </w:tc>
        <w:tc>
          <w:tcPr>
            <w:tcW w:w="1477" w:type="dxa"/>
            <w:vMerge/>
            <w:tcBorders>
              <w:top w:val="nil"/>
            </w:tcBorders>
          </w:tcPr>
          <w:p>
            <w:pPr>
              <w:rPr>
                <w:sz w:val="2"/>
                <w:szCs w:val="2"/>
              </w:rPr>
            </w:pPr>
          </w:p>
        </w:tc>
      </w:tr>
      <w:tr>
        <w:trPr>
          <w:trHeight w:val="467"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223" w:lineRule="exact"/>
              <w:ind w:left="26" w:right="15"/>
              <w:rPr>
                <w:sz w:val="18"/>
              </w:rPr>
            </w:pPr>
            <w:r>
              <w:rPr>
                <w:sz w:val="18"/>
              </w:rPr>
              <w:t>米安色林精制残渣</w:t>
            </w:r>
          </w:p>
          <w:p>
            <w:pPr>
              <w:pStyle w:val="TableParagraph"/>
              <w:spacing w:line="224" w:lineRule="exact"/>
              <w:ind w:left="26" w:right="10"/>
              <w:rPr>
                <w:sz w:val="18"/>
              </w:rPr>
            </w:pPr>
            <w:r>
              <w:rPr>
                <w:sz w:val="18"/>
              </w:rPr>
              <w:t>（</w:t>
            </w:r>
            <w:r>
              <w:rPr>
                <w:rFonts w:ascii="Times New Roman" w:eastAsia="Times New Roman"/>
                <w:sz w:val="18"/>
              </w:rPr>
              <w:t>S13-5</w:t>
            </w:r>
            <w:r>
              <w:rPr>
                <w:sz w:val="18"/>
              </w:rPr>
              <w:t>）</w:t>
            </w:r>
          </w:p>
        </w:tc>
        <w:tc>
          <w:tcPr>
            <w:tcW w:w="536" w:type="dxa"/>
          </w:tcPr>
          <w:p>
            <w:pPr>
              <w:pStyle w:val="TableParagraph"/>
              <w:spacing w:before="126"/>
              <w:ind w:left="13"/>
              <w:rPr>
                <w:rFonts w:ascii="Times New Roman"/>
                <w:sz w:val="18"/>
              </w:rPr>
            </w:pPr>
            <w:r>
              <w:rPr>
                <w:rFonts w:ascii="Times New Roman"/>
                <w:sz w:val="18"/>
              </w:rPr>
              <w:t>2.5</w:t>
            </w:r>
          </w:p>
        </w:tc>
        <w:tc>
          <w:tcPr>
            <w:tcW w:w="519" w:type="dxa"/>
            <w:vMerge/>
            <w:tcBorders>
              <w:top w:val="nil"/>
            </w:tcBorders>
          </w:tcPr>
          <w:p>
            <w:pPr>
              <w:rPr>
                <w:sz w:val="2"/>
                <w:szCs w:val="2"/>
              </w:rPr>
            </w:pPr>
          </w:p>
        </w:tc>
        <w:tc>
          <w:tcPr>
            <w:tcW w:w="3213" w:type="dxa"/>
          </w:tcPr>
          <w:p>
            <w:pPr>
              <w:pStyle w:val="TableParagraph"/>
              <w:spacing w:line="223" w:lineRule="exact"/>
              <w:ind w:left="21"/>
              <w:rPr>
                <w:sz w:val="18"/>
              </w:rPr>
            </w:pPr>
            <w:r>
              <w:rPr>
                <w:spacing w:val="-7"/>
                <w:sz w:val="18"/>
              </w:rPr>
              <w:t>活性炭、盐酸米安色林、乙醇、甲苯、丙</w:t>
            </w:r>
          </w:p>
          <w:p>
            <w:pPr>
              <w:pStyle w:val="TableParagraph"/>
              <w:spacing w:line="224" w:lineRule="exact"/>
              <w:ind w:left="30" w:right="21"/>
              <w:rPr>
                <w:sz w:val="18"/>
              </w:rPr>
            </w:pPr>
            <w:r>
              <w:rPr>
                <w:sz w:val="18"/>
              </w:rPr>
              <w:t>酮、盐酸乙酸乙酯、乙酸乙酯</w:t>
            </w:r>
          </w:p>
        </w:tc>
        <w:tc>
          <w:tcPr>
            <w:tcW w:w="1477" w:type="dxa"/>
            <w:vMerge/>
            <w:tcBorders>
              <w:top w:val="nil"/>
            </w:tcBorders>
          </w:tcPr>
          <w:p>
            <w:pPr>
              <w:rPr>
                <w:sz w:val="2"/>
                <w:szCs w:val="2"/>
              </w:rPr>
            </w:pPr>
          </w:p>
        </w:tc>
      </w:tr>
      <w:tr>
        <w:trPr>
          <w:trHeight w:val="935" w:hRule="atLeast"/>
        </w:trPr>
        <w:tc>
          <w:tcPr>
            <w:tcW w:w="358" w:type="dxa"/>
            <w:vMerge/>
            <w:tcBorders>
              <w:top w:val="nil"/>
            </w:tcBorders>
          </w:tcPr>
          <w:p>
            <w:pPr>
              <w:rPr>
                <w:sz w:val="2"/>
                <w:szCs w:val="2"/>
              </w:rPr>
            </w:pPr>
          </w:p>
        </w:tc>
        <w:tc>
          <w:tcPr>
            <w:tcW w:w="694" w:type="dxa"/>
            <w:vMerge/>
            <w:tcBorders>
              <w:top w:val="nil"/>
            </w:tcBorders>
          </w:tcPr>
          <w:p>
            <w:pPr>
              <w:rPr>
                <w:sz w:val="2"/>
                <w:szCs w:val="2"/>
              </w:rPr>
            </w:pPr>
          </w:p>
        </w:tc>
        <w:tc>
          <w:tcPr>
            <w:tcW w:w="1542" w:type="dxa"/>
          </w:tcPr>
          <w:p>
            <w:pPr>
              <w:pStyle w:val="TableParagraph"/>
              <w:spacing w:line="146" w:lineRule="auto" w:before="17"/>
              <w:ind w:left="46" w:right="32"/>
              <w:jc w:val="both"/>
              <w:rPr>
                <w:sz w:val="18"/>
              </w:rPr>
            </w:pPr>
            <w:r>
              <w:rPr>
                <w:sz w:val="18"/>
              </w:rPr>
              <w:t>米安色林精制后过滤母液、洗涤废水溶剂回收蒸馏残液</w:t>
            </w:r>
          </w:p>
          <w:p>
            <w:pPr>
              <w:pStyle w:val="TableParagraph"/>
              <w:spacing w:line="200" w:lineRule="exact"/>
              <w:ind w:left="373"/>
              <w:jc w:val="left"/>
              <w:rPr>
                <w:sz w:val="18"/>
              </w:rPr>
            </w:pPr>
            <w:r>
              <w:rPr>
                <w:sz w:val="18"/>
              </w:rPr>
              <w:t>（</w:t>
            </w:r>
            <w:r>
              <w:rPr>
                <w:rFonts w:ascii="Times New Roman" w:eastAsia="Times New Roman"/>
                <w:sz w:val="18"/>
              </w:rPr>
              <w:t>S13-6</w:t>
            </w:r>
            <w:r>
              <w:rPr>
                <w:sz w:val="18"/>
              </w:rPr>
              <w:t>）</w:t>
            </w:r>
          </w:p>
        </w:tc>
        <w:tc>
          <w:tcPr>
            <w:tcW w:w="536" w:type="dxa"/>
          </w:tcPr>
          <w:p>
            <w:pPr>
              <w:pStyle w:val="TableParagraph"/>
              <w:spacing w:before="20"/>
              <w:jc w:val="left"/>
              <w:rPr>
                <w:sz w:val="16"/>
              </w:rPr>
            </w:pPr>
          </w:p>
          <w:p>
            <w:pPr>
              <w:pStyle w:val="TableParagraph"/>
              <w:spacing w:before="1"/>
              <w:ind w:left="16"/>
              <w:rPr>
                <w:rFonts w:ascii="Times New Roman"/>
                <w:sz w:val="18"/>
              </w:rPr>
            </w:pPr>
            <w:r>
              <w:rPr>
                <w:rFonts w:ascii="Times New Roman"/>
                <w:sz w:val="18"/>
              </w:rPr>
              <w:t>31.4</w:t>
            </w:r>
          </w:p>
        </w:tc>
        <w:tc>
          <w:tcPr>
            <w:tcW w:w="519" w:type="dxa"/>
            <w:vMerge/>
            <w:tcBorders>
              <w:top w:val="nil"/>
            </w:tcBorders>
          </w:tcPr>
          <w:p>
            <w:pPr>
              <w:rPr>
                <w:sz w:val="2"/>
                <w:szCs w:val="2"/>
              </w:rPr>
            </w:pPr>
          </w:p>
        </w:tc>
        <w:tc>
          <w:tcPr>
            <w:tcW w:w="3213" w:type="dxa"/>
          </w:tcPr>
          <w:p>
            <w:pPr>
              <w:pStyle w:val="TableParagraph"/>
              <w:spacing w:before="19"/>
              <w:jc w:val="left"/>
              <w:rPr>
                <w:sz w:val="11"/>
              </w:rPr>
            </w:pPr>
          </w:p>
          <w:p>
            <w:pPr>
              <w:pStyle w:val="TableParagraph"/>
              <w:spacing w:line="146" w:lineRule="auto"/>
              <w:ind w:left="1151" w:right="-15" w:hanging="1146"/>
              <w:jc w:val="left"/>
              <w:rPr>
                <w:sz w:val="18"/>
              </w:rPr>
            </w:pPr>
            <w:r>
              <w:rPr>
                <w:spacing w:val="-8"/>
                <w:sz w:val="18"/>
              </w:rPr>
              <w:t>产品、甲苯、丙酮、盐酸乙酸乙酯、乙酸乙酯、乙醇</w:t>
            </w:r>
          </w:p>
        </w:tc>
        <w:tc>
          <w:tcPr>
            <w:tcW w:w="1477" w:type="dxa"/>
            <w:vMerge/>
            <w:tcBorders>
              <w:top w:val="nil"/>
            </w:tcBorders>
          </w:tcPr>
          <w:p>
            <w:pPr>
              <w:rPr>
                <w:sz w:val="2"/>
                <w:szCs w:val="2"/>
              </w:rPr>
            </w:pPr>
          </w:p>
        </w:tc>
      </w:tr>
      <w:tr>
        <w:trPr>
          <w:trHeight w:val="700" w:hRule="atLeast"/>
        </w:trPr>
        <w:tc>
          <w:tcPr>
            <w:tcW w:w="358" w:type="dxa"/>
          </w:tcPr>
          <w:p>
            <w:pPr>
              <w:pStyle w:val="TableParagraph"/>
              <w:spacing w:before="8"/>
              <w:jc w:val="left"/>
              <w:rPr>
                <w:sz w:val="11"/>
              </w:rPr>
            </w:pPr>
          </w:p>
          <w:p>
            <w:pPr>
              <w:pStyle w:val="TableParagraph"/>
              <w:ind w:left="15"/>
              <w:rPr>
                <w:rFonts w:ascii="Times New Roman"/>
                <w:sz w:val="18"/>
              </w:rPr>
            </w:pPr>
            <w:r>
              <w:rPr>
                <w:rFonts w:ascii="Times New Roman"/>
                <w:sz w:val="18"/>
              </w:rPr>
              <w:t>1</w:t>
            </w:r>
          </w:p>
        </w:tc>
        <w:tc>
          <w:tcPr>
            <w:tcW w:w="2236" w:type="dxa"/>
            <w:gridSpan w:val="2"/>
          </w:tcPr>
          <w:p>
            <w:pPr>
              <w:pStyle w:val="TableParagraph"/>
              <w:spacing w:before="146"/>
              <w:ind w:left="395"/>
              <w:jc w:val="left"/>
              <w:rPr>
                <w:sz w:val="18"/>
              </w:rPr>
            </w:pPr>
            <w:r>
              <w:rPr>
                <w:sz w:val="18"/>
              </w:rPr>
              <w:t>生产工艺固废合计</w:t>
            </w:r>
          </w:p>
        </w:tc>
        <w:tc>
          <w:tcPr>
            <w:tcW w:w="536" w:type="dxa"/>
          </w:tcPr>
          <w:p>
            <w:pPr>
              <w:pStyle w:val="TableParagraph"/>
              <w:spacing w:before="8"/>
              <w:jc w:val="left"/>
              <w:rPr>
                <w:sz w:val="11"/>
              </w:rPr>
            </w:pPr>
          </w:p>
          <w:p>
            <w:pPr>
              <w:pStyle w:val="TableParagraph"/>
              <w:ind w:left="16"/>
              <w:rPr>
                <w:rFonts w:ascii="Times New Roman"/>
                <w:sz w:val="18"/>
              </w:rPr>
            </w:pPr>
            <w:r>
              <w:rPr>
                <w:rFonts w:ascii="Times New Roman"/>
                <w:sz w:val="18"/>
              </w:rPr>
              <w:t>995.4</w:t>
            </w:r>
          </w:p>
        </w:tc>
        <w:tc>
          <w:tcPr>
            <w:tcW w:w="519" w:type="dxa"/>
          </w:tcPr>
          <w:p>
            <w:pPr>
              <w:pStyle w:val="TableParagraph"/>
              <w:jc w:val="left"/>
              <w:rPr>
                <w:rFonts w:ascii="Times New Roman"/>
                <w:sz w:val="18"/>
              </w:rPr>
            </w:pPr>
          </w:p>
        </w:tc>
        <w:tc>
          <w:tcPr>
            <w:tcW w:w="3213" w:type="dxa"/>
          </w:tcPr>
          <w:p>
            <w:pPr>
              <w:pStyle w:val="TableParagraph"/>
              <w:spacing w:before="146"/>
              <w:ind w:left="30" w:right="23"/>
              <w:rPr>
                <w:sz w:val="18"/>
              </w:rPr>
            </w:pPr>
            <w:r>
              <w:rPr>
                <w:sz w:val="18"/>
              </w:rPr>
              <w:t>危废</w:t>
            </w:r>
          </w:p>
        </w:tc>
        <w:tc>
          <w:tcPr>
            <w:tcW w:w="1477" w:type="dxa"/>
          </w:tcPr>
          <w:p>
            <w:pPr>
              <w:pStyle w:val="TableParagraph"/>
              <w:spacing w:line="146" w:lineRule="auto" w:before="17"/>
              <w:ind w:left="10" w:right="4" w:firstLine="2"/>
              <w:rPr>
                <w:sz w:val="18"/>
              </w:rPr>
            </w:pPr>
            <w:r>
              <w:rPr>
                <w:rFonts w:ascii="Times New Roman" w:eastAsia="Times New Roman"/>
                <w:sz w:val="18"/>
              </w:rPr>
              <w:t>HW02</w:t>
            </w:r>
            <w:r>
              <w:rPr>
                <w:rFonts w:ascii="Times New Roman" w:eastAsia="Times New Roman"/>
                <w:spacing w:val="1"/>
                <w:sz w:val="18"/>
              </w:rPr>
              <w:t> </w:t>
            </w:r>
            <w:r>
              <w:rPr>
                <w:sz w:val="18"/>
              </w:rPr>
              <w:t>医药废物 危废委托有资质单</w:t>
            </w:r>
          </w:p>
          <w:p>
            <w:pPr>
              <w:pStyle w:val="TableParagraph"/>
              <w:spacing w:line="197" w:lineRule="exact"/>
              <w:ind w:left="6"/>
              <w:rPr>
                <w:sz w:val="18"/>
              </w:rPr>
            </w:pPr>
            <w:r>
              <w:rPr>
                <w:sz w:val="18"/>
              </w:rPr>
              <w:t>位处置</w:t>
            </w:r>
          </w:p>
        </w:tc>
      </w:tr>
      <w:tr>
        <w:trPr>
          <w:trHeight w:val="906" w:hRule="atLeast"/>
        </w:trPr>
        <w:tc>
          <w:tcPr>
            <w:tcW w:w="358" w:type="dxa"/>
          </w:tcPr>
          <w:p>
            <w:pPr>
              <w:pStyle w:val="TableParagraph"/>
              <w:spacing w:before="5"/>
              <w:jc w:val="left"/>
              <w:rPr>
                <w:sz w:val="16"/>
              </w:rPr>
            </w:pPr>
          </w:p>
          <w:p>
            <w:pPr>
              <w:pStyle w:val="TableParagraph"/>
              <w:spacing w:before="1"/>
              <w:ind w:left="15"/>
              <w:rPr>
                <w:rFonts w:ascii="Times New Roman"/>
                <w:sz w:val="18"/>
              </w:rPr>
            </w:pPr>
            <w:r>
              <w:rPr>
                <w:rFonts w:ascii="Times New Roman"/>
                <w:sz w:val="18"/>
              </w:rPr>
              <w:t>2</w:t>
            </w:r>
          </w:p>
        </w:tc>
        <w:tc>
          <w:tcPr>
            <w:tcW w:w="2236" w:type="dxa"/>
            <w:gridSpan w:val="2"/>
          </w:tcPr>
          <w:p>
            <w:pPr>
              <w:pStyle w:val="TableParagraph"/>
              <w:spacing w:before="4"/>
              <w:jc w:val="left"/>
              <w:rPr>
                <w:sz w:val="11"/>
              </w:rPr>
            </w:pPr>
          </w:p>
          <w:p>
            <w:pPr>
              <w:pStyle w:val="TableParagraph"/>
              <w:spacing w:line="146" w:lineRule="auto"/>
              <w:ind w:left="486" w:right="467" w:firstLine="88"/>
              <w:jc w:val="left"/>
              <w:rPr>
                <w:sz w:val="18"/>
              </w:rPr>
            </w:pPr>
            <w:r>
              <w:rPr>
                <w:sz w:val="18"/>
              </w:rPr>
              <w:t>高浓高盐废水预处理蒸馏残渣</w:t>
            </w:r>
          </w:p>
        </w:tc>
        <w:tc>
          <w:tcPr>
            <w:tcW w:w="536" w:type="dxa"/>
          </w:tcPr>
          <w:p>
            <w:pPr>
              <w:pStyle w:val="TableParagraph"/>
              <w:spacing w:before="5"/>
              <w:jc w:val="left"/>
              <w:rPr>
                <w:sz w:val="16"/>
              </w:rPr>
            </w:pPr>
          </w:p>
          <w:p>
            <w:pPr>
              <w:pStyle w:val="TableParagraph"/>
              <w:spacing w:before="1"/>
              <w:ind w:left="13"/>
              <w:rPr>
                <w:rFonts w:ascii="Times New Roman"/>
                <w:sz w:val="18"/>
              </w:rPr>
            </w:pPr>
            <w:r>
              <w:rPr>
                <w:rFonts w:ascii="Times New Roman"/>
                <w:sz w:val="18"/>
              </w:rPr>
              <w:t>1074.6</w:t>
            </w:r>
          </w:p>
        </w:tc>
        <w:tc>
          <w:tcPr>
            <w:tcW w:w="519" w:type="dxa"/>
          </w:tcPr>
          <w:p>
            <w:pPr>
              <w:pStyle w:val="TableParagraph"/>
              <w:jc w:val="left"/>
              <w:rPr>
                <w:rFonts w:ascii="Times New Roman"/>
                <w:sz w:val="18"/>
              </w:rPr>
            </w:pPr>
          </w:p>
        </w:tc>
        <w:tc>
          <w:tcPr>
            <w:tcW w:w="3213" w:type="dxa"/>
          </w:tcPr>
          <w:p>
            <w:pPr>
              <w:pStyle w:val="TableParagraph"/>
              <w:spacing w:before="16"/>
              <w:jc w:val="left"/>
              <w:rPr>
                <w:sz w:val="11"/>
              </w:rPr>
            </w:pPr>
          </w:p>
          <w:p>
            <w:pPr>
              <w:pStyle w:val="TableParagraph"/>
              <w:ind w:left="30" w:right="23"/>
              <w:rPr>
                <w:sz w:val="18"/>
              </w:rPr>
            </w:pPr>
            <w:r>
              <w:rPr>
                <w:sz w:val="18"/>
              </w:rPr>
              <w:t>有机物、盐分</w:t>
            </w:r>
          </w:p>
        </w:tc>
        <w:tc>
          <w:tcPr>
            <w:tcW w:w="1477" w:type="dxa"/>
          </w:tcPr>
          <w:p>
            <w:pPr>
              <w:pStyle w:val="TableParagraph"/>
              <w:spacing w:line="261" w:lineRule="exact"/>
              <w:ind w:left="3"/>
              <w:rPr>
                <w:sz w:val="18"/>
              </w:rPr>
            </w:pPr>
            <w:r>
              <w:rPr>
                <w:sz w:val="18"/>
              </w:rPr>
              <w:t>其它废物</w:t>
            </w:r>
          </w:p>
          <w:p>
            <w:pPr>
              <w:pStyle w:val="TableParagraph"/>
              <w:spacing w:line="132" w:lineRule="exact"/>
              <w:ind w:left="6"/>
              <w:rPr>
                <w:rFonts w:ascii="Times New Roman"/>
                <w:sz w:val="18"/>
              </w:rPr>
            </w:pPr>
            <w:r>
              <w:rPr>
                <w:rFonts w:ascii="Times New Roman"/>
                <w:sz w:val="18"/>
              </w:rPr>
              <w:t>HW49/</w:t>
            </w:r>
            <w:r>
              <w:rPr>
                <w:rFonts w:ascii="Times New Roman"/>
                <w:spacing w:val="-3"/>
                <w:sz w:val="18"/>
              </w:rPr>
              <w:t> </w:t>
            </w:r>
            <w:r>
              <w:rPr>
                <w:rFonts w:ascii="Times New Roman"/>
                <w:sz w:val="18"/>
              </w:rPr>
              <w:t>802-006-49</w:t>
            </w:r>
          </w:p>
          <w:p>
            <w:pPr>
              <w:pStyle w:val="TableParagraph"/>
              <w:spacing w:line="267" w:lineRule="exact"/>
              <w:ind w:left="3"/>
              <w:rPr>
                <w:sz w:val="18"/>
              </w:rPr>
            </w:pPr>
            <w:r>
              <w:rPr>
                <w:sz w:val="18"/>
              </w:rPr>
              <w:t>危废委托有资质单</w:t>
            </w:r>
          </w:p>
          <w:p>
            <w:pPr>
              <w:pStyle w:val="TableParagraph"/>
              <w:spacing w:line="226" w:lineRule="exact"/>
              <w:ind w:left="6"/>
              <w:rPr>
                <w:sz w:val="18"/>
              </w:rPr>
            </w:pPr>
            <w:r>
              <w:rPr>
                <w:sz w:val="18"/>
              </w:rPr>
              <w:t>位处置</w:t>
            </w:r>
          </w:p>
        </w:tc>
      </w:tr>
      <w:tr>
        <w:trPr>
          <w:trHeight w:val="906" w:hRule="atLeast"/>
        </w:trPr>
        <w:tc>
          <w:tcPr>
            <w:tcW w:w="358" w:type="dxa"/>
          </w:tcPr>
          <w:p>
            <w:pPr>
              <w:pStyle w:val="TableParagraph"/>
              <w:spacing w:before="5"/>
              <w:jc w:val="left"/>
              <w:rPr>
                <w:sz w:val="16"/>
              </w:rPr>
            </w:pPr>
          </w:p>
          <w:p>
            <w:pPr>
              <w:pStyle w:val="TableParagraph"/>
              <w:spacing w:before="1"/>
              <w:ind w:left="15"/>
              <w:rPr>
                <w:rFonts w:ascii="Times New Roman"/>
                <w:sz w:val="18"/>
              </w:rPr>
            </w:pPr>
            <w:r>
              <w:rPr>
                <w:rFonts w:ascii="Times New Roman"/>
                <w:sz w:val="18"/>
              </w:rPr>
              <w:t>3</w:t>
            </w:r>
          </w:p>
        </w:tc>
        <w:tc>
          <w:tcPr>
            <w:tcW w:w="2236" w:type="dxa"/>
            <w:gridSpan w:val="2"/>
          </w:tcPr>
          <w:p>
            <w:pPr>
              <w:pStyle w:val="TableParagraph"/>
              <w:spacing w:before="4"/>
              <w:jc w:val="left"/>
              <w:rPr>
                <w:sz w:val="11"/>
              </w:rPr>
            </w:pPr>
          </w:p>
          <w:p>
            <w:pPr>
              <w:pStyle w:val="TableParagraph"/>
              <w:spacing w:line="146" w:lineRule="auto"/>
              <w:ind w:left="575" w:right="558"/>
              <w:jc w:val="left"/>
              <w:rPr>
                <w:sz w:val="18"/>
              </w:rPr>
            </w:pPr>
            <w:r>
              <w:rPr>
                <w:sz w:val="18"/>
              </w:rPr>
              <w:t>工艺废气吸收装置废活性炭</w:t>
            </w:r>
          </w:p>
        </w:tc>
        <w:tc>
          <w:tcPr>
            <w:tcW w:w="536" w:type="dxa"/>
          </w:tcPr>
          <w:p>
            <w:pPr>
              <w:pStyle w:val="TableParagraph"/>
              <w:spacing w:before="5"/>
              <w:jc w:val="left"/>
              <w:rPr>
                <w:sz w:val="16"/>
              </w:rPr>
            </w:pPr>
          </w:p>
          <w:p>
            <w:pPr>
              <w:pStyle w:val="TableParagraph"/>
              <w:spacing w:before="1"/>
              <w:ind w:left="16"/>
              <w:rPr>
                <w:rFonts w:ascii="Times New Roman"/>
                <w:sz w:val="18"/>
              </w:rPr>
            </w:pPr>
            <w:r>
              <w:rPr>
                <w:rFonts w:ascii="Times New Roman"/>
                <w:sz w:val="18"/>
              </w:rPr>
              <w:t>39</w:t>
            </w:r>
          </w:p>
        </w:tc>
        <w:tc>
          <w:tcPr>
            <w:tcW w:w="519" w:type="dxa"/>
          </w:tcPr>
          <w:p>
            <w:pPr>
              <w:pStyle w:val="TableParagraph"/>
              <w:spacing w:before="18"/>
              <w:jc w:val="left"/>
              <w:rPr>
                <w:sz w:val="11"/>
              </w:rPr>
            </w:pPr>
          </w:p>
          <w:p>
            <w:pPr>
              <w:pStyle w:val="TableParagraph"/>
              <w:ind w:left="56" w:right="42"/>
              <w:rPr>
                <w:sz w:val="18"/>
              </w:rPr>
            </w:pPr>
            <w:r>
              <w:rPr>
                <w:sz w:val="18"/>
              </w:rPr>
              <w:t>间断</w:t>
            </w:r>
          </w:p>
        </w:tc>
        <w:tc>
          <w:tcPr>
            <w:tcW w:w="3213" w:type="dxa"/>
          </w:tcPr>
          <w:p>
            <w:pPr>
              <w:pStyle w:val="TableParagraph"/>
              <w:spacing w:before="18"/>
              <w:jc w:val="left"/>
              <w:rPr>
                <w:sz w:val="11"/>
              </w:rPr>
            </w:pPr>
          </w:p>
          <w:p>
            <w:pPr>
              <w:pStyle w:val="TableParagraph"/>
              <w:ind w:left="30" w:right="20"/>
              <w:rPr>
                <w:sz w:val="18"/>
              </w:rPr>
            </w:pPr>
            <w:r>
              <w:rPr>
                <w:sz w:val="18"/>
              </w:rPr>
              <w:t>有机物、活性炭</w:t>
            </w:r>
          </w:p>
        </w:tc>
        <w:tc>
          <w:tcPr>
            <w:tcW w:w="1477" w:type="dxa"/>
          </w:tcPr>
          <w:p>
            <w:pPr>
              <w:pStyle w:val="TableParagraph"/>
              <w:spacing w:line="262" w:lineRule="exact"/>
              <w:ind w:left="3"/>
              <w:rPr>
                <w:sz w:val="18"/>
              </w:rPr>
            </w:pPr>
            <w:r>
              <w:rPr>
                <w:sz w:val="18"/>
              </w:rPr>
              <w:t>医药废物</w:t>
            </w:r>
          </w:p>
          <w:p>
            <w:pPr>
              <w:pStyle w:val="TableParagraph"/>
              <w:spacing w:line="133" w:lineRule="exact"/>
              <w:ind w:left="8"/>
              <w:rPr>
                <w:rFonts w:ascii="Times New Roman"/>
                <w:sz w:val="18"/>
              </w:rPr>
            </w:pPr>
            <w:r>
              <w:rPr>
                <w:rFonts w:ascii="Times New Roman"/>
                <w:sz w:val="18"/>
              </w:rPr>
              <w:t>HW02/272-004-02</w:t>
            </w:r>
          </w:p>
          <w:p>
            <w:pPr>
              <w:pStyle w:val="TableParagraph"/>
              <w:spacing w:line="266" w:lineRule="exact"/>
              <w:ind w:left="3"/>
              <w:rPr>
                <w:sz w:val="18"/>
              </w:rPr>
            </w:pPr>
            <w:r>
              <w:rPr>
                <w:sz w:val="18"/>
              </w:rPr>
              <w:t>危废委托有资质单</w:t>
            </w:r>
          </w:p>
          <w:p>
            <w:pPr>
              <w:pStyle w:val="TableParagraph"/>
              <w:spacing w:line="224" w:lineRule="exact"/>
              <w:ind w:left="6"/>
              <w:rPr>
                <w:sz w:val="18"/>
              </w:rPr>
            </w:pPr>
            <w:r>
              <w:rPr>
                <w:sz w:val="18"/>
              </w:rPr>
              <w:t>位处置</w:t>
            </w:r>
          </w:p>
        </w:tc>
      </w:tr>
      <w:tr>
        <w:trPr>
          <w:trHeight w:val="467" w:hRule="atLeast"/>
        </w:trPr>
        <w:tc>
          <w:tcPr>
            <w:tcW w:w="358" w:type="dxa"/>
          </w:tcPr>
          <w:p>
            <w:pPr>
              <w:pStyle w:val="TableParagraph"/>
              <w:spacing w:before="127"/>
              <w:ind w:left="15"/>
              <w:rPr>
                <w:rFonts w:ascii="Times New Roman"/>
                <w:sz w:val="18"/>
              </w:rPr>
            </w:pPr>
            <w:r>
              <w:rPr>
                <w:rFonts w:ascii="Times New Roman"/>
                <w:sz w:val="18"/>
              </w:rPr>
              <w:t>4</w:t>
            </w:r>
          </w:p>
        </w:tc>
        <w:tc>
          <w:tcPr>
            <w:tcW w:w="694" w:type="dxa"/>
          </w:tcPr>
          <w:p>
            <w:pPr>
              <w:pStyle w:val="TableParagraph"/>
              <w:spacing w:before="31"/>
              <w:ind w:left="75"/>
              <w:jc w:val="left"/>
              <w:rPr>
                <w:sz w:val="18"/>
              </w:rPr>
            </w:pPr>
            <w:r>
              <w:rPr>
                <w:sz w:val="18"/>
              </w:rPr>
              <w:t>白葡菌</w:t>
            </w:r>
          </w:p>
        </w:tc>
        <w:tc>
          <w:tcPr>
            <w:tcW w:w="1542" w:type="dxa"/>
          </w:tcPr>
          <w:p>
            <w:pPr>
              <w:pStyle w:val="TableParagraph"/>
              <w:spacing w:line="223" w:lineRule="exact"/>
              <w:ind w:left="26" w:right="15"/>
              <w:rPr>
                <w:sz w:val="18"/>
              </w:rPr>
            </w:pPr>
            <w:r>
              <w:rPr>
                <w:sz w:val="18"/>
              </w:rPr>
              <w:t>压滤过程滤渣</w:t>
            </w:r>
          </w:p>
          <w:p>
            <w:pPr>
              <w:pStyle w:val="TableParagraph"/>
              <w:spacing w:line="224" w:lineRule="exact"/>
              <w:ind w:left="26" w:right="10"/>
              <w:rPr>
                <w:sz w:val="18"/>
              </w:rPr>
            </w:pPr>
            <w:r>
              <w:rPr>
                <w:sz w:val="18"/>
              </w:rPr>
              <w:t>（</w:t>
            </w:r>
            <w:r>
              <w:rPr>
                <w:rFonts w:ascii="Times New Roman" w:eastAsia="Times New Roman"/>
                <w:sz w:val="18"/>
              </w:rPr>
              <w:t>S10-1</w:t>
            </w:r>
            <w:r>
              <w:rPr>
                <w:sz w:val="18"/>
              </w:rPr>
              <w:t>）</w:t>
            </w:r>
          </w:p>
        </w:tc>
        <w:tc>
          <w:tcPr>
            <w:tcW w:w="536" w:type="dxa"/>
          </w:tcPr>
          <w:p>
            <w:pPr>
              <w:pStyle w:val="TableParagraph"/>
              <w:spacing w:before="127"/>
              <w:ind w:left="17"/>
              <w:rPr>
                <w:rFonts w:ascii="Times New Roman"/>
                <w:sz w:val="18"/>
              </w:rPr>
            </w:pPr>
            <w:r>
              <w:rPr>
                <w:rFonts w:ascii="Times New Roman"/>
                <w:sz w:val="18"/>
              </w:rPr>
              <w:t>200</w:t>
            </w:r>
          </w:p>
        </w:tc>
        <w:tc>
          <w:tcPr>
            <w:tcW w:w="519" w:type="dxa"/>
          </w:tcPr>
          <w:p>
            <w:pPr>
              <w:pStyle w:val="TableParagraph"/>
              <w:spacing w:before="31"/>
              <w:ind w:left="56" w:right="42"/>
              <w:rPr>
                <w:sz w:val="18"/>
              </w:rPr>
            </w:pPr>
            <w:r>
              <w:rPr>
                <w:sz w:val="18"/>
              </w:rPr>
              <w:t>间断</w:t>
            </w:r>
          </w:p>
        </w:tc>
        <w:tc>
          <w:tcPr>
            <w:tcW w:w="3213" w:type="dxa"/>
          </w:tcPr>
          <w:p>
            <w:pPr>
              <w:pStyle w:val="TableParagraph"/>
              <w:spacing w:before="31"/>
              <w:ind w:left="30" w:right="23"/>
              <w:rPr>
                <w:sz w:val="18"/>
              </w:rPr>
            </w:pPr>
            <w:r>
              <w:rPr>
                <w:sz w:val="18"/>
              </w:rPr>
              <w:t>滤渣，主要为有机物，含水</w:t>
            </w:r>
          </w:p>
        </w:tc>
        <w:tc>
          <w:tcPr>
            <w:tcW w:w="1477" w:type="dxa"/>
          </w:tcPr>
          <w:p>
            <w:pPr>
              <w:pStyle w:val="TableParagraph"/>
              <w:spacing w:line="223" w:lineRule="exact"/>
              <w:ind w:left="3"/>
              <w:rPr>
                <w:sz w:val="18"/>
              </w:rPr>
            </w:pPr>
            <w:r>
              <w:rPr>
                <w:sz w:val="18"/>
              </w:rPr>
              <w:t>一般固废，回用于</w:t>
            </w:r>
          </w:p>
          <w:p>
            <w:pPr>
              <w:pStyle w:val="TableParagraph"/>
              <w:spacing w:line="224" w:lineRule="exact"/>
              <w:ind w:left="6"/>
              <w:rPr>
                <w:sz w:val="18"/>
              </w:rPr>
            </w:pPr>
            <w:r>
              <w:rPr>
                <w:sz w:val="18"/>
              </w:rPr>
              <w:t>污水处理站</w:t>
            </w:r>
          </w:p>
        </w:tc>
      </w:tr>
      <w:tr>
        <w:trPr>
          <w:trHeight w:val="467" w:hRule="atLeast"/>
        </w:trPr>
        <w:tc>
          <w:tcPr>
            <w:tcW w:w="358" w:type="dxa"/>
          </w:tcPr>
          <w:p>
            <w:pPr>
              <w:pStyle w:val="TableParagraph"/>
              <w:spacing w:before="126"/>
              <w:ind w:left="15"/>
              <w:rPr>
                <w:rFonts w:ascii="Times New Roman"/>
                <w:sz w:val="18"/>
              </w:rPr>
            </w:pPr>
            <w:r>
              <w:rPr>
                <w:rFonts w:ascii="Times New Roman"/>
                <w:sz w:val="18"/>
              </w:rPr>
              <w:t>5</w:t>
            </w:r>
          </w:p>
        </w:tc>
        <w:tc>
          <w:tcPr>
            <w:tcW w:w="2236" w:type="dxa"/>
            <w:gridSpan w:val="2"/>
          </w:tcPr>
          <w:p>
            <w:pPr>
              <w:pStyle w:val="TableParagraph"/>
              <w:spacing w:line="223" w:lineRule="exact"/>
              <w:ind w:left="15" w:right="1"/>
              <w:rPr>
                <w:sz w:val="18"/>
              </w:rPr>
            </w:pPr>
            <w:r>
              <w:rPr>
                <w:sz w:val="18"/>
              </w:rPr>
              <w:t>丙戊酸钠废水预处理结晶溴</w:t>
            </w:r>
          </w:p>
          <w:p>
            <w:pPr>
              <w:pStyle w:val="TableParagraph"/>
              <w:spacing w:line="224" w:lineRule="exact"/>
              <w:ind w:left="17" w:right="1"/>
              <w:rPr>
                <w:sz w:val="18"/>
              </w:rPr>
            </w:pPr>
            <w:r>
              <w:rPr>
                <w:sz w:val="18"/>
              </w:rPr>
              <w:t>化钾盐</w:t>
            </w:r>
          </w:p>
        </w:tc>
        <w:tc>
          <w:tcPr>
            <w:tcW w:w="536" w:type="dxa"/>
          </w:tcPr>
          <w:p>
            <w:pPr>
              <w:pStyle w:val="TableParagraph"/>
              <w:spacing w:before="126"/>
              <w:ind w:left="17"/>
              <w:rPr>
                <w:rFonts w:ascii="Times New Roman"/>
                <w:sz w:val="18"/>
              </w:rPr>
            </w:pPr>
            <w:r>
              <w:rPr>
                <w:rFonts w:ascii="Times New Roman"/>
                <w:sz w:val="18"/>
              </w:rPr>
              <w:t>573</w:t>
            </w:r>
          </w:p>
        </w:tc>
        <w:tc>
          <w:tcPr>
            <w:tcW w:w="519" w:type="dxa"/>
          </w:tcPr>
          <w:p>
            <w:pPr>
              <w:pStyle w:val="TableParagraph"/>
              <w:spacing w:before="30"/>
              <w:ind w:left="56" w:right="42"/>
              <w:rPr>
                <w:sz w:val="18"/>
              </w:rPr>
            </w:pPr>
            <w:r>
              <w:rPr>
                <w:sz w:val="18"/>
              </w:rPr>
              <w:t>间断</w:t>
            </w:r>
          </w:p>
        </w:tc>
        <w:tc>
          <w:tcPr>
            <w:tcW w:w="3213" w:type="dxa"/>
          </w:tcPr>
          <w:p>
            <w:pPr>
              <w:pStyle w:val="TableParagraph"/>
              <w:spacing w:before="30"/>
              <w:ind w:left="30" w:right="23"/>
              <w:rPr>
                <w:sz w:val="18"/>
              </w:rPr>
            </w:pPr>
            <w:r>
              <w:rPr>
                <w:sz w:val="18"/>
              </w:rPr>
              <w:t>结晶溴化钾，含少量有机物</w:t>
            </w:r>
          </w:p>
        </w:tc>
        <w:tc>
          <w:tcPr>
            <w:tcW w:w="1477" w:type="dxa"/>
            <w:vMerge w:val="restart"/>
          </w:tcPr>
          <w:p>
            <w:pPr>
              <w:pStyle w:val="TableParagraph"/>
              <w:spacing w:line="146" w:lineRule="auto" w:before="19"/>
              <w:ind w:left="10" w:right="4"/>
              <w:jc w:val="both"/>
              <w:rPr>
                <w:sz w:val="18"/>
              </w:rPr>
            </w:pPr>
            <w:r>
              <w:rPr>
                <w:sz w:val="18"/>
              </w:rPr>
              <w:t>应进行特性鉴别， 经鉴别后属于危险废物，按照危险废物由有危废资质单位处置，不属于危险废物则按一般废</w:t>
            </w:r>
          </w:p>
          <w:p>
            <w:pPr>
              <w:pStyle w:val="TableParagraph"/>
              <w:spacing w:line="197" w:lineRule="exact"/>
              <w:ind w:left="190"/>
              <w:jc w:val="left"/>
              <w:rPr>
                <w:sz w:val="18"/>
              </w:rPr>
            </w:pPr>
            <w:r>
              <w:rPr>
                <w:sz w:val="18"/>
              </w:rPr>
              <w:t>物进行处置。</w:t>
            </w:r>
          </w:p>
        </w:tc>
      </w:tr>
      <w:tr>
        <w:trPr>
          <w:trHeight w:val="1146" w:hRule="atLeast"/>
        </w:trPr>
        <w:tc>
          <w:tcPr>
            <w:tcW w:w="358" w:type="dxa"/>
          </w:tcPr>
          <w:p>
            <w:pPr>
              <w:pStyle w:val="TableParagraph"/>
              <w:spacing w:before="19"/>
              <w:jc w:val="left"/>
              <w:rPr>
                <w:sz w:val="21"/>
              </w:rPr>
            </w:pPr>
          </w:p>
          <w:p>
            <w:pPr>
              <w:pStyle w:val="TableParagraph"/>
              <w:spacing w:before="1"/>
              <w:ind w:left="15"/>
              <w:rPr>
                <w:rFonts w:ascii="Times New Roman"/>
                <w:sz w:val="18"/>
              </w:rPr>
            </w:pPr>
            <w:r>
              <w:rPr>
                <w:rFonts w:ascii="Times New Roman"/>
                <w:sz w:val="18"/>
              </w:rPr>
              <w:t>6</w:t>
            </w:r>
          </w:p>
        </w:tc>
        <w:tc>
          <w:tcPr>
            <w:tcW w:w="2236" w:type="dxa"/>
            <w:gridSpan w:val="2"/>
          </w:tcPr>
          <w:p>
            <w:pPr>
              <w:pStyle w:val="TableParagraph"/>
              <w:spacing w:before="11"/>
              <w:jc w:val="left"/>
              <w:rPr>
                <w:sz w:val="17"/>
              </w:rPr>
            </w:pPr>
          </w:p>
          <w:p>
            <w:pPr>
              <w:pStyle w:val="TableParagraph"/>
              <w:ind w:left="306"/>
              <w:jc w:val="left"/>
              <w:rPr>
                <w:sz w:val="18"/>
              </w:rPr>
            </w:pPr>
            <w:r>
              <w:rPr>
                <w:sz w:val="18"/>
              </w:rPr>
              <w:t>污水处理站生化污泥</w:t>
            </w:r>
          </w:p>
        </w:tc>
        <w:tc>
          <w:tcPr>
            <w:tcW w:w="536" w:type="dxa"/>
          </w:tcPr>
          <w:p>
            <w:pPr>
              <w:pStyle w:val="TableParagraph"/>
              <w:spacing w:before="19"/>
              <w:jc w:val="left"/>
              <w:rPr>
                <w:sz w:val="21"/>
              </w:rPr>
            </w:pPr>
          </w:p>
          <w:p>
            <w:pPr>
              <w:pStyle w:val="TableParagraph"/>
              <w:spacing w:before="1"/>
              <w:ind w:left="17"/>
              <w:rPr>
                <w:rFonts w:ascii="Times New Roman"/>
                <w:sz w:val="18"/>
              </w:rPr>
            </w:pPr>
            <w:r>
              <w:rPr>
                <w:rFonts w:ascii="Times New Roman"/>
                <w:sz w:val="18"/>
              </w:rPr>
              <w:t>10</w:t>
            </w:r>
          </w:p>
        </w:tc>
        <w:tc>
          <w:tcPr>
            <w:tcW w:w="519" w:type="dxa"/>
          </w:tcPr>
          <w:p>
            <w:pPr>
              <w:pStyle w:val="TableParagraph"/>
              <w:spacing w:before="11"/>
              <w:jc w:val="left"/>
              <w:rPr>
                <w:sz w:val="17"/>
              </w:rPr>
            </w:pPr>
          </w:p>
          <w:p>
            <w:pPr>
              <w:pStyle w:val="TableParagraph"/>
              <w:ind w:left="56" w:right="42"/>
              <w:rPr>
                <w:sz w:val="18"/>
              </w:rPr>
            </w:pPr>
            <w:r>
              <w:rPr>
                <w:sz w:val="18"/>
              </w:rPr>
              <w:t>间断</w:t>
            </w:r>
          </w:p>
        </w:tc>
        <w:tc>
          <w:tcPr>
            <w:tcW w:w="3213" w:type="dxa"/>
          </w:tcPr>
          <w:p>
            <w:pPr>
              <w:pStyle w:val="TableParagraph"/>
              <w:spacing w:before="11"/>
              <w:jc w:val="left"/>
              <w:rPr>
                <w:sz w:val="17"/>
              </w:rPr>
            </w:pPr>
          </w:p>
          <w:p>
            <w:pPr>
              <w:pStyle w:val="TableParagraph"/>
              <w:ind w:left="30" w:right="23"/>
              <w:rPr>
                <w:sz w:val="18"/>
              </w:rPr>
            </w:pPr>
            <w:r>
              <w:rPr>
                <w:sz w:val="18"/>
              </w:rPr>
              <w:t>盐类、有机物</w:t>
            </w:r>
          </w:p>
        </w:tc>
        <w:tc>
          <w:tcPr>
            <w:tcW w:w="1477" w:type="dxa"/>
            <w:vMerge/>
            <w:tcBorders>
              <w:top w:val="nil"/>
            </w:tcBorders>
          </w:tcPr>
          <w:p>
            <w:pPr>
              <w:rPr>
                <w:sz w:val="2"/>
                <w:szCs w:val="2"/>
              </w:rPr>
            </w:pPr>
          </w:p>
        </w:tc>
      </w:tr>
      <w:tr>
        <w:trPr>
          <w:trHeight w:val="467" w:hRule="atLeast"/>
        </w:trPr>
        <w:tc>
          <w:tcPr>
            <w:tcW w:w="358" w:type="dxa"/>
          </w:tcPr>
          <w:p>
            <w:pPr>
              <w:pStyle w:val="TableParagraph"/>
              <w:spacing w:before="126"/>
              <w:ind w:left="15"/>
              <w:rPr>
                <w:rFonts w:ascii="Times New Roman"/>
                <w:sz w:val="18"/>
              </w:rPr>
            </w:pPr>
            <w:r>
              <w:rPr>
                <w:rFonts w:ascii="Times New Roman"/>
                <w:sz w:val="18"/>
              </w:rPr>
              <w:t>7</w:t>
            </w:r>
          </w:p>
        </w:tc>
        <w:tc>
          <w:tcPr>
            <w:tcW w:w="2236" w:type="dxa"/>
            <w:gridSpan w:val="2"/>
          </w:tcPr>
          <w:p>
            <w:pPr>
              <w:pStyle w:val="TableParagraph"/>
              <w:spacing w:before="31"/>
              <w:ind w:left="15" w:right="1"/>
              <w:rPr>
                <w:sz w:val="18"/>
              </w:rPr>
            </w:pPr>
            <w:r>
              <w:rPr>
                <w:sz w:val="18"/>
              </w:rPr>
              <w:t>生活垃圾</w:t>
            </w:r>
          </w:p>
        </w:tc>
        <w:tc>
          <w:tcPr>
            <w:tcW w:w="536" w:type="dxa"/>
          </w:tcPr>
          <w:p>
            <w:pPr>
              <w:pStyle w:val="TableParagraph"/>
              <w:spacing w:before="126"/>
              <w:ind w:left="17"/>
              <w:rPr>
                <w:rFonts w:ascii="Times New Roman"/>
                <w:sz w:val="18"/>
              </w:rPr>
            </w:pPr>
            <w:r>
              <w:rPr>
                <w:rFonts w:ascii="Times New Roman"/>
                <w:sz w:val="18"/>
              </w:rPr>
              <w:t>117</w:t>
            </w:r>
          </w:p>
        </w:tc>
        <w:tc>
          <w:tcPr>
            <w:tcW w:w="519" w:type="dxa"/>
          </w:tcPr>
          <w:p>
            <w:pPr>
              <w:pStyle w:val="TableParagraph"/>
              <w:spacing w:before="31"/>
              <w:ind w:left="56" w:right="42"/>
              <w:rPr>
                <w:sz w:val="18"/>
              </w:rPr>
            </w:pPr>
            <w:r>
              <w:rPr>
                <w:sz w:val="18"/>
              </w:rPr>
              <w:t>间断</w:t>
            </w:r>
          </w:p>
        </w:tc>
        <w:tc>
          <w:tcPr>
            <w:tcW w:w="3213" w:type="dxa"/>
          </w:tcPr>
          <w:p>
            <w:pPr>
              <w:pStyle w:val="TableParagraph"/>
              <w:spacing w:before="31"/>
              <w:ind w:left="30" w:right="23"/>
              <w:rPr>
                <w:sz w:val="18"/>
              </w:rPr>
            </w:pPr>
            <w:r>
              <w:rPr>
                <w:sz w:val="18"/>
              </w:rPr>
              <w:t>生活办公杂物</w:t>
            </w:r>
          </w:p>
        </w:tc>
        <w:tc>
          <w:tcPr>
            <w:tcW w:w="1477" w:type="dxa"/>
          </w:tcPr>
          <w:p>
            <w:pPr>
              <w:pStyle w:val="TableParagraph"/>
              <w:spacing w:line="223" w:lineRule="exact"/>
              <w:ind w:left="3"/>
              <w:rPr>
                <w:sz w:val="18"/>
              </w:rPr>
            </w:pPr>
            <w:r>
              <w:rPr>
                <w:sz w:val="18"/>
              </w:rPr>
              <w:t>一般固废，环卫部</w:t>
            </w:r>
          </w:p>
          <w:p>
            <w:pPr>
              <w:pStyle w:val="TableParagraph"/>
              <w:spacing w:line="224" w:lineRule="exact"/>
              <w:ind w:left="6"/>
              <w:rPr>
                <w:sz w:val="18"/>
              </w:rPr>
            </w:pPr>
            <w:r>
              <w:rPr>
                <w:sz w:val="18"/>
              </w:rPr>
              <w:t>门处置</w:t>
            </w:r>
          </w:p>
        </w:tc>
      </w:tr>
      <w:tr>
        <w:trPr>
          <w:trHeight w:val="342" w:hRule="atLeast"/>
        </w:trPr>
        <w:tc>
          <w:tcPr>
            <w:tcW w:w="358" w:type="dxa"/>
          </w:tcPr>
          <w:p>
            <w:pPr>
              <w:pStyle w:val="TableParagraph"/>
              <w:jc w:val="left"/>
              <w:rPr>
                <w:rFonts w:ascii="Times New Roman"/>
                <w:sz w:val="18"/>
              </w:rPr>
            </w:pPr>
          </w:p>
        </w:tc>
        <w:tc>
          <w:tcPr>
            <w:tcW w:w="2236" w:type="dxa"/>
            <w:gridSpan w:val="2"/>
          </w:tcPr>
          <w:p>
            <w:pPr>
              <w:pStyle w:val="TableParagraph"/>
              <w:spacing w:line="322" w:lineRule="exact"/>
              <w:ind w:left="15" w:right="1"/>
              <w:rPr>
                <w:sz w:val="18"/>
              </w:rPr>
            </w:pPr>
            <w:r>
              <w:rPr>
                <w:sz w:val="18"/>
              </w:rPr>
              <w:t>合计</w:t>
            </w:r>
          </w:p>
        </w:tc>
        <w:tc>
          <w:tcPr>
            <w:tcW w:w="536" w:type="dxa"/>
          </w:tcPr>
          <w:p>
            <w:pPr>
              <w:pStyle w:val="TableParagraph"/>
              <w:spacing w:before="62"/>
              <w:ind w:left="13"/>
              <w:rPr>
                <w:rFonts w:ascii="Times New Roman"/>
                <w:sz w:val="18"/>
              </w:rPr>
            </w:pPr>
            <w:r>
              <w:rPr>
                <w:rFonts w:ascii="Times New Roman"/>
                <w:sz w:val="18"/>
              </w:rPr>
              <w:t>3009</w:t>
            </w:r>
          </w:p>
        </w:tc>
        <w:tc>
          <w:tcPr>
            <w:tcW w:w="519" w:type="dxa"/>
          </w:tcPr>
          <w:p>
            <w:pPr>
              <w:pStyle w:val="TableParagraph"/>
              <w:jc w:val="left"/>
              <w:rPr>
                <w:rFonts w:ascii="Times New Roman"/>
                <w:sz w:val="18"/>
              </w:rPr>
            </w:pPr>
          </w:p>
        </w:tc>
        <w:tc>
          <w:tcPr>
            <w:tcW w:w="3213" w:type="dxa"/>
          </w:tcPr>
          <w:p>
            <w:pPr>
              <w:pStyle w:val="TableParagraph"/>
              <w:jc w:val="left"/>
              <w:rPr>
                <w:rFonts w:ascii="Times New Roman"/>
                <w:sz w:val="18"/>
              </w:rPr>
            </w:pPr>
          </w:p>
        </w:tc>
        <w:tc>
          <w:tcPr>
            <w:tcW w:w="1477" w:type="dxa"/>
          </w:tcPr>
          <w:p>
            <w:pPr>
              <w:pStyle w:val="TableParagraph"/>
              <w:jc w:val="left"/>
              <w:rPr>
                <w:rFonts w:ascii="Times New Roman"/>
                <w:sz w:val="18"/>
              </w:rPr>
            </w:pPr>
          </w:p>
        </w:tc>
      </w:tr>
    </w:tbl>
    <w:p>
      <w:pPr>
        <w:pStyle w:val="BodyText"/>
        <w:spacing w:before="3"/>
        <w:rPr>
          <w:sz w:val="14"/>
        </w:rPr>
      </w:pPr>
    </w:p>
    <w:p>
      <w:pPr>
        <w:pStyle w:val="Heading2"/>
        <w:numPr>
          <w:ilvl w:val="1"/>
          <w:numId w:val="3"/>
        </w:numPr>
        <w:tabs>
          <w:tab w:pos="1390" w:val="left" w:leader="none"/>
        </w:tabs>
        <w:spacing w:line="613" w:lineRule="exact" w:before="0" w:after="0"/>
        <w:ind w:left="1389" w:right="0" w:hanging="811"/>
        <w:jc w:val="left"/>
        <w:rPr>
          <w:rFonts w:ascii="Times New Roman" w:eastAsia="Times New Roman"/>
        </w:rPr>
      </w:pPr>
      <w:r>
        <w:rPr/>
        <w:t>现有工程项目简介</w:t>
      </w:r>
    </w:p>
    <w:p>
      <w:pPr>
        <w:pStyle w:val="BodyText"/>
        <w:spacing w:line="220" w:lineRule="auto" w:before="182"/>
        <w:ind w:left="578" w:right="666" w:firstLine="479"/>
        <w:jc w:val="both"/>
      </w:pPr>
      <w:r>
        <w:rPr/>
        <w:t>仁和堂药业有限公司医药工业园</w:t>
      </w:r>
      <w:r>
        <w:rPr>
          <w:rFonts w:ascii="Times New Roman" w:eastAsia="Times New Roman"/>
        </w:rPr>
        <w:t>--</w:t>
      </w:r>
      <w:r>
        <w:rPr>
          <w:spacing w:val="-1"/>
        </w:rPr>
        <w:t>制剂建设项目已取得环评批复，验收进行</w:t>
      </w:r>
      <w:r>
        <w:rPr>
          <w:spacing w:val="-7"/>
        </w:rPr>
        <w:t>中，该制剂项目与本项目</w:t>
      </w:r>
      <w:r>
        <w:rPr/>
        <w:t>（原料药生产项目</w:t>
      </w:r>
      <w:r>
        <w:rPr>
          <w:spacing w:val="-22"/>
        </w:rPr>
        <w:t>）</w:t>
      </w:r>
      <w:r>
        <w:rPr>
          <w:spacing w:val="-4"/>
        </w:rPr>
        <w:t>的关系主要是：制剂项目蒸汽依托</w:t>
      </w:r>
      <w:r>
        <w:rPr>
          <w:spacing w:val="-3"/>
        </w:rPr>
        <w:t>本项目配套的 </w:t>
      </w:r>
      <w:r>
        <w:rPr>
          <w:rFonts w:ascii="Times New Roman" w:eastAsia="Times New Roman"/>
        </w:rPr>
        <w:t>1 </w:t>
      </w:r>
      <w:r>
        <w:rPr>
          <w:spacing w:val="3"/>
        </w:rPr>
        <w:t>台 </w:t>
      </w:r>
      <w:r>
        <w:rPr>
          <w:rFonts w:ascii="Times New Roman" w:eastAsia="Times New Roman"/>
        </w:rPr>
        <w:t>4t/h </w:t>
      </w:r>
      <w:r>
        <w:rPr>
          <w:spacing w:val="-11"/>
        </w:rPr>
        <w:t>锅炉提供，制剂项目废水依托本项目建设的污水处理站处</w:t>
      </w:r>
      <w:r>
        <w:rPr>
          <w:spacing w:val="-8"/>
        </w:rPr>
        <w:t>理，另外本项目的部分产品</w:t>
      </w:r>
      <w:r>
        <w:rPr/>
        <w:t>（原料药</w:t>
      </w:r>
      <w:r>
        <w:rPr>
          <w:spacing w:val="-22"/>
        </w:rPr>
        <w:t>）</w:t>
      </w:r>
      <w:r>
        <w:rPr>
          <w:spacing w:val="-2"/>
        </w:rPr>
        <w:t>作为制剂项目的原料进行片剂、制剂的加工。制剂项目的生产工艺及产污环节分析见该报告表，本次评价不再详细介绍， 在此主要介绍同期建设项目的污染物排放情况。</w:t>
      </w:r>
    </w:p>
    <w:p>
      <w:pPr>
        <w:spacing w:after="0" w:line="220" w:lineRule="auto"/>
        <w:jc w:val="both"/>
        <w:sectPr>
          <w:pgSz w:w="11910" w:h="16840"/>
          <w:pgMar w:header="877" w:footer="973" w:top="1340" w:bottom="1160" w:left="1220" w:right="1040"/>
        </w:sectPr>
      </w:pPr>
    </w:p>
    <w:p>
      <w:pPr>
        <w:pStyle w:val="BodyText"/>
        <w:spacing w:line="458" w:lineRule="exact"/>
        <w:ind w:left="1058"/>
      </w:pPr>
      <w:r>
        <w:rPr/>
        <w:t>（</w:t>
      </w:r>
      <w:r>
        <w:rPr>
          <w:rFonts w:ascii="Times New Roman" w:eastAsia="Times New Roman"/>
        </w:rPr>
        <w:t>1</w:t>
      </w:r>
      <w:r>
        <w:rPr/>
        <w:t>）废气</w:t>
      </w:r>
    </w:p>
    <w:p>
      <w:pPr>
        <w:pStyle w:val="BodyText"/>
        <w:spacing w:line="220" w:lineRule="auto" w:before="8"/>
        <w:ind w:left="578" w:right="751" w:firstLine="479"/>
        <w:jc w:val="both"/>
      </w:pPr>
      <w:r>
        <w:rPr>
          <w:spacing w:val="-3"/>
        </w:rPr>
        <w:t>由于制剂项目蒸汽依托本项目</w:t>
      </w:r>
      <w:r>
        <w:rPr/>
        <w:t>（原料药项目</w:t>
      </w:r>
      <w:r>
        <w:rPr>
          <w:spacing w:val="-29"/>
        </w:rPr>
        <w:t>）</w:t>
      </w:r>
      <w:r>
        <w:rPr>
          <w:spacing w:val="-3"/>
        </w:rPr>
        <w:t>配套的蒸汽锅炉提供，原料药</w:t>
      </w:r>
      <w:r>
        <w:rPr>
          <w:spacing w:val="-8"/>
        </w:rPr>
        <w:t>项目在计算锅炉排放的污染物总量时，已考虑全厂区的蒸汽用量，制剂项目使用蒸汽而增加的锅炉污染物排放已纳入其中，本次评价不再进行计算。</w:t>
      </w:r>
    </w:p>
    <w:p>
      <w:pPr>
        <w:pStyle w:val="BodyText"/>
        <w:spacing w:line="220" w:lineRule="auto"/>
        <w:ind w:left="578" w:right="666" w:firstLine="479"/>
        <w:jc w:val="both"/>
      </w:pPr>
      <w:r>
        <w:rPr>
          <w:spacing w:val="-5"/>
        </w:rPr>
        <w:t>制剂项目生产过程废气主要来源于粉碎、过筛、整粒、压片、包衣、胶囊填</w:t>
      </w:r>
      <w:r>
        <w:rPr>
          <w:spacing w:val="-10"/>
        </w:rPr>
        <w:t>充、颗粒填充产生的粉尘，制粒干燥工序含有乙醇、粉尘及水蒸气的废气，内包</w:t>
      </w:r>
      <w:r>
        <w:rPr>
          <w:spacing w:val="-13"/>
        </w:rPr>
        <w:t>工序熔化包装膜产生含有非甲烷总烃的有机废气，还有研发中心产生的废气。项目所用粉碎机（自带除尘柜）、压片机（自带吸尘器）、混合机、湿法制粒机、整粒机等设备均为全封闭型。</w:t>
      </w:r>
    </w:p>
    <w:p>
      <w:pPr>
        <w:pStyle w:val="BodyText"/>
        <w:spacing w:line="454" w:lineRule="exact"/>
        <w:ind w:left="1058"/>
      </w:pPr>
      <w:r>
        <w:rPr/>
        <w:t>①无组织粉尘。</w:t>
      </w:r>
    </w:p>
    <w:p>
      <w:pPr>
        <w:pStyle w:val="BodyText"/>
        <w:spacing w:line="220" w:lineRule="auto" w:before="1"/>
        <w:ind w:left="578" w:right="634" w:firstLine="479"/>
      </w:pPr>
      <w:r>
        <w:rPr>
          <w:spacing w:val="-5"/>
        </w:rPr>
        <w:t>生产过程中产生粉尘较大的粉碎、压片工序设备均自带袋式除尘器，对产生</w:t>
      </w:r>
      <w:r>
        <w:rPr>
          <w:spacing w:val="1"/>
        </w:rPr>
        <w:t>的含尘废气先经袋式除尘器处理再与设备所在房间内的空气一起由回风系统抽</w:t>
      </w:r>
      <w:r>
        <w:rPr>
          <w:spacing w:val="-13"/>
        </w:rPr>
        <w:t>出，再经空气净化系统处理</w:t>
      </w:r>
      <w:r>
        <w:rPr/>
        <w:t>（除尘效率</w:t>
      </w:r>
      <w:r>
        <w:rPr>
          <w:rFonts w:ascii="Times New Roman" w:hAnsi="Times New Roman" w:eastAsia="Times New Roman"/>
          <w:spacing w:val="-9"/>
        </w:rPr>
        <w:t>≥99.9%</w:t>
      </w:r>
      <w:r>
        <w:rPr>
          <w:spacing w:val="-9"/>
        </w:rPr>
        <w:t>）</w:t>
      </w:r>
      <w:r>
        <w:rPr>
          <w:spacing w:val="-8"/>
        </w:rPr>
        <w:t>后，作为循环净化空气返回车间； </w:t>
      </w:r>
      <w:r>
        <w:rPr>
          <w:spacing w:val="-17"/>
        </w:rPr>
        <w:t>而对于过筛、整粒、胶囊填充、颗粒填充等工序产生粉尘，由于粉尘产生量较小， </w:t>
      </w:r>
      <w:r>
        <w:rPr>
          <w:spacing w:val="-18"/>
        </w:rPr>
        <w:t>该部分房间内的含尘废气，则统一由车间回风系统抽出，进入车间空气净化系统</w:t>
      </w:r>
      <w:r>
        <w:rPr>
          <w:spacing w:val="-24"/>
        </w:rPr>
        <w:t>处理</w:t>
      </w:r>
      <w:r>
        <w:rPr/>
        <w:t>（除尘效率</w:t>
      </w:r>
      <w:r>
        <w:rPr>
          <w:rFonts w:ascii="Times New Roman" w:hAnsi="Times New Roman" w:eastAsia="Times New Roman"/>
          <w:spacing w:val="-5"/>
        </w:rPr>
        <w:t>≥99.9%</w:t>
      </w:r>
      <w:r>
        <w:rPr>
          <w:spacing w:val="-5"/>
        </w:rPr>
        <w:t>）</w:t>
      </w:r>
      <w:r>
        <w:rPr>
          <w:spacing w:val="-4"/>
        </w:rPr>
        <w:t>后作为循环净化空气再次返回车间。类比现有工程，以</w:t>
      </w:r>
      <w:r>
        <w:rPr>
          <w:spacing w:val="16"/>
        </w:rPr>
        <w:t>上袋式除尘器粉尘处理量和加上车间空气净化系统粉尘收集量约为原料的</w:t>
      </w:r>
      <w:r>
        <w:rPr>
          <w:rFonts w:ascii="Times New Roman" w:hAnsi="Times New Roman" w:eastAsia="Times New Roman"/>
          <w:spacing w:val="16"/>
        </w:rPr>
        <w:t>0.2%</w:t>
      </w:r>
      <w:r>
        <w:rPr>
          <w:spacing w:val="12"/>
        </w:rPr>
        <w:t>，即 </w:t>
      </w:r>
      <w:r>
        <w:rPr>
          <w:rFonts w:ascii="Times New Roman" w:hAnsi="Times New Roman" w:eastAsia="Times New Roman"/>
        </w:rPr>
        <w:t>20.32t/a</w:t>
      </w:r>
      <w:r>
        <w:rPr>
          <w:spacing w:val="1"/>
        </w:rPr>
        <w:t>，排放量约 </w:t>
      </w:r>
      <w:r>
        <w:rPr>
          <w:rFonts w:ascii="Times New Roman" w:hAnsi="Times New Roman" w:eastAsia="Times New Roman"/>
        </w:rPr>
        <w:t>0.02t/a</w:t>
      </w:r>
      <w:r>
        <w:rPr/>
        <w:t>，处理后粉尘浓度＜</w:t>
      </w:r>
      <w:r>
        <w:rPr>
          <w:rFonts w:ascii="Times New Roman" w:hAnsi="Times New Roman" w:eastAsia="Times New Roman"/>
        </w:rPr>
        <w:t>5.0mg/Nm</w:t>
      </w:r>
      <w:r>
        <w:rPr>
          <w:rFonts w:ascii="Times New Roman" w:hAnsi="Times New Roman" w:eastAsia="Times New Roman"/>
          <w:position w:val="9"/>
          <w:sz w:val="16"/>
        </w:rPr>
        <w:t>3</w:t>
      </w:r>
      <w:r>
        <w:rPr/>
        <w:t>。</w:t>
      </w:r>
    </w:p>
    <w:p>
      <w:pPr>
        <w:pStyle w:val="BodyText"/>
        <w:spacing w:line="451" w:lineRule="exact"/>
        <w:ind w:left="1058"/>
      </w:pPr>
      <w:r>
        <w:rPr/>
        <w:t>②有组织粉尘。项目部分产品需要包衣，共有 </w:t>
      </w:r>
      <w:r>
        <w:rPr>
          <w:rFonts w:ascii="Times New Roman" w:hAnsi="Times New Roman" w:eastAsia="Times New Roman"/>
        </w:rPr>
        <w:t>6 </w:t>
      </w:r>
      <w:r>
        <w:rPr/>
        <w:t>台包衣机，均配有风量为</w:t>
      </w:r>
    </w:p>
    <w:p>
      <w:pPr>
        <w:pStyle w:val="BodyText"/>
        <w:spacing w:line="220" w:lineRule="auto" w:before="7"/>
        <w:ind w:left="578" w:right="631"/>
        <w:jc w:val="both"/>
      </w:pPr>
      <w:r>
        <w:rPr>
          <w:rFonts w:ascii="Times New Roman" w:eastAsia="Times New Roman"/>
        </w:rPr>
        <w:t>1346m</w:t>
      </w:r>
      <w:r>
        <w:rPr>
          <w:rFonts w:ascii="Times New Roman" w:eastAsia="Times New Roman"/>
          <w:position w:val="9"/>
          <w:sz w:val="16"/>
        </w:rPr>
        <w:t>3</w:t>
      </w:r>
      <w:r>
        <w:rPr>
          <w:rFonts w:ascii="Times New Roman" w:eastAsia="Times New Roman"/>
        </w:rPr>
        <w:t>/h </w:t>
      </w:r>
      <w:r>
        <w:rPr>
          <w:spacing w:val="-3"/>
        </w:rPr>
        <w:t>的风机，按每次工作 </w:t>
      </w:r>
      <w:r>
        <w:rPr>
          <w:rFonts w:ascii="Times New Roman" w:eastAsia="Times New Roman"/>
        </w:rPr>
        <w:t>12h</w:t>
      </w:r>
      <w:r>
        <w:rPr>
          <w:spacing w:val="-1"/>
        </w:rPr>
        <w:t>、年工作 </w:t>
      </w:r>
      <w:r>
        <w:rPr>
          <w:rFonts w:ascii="Times New Roman" w:eastAsia="Times New Roman"/>
        </w:rPr>
        <w:t>67d</w:t>
      </w:r>
      <w:r>
        <w:rPr>
          <w:spacing w:val="-1"/>
        </w:rPr>
        <w:t>、运行风量按 </w:t>
      </w:r>
      <w:r>
        <w:rPr>
          <w:rFonts w:ascii="Times New Roman" w:eastAsia="Times New Roman"/>
        </w:rPr>
        <w:t>60%</w:t>
      </w:r>
      <w:r>
        <w:rPr>
          <w:spacing w:val="-2"/>
        </w:rPr>
        <w:t>计，则含尘废</w:t>
      </w:r>
      <w:r>
        <w:rPr>
          <w:spacing w:val="-1"/>
        </w:rPr>
        <w:t>气产生量约 </w:t>
      </w:r>
      <w:r>
        <w:rPr>
          <w:rFonts w:ascii="Times New Roman" w:eastAsia="Times New Roman"/>
        </w:rPr>
        <w:t>390 </w:t>
      </w:r>
      <w:r>
        <w:rPr>
          <w:spacing w:val="3"/>
        </w:rPr>
        <w:t>万 </w:t>
      </w:r>
      <w:r>
        <w:rPr>
          <w:rFonts w:ascii="Times New Roman" w:eastAsia="Times New Roman"/>
          <w:spacing w:val="-12"/>
        </w:rPr>
        <w:t>m</w:t>
      </w:r>
      <w:r>
        <w:rPr>
          <w:rFonts w:ascii="Times New Roman" w:eastAsia="Times New Roman"/>
          <w:spacing w:val="-12"/>
          <w:position w:val="9"/>
          <w:sz w:val="16"/>
        </w:rPr>
        <w:t>3</w:t>
      </w:r>
      <w:r>
        <w:rPr>
          <w:rFonts w:ascii="Times New Roman" w:eastAsia="Times New Roman"/>
          <w:spacing w:val="-12"/>
        </w:rPr>
        <w:t>/a</w:t>
      </w:r>
      <w:r>
        <w:rPr>
          <w:spacing w:val="-6"/>
        </w:rPr>
        <w:t>，产生的粉尘经管道引入自带布袋除尘器除尘处理后</w:t>
      </w:r>
      <w:r>
        <w:rPr/>
        <w:t>（除</w:t>
      </w:r>
      <w:r>
        <w:rPr>
          <w:spacing w:val="3"/>
        </w:rPr>
        <w:t>尘效率约 </w:t>
      </w:r>
      <w:r>
        <w:rPr>
          <w:rFonts w:ascii="Times New Roman" w:eastAsia="Times New Roman"/>
        </w:rPr>
        <w:t>99</w:t>
      </w:r>
      <w:r>
        <w:rPr/>
        <w:t>％以上）</w:t>
      </w:r>
      <w:r>
        <w:rPr>
          <w:spacing w:val="6"/>
        </w:rPr>
        <w:t>通过 </w:t>
      </w:r>
      <w:r>
        <w:rPr>
          <w:rFonts w:ascii="Times New Roman" w:eastAsia="Times New Roman"/>
        </w:rPr>
        <w:t>6 </w:t>
      </w:r>
      <w:r>
        <w:rPr>
          <w:spacing w:val="9"/>
        </w:rPr>
        <w:t>根 </w:t>
      </w:r>
      <w:r>
        <w:rPr>
          <w:rFonts w:ascii="Times New Roman" w:eastAsia="Times New Roman"/>
        </w:rPr>
        <w:t>15m </w:t>
      </w:r>
      <w:r>
        <w:rPr>
          <w:spacing w:val="-1"/>
        </w:rPr>
        <w:t>高排气筒排放</w:t>
      </w:r>
      <w:r>
        <w:rPr/>
        <w:t>（</w:t>
      </w:r>
      <w:r>
        <w:rPr>
          <w:spacing w:val="3"/>
        </w:rPr>
        <w:t>如周围半径 </w:t>
      </w:r>
      <w:r>
        <w:rPr>
          <w:rFonts w:ascii="Times New Roman" w:eastAsia="Times New Roman"/>
        </w:rPr>
        <w:t>200m </w:t>
      </w:r>
      <w:r>
        <w:rPr>
          <w:spacing w:val="-1"/>
        </w:rPr>
        <w:t>距离有建</w:t>
      </w:r>
      <w:r>
        <w:rPr>
          <w:spacing w:val="-10"/>
        </w:rPr>
        <w:t>筑物时，其排气筒高度应高出最高建筑物 </w:t>
      </w:r>
      <w:r>
        <w:rPr>
          <w:rFonts w:ascii="Times New Roman" w:eastAsia="Times New Roman"/>
        </w:rPr>
        <w:t>5m </w:t>
      </w:r>
      <w:r>
        <w:rPr/>
        <w:t>以上</w:t>
      </w:r>
      <w:r>
        <w:rPr>
          <w:spacing w:val="-84"/>
        </w:rPr>
        <w:t>），</w:t>
      </w:r>
      <w:r>
        <w:rPr>
          <w:spacing w:val="-1"/>
        </w:rPr>
        <w:t>粉尘产生浓度约 </w:t>
      </w:r>
      <w:r>
        <w:rPr>
          <w:rFonts w:ascii="Times New Roman" w:eastAsia="Times New Roman"/>
        </w:rPr>
        <w:t>500mg/m</w:t>
      </w:r>
      <w:r>
        <w:rPr>
          <w:rFonts w:ascii="Times New Roman" w:eastAsia="Times New Roman"/>
          <w:position w:val="9"/>
          <w:sz w:val="16"/>
        </w:rPr>
        <w:t>3</w:t>
      </w:r>
      <w:r>
        <w:rPr/>
        <w:t>、</w:t>
      </w:r>
      <w:r>
        <w:rPr>
          <w:spacing w:val="1"/>
        </w:rPr>
        <w:t>产生量约 </w:t>
      </w:r>
      <w:r>
        <w:rPr>
          <w:rFonts w:ascii="Times New Roman" w:eastAsia="Times New Roman"/>
        </w:rPr>
        <w:t>1.95t/a</w:t>
      </w:r>
      <w:r>
        <w:rPr>
          <w:spacing w:val="-7"/>
        </w:rPr>
        <w:t>。粉尘排放浓度 </w:t>
      </w:r>
      <w:r>
        <w:rPr>
          <w:rFonts w:ascii="Times New Roman" w:eastAsia="Times New Roman"/>
          <w:spacing w:val="-7"/>
        </w:rPr>
        <w:t>5mg/m</w:t>
      </w:r>
      <w:r>
        <w:rPr>
          <w:rFonts w:ascii="Times New Roman" w:eastAsia="Times New Roman"/>
          <w:spacing w:val="-7"/>
          <w:position w:val="9"/>
          <w:sz w:val="16"/>
        </w:rPr>
        <w:t>3</w:t>
      </w:r>
      <w:r>
        <w:rPr>
          <w:spacing w:val="-2"/>
        </w:rPr>
        <w:t>，排放量约 </w:t>
      </w:r>
      <w:r>
        <w:rPr>
          <w:rFonts w:ascii="Times New Roman" w:eastAsia="Times New Roman"/>
          <w:spacing w:val="-6"/>
        </w:rPr>
        <w:t>0.02t/a</w:t>
      </w:r>
      <w:r>
        <w:rPr>
          <w:spacing w:val="-1"/>
        </w:rPr>
        <w:t>，排放速率 </w:t>
      </w:r>
      <w:r>
        <w:rPr>
          <w:rFonts w:ascii="Times New Roman" w:eastAsia="Times New Roman"/>
        </w:rPr>
        <w:t>0.001kg/h</w:t>
      </w:r>
      <w:r>
        <w:rPr/>
        <w:t>， 废气中粉尘浓度及排气筒高度可以达到《山东省固定源大气颗粒物综合排放标</w:t>
      </w:r>
      <w:r>
        <w:rPr>
          <w:spacing w:val="-72"/>
        </w:rPr>
        <w:t>准》</w:t>
      </w:r>
      <w:r>
        <w:rPr>
          <w:spacing w:val="-5"/>
        </w:rPr>
        <w:t>（</w:t>
      </w:r>
      <w:r>
        <w:rPr>
          <w:rFonts w:ascii="Times New Roman" w:eastAsia="Times New Roman"/>
          <w:spacing w:val="-5"/>
        </w:rPr>
        <w:t>DB371996-2011</w:t>
      </w:r>
      <w:r>
        <w:rPr>
          <w:spacing w:val="-5"/>
        </w:rPr>
        <w:t>）</w:t>
      </w:r>
      <w:r>
        <w:rPr>
          <w:spacing w:val="2"/>
        </w:rPr>
        <w:t>表 </w:t>
      </w:r>
      <w:r>
        <w:rPr>
          <w:rFonts w:ascii="Times New Roman" w:eastAsia="Times New Roman"/>
        </w:rPr>
        <w:t>2 </w:t>
      </w:r>
      <w:r>
        <w:rPr>
          <w:spacing w:val="-9"/>
        </w:rPr>
        <w:t>标准及《大气污染物综合排放标准</w:t>
      </w:r>
      <w:r>
        <w:rPr>
          <w:spacing w:val="-144"/>
        </w:rPr>
        <w:t>》</w:t>
      </w:r>
      <w:r>
        <w:rPr/>
        <w:t>（</w:t>
      </w:r>
      <w:r>
        <w:rPr>
          <w:rFonts w:ascii="Times New Roman" w:eastAsia="Times New Roman"/>
        </w:rPr>
        <w:t>GB16297-1996</w:t>
      </w:r>
      <w:r>
        <w:rPr/>
        <w:t>）</w:t>
      </w:r>
    </w:p>
    <w:p>
      <w:pPr>
        <w:pStyle w:val="BodyText"/>
        <w:spacing w:line="452" w:lineRule="exact"/>
        <w:ind w:left="578"/>
      </w:pPr>
      <w:r>
        <w:rPr/>
        <w:t>表 </w:t>
      </w:r>
      <w:r>
        <w:rPr>
          <w:rFonts w:ascii="Times New Roman" w:eastAsia="Times New Roman"/>
        </w:rPr>
        <w:t>2 </w:t>
      </w:r>
      <w:r>
        <w:rPr/>
        <w:t>二级标准的要求。</w:t>
      </w:r>
    </w:p>
    <w:p>
      <w:pPr>
        <w:pStyle w:val="BodyText"/>
        <w:spacing w:line="220" w:lineRule="auto" w:before="7"/>
        <w:ind w:left="578" w:right="752" w:firstLine="479"/>
        <w:jc w:val="both"/>
      </w:pPr>
      <w:r>
        <w:rPr>
          <w:spacing w:val="-9"/>
        </w:rPr>
        <w:t>③制粒干燥工序废气：项目制粒工序部分产品制粒时需使用高浓度的乙醇作</w:t>
      </w:r>
      <w:r>
        <w:rPr>
          <w:spacing w:val="-11"/>
        </w:rPr>
        <w:t>润湿剂，在制粒干燥过程中该乙醇与设备运行产生的粉尘及水蒸气一起，经车间排气系统收集布袋除尘处理后（</w:t>
      </w:r>
      <w:r>
        <w:rPr>
          <w:spacing w:val="-3"/>
        </w:rPr>
        <w:t>除尘效率约 </w:t>
      </w:r>
      <w:r>
        <w:rPr>
          <w:rFonts w:ascii="Times New Roman" w:hAnsi="Times New Roman" w:eastAsia="Times New Roman"/>
        </w:rPr>
        <w:t>99</w:t>
      </w:r>
      <w:r>
        <w:rPr/>
        <w:t>％以上），通过车间顶部排气口</w:t>
      </w:r>
    </w:p>
    <w:p>
      <w:pPr>
        <w:spacing w:after="0" w:line="220" w:lineRule="auto"/>
        <w:jc w:val="both"/>
        <w:sectPr>
          <w:pgSz w:w="11910" w:h="16840"/>
          <w:pgMar w:header="877" w:footer="973" w:top="1340" w:bottom="1160" w:left="1220" w:right="1040"/>
        </w:sectPr>
      </w:pPr>
    </w:p>
    <w:p>
      <w:pPr>
        <w:pStyle w:val="BodyText"/>
        <w:spacing w:line="220" w:lineRule="auto"/>
        <w:ind w:left="578" w:right="631"/>
      </w:pPr>
      <w:r>
        <w:rPr>
          <w:spacing w:val="-8"/>
        </w:rPr>
        <w:t>排放。该工序废气量为这个工序的送风量，排放量较大，粉尘浓度较低，粉尘产</w:t>
      </w:r>
      <w:r>
        <w:rPr>
          <w:spacing w:val="-5"/>
        </w:rPr>
        <w:t>生量约为 </w:t>
      </w:r>
      <w:r>
        <w:rPr>
          <w:rFonts w:ascii="Times New Roman" w:eastAsia="Times New Roman"/>
          <w:spacing w:val="-5"/>
        </w:rPr>
        <w:t>30.48t/a</w:t>
      </w:r>
      <w:r>
        <w:rPr>
          <w:spacing w:val="-5"/>
        </w:rPr>
        <w:t>（</w:t>
      </w:r>
      <w:r>
        <w:rPr>
          <w:spacing w:val="1"/>
        </w:rPr>
        <w:t>约占原料的 </w:t>
      </w:r>
      <w:r>
        <w:rPr>
          <w:rFonts w:ascii="Times New Roman" w:eastAsia="Times New Roman"/>
          <w:spacing w:val="-14"/>
        </w:rPr>
        <w:t>0.3%</w:t>
      </w:r>
      <w:r>
        <w:rPr>
          <w:spacing w:val="-14"/>
        </w:rPr>
        <w:t>），</w:t>
      </w:r>
      <w:r>
        <w:rPr/>
        <w:t>排放量约 </w:t>
      </w:r>
      <w:r>
        <w:rPr>
          <w:rFonts w:ascii="Times New Roman" w:eastAsia="Times New Roman"/>
          <w:spacing w:val="-6"/>
        </w:rPr>
        <w:t>0.30t/a</w:t>
      </w:r>
      <w:r>
        <w:rPr>
          <w:spacing w:val="-2"/>
        </w:rPr>
        <w:t>，对周围环境影响较小。</w:t>
      </w:r>
    </w:p>
    <w:p>
      <w:pPr>
        <w:pStyle w:val="BodyText"/>
        <w:spacing w:line="457" w:lineRule="exact"/>
        <w:ind w:left="1058"/>
      </w:pPr>
      <w:r>
        <w:rPr>
          <w:spacing w:val="-6"/>
        </w:rPr>
        <w:t>④加热融化包装膜产生的有机废气：项目包装时加热融化铝塑包装膜温度为</w:t>
      </w:r>
    </w:p>
    <w:p>
      <w:pPr>
        <w:pStyle w:val="BodyText"/>
        <w:spacing w:line="220" w:lineRule="auto" w:before="5"/>
        <w:ind w:left="578" w:right="743"/>
        <w:jc w:val="both"/>
      </w:pPr>
      <w:r>
        <w:rPr>
          <w:rFonts w:ascii="Times New Roman" w:hAnsi="Times New Roman" w:eastAsia="Times New Roman"/>
          <w:spacing w:val="-5"/>
        </w:rPr>
        <w:t>180</w:t>
      </w:r>
      <w:r>
        <w:rPr>
          <w:spacing w:val="-5"/>
        </w:rPr>
        <w:t>℃～</w:t>
      </w:r>
      <w:r>
        <w:rPr>
          <w:rFonts w:ascii="Times New Roman" w:hAnsi="Times New Roman" w:eastAsia="Times New Roman"/>
          <w:spacing w:val="-5"/>
        </w:rPr>
        <w:t>200</w:t>
      </w:r>
      <w:r>
        <w:rPr>
          <w:spacing w:val="-6"/>
        </w:rPr>
        <w:t>℃，故不会有有机物裂解产生废气，废气为原材料中的非甲烷总烃类</w:t>
      </w:r>
      <w:r>
        <w:rPr>
          <w:spacing w:val="-11"/>
        </w:rPr>
        <w:t>物质，为无组织排放。包装车间内产生的非甲烷总烃废气，采取加强车间机械通</w:t>
      </w:r>
      <w:r>
        <w:rPr>
          <w:spacing w:val="12"/>
        </w:rPr>
        <w:t>风措施后，厂界外排非甲烷总烃浓度能够达到《大气污染物综合排放标准》</w:t>
      </w:r>
    </w:p>
    <w:p>
      <w:pPr>
        <w:pStyle w:val="BodyText"/>
        <w:spacing w:line="455" w:lineRule="exact"/>
        <w:ind w:left="578"/>
      </w:pPr>
      <w:r>
        <w:rPr/>
        <w:t>（</w:t>
      </w:r>
      <w:r>
        <w:rPr>
          <w:rFonts w:ascii="Times New Roman" w:eastAsia="Times New Roman"/>
        </w:rPr>
        <w:t>GB16297</w:t>
      </w:r>
      <w:r>
        <w:rPr/>
        <w:t>－</w:t>
      </w:r>
      <w:r>
        <w:rPr>
          <w:rFonts w:ascii="Times New Roman" w:eastAsia="Times New Roman"/>
        </w:rPr>
        <w:t>1996</w:t>
      </w:r>
      <w:r>
        <w:rPr/>
        <w:t>）表 </w:t>
      </w:r>
      <w:r>
        <w:rPr>
          <w:rFonts w:ascii="Times New Roman" w:eastAsia="Times New Roman"/>
        </w:rPr>
        <w:t>2 </w:t>
      </w:r>
      <w:r>
        <w:rPr/>
        <w:t>中无组织排放限值中规定的要求，对周围环境影响较小。</w:t>
      </w:r>
    </w:p>
    <w:p>
      <w:pPr>
        <w:pStyle w:val="BodyText"/>
        <w:spacing w:line="220" w:lineRule="auto" w:before="9"/>
        <w:ind w:left="578" w:right="750" w:firstLine="479"/>
        <w:jc w:val="both"/>
      </w:pPr>
      <w:r>
        <w:rPr>
          <w:spacing w:val="-6"/>
        </w:rPr>
        <w:t>⑤研发中心产生的废气：项目研发中心制剂研制时，为小量实验，粉尘产生</w:t>
      </w:r>
      <w:r>
        <w:rPr>
          <w:spacing w:val="-10"/>
        </w:rPr>
        <w:t>量较小，通过加强通风措施后，粉尘排放浓度可以达到《山东省固定源大气颗粒物综合排放标准》</w:t>
      </w:r>
      <w:r>
        <w:rPr/>
        <w:t>（</w:t>
      </w:r>
      <w:r>
        <w:rPr>
          <w:rFonts w:ascii="Times New Roman" w:hAnsi="Times New Roman" w:eastAsia="Times New Roman"/>
        </w:rPr>
        <w:t>DB371996-2011</w:t>
      </w:r>
      <w:r>
        <w:rPr/>
        <w:t>）表 </w:t>
      </w:r>
      <w:r>
        <w:rPr>
          <w:rFonts w:ascii="Times New Roman" w:hAnsi="Times New Roman" w:eastAsia="Times New Roman"/>
        </w:rPr>
        <w:t>3 </w:t>
      </w:r>
      <w:r>
        <w:rPr>
          <w:spacing w:val="-1"/>
        </w:rPr>
        <w:t>标准的要求；产品检验过程中，⑴样</w:t>
      </w:r>
      <w:r>
        <w:rPr>
          <w:spacing w:val="-9"/>
        </w:rPr>
        <w:t>品的粉碎、过筛量均较小，产生的粉尘量也相对较小，采取加强室内机械通风和</w:t>
      </w:r>
      <w:r>
        <w:rPr>
          <w:spacing w:val="-13"/>
        </w:rPr>
        <w:t>自然通风等措施；⑵药品含量检测过程产生的废气，有的具有酸、碱性，有的具有腐蚀刺激性，更有的具有较强的毒性，以及直接或间接危害人体健康。废气的</w:t>
      </w:r>
      <w:r>
        <w:rPr>
          <w:spacing w:val="-16"/>
        </w:rPr>
        <w:t>主要成份是总挥发性有机物和酸雾，由于排放量很小并间断性或无规律排放，为</w:t>
      </w:r>
      <w:r>
        <w:rPr>
          <w:spacing w:val="-17"/>
        </w:rPr>
        <w:t>保护操作人员身体健康，化验操作时在通风橱内进行，产生的废气经通风橱所带</w:t>
      </w:r>
      <w:r>
        <w:rPr>
          <w:spacing w:val="-14"/>
        </w:rPr>
        <w:t>风机引向室外，排放方式为无组织排放。通过采取上述措施后，厂界外粉尘浓度</w:t>
      </w:r>
      <w:r>
        <w:rPr>
          <w:spacing w:val="-8"/>
        </w:rPr>
        <w:t>能够达到《山东省固定源大气颗粒物综合排放标准》</w:t>
      </w:r>
      <w:r>
        <w:rPr/>
        <w:t>（</w:t>
      </w:r>
      <w:r>
        <w:rPr>
          <w:rFonts w:ascii="Times New Roman" w:hAnsi="Times New Roman" w:eastAsia="Times New Roman"/>
        </w:rPr>
        <w:t>DB371996-2011</w:t>
      </w:r>
      <w:r>
        <w:rPr/>
        <w:t>）</w:t>
      </w:r>
      <w:r>
        <w:rPr>
          <w:spacing w:val="1"/>
        </w:rPr>
        <w:t>表 </w:t>
      </w:r>
      <w:r>
        <w:rPr>
          <w:rFonts w:ascii="Times New Roman" w:hAnsi="Times New Roman" w:eastAsia="Times New Roman"/>
        </w:rPr>
        <w:t>3 </w:t>
      </w:r>
      <w:r>
        <w:rPr/>
        <w:t>标</w:t>
      </w:r>
      <w:r>
        <w:rPr>
          <w:spacing w:val="1"/>
        </w:rPr>
        <w:t>准的要求，总挥发性有机物、酸雾浓度能够达到《大气污染物综合排放标准》</w:t>
      </w:r>
    </w:p>
    <w:p>
      <w:pPr>
        <w:pStyle w:val="BodyText"/>
        <w:spacing w:line="446" w:lineRule="exact"/>
        <w:ind w:left="578"/>
      </w:pPr>
      <w:r>
        <w:rPr/>
        <w:t>（</w:t>
      </w:r>
      <w:r>
        <w:rPr>
          <w:rFonts w:ascii="Times New Roman" w:eastAsia="Times New Roman"/>
        </w:rPr>
        <w:t>GB16297</w:t>
      </w:r>
      <w:r>
        <w:rPr/>
        <w:t>－</w:t>
      </w:r>
      <w:r>
        <w:rPr>
          <w:rFonts w:ascii="Times New Roman" w:eastAsia="Times New Roman"/>
        </w:rPr>
        <w:t>1996</w:t>
      </w:r>
      <w:r>
        <w:rPr/>
        <w:t>）表 </w:t>
      </w:r>
      <w:r>
        <w:rPr>
          <w:rFonts w:ascii="Times New Roman" w:eastAsia="Times New Roman"/>
        </w:rPr>
        <w:t>2 </w:t>
      </w:r>
      <w:r>
        <w:rPr/>
        <w:t>标准的要求，对周围大气环境影响较小。</w:t>
      </w:r>
    </w:p>
    <w:p>
      <w:pPr>
        <w:pStyle w:val="BodyText"/>
        <w:spacing w:line="467" w:lineRule="exact"/>
        <w:ind w:left="1058"/>
      </w:pPr>
      <w:r>
        <w:rPr/>
        <w:t>（</w:t>
      </w:r>
      <w:r>
        <w:rPr>
          <w:rFonts w:ascii="Times New Roman" w:eastAsia="Times New Roman"/>
        </w:rPr>
        <w:t>2</w:t>
      </w:r>
      <w:r>
        <w:rPr/>
        <w:t>）废水</w:t>
      </w:r>
    </w:p>
    <w:p>
      <w:pPr>
        <w:pStyle w:val="BodyText"/>
        <w:spacing w:line="220" w:lineRule="auto" w:before="8"/>
        <w:ind w:left="578" w:right="672" w:firstLine="479"/>
      </w:pPr>
      <w:r>
        <w:rPr/>
        <w:t>项目废水主要为纯化水制备反冲洗水，设备、地面冲洗废水，研发中心产生的废水和职工生活污水。</w:t>
      </w:r>
    </w:p>
    <w:p>
      <w:pPr>
        <w:pStyle w:val="BodyText"/>
        <w:spacing w:line="220" w:lineRule="auto"/>
        <w:ind w:left="578" w:right="631" w:firstLine="479"/>
        <w:jc w:val="both"/>
      </w:pPr>
      <w:r>
        <w:rPr/>
        <w:t>①研发中心废水：本项目研发中心产品试制及检测时用水量约 </w:t>
      </w:r>
      <w:r>
        <w:rPr>
          <w:rFonts w:ascii="Times New Roman" w:hAnsi="Times New Roman" w:eastAsia="Times New Roman"/>
        </w:rPr>
        <w:t>250m</w:t>
      </w:r>
      <w:r>
        <w:rPr>
          <w:rFonts w:ascii="Times New Roman" w:hAnsi="Times New Roman" w:eastAsia="Times New Roman"/>
          <w:position w:val="9"/>
          <w:sz w:val="16"/>
        </w:rPr>
        <w:t>3</w:t>
      </w:r>
      <w:r>
        <w:rPr>
          <w:rFonts w:ascii="Times New Roman" w:hAnsi="Times New Roman" w:eastAsia="Times New Roman"/>
        </w:rPr>
        <w:t>/a</w:t>
      </w:r>
      <w:r>
        <w:rPr/>
        <w:t>（自</w:t>
      </w:r>
      <w:r>
        <w:rPr>
          <w:spacing w:val="-3"/>
        </w:rPr>
        <w:t>来水约 </w:t>
      </w:r>
      <w:r>
        <w:rPr>
          <w:rFonts w:ascii="Times New Roman" w:hAnsi="Times New Roman" w:eastAsia="Times New Roman"/>
        </w:rPr>
        <w:t>0.7m</w:t>
      </w:r>
      <w:r>
        <w:rPr>
          <w:rFonts w:ascii="Times New Roman" w:hAnsi="Times New Roman" w:eastAsia="Times New Roman"/>
          <w:spacing w:val="1"/>
          <w:w w:val="100"/>
          <w:position w:val="9"/>
          <w:sz w:val="16"/>
        </w:rPr>
        <w:t>3</w:t>
      </w:r>
      <w:r>
        <w:rPr>
          <w:rFonts w:ascii="Times New Roman" w:hAnsi="Times New Roman" w:eastAsia="Times New Roman"/>
        </w:rPr>
        <w:t>/d</w:t>
      </w:r>
      <w:r>
        <w:rPr>
          <w:spacing w:val="-32"/>
        </w:rPr>
        <w:t>，纯水 </w:t>
      </w:r>
      <w:r>
        <w:rPr>
          <w:rFonts w:ascii="Times New Roman" w:hAnsi="Times New Roman" w:eastAsia="Times New Roman"/>
        </w:rPr>
        <w:t>0.3m</w:t>
      </w:r>
      <w:r>
        <w:rPr>
          <w:rFonts w:ascii="Times New Roman" w:hAnsi="Times New Roman" w:eastAsia="Times New Roman"/>
          <w:spacing w:val="1"/>
          <w:w w:val="100"/>
          <w:position w:val="9"/>
          <w:sz w:val="16"/>
        </w:rPr>
        <w:t>3</w:t>
      </w:r>
      <w:r>
        <w:rPr>
          <w:rFonts w:ascii="Times New Roman" w:hAnsi="Times New Roman" w:eastAsia="Times New Roman"/>
        </w:rPr>
        <w:t>/d</w:t>
      </w:r>
      <w:r>
        <w:rPr>
          <w:spacing w:val="-120"/>
        </w:rPr>
        <w:t>），</w:t>
      </w:r>
      <w:r>
        <w:rPr>
          <w:spacing w:val="-2"/>
        </w:rPr>
        <w:t>排污系数按照 </w:t>
      </w:r>
      <w:r>
        <w:rPr>
          <w:rFonts w:ascii="Times New Roman" w:hAnsi="Times New Roman" w:eastAsia="Times New Roman"/>
          <w:spacing w:val="-3"/>
        </w:rPr>
        <w:t>8</w:t>
      </w:r>
      <w:r>
        <w:rPr>
          <w:rFonts w:ascii="Times New Roman" w:hAnsi="Times New Roman" w:eastAsia="Times New Roman"/>
        </w:rPr>
        <w:t>5</w:t>
      </w:r>
      <w:r>
        <w:rPr>
          <w:spacing w:val="-14"/>
        </w:rPr>
        <w:t>％计算，废水产生量为 </w:t>
      </w:r>
      <w:r>
        <w:rPr>
          <w:rFonts w:ascii="Times New Roman" w:hAnsi="Times New Roman" w:eastAsia="Times New Roman"/>
        </w:rPr>
        <w:t>212.5m</w:t>
      </w:r>
      <w:r>
        <w:rPr>
          <w:rFonts w:ascii="Times New Roman" w:hAnsi="Times New Roman" w:eastAsia="Times New Roman"/>
          <w:spacing w:val="1"/>
          <w:w w:val="100"/>
          <w:position w:val="9"/>
          <w:sz w:val="16"/>
        </w:rPr>
        <w:t>3</w:t>
      </w:r>
      <w:r>
        <w:rPr>
          <w:rFonts w:ascii="Times New Roman" w:hAnsi="Times New Roman" w:eastAsia="Times New Roman"/>
        </w:rPr>
        <w:t>/</w:t>
      </w:r>
      <w:r>
        <w:rPr>
          <w:rFonts w:ascii="Times New Roman" w:hAnsi="Times New Roman" w:eastAsia="Times New Roman"/>
          <w:spacing w:val="-1"/>
        </w:rPr>
        <w:t>a</w:t>
      </w:r>
      <w:r>
        <w:rPr/>
        <w:t>，通过污水集水管网进入公司污水处理站处理。</w:t>
      </w:r>
    </w:p>
    <w:p>
      <w:pPr>
        <w:pStyle w:val="BodyText"/>
        <w:spacing w:line="455" w:lineRule="exact"/>
        <w:ind w:left="1058"/>
      </w:pPr>
      <w:r>
        <w:rPr/>
        <w:t>②生产废水包括纯化水制备反冲洗水、设备冲洗和地面冲洗废水。</w:t>
      </w:r>
    </w:p>
    <w:p>
      <w:pPr>
        <w:pStyle w:val="BodyText"/>
        <w:spacing w:line="220" w:lineRule="auto" w:before="6"/>
        <w:ind w:left="578" w:right="751" w:firstLine="479"/>
        <w:jc w:val="both"/>
      </w:pPr>
      <w:r>
        <w:rPr/>
        <w:t>项目所需纯水量约 </w:t>
      </w:r>
      <w:r>
        <w:rPr>
          <w:rFonts w:ascii="Times New Roman" w:eastAsia="Times New Roman"/>
          <w:spacing w:val="-6"/>
        </w:rPr>
        <w:t>1425m</w:t>
      </w:r>
      <w:r>
        <w:rPr>
          <w:rFonts w:ascii="Times New Roman" w:eastAsia="Times New Roman"/>
          <w:spacing w:val="-6"/>
          <w:position w:val="9"/>
          <w:sz w:val="16"/>
        </w:rPr>
        <w:t>3</w:t>
      </w:r>
      <w:r>
        <w:rPr>
          <w:rFonts w:ascii="Times New Roman" w:eastAsia="Times New Roman"/>
          <w:spacing w:val="-6"/>
        </w:rPr>
        <w:t>/a</w:t>
      </w:r>
      <w:r>
        <w:rPr>
          <w:spacing w:val="-7"/>
        </w:rPr>
        <w:t>，采用反渗透的方法制备纯水，纯水产率按 </w:t>
      </w:r>
      <w:r>
        <w:rPr>
          <w:rFonts w:ascii="Times New Roman" w:eastAsia="Times New Roman"/>
        </w:rPr>
        <w:t>0.50 </w:t>
      </w:r>
      <w:r>
        <w:rPr/>
        <w:t>计，则需新鲜自来水 </w:t>
      </w:r>
      <w:r>
        <w:rPr>
          <w:rFonts w:ascii="Times New Roman" w:eastAsia="Times New Roman"/>
        </w:rPr>
        <w:t>2850m</w:t>
      </w:r>
      <w:r>
        <w:rPr>
          <w:rFonts w:ascii="Times New Roman" w:eastAsia="Times New Roman"/>
          <w:position w:val="9"/>
          <w:sz w:val="16"/>
        </w:rPr>
        <w:t>3</w:t>
      </w:r>
      <w:r>
        <w:rPr>
          <w:rFonts w:ascii="Times New Roman" w:eastAsia="Times New Roman"/>
        </w:rPr>
        <w:t>/a</w:t>
      </w:r>
      <w:r>
        <w:rPr>
          <w:spacing w:val="-1"/>
        </w:rPr>
        <w:t>，纯水制备高浓度含盐废水产生量约 </w:t>
      </w:r>
      <w:r>
        <w:rPr>
          <w:rFonts w:ascii="Times New Roman" w:eastAsia="Times New Roman"/>
        </w:rPr>
        <w:t>1425m</w:t>
      </w:r>
      <w:r>
        <w:rPr>
          <w:rFonts w:ascii="Times New Roman" w:eastAsia="Times New Roman"/>
          <w:position w:val="9"/>
          <w:sz w:val="16"/>
        </w:rPr>
        <w:t>3</w:t>
      </w:r>
      <w:r>
        <w:rPr>
          <w:rFonts w:ascii="Times New Roman" w:eastAsia="Times New Roman"/>
        </w:rPr>
        <w:t>/a</w:t>
      </w:r>
      <w:r>
        <w:rPr/>
        <w:t>， 作为清净下水排入项目雨水管道。</w:t>
      </w:r>
    </w:p>
    <w:p>
      <w:pPr>
        <w:pStyle w:val="BodyText"/>
        <w:spacing w:line="476" w:lineRule="exact"/>
        <w:ind w:left="1058"/>
      </w:pPr>
      <w:r>
        <w:rPr/>
        <w:t>项目制粒和糖浆、薄膜衣浆配制用纯水约 </w:t>
      </w:r>
      <w:r>
        <w:rPr>
          <w:rFonts w:ascii="Times New Roman" w:eastAsia="Times New Roman"/>
        </w:rPr>
        <w:t>800m</w:t>
      </w:r>
      <w:r>
        <w:rPr>
          <w:rFonts w:ascii="Times New Roman" w:eastAsia="Times New Roman"/>
          <w:position w:val="9"/>
          <w:sz w:val="16"/>
        </w:rPr>
        <w:t>3</w:t>
      </w:r>
      <w:r>
        <w:rPr>
          <w:rFonts w:ascii="Times New Roman" w:eastAsia="Times New Roman"/>
        </w:rPr>
        <w:t>/a</w:t>
      </w:r>
      <w:r>
        <w:rPr/>
        <w:t>，该水在干燥和包衣过程</w:t>
      </w:r>
    </w:p>
    <w:p>
      <w:pPr>
        <w:spacing w:after="0" w:line="476" w:lineRule="exact"/>
        <w:sectPr>
          <w:footerReference w:type="default" r:id="rId24"/>
          <w:pgSz w:w="11910" w:h="16840"/>
          <w:pgMar w:footer="973" w:header="877" w:top="1340" w:bottom="1160" w:left="1220" w:right="1040"/>
          <w:pgNumType w:start="160"/>
        </w:sectPr>
      </w:pPr>
    </w:p>
    <w:p>
      <w:pPr>
        <w:pStyle w:val="BodyText"/>
        <w:spacing w:line="220" w:lineRule="auto"/>
        <w:ind w:left="578" w:right="753"/>
        <w:jc w:val="both"/>
      </w:pPr>
      <w:r>
        <w:rPr/>
        <w:t>中挥发，不外排。设备清洗用水约 </w:t>
      </w:r>
      <w:r>
        <w:rPr>
          <w:rFonts w:ascii="Times New Roman" w:eastAsia="Times New Roman"/>
        </w:rPr>
        <w:t>1300m</w:t>
      </w:r>
      <w:r>
        <w:rPr>
          <w:rFonts w:ascii="Times New Roman" w:eastAsia="Times New Roman"/>
          <w:position w:val="9"/>
          <w:sz w:val="16"/>
        </w:rPr>
        <w:t>3</w:t>
      </w:r>
      <w:r>
        <w:rPr>
          <w:rFonts w:ascii="Times New Roman" w:eastAsia="Times New Roman"/>
        </w:rPr>
        <w:t>/a</w:t>
      </w:r>
      <w:r>
        <w:rPr/>
        <w:t>（其中纯水用量约 </w:t>
      </w:r>
      <w:r>
        <w:rPr>
          <w:rFonts w:ascii="Times New Roman" w:eastAsia="Times New Roman"/>
        </w:rPr>
        <w:t>2.2m</w:t>
      </w:r>
      <w:r>
        <w:rPr>
          <w:rFonts w:ascii="Times New Roman" w:eastAsia="Times New Roman"/>
          <w:position w:val="9"/>
          <w:sz w:val="16"/>
        </w:rPr>
        <w:t>3</w:t>
      </w:r>
      <w:r>
        <w:rPr>
          <w:rFonts w:ascii="Times New Roman" w:eastAsia="Times New Roman"/>
        </w:rPr>
        <w:t>/d</w:t>
      </w:r>
      <w:r>
        <w:rPr/>
        <w:t>，自来水用量约 </w:t>
      </w:r>
      <w:r>
        <w:rPr>
          <w:rFonts w:ascii="Times New Roman" w:eastAsia="Times New Roman"/>
        </w:rPr>
        <w:t>3m</w:t>
      </w:r>
      <w:r>
        <w:rPr>
          <w:rFonts w:ascii="Times New Roman" w:eastAsia="Times New Roman"/>
          <w:position w:val="9"/>
          <w:sz w:val="16"/>
        </w:rPr>
        <w:t>3</w:t>
      </w:r>
      <w:r>
        <w:rPr>
          <w:rFonts w:ascii="Times New Roman" w:eastAsia="Times New Roman"/>
        </w:rPr>
        <w:t>/d</w:t>
      </w:r>
      <w:r>
        <w:rPr/>
        <w:t>），车间地面清洁水用量约为 </w:t>
      </w:r>
      <w:r>
        <w:rPr>
          <w:rFonts w:ascii="Times New Roman" w:eastAsia="Times New Roman"/>
        </w:rPr>
        <w:t>1500m</w:t>
      </w:r>
      <w:r>
        <w:rPr>
          <w:rFonts w:ascii="Times New Roman" w:eastAsia="Times New Roman"/>
          <w:position w:val="9"/>
          <w:sz w:val="16"/>
        </w:rPr>
        <w:t>3</w:t>
      </w:r>
      <w:r>
        <w:rPr>
          <w:rFonts w:ascii="Times New Roman" w:eastAsia="Times New Roman"/>
        </w:rPr>
        <w:t>/a</w:t>
      </w:r>
      <w:r>
        <w:rPr/>
        <w:t>（</w:t>
      </w:r>
      <w:r>
        <w:rPr>
          <w:rFonts w:ascii="Times New Roman" w:eastAsia="Times New Roman"/>
        </w:rPr>
        <w:t>6m</w:t>
      </w:r>
      <w:r>
        <w:rPr>
          <w:rFonts w:ascii="Times New Roman" w:eastAsia="Times New Roman"/>
          <w:position w:val="9"/>
          <w:sz w:val="16"/>
        </w:rPr>
        <w:t>3</w:t>
      </w:r>
      <w:r>
        <w:rPr>
          <w:rFonts w:ascii="Times New Roman" w:eastAsia="Times New Roman"/>
        </w:rPr>
        <w:t>/d</w:t>
      </w:r>
      <w:r>
        <w:rPr/>
        <w:t>），则用水量为</w:t>
      </w:r>
      <w:r>
        <w:rPr>
          <w:rFonts w:ascii="Times New Roman" w:eastAsia="Times New Roman"/>
        </w:rPr>
        <w:t>2800m</w:t>
      </w:r>
      <w:r>
        <w:rPr>
          <w:rFonts w:ascii="Times New Roman" w:eastAsia="Times New Roman"/>
          <w:position w:val="9"/>
          <w:sz w:val="16"/>
        </w:rPr>
        <w:t>3</w:t>
      </w:r>
      <w:r>
        <w:rPr>
          <w:rFonts w:ascii="Times New Roman" w:eastAsia="Times New Roman"/>
        </w:rPr>
        <w:t>/a</w:t>
      </w:r>
      <w:r>
        <w:rPr/>
        <w:t>。排污系数按照 </w:t>
      </w:r>
      <w:r>
        <w:rPr>
          <w:rFonts w:ascii="Times New Roman" w:eastAsia="Times New Roman"/>
        </w:rPr>
        <w:t>85</w:t>
      </w:r>
      <w:r>
        <w:rPr/>
        <w:t>％计算，废水产生量为 </w:t>
      </w:r>
      <w:r>
        <w:rPr>
          <w:rFonts w:ascii="Times New Roman" w:eastAsia="Times New Roman"/>
        </w:rPr>
        <w:t>2380m</w:t>
      </w:r>
      <w:r>
        <w:rPr>
          <w:rFonts w:ascii="Times New Roman" w:eastAsia="Times New Roman"/>
          <w:position w:val="9"/>
          <w:sz w:val="16"/>
        </w:rPr>
        <w:t>3</w:t>
      </w:r>
      <w:r>
        <w:rPr>
          <w:rFonts w:ascii="Times New Roman" w:eastAsia="Times New Roman"/>
        </w:rPr>
        <w:t>/a</w:t>
      </w:r>
      <w:r>
        <w:rPr/>
        <w:t>，通过污水集水管网进入公司污水处理站处理。</w:t>
      </w:r>
    </w:p>
    <w:p>
      <w:pPr>
        <w:pStyle w:val="BodyText"/>
        <w:spacing w:line="220" w:lineRule="auto"/>
        <w:ind w:left="578" w:right="631" w:firstLine="479"/>
        <w:jc w:val="both"/>
      </w:pPr>
      <w:r>
        <w:rPr/>
        <w:t>③项目职工定员 </w:t>
      </w:r>
      <w:r>
        <w:rPr>
          <w:rFonts w:ascii="Times New Roman" w:hAnsi="Times New Roman" w:eastAsia="Times New Roman"/>
        </w:rPr>
        <w:t>350 </w:t>
      </w:r>
      <w:r>
        <w:rPr>
          <w:spacing w:val="-13"/>
        </w:rPr>
        <w:t>人，按 </w:t>
      </w:r>
      <w:r>
        <w:rPr>
          <w:rFonts w:ascii="Times New Roman" w:hAnsi="Times New Roman" w:eastAsia="Times New Roman"/>
        </w:rPr>
        <w:t>80L/</w:t>
      </w:r>
      <w:r>
        <w:rPr>
          <w:spacing w:val="5"/>
        </w:rPr>
        <w:t>人</w:t>
      </w:r>
      <w:r>
        <w:rPr>
          <w:rFonts w:ascii="Times New Roman" w:hAnsi="Times New Roman" w:eastAsia="Times New Roman"/>
          <w:spacing w:val="13"/>
        </w:rPr>
        <w:t>·</w:t>
      </w:r>
      <w:r>
        <w:rPr>
          <w:spacing w:val="-6"/>
        </w:rPr>
        <w:t>天用水量计算，生活用水量约 </w:t>
      </w:r>
      <w:r>
        <w:rPr>
          <w:rFonts w:ascii="Times New Roman" w:hAnsi="Times New Roman" w:eastAsia="Times New Roman"/>
        </w:rPr>
        <w:t>7000m</w:t>
      </w:r>
      <w:r>
        <w:rPr>
          <w:rFonts w:ascii="Times New Roman" w:hAnsi="Times New Roman" w:eastAsia="Times New Roman"/>
          <w:position w:val="9"/>
          <w:sz w:val="16"/>
        </w:rPr>
        <w:t>3</w:t>
      </w:r>
      <w:r>
        <w:rPr>
          <w:rFonts w:ascii="Times New Roman" w:hAnsi="Times New Roman" w:eastAsia="Times New Roman"/>
        </w:rPr>
        <w:t>/a</w:t>
      </w:r>
      <w:r>
        <w:rPr/>
        <w:t>， 排水系数按 </w:t>
      </w:r>
      <w:r>
        <w:rPr>
          <w:rFonts w:ascii="Times New Roman" w:hAnsi="Times New Roman" w:eastAsia="Times New Roman"/>
        </w:rPr>
        <w:t>0.80 </w:t>
      </w:r>
      <w:r>
        <w:rPr/>
        <w:t>计，则生活污水产生量约 </w:t>
      </w:r>
      <w:r>
        <w:rPr>
          <w:rFonts w:ascii="Times New Roman" w:hAnsi="Times New Roman" w:eastAsia="Times New Roman"/>
        </w:rPr>
        <w:t>5600m</w:t>
      </w:r>
      <w:r>
        <w:rPr>
          <w:rFonts w:ascii="Times New Roman" w:hAnsi="Times New Roman" w:eastAsia="Times New Roman"/>
          <w:position w:val="9"/>
          <w:sz w:val="16"/>
        </w:rPr>
        <w:t>3</w:t>
      </w:r>
      <w:r>
        <w:rPr>
          <w:rFonts w:ascii="Times New Roman" w:hAnsi="Times New Roman" w:eastAsia="Times New Roman"/>
        </w:rPr>
        <w:t>/a</w:t>
      </w:r>
      <w:r>
        <w:rPr>
          <w:spacing w:val="-1"/>
        </w:rPr>
        <w:t>，主要污染物为 </w:t>
      </w:r>
      <w:r>
        <w:rPr>
          <w:rFonts w:ascii="Times New Roman" w:hAnsi="Times New Roman" w:eastAsia="Times New Roman"/>
        </w:rPr>
        <w:t>COD</w:t>
      </w:r>
      <w:r>
        <w:rPr/>
        <w:t>、</w:t>
      </w:r>
      <w:r>
        <w:rPr>
          <w:rFonts w:ascii="Times New Roman" w:hAnsi="Times New Roman" w:eastAsia="Times New Roman"/>
        </w:rPr>
        <w:t>SS</w:t>
      </w:r>
      <w:r>
        <w:rPr/>
        <w:t>、</w:t>
      </w:r>
      <w:r>
        <w:rPr>
          <w:rFonts w:ascii="Times New Roman" w:hAnsi="Times New Roman" w:eastAsia="Times New Roman"/>
          <w:position w:val="2"/>
        </w:rPr>
        <w:t>NH</w:t>
      </w:r>
      <w:r>
        <w:rPr>
          <w:rFonts w:ascii="Times New Roman" w:hAnsi="Times New Roman" w:eastAsia="Times New Roman"/>
          <w:sz w:val="16"/>
        </w:rPr>
        <w:t>3</w:t>
      </w:r>
      <w:r>
        <w:rPr>
          <w:rFonts w:ascii="Times New Roman" w:hAnsi="Times New Roman" w:eastAsia="Times New Roman"/>
          <w:position w:val="2"/>
        </w:rPr>
        <w:t>-N</w:t>
      </w:r>
      <w:r>
        <w:rPr>
          <w:spacing w:val="-7"/>
          <w:position w:val="2"/>
        </w:rPr>
        <w:t>。职工使用冲厕，生活污水经化粪池沉淀处理后，粪便清运作农肥，其余</w:t>
      </w:r>
      <w:r>
        <w:rPr>
          <w:spacing w:val="-7"/>
        </w:rPr>
        <w:t>生活污水与生产污水一同进入项目污水处理站。</w:t>
      </w:r>
    </w:p>
    <w:p>
      <w:pPr>
        <w:pStyle w:val="BodyText"/>
        <w:spacing w:line="220" w:lineRule="auto"/>
        <w:ind w:left="578" w:right="631" w:firstLine="479"/>
        <w:jc w:val="both"/>
      </w:pPr>
      <w:r>
        <w:rPr>
          <w:spacing w:val="-1"/>
        </w:rPr>
        <w:t>项目用水量约 </w:t>
      </w:r>
      <w:r>
        <w:rPr>
          <w:rFonts w:ascii="Times New Roman" w:hAnsi="Times New Roman" w:eastAsia="Times New Roman"/>
          <w:spacing w:val="-4"/>
        </w:rPr>
        <w:t>10725m</w:t>
      </w:r>
      <w:r>
        <w:rPr>
          <w:rFonts w:ascii="Times New Roman" w:hAnsi="Times New Roman" w:eastAsia="Times New Roman"/>
          <w:spacing w:val="-4"/>
          <w:position w:val="9"/>
          <w:sz w:val="16"/>
        </w:rPr>
        <w:t>3</w:t>
      </w:r>
      <w:r>
        <w:rPr>
          <w:rFonts w:ascii="Times New Roman" w:hAnsi="Times New Roman" w:eastAsia="Times New Roman"/>
          <w:spacing w:val="-4"/>
        </w:rPr>
        <w:t>/a</w:t>
      </w:r>
      <w:r>
        <w:rPr>
          <w:spacing w:val="-2"/>
        </w:rPr>
        <w:t>，废水产生量约 </w:t>
      </w:r>
      <w:r>
        <w:rPr>
          <w:rFonts w:ascii="Times New Roman" w:hAnsi="Times New Roman" w:eastAsia="Times New Roman"/>
        </w:rPr>
        <w:t>8192.5m</w:t>
      </w:r>
      <w:r>
        <w:rPr>
          <w:rFonts w:ascii="Times New Roman" w:hAnsi="Times New Roman" w:eastAsia="Times New Roman"/>
          <w:position w:val="9"/>
          <w:sz w:val="16"/>
        </w:rPr>
        <w:t>3</w:t>
      </w:r>
      <w:r>
        <w:rPr>
          <w:rFonts w:ascii="Times New Roman" w:hAnsi="Times New Roman" w:eastAsia="Times New Roman"/>
        </w:rPr>
        <w:t>/a</w:t>
      </w:r>
      <w:r>
        <w:rPr/>
        <w:t>，</w:t>
      </w:r>
      <w:r>
        <w:rPr>
          <w:rFonts w:ascii="Times New Roman" w:hAnsi="Times New Roman" w:eastAsia="Times New Roman"/>
        </w:rPr>
        <w:t>32.7m</w:t>
      </w:r>
      <w:r>
        <w:rPr>
          <w:rFonts w:ascii="Times New Roman" w:hAnsi="Times New Roman" w:eastAsia="Times New Roman"/>
          <w:position w:val="9"/>
          <w:sz w:val="16"/>
        </w:rPr>
        <w:t>3</w:t>
      </w:r>
      <w:r>
        <w:rPr>
          <w:rFonts w:ascii="Times New Roman" w:hAnsi="Times New Roman" w:eastAsia="Times New Roman"/>
        </w:rPr>
        <w:t>/d</w:t>
      </w:r>
      <w:r>
        <w:rPr>
          <w:spacing w:val="-7"/>
        </w:rPr>
        <w:t>。废水中主要</w:t>
      </w:r>
      <w:r>
        <w:rPr>
          <w:spacing w:val="-3"/>
          <w:position w:val="2"/>
        </w:rPr>
        <w:t>污染物 </w:t>
      </w:r>
      <w:r>
        <w:rPr>
          <w:rFonts w:ascii="Times New Roman" w:hAnsi="Times New Roman" w:eastAsia="Times New Roman"/>
          <w:spacing w:val="-3"/>
          <w:position w:val="2"/>
        </w:rPr>
        <w:t>COD≤600mg/L</w:t>
      </w:r>
      <w:r>
        <w:rPr>
          <w:spacing w:val="-3"/>
          <w:position w:val="2"/>
        </w:rPr>
        <w:t>，</w:t>
      </w:r>
      <w:r>
        <w:rPr>
          <w:rFonts w:ascii="Times New Roman" w:hAnsi="Times New Roman" w:eastAsia="Times New Roman"/>
          <w:spacing w:val="-3"/>
          <w:position w:val="2"/>
        </w:rPr>
        <w:t>BOD</w:t>
      </w:r>
      <w:r>
        <w:rPr>
          <w:rFonts w:ascii="Times New Roman" w:hAnsi="Times New Roman" w:eastAsia="Times New Roman"/>
          <w:spacing w:val="-3"/>
          <w:sz w:val="16"/>
        </w:rPr>
        <w:t>5</w:t>
      </w:r>
      <w:r>
        <w:rPr>
          <w:rFonts w:ascii="Times New Roman" w:hAnsi="Times New Roman" w:eastAsia="Times New Roman"/>
          <w:spacing w:val="-3"/>
          <w:position w:val="2"/>
        </w:rPr>
        <w:t>≤250mg/L</w:t>
      </w:r>
      <w:r>
        <w:rPr>
          <w:spacing w:val="-3"/>
          <w:position w:val="2"/>
        </w:rPr>
        <w:t>，</w:t>
      </w:r>
      <w:r>
        <w:rPr>
          <w:rFonts w:ascii="Times New Roman" w:hAnsi="Times New Roman" w:eastAsia="Times New Roman"/>
          <w:spacing w:val="-3"/>
          <w:position w:val="2"/>
        </w:rPr>
        <w:t>SS≤300mg/L</w:t>
      </w:r>
      <w:r>
        <w:rPr>
          <w:spacing w:val="-3"/>
          <w:position w:val="2"/>
        </w:rPr>
        <w:t>，</w:t>
      </w:r>
      <w:r>
        <w:rPr>
          <w:rFonts w:ascii="Times New Roman" w:hAnsi="Times New Roman" w:eastAsia="Times New Roman"/>
          <w:spacing w:val="-3"/>
          <w:position w:val="2"/>
        </w:rPr>
        <w:t>NH</w:t>
      </w:r>
      <w:r>
        <w:rPr>
          <w:rFonts w:ascii="Times New Roman" w:hAnsi="Times New Roman" w:eastAsia="Times New Roman"/>
          <w:spacing w:val="-3"/>
          <w:sz w:val="16"/>
        </w:rPr>
        <w:t>3</w:t>
      </w:r>
      <w:r>
        <w:rPr>
          <w:rFonts w:ascii="Times New Roman" w:hAnsi="Times New Roman" w:eastAsia="Times New Roman"/>
          <w:spacing w:val="-3"/>
          <w:position w:val="2"/>
        </w:rPr>
        <w:t>-N≤40mg/L</w:t>
      </w:r>
      <w:r>
        <w:rPr>
          <w:spacing w:val="-2"/>
          <w:position w:val="2"/>
        </w:rPr>
        <w:t>，污染物</w:t>
      </w:r>
      <w:r>
        <w:rPr>
          <w:spacing w:val="-1"/>
          <w:position w:val="2"/>
        </w:rPr>
        <w:t>产生量 </w:t>
      </w:r>
      <w:r>
        <w:rPr>
          <w:rFonts w:ascii="Times New Roman" w:hAnsi="Times New Roman" w:eastAsia="Times New Roman"/>
          <w:position w:val="2"/>
        </w:rPr>
        <w:t>COD4.92t/a</w:t>
      </w:r>
      <w:r>
        <w:rPr>
          <w:spacing w:val="-24"/>
          <w:position w:val="2"/>
        </w:rPr>
        <w:t>、</w:t>
      </w:r>
      <w:r>
        <w:rPr>
          <w:rFonts w:ascii="Times New Roman" w:hAnsi="Times New Roman" w:eastAsia="Times New Roman"/>
          <w:position w:val="2"/>
        </w:rPr>
        <w:t>NH</w:t>
      </w:r>
      <w:r>
        <w:rPr>
          <w:rFonts w:ascii="Times New Roman" w:hAnsi="Times New Roman" w:eastAsia="Times New Roman"/>
          <w:sz w:val="16"/>
        </w:rPr>
        <w:t>3</w:t>
      </w:r>
      <w:r>
        <w:rPr>
          <w:rFonts w:ascii="Times New Roman" w:hAnsi="Times New Roman" w:eastAsia="Times New Roman"/>
          <w:position w:val="2"/>
        </w:rPr>
        <w:t>-N 0.33t/a</w:t>
      </w:r>
      <w:r>
        <w:rPr>
          <w:spacing w:val="-5"/>
          <w:position w:val="2"/>
        </w:rPr>
        <w:t>。废水依托原料药项目配套的 </w:t>
      </w:r>
      <w:r>
        <w:rPr>
          <w:rFonts w:ascii="Times New Roman" w:hAnsi="Times New Roman" w:eastAsia="Times New Roman"/>
          <w:position w:val="2"/>
        </w:rPr>
        <w:t>400m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/d </w:t>
      </w:r>
      <w:r>
        <w:rPr>
          <w:position w:val="2"/>
          <w:vertAlign w:val="baseline"/>
        </w:rPr>
        <w:t>的污水</w:t>
      </w:r>
      <w:r>
        <w:rPr>
          <w:spacing w:val="-10"/>
          <w:position w:val="2"/>
          <w:vertAlign w:val="baseline"/>
        </w:rPr>
        <w:t>处理站处理，处理后的污水 </w:t>
      </w:r>
      <w:r>
        <w:rPr>
          <w:rFonts w:ascii="Times New Roman" w:hAnsi="Times New Roman" w:eastAsia="Times New Roman"/>
          <w:position w:val="2"/>
          <w:vertAlign w:val="baseline"/>
        </w:rPr>
        <w:t>C</w:t>
      </w:r>
      <w:r>
        <w:rPr>
          <w:rFonts w:ascii="Times New Roman" w:hAnsi="Times New Roman" w:eastAsia="Times New Roman"/>
          <w:w w:val="99"/>
          <w:position w:val="2"/>
          <w:vertAlign w:val="baseline"/>
        </w:rPr>
        <w:t>O</w:t>
      </w:r>
      <w:r>
        <w:rPr>
          <w:rFonts w:ascii="Times New Roman" w:hAnsi="Times New Roman" w:eastAsia="Times New Roman"/>
          <w:spacing w:val="-1"/>
          <w:w w:val="99"/>
          <w:position w:val="2"/>
          <w:vertAlign w:val="baseline"/>
        </w:rPr>
        <w:t>D</w:t>
      </w:r>
      <w:r>
        <w:rPr>
          <w:rFonts w:ascii="Times New Roman" w:hAnsi="Times New Roman" w:eastAsia="Times New Roman"/>
          <w:position w:val="2"/>
          <w:vertAlign w:val="baseline"/>
        </w:rPr>
        <w:t>≤100m</w:t>
      </w:r>
      <w:r>
        <w:rPr>
          <w:rFonts w:ascii="Times New Roman" w:hAnsi="Times New Roman" w:eastAsia="Times New Roman"/>
          <w:spacing w:val="-2"/>
          <w:position w:val="2"/>
          <w:vertAlign w:val="baseline"/>
        </w:rPr>
        <w:t>g</w:t>
      </w:r>
      <w:r>
        <w:rPr>
          <w:rFonts w:ascii="Times New Roman" w:hAnsi="Times New Roman" w:eastAsia="Times New Roman"/>
          <w:spacing w:val="2"/>
          <w:position w:val="2"/>
          <w:vertAlign w:val="baseline"/>
        </w:rPr>
        <w:t>/</w:t>
      </w:r>
      <w:r>
        <w:rPr>
          <w:rFonts w:ascii="Times New Roman" w:hAnsi="Times New Roman" w:eastAsia="Times New Roman"/>
          <w:spacing w:val="-2"/>
          <w:position w:val="2"/>
          <w:vertAlign w:val="baseline"/>
        </w:rPr>
        <w:t>L</w:t>
      </w:r>
      <w:r>
        <w:rPr>
          <w:spacing w:val="-108"/>
          <w:position w:val="2"/>
          <w:vertAlign w:val="baseline"/>
        </w:rPr>
        <w:t>、</w:t>
      </w:r>
      <w:r>
        <w:rPr>
          <w:rFonts w:ascii="Times New Roman" w:hAnsi="Times New Roman" w:eastAsia="Times New Roman"/>
          <w:spacing w:val="1"/>
          <w:w w:val="99"/>
          <w:position w:val="2"/>
          <w:vertAlign w:val="baseline"/>
        </w:rPr>
        <w:t>N</w:t>
      </w:r>
      <w:r>
        <w:rPr>
          <w:rFonts w:ascii="Times New Roman" w:hAnsi="Times New Roman" w:eastAsia="Times New Roman"/>
          <w:spacing w:val="-1"/>
          <w:w w:val="99"/>
          <w:position w:val="2"/>
          <w:vertAlign w:val="baseline"/>
        </w:rPr>
        <w:t>H</w:t>
      </w:r>
      <w:r>
        <w:rPr>
          <w:rFonts w:ascii="Times New Roman" w:hAnsi="Times New Roman" w:eastAsia="Times New Roman"/>
          <w:spacing w:val="1"/>
          <w:w w:val="100"/>
          <w:sz w:val="16"/>
          <w:vertAlign w:val="baseline"/>
        </w:rPr>
        <w:t>3</w:t>
      </w:r>
      <w:r>
        <w:rPr>
          <w:rFonts w:ascii="Times New Roman" w:hAnsi="Times New Roman" w:eastAsia="Times New Roman"/>
          <w:spacing w:val="-1"/>
          <w:w w:val="99"/>
          <w:position w:val="2"/>
          <w:vertAlign w:val="baseline"/>
        </w:rPr>
        <w:t>-N</w:t>
      </w:r>
      <w:r>
        <w:rPr>
          <w:rFonts w:ascii="Times New Roman" w:hAnsi="Times New Roman" w:eastAsia="Times New Roman"/>
          <w:w w:val="99"/>
          <w:position w:val="2"/>
          <w:vertAlign w:val="baseline"/>
        </w:rPr>
        <w:t>≤10m</w:t>
      </w:r>
      <w:r>
        <w:rPr>
          <w:rFonts w:ascii="Times New Roman" w:hAnsi="Times New Roman" w:eastAsia="Times New Roman"/>
          <w:spacing w:val="-2"/>
          <w:w w:val="99"/>
          <w:position w:val="2"/>
          <w:vertAlign w:val="baseline"/>
        </w:rPr>
        <w:t>g</w:t>
      </w:r>
      <w:r>
        <w:rPr>
          <w:rFonts w:ascii="Times New Roman" w:hAnsi="Times New Roman" w:eastAsia="Times New Roman"/>
          <w:spacing w:val="2"/>
          <w:w w:val="99"/>
          <w:position w:val="2"/>
          <w:vertAlign w:val="baseline"/>
        </w:rPr>
        <w:t>/</w:t>
      </w:r>
      <w:r>
        <w:rPr>
          <w:rFonts w:ascii="Times New Roman" w:hAnsi="Times New Roman" w:eastAsia="Times New Roman"/>
          <w:spacing w:val="-3"/>
          <w:w w:val="99"/>
          <w:position w:val="2"/>
          <w:vertAlign w:val="baseline"/>
        </w:rPr>
        <w:t>L</w:t>
      </w:r>
      <w:r>
        <w:rPr>
          <w:spacing w:val="-20"/>
          <w:w w:val="99"/>
          <w:position w:val="2"/>
          <w:vertAlign w:val="baseline"/>
        </w:rPr>
        <w:t>，外排量 </w:t>
      </w:r>
      <w:r>
        <w:rPr>
          <w:rFonts w:ascii="Times New Roman" w:hAnsi="Times New Roman" w:eastAsia="Times New Roman"/>
          <w:w w:val="99"/>
          <w:position w:val="2"/>
          <w:vertAlign w:val="baseline"/>
        </w:rPr>
        <w:t>C</w:t>
      </w:r>
      <w:r>
        <w:rPr>
          <w:rFonts w:ascii="Times New Roman" w:hAnsi="Times New Roman" w:eastAsia="Times New Roman"/>
          <w:w w:val="99"/>
          <w:position w:val="2"/>
          <w:vertAlign w:val="baseline"/>
        </w:rPr>
        <w:t>OD</w:t>
      </w:r>
      <w:r>
        <w:rPr>
          <w:rFonts w:ascii="Times New Roman" w:hAnsi="Times New Roman" w:eastAsia="Times New Roman"/>
          <w:position w:val="2"/>
          <w:vertAlign w:val="baseline"/>
        </w:rPr>
        <w:t> 0.82t/</w:t>
      </w:r>
      <w:r>
        <w:rPr>
          <w:rFonts w:ascii="Times New Roman" w:hAnsi="Times New Roman" w:eastAsia="Times New Roman"/>
          <w:spacing w:val="-1"/>
          <w:position w:val="2"/>
          <w:vertAlign w:val="baseline"/>
        </w:rPr>
        <w:t>a</w:t>
      </w:r>
      <w:r>
        <w:rPr>
          <w:position w:val="2"/>
          <w:vertAlign w:val="baseline"/>
        </w:rPr>
        <w:t>、 </w:t>
      </w:r>
      <w:r>
        <w:rPr>
          <w:rFonts w:ascii="Times New Roman" w:hAnsi="Times New Roman" w:eastAsia="Times New Roman"/>
          <w:position w:val="2"/>
          <w:vertAlign w:val="baseline"/>
        </w:rPr>
        <w:t>NH</w:t>
      </w:r>
      <w:r>
        <w:rPr>
          <w:rFonts w:ascii="Times New Roman" w:hAnsi="Times New Roman" w:eastAsia="Times New Roman"/>
          <w:sz w:val="16"/>
          <w:vertAlign w:val="baseline"/>
        </w:rPr>
        <w:t>3</w:t>
      </w:r>
      <w:r>
        <w:rPr>
          <w:rFonts w:ascii="Times New Roman" w:hAnsi="Times New Roman" w:eastAsia="Times New Roman"/>
          <w:position w:val="2"/>
          <w:vertAlign w:val="baseline"/>
        </w:rPr>
        <w:t>-N 0.082t/a</w:t>
      </w:r>
      <w:r>
        <w:rPr>
          <w:position w:val="2"/>
          <w:vertAlign w:val="baseline"/>
        </w:rPr>
        <w:t>。达到《污水排入城镇下水道水质标准》（</w:t>
      </w:r>
      <w:r>
        <w:rPr>
          <w:rFonts w:ascii="Times New Roman" w:hAnsi="Times New Roman" w:eastAsia="Times New Roman"/>
          <w:position w:val="2"/>
          <w:vertAlign w:val="baseline"/>
        </w:rPr>
        <w:t>CJ343-2010</w:t>
      </w:r>
      <w:r>
        <w:rPr>
          <w:position w:val="2"/>
          <w:vertAlign w:val="baseline"/>
        </w:rPr>
        <w:t>）规定的</w:t>
      </w:r>
      <w:r>
        <w:rPr>
          <w:spacing w:val="-8"/>
          <w:vertAlign w:val="baseline"/>
        </w:rPr>
        <w:t>标准，通过城市污水集水管网进入莒南县新区污水处理厂深度处理后，满足《城</w:t>
      </w:r>
      <w:r>
        <w:rPr>
          <w:spacing w:val="-11"/>
          <w:vertAlign w:val="baseline"/>
        </w:rPr>
        <w:t>镇污水处理厂污染物排放标准》</w:t>
      </w:r>
      <w:r>
        <w:rPr>
          <w:vertAlign w:val="baseline"/>
        </w:rPr>
        <w:t>（</w:t>
      </w:r>
      <w:r>
        <w:rPr>
          <w:rFonts w:ascii="Times New Roman" w:hAnsi="Times New Roman" w:eastAsia="Times New Roman"/>
          <w:vertAlign w:val="baseline"/>
        </w:rPr>
        <w:t>GB18918-2002</w:t>
      </w:r>
      <w:r>
        <w:rPr>
          <w:vertAlign w:val="baseline"/>
        </w:rPr>
        <w:t>）</w:t>
      </w:r>
      <w:r>
        <w:rPr>
          <w:spacing w:val="-2"/>
          <w:vertAlign w:val="baseline"/>
        </w:rPr>
        <w:t>中的一级 </w:t>
      </w:r>
      <w:r>
        <w:rPr>
          <w:rFonts w:ascii="Times New Roman" w:hAnsi="Times New Roman" w:eastAsia="Times New Roman"/>
          <w:vertAlign w:val="baseline"/>
        </w:rPr>
        <w:t>A </w:t>
      </w:r>
      <w:r>
        <w:rPr>
          <w:vertAlign w:val="baseline"/>
        </w:rPr>
        <w:t>标准排入鸡龙河。</w:t>
      </w:r>
      <w:r>
        <w:rPr>
          <w:position w:val="2"/>
          <w:vertAlign w:val="baseline"/>
        </w:rPr>
        <w:t>排入外环境的废水量 </w:t>
      </w:r>
      <w:r>
        <w:rPr>
          <w:rFonts w:ascii="Times New Roman" w:hAnsi="Times New Roman" w:eastAsia="Times New Roman"/>
          <w:position w:val="2"/>
          <w:vertAlign w:val="baseline"/>
        </w:rPr>
        <w:t>8192.5m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/a</w:t>
      </w:r>
      <w:r>
        <w:rPr>
          <w:position w:val="2"/>
          <w:vertAlign w:val="baseline"/>
        </w:rPr>
        <w:t>，</w:t>
      </w:r>
      <w:r>
        <w:rPr>
          <w:rFonts w:ascii="Times New Roman" w:hAnsi="Times New Roman" w:eastAsia="Times New Roman"/>
          <w:position w:val="2"/>
          <w:vertAlign w:val="baseline"/>
        </w:rPr>
        <w:t>COD0.41t/a</w:t>
      </w:r>
      <w:r>
        <w:rPr>
          <w:position w:val="2"/>
          <w:vertAlign w:val="baseline"/>
        </w:rPr>
        <w:t>、</w:t>
      </w:r>
      <w:r>
        <w:rPr>
          <w:rFonts w:ascii="Times New Roman" w:hAnsi="Times New Roman" w:eastAsia="Times New Roman"/>
          <w:position w:val="2"/>
          <w:vertAlign w:val="baseline"/>
        </w:rPr>
        <w:t>NH</w:t>
      </w:r>
      <w:r>
        <w:rPr>
          <w:rFonts w:ascii="Times New Roman" w:hAnsi="Times New Roman" w:eastAsia="Times New Roman"/>
          <w:sz w:val="16"/>
          <w:vertAlign w:val="baseline"/>
        </w:rPr>
        <w:t>3</w:t>
      </w:r>
      <w:r>
        <w:rPr>
          <w:rFonts w:ascii="Times New Roman" w:hAnsi="Times New Roman" w:eastAsia="Times New Roman"/>
          <w:position w:val="2"/>
          <w:vertAlign w:val="baseline"/>
        </w:rPr>
        <w:t>-N 0.041t/a</w:t>
      </w:r>
      <w:r>
        <w:rPr>
          <w:position w:val="2"/>
          <w:vertAlign w:val="baseline"/>
        </w:rPr>
        <w:t>。</w:t>
      </w:r>
    </w:p>
    <w:p>
      <w:pPr>
        <w:pStyle w:val="BodyText"/>
        <w:spacing w:line="451" w:lineRule="exact"/>
        <w:ind w:left="1058"/>
      </w:pPr>
      <w:r>
        <w:rPr/>
        <w:t>（</w:t>
      </w:r>
      <w:r>
        <w:rPr>
          <w:rFonts w:ascii="Times New Roman" w:eastAsia="Times New Roman"/>
        </w:rPr>
        <w:t>3</w:t>
      </w:r>
      <w:r>
        <w:rPr/>
        <w:t>）噪声</w:t>
      </w:r>
    </w:p>
    <w:p>
      <w:pPr>
        <w:pStyle w:val="BodyText"/>
        <w:spacing w:line="220" w:lineRule="auto"/>
        <w:ind w:left="578" w:right="666" w:firstLine="479"/>
        <w:jc w:val="both"/>
      </w:pPr>
      <w:r>
        <w:rPr>
          <w:spacing w:val="-7"/>
        </w:rPr>
        <w:t>项目营运后，噪声源来自空压机、风机、粉碎机、筛分机、压片机等设备运转产生的机械噪声。通过合理厂区布局，选用低噪声设备，设备安装在车间内， </w:t>
      </w:r>
      <w:r>
        <w:rPr>
          <w:spacing w:val="-20"/>
        </w:rPr>
        <w:t>采取吸声、隔声等措施，加强厂区绿化，采取以上措施后，厂界噪声能够达到《工业企业厂界环境噪声排放标准》（</w:t>
      </w:r>
      <w:r>
        <w:rPr>
          <w:rFonts w:ascii="Times New Roman" w:eastAsia="Times New Roman"/>
          <w:spacing w:val="-20"/>
        </w:rPr>
        <w:t>GB12348-2008</w:t>
      </w:r>
      <w:r>
        <w:rPr>
          <w:spacing w:val="-20"/>
        </w:rPr>
        <w:t>）</w:t>
      </w:r>
      <w:r>
        <w:rPr>
          <w:spacing w:val="-8"/>
        </w:rPr>
        <w:t>中 </w:t>
      </w:r>
      <w:r>
        <w:rPr>
          <w:rFonts w:ascii="Times New Roman" w:eastAsia="Times New Roman"/>
        </w:rPr>
        <w:t>2 </w:t>
      </w:r>
      <w:r>
        <w:rPr/>
        <w:t>类标准的要求。</w:t>
      </w:r>
    </w:p>
    <w:p>
      <w:pPr>
        <w:pStyle w:val="BodyText"/>
        <w:spacing w:line="455" w:lineRule="exact"/>
        <w:ind w:left="1058"/>
      </w:pPr>
      <w:r>
        <w:rPr/>
        <w:t>（</w:t>
      </w:r>
      <w:r>
        <w:rPr>
          <w:rFonts w:ascii="Times New Roman" w:eastAsia="Times New Roman"/>
        </w:rPr>
        <w:t>4</w:t>
      </w:r>
      <w:r>
        <w:rPr/>
        <w:t>）固废</w:t>
      </w:r>
    </w:p>
    <w:p>
      <w:pPr>
        <w:pStyle w:val="BodyText"/>
        <w:spacing w:line="220" w:lineRule="auto" w:before="3"/>
        <w:ind w:left="578" w:right="631" w:firstLine="479"/>
        <w:jc w:val="both"/>
      </w:pPr>
      <w:r>
        <w:rPr>
          <w:spacing w:val="-17"/>
        </w:rPr>
        <w:t>固体主要为过筛、制粒、整粒、压片、胶囊填充、颗粒填充产生的不合格品， </w:t>
      </w:r>
      <w:r>
        <w:rPr>
          <w:spacing w:val="-12"/>
        </w:rPr>
        <w:t>粉碎、压片、制粒干燥、包衣除尘器收集的粉尘，内包装产生的尾料、废弃包装</w:t>
      </w:r>
      <w:r>
        <w:rPr>
          <w:spacing w:val="-10"/>
        </w:rPr>
        <w:t>物，外包装产生的废弃的外包装物，检验产生的不合格品，研发中心化验室产生的废物，职工生活垃圾。</w:t>
      </w:r>
    </w:p>
    <w:p>
      <w:pPr>
        <w:pStyle w:val="BodyText"/>
        <w:spacing w:line="220" w:lineRule="auto"/>
        <w:ind w:left="578" w:right="752" w:firstLine="479"/>
      </w:pPr>
      <w:r>
        <w:rPr>
          <w:spacing w:val="-10"/>
        </w:rPr>
        <w:t>①过筛、制粒、整粒、压片、胶囊填充、颗粒填充产生的不合格品：产生量</w:t>
      </w:r>
      <w:r>
        <w:rPr>
          <w:spacing w:val="-3"/>
        </w:rPr>
        <w:t>约 </w:t>
      </w:r>
      <w:r>
        <w:rPr>
          <w:rFonts w:ascii="Times New Roman" w:hAnsi="Times New Roman" w:eastAsia="Times New Roman"/>
        </w:rPr>
        <w:t>105.84t/a</w:t>
      </w:r>
      <w:r>
        <w:rPr/>
        <w:t>，分类收集回用作原料。</w:t>
      </w:r>
    </w:p>
    <w:p>
      <w:pPr>
        <w:pStyle w:val="BodyText"/>
        <w:spacing w:line="456" w:lineRule="exact"/>
        <w:ind w:left="1058"/>
      </w:pPr>
      <w:r>
        <w:rPr/>
        <w:t>②制粒干燥等工序除尘器收集的粉尘：产生量为 </w:t>
      </w:r>
      <w:r>
        <w:rPr>
          <w:rFonts w:ascii="Times New Roman" w:hAnsi="Times New Roman" w:eastAsia="Times New Roman"/>
        </w:rPr>
        <w:t>30.18t/a</w:t>
      </w:r>
      <w:r>
        <w:rPr/>
        <w:t>，回用于生产。</w:t>
      </w:r>
    </w:p>
    <w:p>
      <w:pPr>
        <w:pStyle w:val="BodyText"/>
        <w:spacing w:line="487" w:lineRule="exact"/>
        <w:ind w:left="1058"/>
      </w:pPr>
      <w:r>
        <w:rPr/>
        <w:t>③包衣除尘器收集的粉尘：产生量为 </w:t>
      </w:r>
      <w:r>
        <w:rPr>
          <w:rFonts w:ascii="Times New Roman" w:hAnsi="Times New Roman" w:eastAsia="Times New Roman"/>
        </w:rPr>
        <w:t>1.93t/a</w:t>
      </w:r>
      <w:r>
        <w:rPr/>
        <w:t>，粉尘主要为滑石粉，收集后外</w:t>
      </w:r>
    </w:p>
    <w:p>
      <w:pPr>
        <w:spacing w:after="0" w:line="487" w:lineRule="exact"/>
        <w:sectPr>
          <w:pgSz w:w="11910" w:h="16840"/>
          <w:pgMar w:header="877" w:footer="973" w:top="1340" w:bottom="1160" w:left="1220" w:right="1040"/>
        </w:sectPr>
      </w:pPr>
    </w:p>
    <w:p>
      <w:pPr>
        <w:pStyle w:val="BodyText"/>
        <w:spacing w:line="458" w:lineRule="exact"/>
        <w:ind w:left="578"/>
      </w:pPr>
      <w:r>
        <w:rPr/>
        <w:t>卖作原料。</w:t>
      </w:r>
    </w:p>
    <w:p>
      <w:pPr>
        <w:pStyle w:val="BodyText"/>
        <w:spacing w:line="467" w:lineRule="exact"/>
        <w:ind w:left="1058"/>
      </w:pPr>
      <w:r>
        <w:rPr/>
        <w:t>④内包装产生的尾料：产生量约 </w:t>
      </w:r>
      <w:r>
        <w:rPr>
          <w:rFonts w:ascii="Times New Roman" w:hAnsi="Times New Roman" w:eastAsia="Times New Roman"/>
        </w:rPr>
        <w:t>1.25t/a</w:t>
      </w:r>
      <w:r>
        <w:rPr/>
        <w:t>，回用作原料。</w:t>
      </w:r>
    </w:p>
    <w:p>
      <w:pPr>
        <w:pStyle w:val="BodyText"/>
        <w:spacing w:line="467" w:lineRule="exact"/>
        <w:ind w:left="1058"/>
      </w:pPr>
      <w:r>
        <w:rPr/>
        <w:t>⑤内外包装产生的废弃包装物：产生量约 </w:t>
      </w:r>
      <w:r>
        <w:rPr>
          <w:rFonts w:ascii="Times New Roman" w:hAnsi="Times New Roman" w:eastAsia="Times New Roman"/>
        </w:rPr>
        <w:t>2.5t/a</w:t>
      </w:r>
      <w:r>
        <w:rPr/>
        <w:t>，外卖废品收购站。</w:t>
      </w:r>
    </w:p>
    <w:p>
      <w:pPr>
        <w:pStyle w:val="BodyText"/>
        <w:spacing w:line="220" w:lineRule="auto" w:before="8"/>
        <w:ind w:left="578" w:right="751" w:firstLine="479"/>
        <w:jc w:val="both"/>
      </w:pPr>
      <w:r>
        <w:rPr>
          <w:spacing w:val="-10"/>
        </w:rPr>
        <w:t>⑥过筛、整粒、压片、胶囊填充、颗粒填充等工序除尘器收集的粉尘：产生</w:t>
      </w:r>
      <w:r>
        <w:rPr>
          <w:spacing w:val="-6"/>
        </w:rPr>
        <w:t>量为 </w:t>
      </w:r>
      <w:r>
        <w:rPr>
          <w:rFonts w:ascii="Times New Roman" w:hAnsi="Times New Roman" w:eastAsia="Times New Roman"/>
        </w:rPr>
        <w:t>20.30t/a</w:t>
      </w:r>
      <w:r>
        <w:rPr>
          <w:spacing w:val="-1"/>
        </w:rPr>
        <w:t>，含少量化学原料，属危险废物 </w:t>
      </w:r>
      <w:r>
        <w:rPr>
          <w:rFonts w:ascii="Times New Roman" w:hAnsi="Times New Roman" w:eastAsia="Times New Roman"/>
        </w:rPr>
        <w:t>HW02 </w:t>
      </w:r>
      <w:r>
        <w:rPr>
          <w:spacing w:val="-1"/>
        </w:rPr>
        <w:t>医药废物，收集后交有资质的单位处理。</w:t>
      </w:r>
    </w:p>
    <w:p>
      <w:pPr>
        <w:pStyle w:val="BodyText"/>
        <w:spacing w:line="220" w:lineRule="auto"/>
        <w:ind w:left="578" w:right="751" w:firstLine="479"/>
        <w:jc w:val="both"/>
      </w:pPr>
      <w:r>
        <w:rPr>
          <w:spacing w:val="-2"/>
        </w:rPr>
        <w:t>⑦检验产生的不合格品：产生量为 </w:t>
      </w:r>
      <w:r>
        <w:rPr>
          <w:rFonts w:ascii="Times New Roman" w:hAnsi="Times New Roman" w:eastAsia="Times New Roman"/>
          <w:spacing w:val="-5"/>
        </w:rPr>
        <w:t>2t/a</w:t>
      </w:r>
      <w:r>
        <w:rPr>
          <w:spacing w:val="-2"/>
        </w:rPr>
        <w:t>，属危险废物 </w:t>
      </w:r>
      <w:r>
        <w:rPr>
          <w:rFonts w:ascii="Times New Roman" w:hAnsi="Times New Roman" w:eastAsia="Times New Roman"/>
        </w:rPr>
        <w:t>HW02 </w:t>
      </w:r>
      <w:r>
        <w:rPr>
          <w:spacing w:val="-5"/>
        </w:rPr>
        <w:t>医药废物，收集后交有资质的单位处理。</w:t>
      </w:r>
    </w:p>
    <w:p>
      <w:pPr>
        <w:pStyle w:val="BodyText"/>
        <w:spacing w:line="220" w:lineRule="auto"/>
        <w:ind w:left="578" w:right="634" w:firstLine="479"/>
        <w:jc w:val="both"/>
      </w:pPr>
      <w:r>
        <w:rPr>
          <w:spacing w:val="-6"/>
        </w:rPr>
        <w:t>⑧研发中心化验室产生的废物：包括检测过程中产生的分析产物、消耗或破</w:t>
      </w:r>
      <w:r>
        <w:rPr>
          <w:spacing w:val="-14"/>
        </w:rPr>
        <w:t>损的实验用品</w:t>
      </w:r>
      <w:r>
        <w:rPr/>
        <w:t>（如玻璃器皿</w:t>
      </w:r>
      <w:r>
        <w:rPr>
          <w:spacing w:val="-53"/>
        </w:rPr>
        <w:t>）</w:t>
      </w:r>
      <w:r>
        <w:rPr>
          <w:spacing w:val="-12"/>
        </w:rPr>
        <w:t>、残留或失效的化学试剂、有毒废弃试剂包装物等。</w:t>
      </w:r>
      <w:r>
        <w:rPr>
          <w:spacing w:val="-14"/>
        </w:rPr>
        <w:t>这些固废物成分复杂，涵盖各类化学、生物污染物及过期失效的化学试剂，处理</w:t>
      </w:r>
      <w:r>
        <w:rPr>
          <w:spacing w:val="-12"/>
        </w:rPr>
        <w:t>时稍有不慎，就会导致严重的污染事故。产生量约 </w:t>
      </w:r>
      <w:r>
        <w:rPr>
          <w:rFonts w:ascii="Times New Roman" w:hAnsi="Times New Roman" w:eastAsia="Times New Roman"/>
        </w:rPr>
        <w:t>0.3t/a</w:t>
      </w:r>
      <w:r>
        <w:rPr>
          <w:spacing w:val="4"/>
        </w:rPr>
        <w:t>。属于危险废物 </w:t>
      </w:r>
      <w:r>
        <w:rPr>
          <w:rFonts w:ascii="Times New Roman" w:hAnsi="Times New Roman" w:eastAsia="Times New Roman"/>
        </w:rPr>
        <w:t>HW02 </w:t>
      </w:r>
      <w:r>
        <w:rPr/>
        <w:t>医药废物，应根据其性质分类存放，并定期交由有处理资质单位进行处理。</w:t>
      </w:r>
    </w:p>
    <w:p>
      <w:pPr>
        <w:pStyle w:val="BodyText"/>
        <w:spacing w:line="220" w:lineRule="auto"/>
        <w:ind w:left="578" w:right="753" w:firstLine="479"/>
        <w:jc w:val="both"/>
      </w:pPr>
      <w:r>
        <w:rPr/>
        <w:t>⑨项目职工 </w:t>
      </w:r>
      <w:r>
        <w:rPr>
          <w:rFonts w:ascii="Times New Roman" w:hAnsi="Times New Roman" w:eastAsia="Times New Roman"/>
        </w:rPr>
        <w:t>350 </w:t>
      </w:r>
      <w:r>
        <w:rPr>
          <w:spacing w:val="-2"/>
        </w:rPr>
        <w:t>人，年工作 </w:t>
      </w:r>
      <w:r>
        <w:rPr>
          <w:rFonts w:ascii="Times New Roman" w:hAnsi="Times New Roman" w:eastAsia="Times New Roman"/>
        </w:rPr>
        <w:t>250 </w:t>
      </w:r>
      <w:r>
        <w:rPr>
          <w:spacing w:val="-2"/>
        </w:rPr>
        <w:t>天，生活垃圾按 </w:t>
      </w:r>
      <w:r>
        <w:rPr>
          <w:rFonts w:ascii="Times New Roman" w:hAnsi="Times New Roman" w:eastAsia="Times New Roman"/>
        </w:rPr>
        <w:t>0.5kg/</w:t>
      </w:r>
      <w:r>
        <w:rPr/>
        <w:t>人</w:t>
      </w:r>
      <w:r>
        <w:rPr>
          <w:rFonts w:ascii="Times New Roman" w:hAnsi="Times New Roman" w:eastAsia="Times New Roman"/>
        </w:rPr>
        <w:t>.d </w:t>
      </w:r>
      <w:r>
        <w:rPr>
          <w:spacing w:val="-3"/>
        </w:rPr>
        <w:t>计算，生活垃圾</w:t>
      </w:r>
      <w:r>
        <w:rPr>
          <w:spacing w:val="3"/>
        </w:rPr>
        <w:t>产生量约为 </w:t>
      </w:r>
      <w:r>
        <w:rPr>
          <w:rFonts w:ascii="Times New Roman" w:hAnsi="Times New Roman" w:eastAsia="Times New Roman"/>
        </w:rPr>
        <w:t>43.75t/a</w:t>
      </w:r>
      <w:r>
        <w:rPr/>
        <w:t>，全部由环卫部门统一收集填埋。项目产生的固体废物全部得到妥善处理。</w:t>
      </w:r>
    </w:p>
    <w:p>
      <w:pPr>
        <w:pStyle w:val="Heading2"/>
        <w:numPr>
          <w:ilvl w:val="1"/>
          <w:numId w:val="3"/>
        </w:numPr>
        <w:tabs>
          <w:tab w:pos="1390" w:val="left" w:leader="none"/>
        </w:tabs>
        <w:spacing w:line="240" w:lineRule="auto" w:before="81" w:after="0"/>
        <w:ind w:left="1389" w:right="0" w:hanging="811"/>
        <w:jc w:val="left"/>
        <w:rPr>
          <w:rFonts w:ascii="Times New Roman" w:eastAsia="Times New Roman"/>
        </w:rPr>
      </w:pPr>
      <w:r>
        <w:rPr/>
        <w:t>非正常工况排污分析</w:t>
      </w:r>
    </w:p>
    <w:p>
      <w:pPr>
        <w:pStyle w:val="BodyText"/>
        <w:spacing w:line="225" w:lineRule="auto" w:before="317"/>
        <w:ind w:left="578" w:right="753" w:firstLine="479"/>
        <w:jc w:val="both"/>
      </w:pPr>
      <w:r>
        <w:rPr/>
        <w:t>非正常排污主要是指工艺设备或环保设施达不到设计规定指标时的超额排污及设备检修、开停车等情况下的排污。</w:t>
      </w:r>
    </w:p>
    <w:p>
      <w:pPr>
        <w:pStyle w:val="BodyText"/>
        <w:spacing w:line="225" w:lineRule="auto" w:before="3"/>
        <w:ind w:left="578" w:right="751" w:firstLine="479"/>
        <w:jc w:val="both"/>
      </w:pPr>
      <w:r>
        <w:rPr>
          <w:spacing w:val="-5"/>
        </w:rPr>
        <w:t>本工程采用的生产工艺较为成熟可靠，操作条件比较温和，出现因工艺设备而造成跑冒滴漏现象的几率较小。</w:t>
      </w:r>
    </w:p>
    <w:p>
      <w:pPr>
        <w:pStyle w:val="BodyText"/>
        <w:spacing w:line="225" w:lineRule="auto" w:before="5"/>
        <w:ind w:left="578" w:right="755" w:firstLine="479"/>
        <w:jc w:val="both"/>
      </w:pPr>
      <w:r>
        <w:rPr>
          <w:spacing w:val="-9"/>
        </w:rPr>
        <w:t>环保措施出现异常时，会使污染物处理效率下降或根本得不到处理而排入环境中，本工程主要污染因素是废气和废水。</w:t>
      </w:r>
    </w:p>
    <w:p>
      <w:pPr>
        <w:pStyle w:val="BodyText"/>
        <w:spacing w:line="235" w:lineRule="auto" w:before="6"/>
        <w:ind w:left="578" w:right="752" w:firstLine="479"/>
        <w:jc w:val="both"/>
      </w:pPr>
      <w:r>
        <w:rPr/>
        <w:t>（</w:t>
      </w:r>
      <w:r>
        <w:rPr>
          <w:rFonts w:ascii="Times New Roman" w:eastAsia="Times New Roman"/>
        </w:rPr>
        <w:t>1</w:t>
      </w:r>
      <w:r>
        <w:rPr/>
        <w:t>）废气：本工程有可能出现非正常排放的废气污染源主要包括碱洗塔和</w:t>
      </w:r>
      <w:r>
        <w:rPr>
          <w:spacing w:val="-6"/>
        </w:rPr>
        <w:t>活性碳吸附装置发生故障。由工艺特点分析可知，废气控制措施异常现象主要是</w:t>
      </w:r>
      <w:r>
        <w:rPr>
          <w:spacing w:val="-10"/>
        </w:rPr>
        <w:t>工艺废气碱洗塔或活性炭吸附装置达不到设计控制指标要求，造成大量系统气态物料得不到很好的处置而排出系统。非正常工况下各污染物排放情况见下表。</w:t>
      </w:r>
    </w:p>
    <w:p>
      <w:pPr>
        <w:tabs>
          <w:tab w:pos="3871" w:val="left" w:leader="none"/>
        </w:tabs>
        <w:spacing w:line="420" w:lineRule="exact" w:before="0"/>
        <w:ind w:left="2853" w:right="0" w:firstLine="0"/>
        <w:jc w:val="left"/>
        <w:rPr>
          <w:sz w:val="21"/>
        </w:rPr>
      </w:pPr>
      <w:r>
        <w:rPr>
          <w:sz w:val="21"/>
        </w:rPr>
        <w:t>表</w:t>
      </w:r>
      <w:r>
        <w:rPr>
          <w:spacing w:val="8"/>
          <w:sz w:val="21"/>
        </w:rPr>
        <w:t> </w:t>
      </w:r>
      <w:r>
        <w:rPr>
          <w:rFonts w:ascii="Times New Roman" w:eastAsia="Times New Roman"/>
          <w:b/>
          <w:sz w:val="21"/>
        </w:rPr>
        <w:t>4.12-1</w:t>
        <w:tab/>
      </w:r>
      <w:r>
        <w:rPr>
          <w:sz w:val="21"/>
        </w:rPr>
        <w:t>非正常概况</w:t>
      </w:r>
      <w:r>
        <w:rPr>
          <w:spacing w:val="-3"/>
          <w:sz w:val="21"/>
        </w:rPr>
        <w:t>各</w:t>
      </w:r>
      <w:r>
        <w:rPr>
          <w:sz w:val="21"/>
        </w:rPr>
        <w:t>污染物排放情况</w:t>
      </w:r>
    </w:p>
    <w:p>
      <w:pPr>
        <w:spacing w:after="0" w:line="420" w:lineRule="exact"/>
        <w:jc w:val="left"/>
        <w:rPr>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9"/>
        <w:gridCol w:w="590"/>
        <w:gridCol w:w="411"/>
        <w:gridCol w:w="598"/>
        <w:gridCol w:w="795"/>
        <w:gridCol w:w="1707"/>
        <w:gridCol w:w="802"/>
        <w:gridCol w:w="961"/>
        <w:gridCol w:w="807"/>
        <w:gridCol w:w="855"/>
      </w:tblGrid>
      <w:tr>
        <w:trPr>
          <w:trHeight w:val="340" w:hRule="atLeast"/>
        </w:trPr>
        <w:tc>
          <w:tcPr>
            <w:tcW w:w="1800" w:type="dxa"/>
            <w:gridSpan w:val="3"/>
            <w:vMerge w:val="restart"/>
          </w:tcPr>
          <w:p>
            <w:pPr>
              <w:pStyle w:val="TableParagraph"/>
              <w:spacing w:before="146"/>
              <w:ind w:left="608" w:right="601"/>
              <w:rPr>
                <w:sz w:val="18"/>
              </w:rPr>
            </w:pPr>
            <w:r>
              <w:rPr>
                <w:sz w:val="18"/>
              </w:rPr>
              <w:t>排气筒</w:t>
            </w:r>
          </w:p>
        </w:tc>
        <w:tc>
          <w:tcPr>
            <w:tcW w:w="598" w:type="dxa"/>
            <w:vMerge w:val="restart"/>
          </w:tcPr>
          <w:p>
            <w:pPr>
              <w:pStyle w:val="TableParagraph"/>
              <w:jc w:val="left"/>
              <w:rPr>
                <w:rFonts w:ascii="Times New Roman"/>
                <w:sz w:val="18"/>
              </w:rPr>
            </w:pPr>
          </w:p>
          <w:p>
            <w:pPr>
              <w:pStyle w:val="TableParagraph"/>
              <w:spacing w:line="146" w:lineRule="auto" w:before="154"/>
              <w:ind w:left="26" w:right="19" w:firstLine="91"/>
              <w:jc w:val="left"/>
              <w:rPr>
                <w:sz w:val="18"/>
              </w:rPr>
            </w:pPr>
            <w:r>
              <w:rPr>
                <w:sz w:val="18"/>
              </w:rPr>
              <w:t>烟气温度℃</w:t>
            </w:r>
          </w:p>
        </w:tc>
        <w:tc>
          <w:tcPr>
            <w:tcW w:w="795" w:type="dxa"/>
            <w:vMerge w:val="restart"/>
          </w:tcPr>
          <w:p>
            <w:pPr>
              <w:pStyle w:val="TableParagraph"/>
              <w:spacing w:before="4"/>
              <w:jc w:val="left"/>
              <w:rPr>
                <w:rFonts w:ascii="Times New Roman"/>
                <w:sz w:val="22"/>
              </w:rPr>
            </w:pPr>
          </w:p>
          <w:p>
            <w:pPr>
              <w:pStyle w:val="TableParagraph"/>
              <w:spacing w:line="307" w:lineRule="exact"/>
              <w:ind w:left="127"/>
              <w:jc w:val="left"/>
              <w:rPr>
                <w:sz w:val="18"/>
              </w:rPr>
            </w:pPr>
            <w:r>
              <w:rPr>
                <w:sz w:val="18"/>
              </w:rPr>
              <w:t>废气量</w:t>
            </w:r>
          </w:p>
          <w:p>
            <w:pPr>
              <w:pStyle w:val="TableParagraph"/>
              <w:spacing w:line="307" w:lineRule="exact"/>
              <w:ind w:left="4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707" w:type="dxa"/>
            <w:vMerge w:val="restart"/>
          </w:tcPr>
          <w:p>
            <w:pPr>
              <w:pStyle w:val="TableParagraph"/>
              <w:jc w:val="left"/>
              <w:rPr>
                <w:rFonts w:ascii="Times New Roman"/>
                <w:sz w:val="18"/>
              </w:rPr>
            </w:pPr>
          </w:p>
          <w:p>
            <w:pPr>
              <w:pStyle w:val="TableParagraph"/>
              <w:spacing w:before="4"/>
              <w:jc w:val="left"/>
              <w:rPr>
                <w:rFonts w:ascii="Times New Roman"/>
                <w:sz w:val="14"/>
              </w:rPr>
            </w:pPr>
          </w:p>
          <w:p>
            <w:pPr>
              <w:pStyle w:val="TableParagraph"/>
              <w:ind w:left="50" w:right="47"/>
              <w:rPr>
                <w:sz w:val="18"/>
              </w:rPr>
            </w:pPr>
            <w:r>
              <w:rPr>
                <w:sz w:val="18"/>
              </w:rPr>
              <w:t>污染物</w:t>
            </w:r>
          </w:p>
        </w:tc>
        <w:tc>
          <w:tcPr>
            <w:tcW w:w="1763" w:type="dxa"/>
            <w:gridSpan w:val="2"/>
            <w:tcBorders>
              <w:bottom w:val="single" w:sz="8" w:space="0" w:color="000000"/>
              <w:right w:val="single" w:sz="8" w:space="0" w:color="000000"/>
            </w:tcBorders>
          </w:tcPr>
          <w:p>
            <w:pPr>
              <w:pStyle w:val="TableParagraph"/>
              <w:spacing w:line="321" w:lineRule="exact"/>
              <w:ind w:left="515"/>
              <w:jc w:val="left"/>
              <w:rPr>
                <w:sz w:val="18"/>
              </w:rPr>
            </w:pPr>
            <w:r>
              <w:rPr>
                <w:sz w:val="18"/>
              </w:rPr>
              <w:t>排放参数</w:t>
            </w:r>
          </w:p>
        </w:tc>
        <w:tc>
          <w:tcPr>
            <w:tcW w:w="1662" w:type="dxa"/>
            <w:gridSpan w:val="2"/>
            <w:tcBorders>
              <w:left w:val="single" w:sz="8" w:space="0" w:color="000000"/>
              <w:bottom w:val="single" w:sz="8" w:space="0" w:color="000000"/>
            </w:tcBorders>
          </w:tcPr>
          <w:p>
            <w:pPr>
              <w:pStyle w:val="TableParagraph"/>
              <w:spacing w:line="321" w:lineRule="exact"/>
              <w:ind w:left="623" w:right="623"/>
              <w:rPr>
                <w:sz w:val="18"/>
              </w:rPr>
            </w:pPr>
            <w:r>
              <w:rPr>
                <w:sz w:val="18"/>
              </w:rPr>
              <w:t>标准</w:t>
            </w:r>
          </w:p>
        </w:tc>
      </w:tr>
      <w:tr>
        <w:trPr>
          <w:trHeight w:val="340" w:hRule="atLeast"/>
        </w:trPr>
        <w:tc>
          <w:tcPr>
            <w:tcW w:w="1800" w:type="dxa"/>
            <w:gridSpan w:val="3"/>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vMerge/>
            <w:tcBorders>
              <w:top w:val="nil"/>
            </w:tcBorders>
          </w:tcPr>
          <w:p>
            <w:pPr>
              <w:rPr>
                <w:sz w:val="2"/>
                <w:szCs w:val="2"/>
              </w:rPr>
            </w:pPr>
          </w:p>
        </w:tc>
        <w:tc>
          <w:tcPr>
            <w:tcW w:w="802" w:type="dxa"/>
            <w:vMerge w:val="restart"/>
            <w:tcBorders>
              <w:top w:val="single" w:sz="8" w:space="0" w:color="000000"/>
            </w:tcBorders>
          </w:tcPr>
          <w:p>
            <w:pPr>
              <w:pStyle w:val="TableParagraph"/>
              <w:spacing w:line="307" w:lineRule="exact" w:before="76"/>
              <w:ind w:left="39"/>
              <w:jc w:val="left"/>
              <w:rPr>
                <w:sz w:val="18"/>
              </w:rPr>
            </w:pPr>
            <w:r>
              <w:rPr>
                <w:sz w:val="18"/>
              </w:rPr>
              <w:t>排放速率</w:t>
            </w:r>
          </w:p>
          <w:p>
            <w:pPr>
              <w:pStyle w:val="TableParagraph"/>
              <w:spacing w:line="307" w:lineRule="exact"/>
              <w:ind w:left="59"/>
              <w:jc w:val="left"/>
              <w:rPr>
                <w:sz w:val="18"/>
              </w:rPr>
            </w:pPr>
            <w:r>
              <w:rPr>
                <w:sz w:val="18"/>
              </w:rPr>
              <w:t>（</w:t>
            </w:r>
            <w:r>
              <w:rPr>
                <w:rFonts w:ascii="Times New Roman" w:eastAsia="Times New Roman"/>
                <w:sz w:val="18"/>
              </w:rPr>
              <w:t>kg/h</w:t>
            </w:r>
            <w:r>
              <w:rPr>
                <w:sz w:val="18"/>
              </w:rPr>
              <w:t>）</w:t>
            </w:r>
          </w:p>
        </w:tc>
        <w:tc>
          <w:tcPr>
            <w:tcW w:w="961" w:type="dxa"/>
            <w:vMerge w:val="restart"/>
            <w:tcBorders>
              <w:top w:val="single" w:sz="8" w:space="0" w:color="000000"/>
              <w:right w:val="single" w:sz="8" w:space="0" w:color="000000"/>
            </w:tcBorders>
          </w:tcPr>
          <w:p>
            <w:pPr>
              <w:pStyle w:val="TableParagraph"/>
              <w:spacing w:line="307" w:lineRule="exact" w:before="76"/>
              <w:ind w:left="113"/>
              <w:jc w:val="left"/>
              <w:rPr>
                <w:sz w:val="18"/>
              </w:rPr>
            </w:pPr>
            <w:r>
              <w:rPr>
                <w:sz w:val="18"/>
              </w:rPr>
              <w:t>排放浓度</w:t>
            </w:r>
          </w:p>
          <w:p>
            <w:pPr>
              <w:pStyle w:val="TableParagraph"/>
              <w:spacing w:line="307" w:lineRule="exact"/>
              <w:ind w:left="53"/>
              <w:jc w:val="left"/>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807" w:type="dxa"/>
            <w:vMerge w:val="restart"/>
            <w:tcBorders>
              <w:top w:val="single" w:sz="8" w:space="0" w:color="000000"/>
              <w:left w:val="single" w:sz="8" w:space="0" w:color="000000"/>
              <w:right w:val="single" w:sz="8" w:space="0" w:color="000000"/>
            </w:tcBorders>
          </w:tcPr>
          <w:p>
            <w:pPr>
              <w:pStyle w:val="TableParagraph"/>
              <w:spacing w:line="307" w:lineRule="exact" w:before="76"/>
              <w:ind w:left="34"/>
              <w:jc w:val="left"/>
              <w:rPr>
                <w:sz w:val="18"/>
              </w:rPr>
            </w:pPr>
            <w:r>
              <w:rPr>
                <w:sz w:val="18"/>
              </w:rPr>
              <w:t>排放速率</w:t>
            </w:r>
          </w:p>
          <w:p>
            <w:pPr>
              <w:pStyle w:val="TableParagraph"/>
              <w:spacing w:line="307" w:lineRule="exact"/>
              <w:ind w:left="53"/>
              <w:jc w:val="left"/>
              <w:rPr>
                <w:sz w:val="18"/>
              </w:rPr>
            </w:pPr>
            <w:r>
              <w:rPr>
                <w:sz w:val="18"/>
              </w:rPr>
              <w:t>（</w:t>
            </w:r>
            <w:r>
              <w:rPr>
                <w:rFonts w:ascii="Times New Roman" w:eastAsia="Times New Roman"/>
                <w:sz w:val="18"/>
              </w:rPr>
              <w:t>kg/h</w:t>
            </w:r>
            <w:r>
              <w:rPr>
                <w:sz w:val="18"/>
              </w:rPr>
              <w:t>）</w:t>
            </w:r>
          </w:p>
        </w:tc>
        <w:tc>
          <w:tcPr>
            <w:tcW w:w="855" w:type="dxa"/>
            <w:vMerge w:val="restart"/>
            <w:tcBorders>
              <w:top w:val="single" w:sz="8" w:space="0" w:color="000000"/>
              <w:left w:val="single" w:sz="8" w:space="0" w:color="000000"/>
            </w:tcBorders>
          </w:tcPr>
          <w:p>
            <w:pPr>
              <w:pStyle w:val="TableParagraph"/>
              <w:spacing w:line="307" w:lineRule="exact" w:before="76"/>
              <w:ind w:left="62"/>
              <w:jc w:val="left"/>
              <w:rPr>
                <w:sz w:val="18"/>
              </w:rPr>
            </w:pPr>
            <w:r>
              <w:rPr>
                <w:sz w:val="18"/>
              </w:rPr>
              <w:t>排放浓度</w:t>
            </w:r>
          </w:p>
          <w:p>
            <w:pPr>
              <w:pStyle w:val="TableParagraph"/>
              <w:spacing w:line="307" w:lineRule="exact"/>
              <w:ind w:left="2"/>
              <w:jc w:val="left"/>
              <w:rPr>
                <w:sz w:val="18"/>
              </w:rPr>
            </w:pPr>
            <w:r>
              <w:rPr>
                <w:spacing w:val="-1"/>
                <w:sz w:val="18"/>
              </w:rPr>
              <w:t>（</w:t>
            </w:r>
            <w:r>
              <w:rPr>
                <w:rFonts w:ascii="Times New Roman" w:eastAsia="Times New Roman"/>
                <w:spacing w:val="-1"/>
                <w:sz w:val="18"/>
              </w:rPr>
              <w:t>mg/m</w:t>
            </w:r>
            <w:r>
              <w:rPr>
                <w:rFonts w:ascii="Times New Roman" w:eastAsia="Times New Roman"/>
                <w:spacing w:val="-1"/>
                <w:position w:val="6"/>
                <w:sz w:val="12"/>
              </w:rPr>
              <w:t>3</w:t>
            </w:r>
            <w:r>
              <w:rPr>
                <w:spacing w:val="-1"/>
                <w:sz w:val="18"/>
              </w:rPr>
              <w:t>）</w:t>
            </w:r>
          </w:p>
        </w:tc>
      </w:tr>
      <w:tr>
        <w:trPr>
          <w:trHeight w:val="441" w:hRule="atLeast"/>
        </w:trPr>
        <w:tc>
          <w:tcPr>
            <w:tcW w:w="799" w:type="dxa"/>
          </w:tcPr>
          <w:p>
            <w:pPr>
              <w:pStyle w:val="TableParagraph"/>
              <w:spacing w:before="16"/>
              <w:ind w:left="218"/>
              <w:jc w:val="left"/>
              <w:rPr>
                <w:sz w:val="18"/>
              </w:rPr>
            </w:pPr>
            <w:r>
              <w:rPr>
                <w:sz w:val="18"/>
              </w:rPr>
              <w:t>编号</w:t>
            </w:r>
          </w:p>
        </w:tc>
        <w:tc>
          <w:tcPr>
            <w:tcW w:w="590" w:type="dxa"/>
          </w:tcPr>
          <w:p>
            <w:pPr>
              <w:pStyle w:val="TableParagraph"/>
              <w:spacing w:line="261" w:lineRule="exact"/>
              <w:ind w:left="95" w:right="85"/>
              <w:rPr>
                <w:sz w:val="18"/>
              </w:rPr>
            </w:pPr>
            <w:r>
              <w:rPr>
                <w:sz w:val="18"/>
              </w:rPr>
              <w:t>高度</w:t>
            </w:r>
          </w:p>
          <w:p>
            <w:pPr>
              <w:pStyle w:val="TableParagraph"/>
              <w:spacing w:line="160" w:lineRule="exact"/>
              <w:ind w:left="11"/>
              <w:rPr>
                <w:rFonts w:ascii="Times New Roman"/>
                <w:sz w:val="18"/>
              </w:rPr>
            </w:pPr>
            <w:r>
              <w:rPr>
                <w:rFonts w:ascii="Times New Roman"/>
                <w:sz w:val="18"/>
              </w:rPr>
              <w:t>m</w:t>
            </w:r>
          </w:p>
        </w:tc>
        <w:tc>
          <w:tcPr>
            <w:tcW w:w="411" w:type="dxa"/>
          </w:tcPr>
          <w:p>
            <w:pPr>
              <w:pStyle w:val="TableParagraph"/>
              <w:spacing w:line="261" w:lineRule="exact"/>
              <w:ind w:left="7"/>
              <w:rPr>
                <w:sz w:val="18"/>
              </w:rPr>
            </w:pPr>
            <w:r>
              <w:rPr>
                <w:sz w:val="18"/>
              </w:rPr>
              <w:t>内径</w:t>
            </w:r>
          </w:p>
          <w:p>
            <w:pPr>
              <w:pStyle w:val="TableParagraph"/>
              <w:spacing w:line="160" w:lineRule="exact"/>
              <w:ind w:left="8"/>
              <w:rPr>
                <w:rFonts w:ascii="Times New Roman"/>
                <w:sz w:val="18"/>
              </w:rPr>
            </w:pPr>
            <w:r>
              <w:rPr>
                <w:rFonts w:ascii="Times New Roman"/>
                <w:sz w:val="18"/>
              </w:rPr>
              <w:t>m</w:t>
            </w: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vMerge/>
            <w:tcBorders>
              <w:top w:val="nil"/>
            </w:tcBorders>
          </w:tcPr>
          <w:p>
            <w:pPr>
              <w:rPr>
                <w:sz w:val="2"/>
                <w:szCs w:val="2"/>
              </w:rPr>
            </w:pPr>
          </w:p>
        </w:tc>
        <w:tc>
          <w:tcPr>
            <w:tcW w:w="802" w:type="dxa"/>
            <w:vMerge/>
            <w:tcBorders>
              <w:top w:val="nil"/>
            </w:tcBorders>
          </w:tcPr>
          <w:p>
            <w:pPr>
              <w:rPr>
                <w:sz w:val="2"/>
                <w:szCs w:val="2"/>
              </w:rPr>
            </w:pPr>
          </w:p>
        </w:tc>
        <w:tc>
          <w:tcPr>
            <w:tcW w:w="961" w:type="dxa"/>
            <w:vMerge/>
            <w:tcBorders>
              <w:top w:val="nil"/>
              <w:right w:val="single" w:sz="8" w:space="0" w:color="000000"/>
            </w:tcBorders>
          </w:tcPr>
          <w:p>
            <w:pPr>
              <w:rPr>
                <w:sz w:val="2"/>
                <w:szCs w:val="2"/>
              </w:rPr>
            </w:pPr>
          </w:p>
        </w:tc>
        <w:tc>
          <w:tcPr>
            <w:tcW w:w="807" w:type="dxa"/>
            <w:vMerge/>
            <w:tcBorders>
              <w:top w:val="nil"/>
              <w:left w:val="single" w:sz="8" w:space="0" w:color="000000"/>
              <w:right w:val="single" w:sz="8" w:space="0" w:color="000000"/>
            </w:tcBorders>
          </w:tcPr>
          <w:p>
            <w:pPr>
              <w:rPr>
                <w:sz w:val="2"/>
                <w:szCs w:val="2"/>
              </w:rPr>
            </w:pPr>
          </w:p>
        </w:tc>
        <w:tc>
          <w:tcPr>
            <w:tcW w:w="855" w:type="dxa"/>
            <w:vMerge/>
            <w:tcBorders>
              <w:top w:val="nil"/>
              <w:left w:val="single" w:sz="8" w:space="0" w:color="000000"/>
            </w:tcBorders>
          </w:tcPr>
          <w:p>
            <w:pPr>
              <w:rPr>
                <w:sz w:val="2"/>
                <w:szCs w:val="2"/>
              </w:rPr>
            </w:pPr>
          </w:p>
        </w:tc>
      </w:tr>
      <w:tr>
        <w:trPr>
          <w:trHeight w:val="337" w:hRule="atLeast"/>
        </w:trPr>
        <w:tc>
          <w:tcPr>
            <w:tcW w:w="799"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0"/>
              <w:jc w:val="left"/>
              <w:rPr>
                <w:rFonts w:ascii="Times New Roman"/>
                <w:sz w:val="28"/>
              </w:rPr>
            </w:pPr>
          </w:p>
          <w:p>
            <w:pPr>
              <w:pStyle w:val="TableParagraph"/>
              <w:spacing w:line="156" w:lineRule="auto"/>
              <w:ind w:left="129" w:right="117"/>
              <w:rPr>
                <w:rFonts w:ascii="Times New Roman" w:eastAsia="Times New Roman"/>
                <w:sz w:val="18"/>
              </w:rPr>
            </w:pPr>
            <w:r>
              <w:rPr>
                <w:sz w:val="18"/>
              </w:rPr>
              <w:t>原料药车间 </w:t>
            </w:r>
            <w:r>
              <w:rPr>
                <w:rFonts w:ascii="Times New Roman" w:eastAsia="Times New Roman"/>
                <w:sz w:val="18"/>
              </w:rPr>
              <w:t>1 </w:t>
            </w:r>
            <w:r>
              <w:rPr>
                <w:sz w:val="18"/>
              </w:rPr>
              <w:t>排气筒 </w:t>
            </w:r>
            <w:r>
              <w:rPr>
                <w:rFonts w:ascii="Times New Roman" w:eastAsia="Times New Roman"/>
                <w:sz w:val="18"/>
              </w:rPr>
              <w:t>1#</w:t>
            </w:r>
          </w:p>
        </w:tc>
        <w:tc>
          <w:tcPr>
            <w:tcW w:w="590"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18"/>
              </w:rPr>
            </w:pPr>
          </w:p>
          <w:p>
            <w:pPr>
              <w:pStyle w:val="TableParagraph"/>
              <w:spacing w:before="1"/>
              <w:ind w:left="95" w:right="85"/>
              <w:rPr>
                <w:rFonts w:ascii="Times New Roman"/>
                <w:sz w:val="18"/>
              </w:rPr>
            </w:pPr>
            <w:r>
              <w:rPr>
                <w:rFonts w:ascii="Times New Roman"/>
                <w:sz w:val="18"/>
              </w:rPr>
              <w:t>20</w:t>
            </w:r>
          </w:p>
        </w:tc>
        <w:tc>
          <w:tcPr>
            <w:tcW w:w="411"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18"/>
              </w:rPr>
            </w:pPr>
          </w:p>
          <w:p>
            <w:pPr>
              <w:pStyle w:val="TableParagraph"/>
              <w:spacing w:before="1"/>
              <w:ind w:left="91"/>
              <w:jc w:val="left"/>
              <w:rPr>
                <w:rFonts w:ascii="Times New Roman"/>
                <w:sz w:val="18"/>
              </w:rPr>
            </w:pPr>
            <w:r>
              <w:rPr>
                <w:rFonts w:ascii="Times New Roman"/>
                <w:sz w:val="18"/>
              </w:rPr>
              <w:t>0.5</w:t>
            </w:r>
          </w:p>
        </w:tc>
        <w:tc>
          <w:tcPr>
            <w:tcW w:w="598"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40"/>
              <w:ind w:left="117"/>
              <w:jc w:val="left"/>
              <w:rPr>
                <w:sz w:val="18"/>
              </w:rPr>
            </w:pPr>
            <w:r>
              <w:rPr>
                <w:sz w:val="18"/>
              </w:rPr>
              <w:t>常温</w:t>
            </w:r>
          </w:p>
        </w:tc>
        <w:tc>
          <w:tcPr>
            <w:tcW w:w="795"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18"/>
              </w:rPr>
            </w:pPr>
          </w:p>
          <w:p>
            <w:pPr>
              <w:pStyle w:val="TableParagraph"/>
              <w:spacing w:before="1"/>
              <w:ind w:left="215"/>
              <w:jc w:val="left"/>
              <w:rPr>
                <w:rFonts w:ascii="Times New Roman"/>
                <w:sz w:val="18"/>
              </w:rPr>
            </w:pPr>
            <w:r>
              <w:rPr>
                <w:rFonts w:ascii="Times New Roman"/>
                <w:sz w:val="18"/>
              </w:rPr>
              <w:t>4000</w:t>
            </w:r>
          </w:p>
        </w:tc>
        <w:tc>
          <w:tcPr>
            <w:tcW w:w="1707" w:type="dxa"/>
          </w:tcPr>
          <w:p>
            <w:pPr>
              <w:pStyle w:val="TableParagraph"/>
              <w:spacing w:line="318" w:lineRule="exact"/>
              <w:ind w:left="47" w:right="47"/>
              <w:rPr>
                <w:sz w:val="18"/>
              </w:rPr>
            </w:pPr>
            <w:r>
              <w:rPr>
                <w:sz w:val="18"/>
              </w:rPr>
              <w:t>吡啶</w:t>
            </w:r>
          </w:p>
        </w:tc>
        <w:tc>
          <w:tcPr>
            <w:tcW w:w="802" w:type="dxa"/>
          </w:tcPr>
          <w:p>
            <w:pPr>
              <w:pStyle w:val="TableParagraph"/>
              <w:spacing w:before="59"/>
              <w:ind w:left="152"/>
              <w:jc w:val="left"/>
              <w:rPr>
                <w:rFonts w:ascii="Times New Roman"/>
                <w:sz w:val="18"/>
              </w:rPr>
            </w:pPr>
            <w:r>
              <w:rPr>
                <w:rFonts w:ascii="Times New Roman"/>
                <w:sz w:val="18"/>
              </w:rPr>
              <w:t>0.0117</w:t>
            </w:r>
          </w:p>
        </w:tc>
        <w:tc>
          <w:tcPr>
            <w:tcW w:w="961" w:type="dxa"/>
            <w:tcBorders>
              <w:right w:val="single" w:sz="8" w:space="0" w:color="000000"/>
            </w:tcBorders>
          </w:tcPr>
          <w:p>
            <w:pPr>
              <w:pStyle w:val="TableParagraph"/>
              <w:spacing w:before="59"/>
              <w:rPr>
                <w:rFonts w:ascii="Times New Roman"/>
                <w:sz w:val="18"/>
              </w:rPr>
            </w:pPr>
            <w:r>
              <w:rPr>
                <w:rFonts w:ascii="Times New Roman"/>
                <w:sz w:val="18"/>
              </w:rPr>
              <w:t>3</w:t>
            </w:r>
          </w:p>
        </w:tc>
        <w:tc>
          <w:tcPr>
            <w:tcW w:w="807" w:type="dxa"/>
            <w:tcBorders>
              <w:left w:val="single" w:sz="8" w:space="0" w:color="000000"/>
              <w:right w:val="single" w:sz="8" w:space="0" w:color="000000"/>
            </w:tcBorders>
          </w:tcPr>
          <w:p>
            <w:pPr>
              <w:pStyle w:val="TableParagraph"/>
              <w:spacing w:before="59"/>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59"/>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醋酸</w:t>
            </w:r>
          </w:p>
        </w:tc>
        <w:tc>
          <w:tcPr>
            <w:tcW w:w="802" w:type="dxa"/>
          </w:tcPr>
          <w:p>
            <w:pPr>
              <w:pStyle w:val="TableParagraph"/>
              <w:spacing w:before="62"/>
              <w:ind w:left="241"/>
              <w:jc w:val="left"/>
              <w:rPr>
                <w:rFonts w:ascii="Times New Roman"/>
                <w:sz w:val="18"/>
              </w:rPr>
            </w:pPr>
            <w:r>
              <w:rPr>
                <w:rFonts w:ascii="Times New Roman"/>
                <w:sz w:val="18"/>
              </w:rPr>
              <w:t>0.06</w:t>
            </w:r>
          </w:p>
        </w:tc>
        <w:tc>
          <w:tcPr>
            <w:tcW w:w="961" w:type="dxa"/>
            <w:tcBorders>
              <w:right w:val="single" w:sz="8" w:space="0" w:color="000000"/>
            </w:tcBorders>
          </w:tcPr>
          <w:p>
            <w:pPr>
              <w:pStyle w:val="TableParagraph"/>
              <w:spacing w:before="62"/>
              <w:ind w:left="297" w:right="291"/>
              <w:rPr>
                <w:rFonts w:ascii="Times New Roman"/>
                <w:sz w:val="18"/>
              </w:rPr>
            </w:pPr>
            <w:r>
              <w:rPr>
                <w:rFonts w:ascii="Times New Roman"/>
                <w:sz w:val="18"/>
              </w:rPr>
              <w:t>15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158.9</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正溴丙烷</w:t>
            </w:r>
          </w:p>
        </w:tc>
        <w:tc>
          <w:tcPr>
            <w:tcW w:w="802" w:type="dxa"/>
          </w:tcPr>
          <w:p>
            <w:pPr>
              <w:pStyle w:val="TableParagraph"/>
              <w:spacing w:before="62"/>
              <w:ind w:left="241"/>
              <w:jc w:val="left"/>
              <w:rPr>
                <w:rFonts w:ascii="Times New Roman"/>
                <w:sz w:val="18"/>
              </w:rPr>
            </w:pPr>
            <w:r>
              <w:rPr>
                <w:rFonts w:ascii="Times New Roman"/>
                <w:sz w:val="18"/>
              </w:rPr>
              <w:t>0.33</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82.5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130.5</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乙酰乙酸甲酯</w:t>
            </w:r>
          </w:p>
        </w:tc>
        <w:tc>
          <w:tcPr>
            <w:tcW w:w="802" w:type="dxa"/>
          </w:tcPr>
          <w:p>
            <w:pPr>
              <w:pStyle w:val="TableParagraph"/>
              <w:spacing w:before="62"/>
              <w:ind w:left="195"/>
              <w:jc w:val="left"/>
              <w:rPr>
                <w:rFonts w:ascii="Times New Roman"/>
                <w:sz w:val="18"/>
              </w:rPr>
            </w:pPr>
            <w:r>
              <w:rPr>
                <w:rFonts w:ascii="Times New Roman"/>
                <w:sz w:val="18"/>
              </w:rPr>
              <w:t>0.083</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20.8</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甲醇</w:t>
            </w:r>
          </w:p>
        </w:tc>
        <w:tc>
          <w:tcPr>
            <w:tcW w:w="802" w:type="dxa"/>
          </w:tcPr>
          <w:p>
            <w:pPr>
              <w:pStyle w:val="TableParagraph"/>
              <w:spacing w:before="62"/>
              <w:ind w:left="152"/>
              <w:jc w:val="left"/>
              <w:rPr>
                <w:rFonts w:ascii="Times New Roman"/>
                <w:sz w:val="18"/>
              </w:rPr>
            </w:pPr>
            <w:r>
              <w:rPr>
                <w:rFonts w:ascii="Times New Roman"/>
                <w:sz w:val="18"/>
              </w:rPr>
              <w:t>0.0250</w:t>
            </w:r>
          </w:p>
        </w:tc>
        <w:tc>
          <w:tcPr>
            <w:tcW w:w="961" w:type="dxa"/>
            <w:tcBorders>
              <w:right w:val="single" w:sz="8" w:space="0" w:color="000000"/>
            </w:tcBorders>
          </w:tcPr>
          <w:p>
            <w:pPr>
              <w:pStyle w:val="TableParagraph"/>
              <w:spacing w:before="62"/>
              <w:ind w:left="296" w:right="293"/>
              <w:rPr>
                <w:rFonts w:ascii="Times New Roman"/>
                <w:sz w:val="18"/>
              </w:rPr>
            </w:pPr>
            <w:r>
              <w:rPr>
                <w:rFonts w:ascii="Times New Roman"/>
                <w:sz w:val="18"/>
              </w:rPr>
              <w:t>6.3</w:t>
            </w:r>
          </w:p>
        </w:tc>
        <w:tc>
          <w:tcPr>
            <w:tcW w:w="807" w:type="dxa"/>
            <w:tcBorders>
              <w:left w:val="single" w:sz="8" w:space="0" w:color="000000"/>
              <w:right w:val="single" w:sz="8" w:space="0" w:color="000000"/>
            </w:tcBorders>
          </w:tcPr>
          <w:p>
            <w:pPr>
              <w:pStyle w:val="TableParagraph"/>
              <w:spacing w:before="62"/>
              <w:ind w:right="276"/>
              <w:jc w:val="right"/>
              <w:rPr>
                <w:rFonts w:ascii="Times New Roman"/>
                <w:sz w:val="18"/>
              </w:rPr>
            </w:pPr>
            <w:r>
              <w:rPr>
                <w:rFonts w:ascii="Times New Roman"/>
                <w:sz w:val="18"/>
              </w:rPr>
              <w:t>8.6</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190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醋酸甲酯</w:t>
            </w:r>
          </w:p>
        </w:tc>
        <w:tc>
          <w:tcPr>
            <w:tcW w:w="802" w:type="dxa"/>
          </w:tcPr>
          <w:p>
            <w:pPr>
              <w:pStyle w:val="TableParagraph"/>
              <w:spacing w:before="62"/>
              <w:ind w:left="152"/>
              <w:jc w:val="left"/>
              <w:rPr>
                <w:rFonts w:ascii="Times New Roman"/>
                <w:sz w:val="18"/>
              </w:rPr>
            </w:pPr>
            <w:r>
              <w:rPr>
                <w:rFonts w:ascii="Times New Roman"/>
                <w:sz w:val="18"/>
              </w:rPr>
              <w:t>0.1183</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29.6</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245.3</w:t>
            </w:r>
          </w:p>
        </w:tc>
      </w:tr>
      <w:tr>
        <w:trPr>
          <w:trHeight w:val="338"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19" w:lineRule="exact"/>
              <w:ind w:left="47" w:right="47"/>
              <w:rPr>
                <w:sz w:val="18"/>
              </w:rPr>
            </w:pPr>
            <w:r>
              <w:rPr>
                <w:sz w:val="18"/>
              </w:rPr>
              <w:t>甲苯</w:t>
            </w:r>
          </w:p>
        </w:tc>
        <w:tc>
          <w:tcPr>
            <w:tcW w:w="802" w:type="dxa"/>
          </w:tcPr>
          <w:p>
            <w:pPr>
              <w:pStyle w:val="TableParagraph"/>
              <w:spacing w:before="60"/>
              <w:ind w:left="152"/>
              <w:jc w:val="left"/>
              <w:rPr>
                <w:rFonts w:ascii="Times New Roman"/>
                <w:sz w:val="18"/>
              </w:rPr>
            </w:pPr>
            <w:r>
              <w:rPr>
                <w:rFonts w:ascii="Times New Roman"/>
                <w:sz w:val="18"/>
              </w:rPr>
              <w:t>0.0833</w:t>
            </w:r>
          </w:p>
        </w:tc>
        <w:tc>
          <w:tcPr>
            <w:tcW w:w="961" w:type="dxa"/>
            <w:tcBorders>
              <w:right w:val="single" w:sz="8" w:space="0" w:color="000000"/>
            </w:tcBorders>
          </w:tcPr>
          <w:p>
            <w:pPr>
              <w:pStyle w:val="TableParagraph"/>
              <w:spacing w:before="60"/>
              <w:ind w:left="297" w:right="292"/>
              <w:rPr>
                <w:rFonts w:ascii="Times New Roman"/>
                <w:sz w:val="18"/>
              </w:rPr>
            </w:pPr>
            <w:r>
              <w:rPr>
                <w:rFonts w:ascii="Times New Roman"/>
                <w:sz w:val="18"/>
              </w:rPr>
              <w:t>20.8</w:t>
            </w:r>
          </w:p>
        </w:tc>
        <w:tc>
          <w:tcPr>
            <w:tcW w:w="807" w:type="dxa"/>
            <w:tcBorders>
              <w:left w:val="single" w:sz="8" w:space="0" w:color="000000"/>
              <w:right w:val="single" w:sz="8" w:space="0" w:color="000000"/>
            </w:tcBorders>
          </w:tcPr>
          <w:p>
            <w:pPr>
              <w:pStyle w:val="TableParagraph"/>
              <w:spacing w:before="60"/>
              <w:ind w:right="277"/>
              <w:jc w:val="right"/>
              <w:rPr>
                <w:rFonts w:ascii="Times New Roman"/>
                <w:sz w:val="18"/>
              </w:rPr>
            </w:pPr>
            <w:r>
              <w:rPr>
                <w:rFonts w:ascii="Times New Roman"/>
                <w:sz w:val="18"/>
              </w:rPr>
              <w:t>5.2</w:t>
            </w:r>
          </w:p>
        </w:tc>
        <w:tc>
          <w:tcPr>
            <w:tcW w:w="855" w:type="dxa"/>
            <w:tcBorders>
              <w:left w:val="single" w:sz="8" w:space="0" w:color="000000"/>
            </w:tcBorders>
          </w:tcPr>
          <w:p>
            <w:pPr>
              <w:pStyle w:val="TableParagraph"/>
              <w:spacing w:before="60"/>
              <w:ind w:left="198" w:right="194"/>
              <w:rPr>
                <w:rFonts w:ascii="Times New Roman"/>
                <w:sz w:val="18"/>
              </w:rPr>
            </w:pPr>
            <w:r>
              <w:rPr>
                <w:rFonts w:ascii="Times New Roman"/>
                <w:sz w:val="18"/>
              </w:rPr>
              <w:t>40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50" w:right="47"/>
              <w:rPr>
                <w:sz w:val="18"/>
              </w:rPr>
            </w:pPr>
            <w:r>
              <w:rPr>
                <w:sz w:val="18"/>
              </w:rPr>
              <w:t>丙戊酸</w:t>
            </w:r>
          </w:p>
        </w:tc>
        <w:tc>
          <w:tcPr>
            <w:tcW w:w="802" w:type="dxa"/>
          </w:tcPr>
          <w:p>
            <w:pPr>
              <w:pStyle w:val="TableParagraph"/>
              <w:spacing w:before="62"/>
              <w:ind w:left="152"/>
              <w:jc w:val="left"/>
              <w:rPr>
                <w:rFonts w:ascii="Times New Roman"/>
                <w:sz w:val="18"/>
              </w:rPr>
            </w:pPr>
            <w:r>
              <w:rPr>
                <w:rFonts w:ascii="Times New Roman"/>
                <w:sz w:val="18"/>
              </w:rPr>
              <w:t>0.0833</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20.8</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50" w:right="47"/>
              <w:rPr>
                <w:sz w:val="18"/>
              </w:rPr>
            </w:pPr>
            <w:r>
              <w:rPr>
                <w:sz w:val="18"/>
              </w:rPr>
              <w:t>氯化氢</w:t>
            </w:r>
          </w:p>
        </w:tc>
        <w:tc>
          <w:tcPr>
            <w:tcW w:w="802" w:type="dxa"/>
          </w:tcPr>
          <w:p>
            <w:pPr>
              <w:pStyle w:val="TableParagraph"/>
              <w:spacing w:before="62"/>
              <w:ind w:left="195"/>
              <w:jc w:val="left"/>
              <w:rPr>
                <w:rFonts w:ascii="Times New Roman"/>
                <w:sz w:val="18"/>
              </w:rPr>
            </w:pPr>
            <w:r>
              <w:rPr>
                <w:rFonts w:ascii="Times New Roman"/>
                <w:sz w:val="18"/>
              </w:rPr>
              <w:t>0.006</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3.5</w:t>
            </w:r>
          </w:p>
        </w:tc>
        <w:tc>
          <w:tcPr>
            <w:tcW w:w="807" w:type="dxa"/>
            <w:tcBorders>
              <w:left w:val="single" w:sz="8" w:space="0" w:color="000000"/>
              <w:right w:val="single" w:sz="8" w:space="0" w:color="000000"/>
            </w:tcBorders>
          </w:tcPr>
          <w:p>
            <w:pPr>
              <w:pStyle w:val="TableParagraph"/>
              <w:spacing w:before="62"/>
              <w:ind w:right="234"/>
              <w:jc w:val="right"/>
              <w:rPr>
                <w:rFonts w:ascii="Times New Roman"/>
                <w:sz w:val="18"/>
              </w:rPr>
            </w:pPr>
            <w:r>
              <w:rPr>
                <w:rFonts w:ascii="Times New Roman"/>
                <w:sz w:val="18"/>
              </w:rPr>
              <w:t>0.43</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100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50" w:right="47"/>
              <w:rPr>
                <w:sz w:val="18"/>
              </w:rPr>
            </w:pPr>
            <w:r>
              <w:rPr>
                <w:sz w:val="18"/>
              </w:rPr>
              <w:t>二甲苯</w:t>
            </w:r>
          </w:p>
        </w:tc>
        <w:tc>
          <w:tcPr>
            <w:tcW w:w="802" w:type="dxa"/>
          </w:tcPr>
          <w:p>
            <w:pPr>
              <w:pStyle w:val="TableParagraph"/>
              <w:spacing w:before="62"/>
              <w:ind w:left="152"/>
              <w:jc w:val="left"/>
              <w:rPr>
                <w:rFonts w:ascii="Times New Roman"/>
                <w:sz w:val="18"/>
              </w:rPr>
            </w:pPr>
            <w:r>
              <w:rPr>
                <w:rFonts w:ascii="Times New Roman"/>
                <w:sz w:val="18"/>
              </w:rPr>
              <w:t>0.0333</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8.3</w:t>
            </w:r>
          </w:p>
        </w:tc>
        <w:tc>
          <w:tcPr>
            <w:tcW w:w="807" w:type="dxa"/>
            <w:tcBorders>
              <w:left w:val="single" w:sz="8" w:space="0" w:color="000000"/>
              <w:right w:val="single" w:sz="8" w:space="0" w:color="000000"/>
            </w:tcBorders>
          </w:tcPr>
          <w:p>
            <w:pPr>
              <w:pStyle w:val="TableParagraph"/>
              <w:spacing w:before="62"/>
              <w:ind w:right="277"/>
              <w:jc w:val="right"/>
              <w:rPr>
                <w:rFonts w:ascii="Times New Roman"/>
                <w:sz w:val="18"/>
              </w:rPr>
            </w:pPr>
            <w:r>
              <w:rPr>
                <w:rFonts w:ascii="Times New Roman"/>
                <w:sz w:val="18"/>
              </w:rPr>
              <w:t>1.7</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70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哌啶</w:t>
            </w:r>
          </w:p>
        </w:tc>
        <w:tc>
          <w:tcPr>
            <w:tcW w:w="802" w:type="dxa"/>
          </w:tcPr>
          <w:p>
            <w:pPr>
              <w:pStyle w:val="TableParagraph"/>
              <w:spacing w:before="62"/>
              <w:ind w:left="152"/>
              <w:jc w:val="left"/>
              <w:rPr>
                <w:rFonts w:ascii="Times New Roman"/>
                <w:sz w:val="18"/>
              </w:rPr>
            </w:pPr>
            <w:r>
              <w:rPr>
                <w:rFonts w:ascii="Times New Roman"/>
                <w:sz w:val="18"/>
              </w:rPr>
              <w:t>0.0067</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1.7</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3"/>
              <w:rPr>
                <w:rFonts w:ascii="Times New Roman"/>
                <w:sz w:val="18"/>
              </w:rPr>
            </w:pPr>
            <w:r>
              <w:rPr>
                <w:rFonts w:ascii="Times New Roman"/>
                <w:sz w:val="18"/>
              </w:rPr>
              <w:t>2.3</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50" w:right="47"/>
              <w:rPr>
                <w:sz w:val="18"/>
              </w:rPr>
            </w:pPr>
            <w:r>
              <w:rPr>
                <w:rFonts w:ascii="Times New Roman" w:eastAsia="Times New Roman"/>
                <w:sz w:val="18"/>
              </w:rPr>
              <w:t>1</w:t>
            </w:r>
            <w:r>
              <w:rPr>
                <w:sz w:val="18"/>
              </w:rPr>
              <w:t>，，</w:t>
            </w:r>
            <w:r>
              <w:rPr>
                <w:rFonts w:ascii="Times New Roman" w:eastAsia="Times New Roman"/>
                <w:sz w:val="18"/>
              </w:rPr>
              <w:t>3 </w:t>
            </w:r>
            <w:r>
              <w:rPr>
                <w:sz w:val="18"/>
              </w:rPr>
              <w:t>溴氯丙烷</w:t>
            </w:r>
          </w:p>
        </w:tc>
        <w:tc>
          <w:tcPr>
            <w:tcW w:w="802" w:type="dxa"/>
          </w:tcPr>
          <w:p>
            <w:pPr>
              <w:pStyle w:val="TableParagraph"/>
              <w:spacing w:before="62"/>
              <w:ind w:left="152"/>
              <w:jc w:val="left"/>
              <w:rPr>
                <w:rFonts w:ascii="Times New Roman"/>
                <w:sz w:val="18"/>
              </w:rPr>
            </w:pPr>
            <w:r>
              <w:rPr>
                <w:rFonts w:ascii="Times New Roman"/>
                <w:sz w:val="18"/>
              </w:rPr>
              <w:t>0.0133</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3.3</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38"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18" w:lineRule="exact"/>
              <w:ind w:left="50" w:right="47"/>
              <w:rPr>
                <w:sz w:val="18"/>
              </w:rPr>
            </w:pPr>
            <w:r>
              <w:rPr>
                <w:rFonts w:ascii="Times New Roman" w:eastAsia="Times New Roman"/>
                <w:sz w:val="18"/>
              </w:rPr>
              <w:t>1-</w:t>
            </w:r>
            <w:r>
              <w:rPr>
                <w:sz w:val="18"/>
              </w:rPr>
              <w:t>（</w:t>
            </w:r>
            <w:r>
              <w:rPr>
                <w:rFonts w:ascii="Times New Roman" w:eastAsia="Times New Roman"/>
                <w:sz w:val="18"/>
              </w:rPr>
              <w:t>3-</w:t>
            </w:r>
            <w:r>
              <w:rPr>
                <w:sz w:val="18"/>
              </w:rPr>
              <w:t>氯丙基）哌啶</w:t>
            </w:r>
          </w:p>
        </w:tc>
        <w:tc>
          <w:tcPr>
            <w:tcW w:w="802" w:type="dxa"/>
          </w:tcPr>
          <w:p>
            <w:pPr>
              <w:pStyle w:val="TableParagraph"/>
              <w:spacing w:before="59"/>
              <w:ind w:left="241"/>
              <w:jc w:val="left"/>
              <w:rPr>
                <w:rFonts w:ascii="Times New Roman"/>
                <w:sz w:val="18"/>
              </w:rPr>
            </w:pPr>
            <w:r>
              <w:rPr>
                <w:rFonts w:ascii="Times New Roman"/>
                <w:sz w:val="18"/>
              </w:rPr>
              <w:t>0.04</w:t>
            </w:r>
          </w:p>
        </w:tc>
        <w:tc>
          <w:tcPr>
            <w:tcW w:w="961" w:type="dxa"/>
            <w:tcBorders>
              <w:right w:val="single" w:sz="8" w:space="0" w:color="000000"/>
            </w:tcBorders>
          </w:tcPr>
          <w:p>
            <w:pPr>
              <w:pStyle w:val="TableParagraph"/>
              <w:spacing w:before="59"/>
              <w:ind w:left="297" w:right="291"/>
              <w:rPr>
                <w:rFonts w:ascii="Times New Roman"/>
                <w:sz w:val="18"/>
              </w:rPr>
            </w:pPr>
            <w:r>
              <w:rPr>
                <w:rFonts w:ascii="Times New Roman"/>
                <w:sz w:val="18"/>
              </w:rPr>
              <w:t>10</w:t>
            </w:r>
          </w:p>
        </w:tc>
        <w:tc>
          <w:tcPr>
            <w:tcW w:w="807" w:type="dxa"/>
            <w:tcBorders>
              <w:left w:val="single" w:sz="8" w:space="0" w:color="000000"/>
              <w:right w:val="single" w:sz="8" w:space="0" w:color="000000"/>
            </w:tcBorders>
          </w:tcPr>
          <w:p>
            <w:pPr>
              <w:pStyle w:val="TableParagraph"/>
              <w:spacing w:before="59"/>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59"/>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四氢呋喃</w:t>
            </w:r>
          </w:p>
        </w:tc>
        <w:tc>
          <w:tcPr>
            <w:tcW w:w="802" w:type="dxa"/>
          </w:tcPr>
          <w:p>
            <w:pPr>
              <w:pStyle w:val="TableParagraph"/>
              <w:spacing w:before="62"/>
              <w:ind w:left="152"/>
              <w:jc w:val="left"/>
              <w:rPr>
                <w:rFonts w:ascii="Times New Roman"/>
                <w:sz w:val="18"/>
              </w:rPr>
            </w:pPr>
            <w:r>
              <w:rPr>
                <w:rFonts w:ascii="Times New Roman"/>
                <w:sz w:val="18"/>
              </w:rPr>
              <w:t>0.1333</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33.3</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126.7</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乙醇</w:t>
            </w:r>
          </w:p>
        </w:tc>
        <w:tc>
          <w:tcPr>
            <w:tcW w:w="802" w:type="dxa"/>
          </w:tcPr>
          <w:p>
            <w:pPr>
              <w:pStyle w:val="TableParagraph"/>
              <w:spacing w:before="62"/>
              <w:ind w:left="152"/>
              <w:jc w:val="left"/>
              <w:rPr>
                <w:rFonts w:ascii="Times New Roman"/>
                <w:sz w:val="18"/>
              </w:rPr>
            </w:pPr>
            <w:r>
              <w:rPr>
                <w:rFonts w:ascii="Times New Roman"/>
                <w:sz w:val="18"/>
              </w:rPr>
              <w:t>0.1333</w:t>
            </w:r>
          </w:p>
        </w:tc>
        <w:tc>
          <w:tcPr>
            <w:tcW w:w="961" w:type="dxa"/>
            <w:tcBorders>
              <w:right w:val="single" w:sz="8" w:space="0" w:color="000000"/>
            </w:tcBorders>
          </w:tcPr>
          <w:p>
            <w:pPr>
              <w:pStyle w:val="TableParagraph"/>
              <w:spacing w:before="62"/>
              <w:ind w:left="296" w:right="293"/>
              <w:rPr>
                <w:rFonts w:ascii="Times New Roman"/>
                <w:sz w:val="18"/>
              </w:rPr>
            </w:pPr>
            <w:r>
              <w:rPr>
                <w:rFonts w:ascii="Times New Roman"/>
                <w:sz w:val="18"/>
              </w:rPr>
              <w:t>33.3</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317.7</w:t>
            </w:r>
          </w:p>
        </w:tc>
      </w:tr>
      <w:tr>
        <w:trPr>
          <w:trHeight w:val="340" w:hRule="atLeast"/>
        </w:trPr>
        <w:tc>
          <w:tcPr>
            <w:tcW w:w="799"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20"/>
              </w:rPr>
            </w:pPr>
          </w:p>
          <w:p>
            <w:pPr>
              <w:pStyle w:val="TableParagraph"/>
              <w:spacing w:line="156" w:lineRule="auto"/>
              <w:ind w:left="129" w:right="117"/>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590"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9"/>
              <w:jc w:val="left"/>
              <w:rPr>
                <w:rFonts w:ascii="Times New Roman"/>
                <w:sz w:val="29"/>
              </w:rPr>
            </w:pPr>
          </w:p>
          <w:p>
            <w:pPr>
              <w:pStyle w:val="TableParagraph"/>
              <w:ind w:left="95" w:right="85"/>
              <w:rPr>
                <w:rFonts w:ascii="Times New Roman"/>
                <w:sz w:val="18"/>
              </w:rPr>
            </w:pPr>
            <w:r>
              <w:rPr>
                <w:rFonts w:ascii="Times New Roman"/>
                <w:sz w:val="18"/>
              </w:rPr>
              <w:t>20</w:t>
            </w:r>
          </w:p>
        </w:tc>
        <w:tc>
          <w:tcPr>
            <w:tcW w:w="411"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9"/>
              <w:jc w:val="left"/>
              <w:rPr>
                <w:rFonts w:ascii="Times New Roman"/>
                <w:sz w:val="29"/>
              </w:rPr>
            </w:pPr>
          </w:p>
          <w:p>
            <w:pPr>
              <w:pStyle w:val="TableParagraph"/>
              <w:ind w:left="91"/>
              <w:jc w:val="left"/>
              <w:rPr>
                <w:rFonts w:ascii="Times New Roman"/>
                <w:sz w:val="18"/>
              </w:rPr>
            </w:pPr>
            <w:r>
              <w:rPr>
                <w:rFonts w:ascii="Times New Roman"/>
                <w:sz w:val="18"/>
              </w:rPr>
              <w:t>0.5</w:t>
            </w:r>
          </w:p>
        </w:tc>
        <w:tc>
          <w:tcPr>
            <w:tcW w:w="598"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57"/>
              <w:ind w:left="117"/>
              <w:jc w:val="left"/>
              <w:rPr>
                <w:sz w:val="18"/>
              </w:rPr>
            </w:pPr>
            <w:r>
              <w:rPr>
                <w:sz w:val="18"/>
              </w:rPr>
              <w:t>常温</w:t>
            </w:r>
          </w:p>
        </w:tc>
        <w:tc>
          <w:tcPr>
            <w:tcW w:w="795"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9"/>
              <w:jc w:val="left"/>
              <w:rPr>
                <w:rFonts w:ascii="Times New Roman"/>
                <w:sz w:val="29"/>
              </w:rPr>
            </w:pPr>
          </w:p>
          <w:p>
            <w:pPr>
              <w:pStyle w:val="TableParagraph"/>
              <w:ind w:left="215"/>
              <w:jc w:val="left"/>
              <w:rPr>
                <w:rFonts w:ascii="Times New Roman"/>
                <w:sz w:val="18"/>
              </w:rPr>
            </w:pPr>
            <w:r>
              <w:rPr>
                <w:rFonts w:ascii="Times New Roman"/>
                <w:sz w:val="18"/>
              </w:rPr>
              <w:t>4000</w:t>
            </w:r>
          </w:p>
        </w:tc>
        <w:tc>
          <w:tcPr>
            <w:tcW w:w="1707" w:type="dxa"/>
          </w:tcPr>
          <w:p>
            <w:pPr>
              <w:pStyle w:val="TableParagraph"/>
              <w:spacing w:line="321" w:lineRule="exact"/>
              <w:ind w:left="50" w:right="47"/>
              <w:rPr>
                <w:sz w:val="18"/>
              </w:rPr>
            </w:pPr>
            <w:r>
              <w:rPr>
                <w:sz w:val="18"/>
              </w:rPr>
              <w:t>异丙醇</w:t>
            </w:r>
          </w:p>
        </w:tc>
        <w:tc>
          <w:tcPr>
            <w:tcW w:w="802" w:type="dxa"/>
          </w:tcPr>
          <w:p>
            <w:pPr>
              <w:pStyle w:val="TableParagraph"/>
              <w:spacing w:before="62"/>
              <w:ind w:left="195"/>
              <w:jc w:val="left"/>
              <w:rPr>
                <w:rFonts w:ascii="Times New Roman"/>
                <w:sz w:val="18"/>
              </w:rPr>
            </w:pPr>
            <w:r>
              <w:rPr>
                <w:rFonts w:ascii="Times New Roman"/>
                <w:sz w:val="18"/>
              </w:rPr>
              <w:t>0.010</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2.5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甲苯</w:t>
            </w:r>
          </w:p>
        </w:tc>
        <w:tc>
          <w:tcPr>
            <w:tcW w:w="802" w:type="dxa"/>
          </w:tcPr>
          <w:p>
            <w:pPr>
              <w:pStyle w:val="TableParagraph"/>
              <w:spacing w:before="62"/>
              <w:ind w:left="152"/>
              <w:jc w:val="left"/>
              <w:rPr>
                <w:rFonts w:ascii="Times New Roman"/>
                <w:sz w:val="18"/>
              </w:rPr>
            </w:pPr>
            <w:r>
              <w:rPr>
                <w:rFonts w:ascii="Times New Roman"/>
                <w:sz w:val="18"/>
              </w:rPr>
              <w:t>0.0780</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19.5</w:t>
            </w:r>
          </w:p>
        </w:tc>
        <w:tc>
          <w:tcPr>
            <w:tcW w:w="807" w:type="dxa"/>
            <w:tcBorders>
              <w:left w:val="single" w:sz="8" w:space="0" w:color="000000"/>
              <w:right w:val="single" w:sz="8" w:space="0" w:color="000000"/>
            </w:tcBorders>
          </w:tcPr>
          <w:p>
            <w:pPr>
              <w:pStyle w:val="TableParagraph"/>
              <w:spacing w:before="62"/>
              <w:ind w:right="277"/>
              <w:jc w:val="right"/>
              <w:rPr>
                <w:rFonts w:ascii="Times New Roman"/>
                <w:sz w:val="18"/>
              </w:rPr>
            </w:pPr>
            <w:r>
              <w:rPr>
                <w:rFonts w:ascii="Times New Roman"/>
                <w:sz w:val="18"/>
              </w:rPr>
              <w:t>5.2</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40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乙醇</w:t>
            </w:r>
          </w:p>
        </w:tc>
        <w:tc>
          <w:tcPr>
            <w:tcW w:w="802" w:type="dxa"/>
          </w:tcPr>
          <w:p>
            <w:pPr>
              <w:pStyle w:val="TableParagraph"/>
              <w:spacing w:before="62"/>
              <w:ind w:left="152"/>
              <w:jc w:val="left"/>
              <w:rPr>
                <w:rFonts w:ascii="Times New Roman"/>
                <w:sz w:val="18"/>
              </w:rPr>
            </w:pPr>
            <w:r>
              <w:rPr>
                <w:rFonts w:ascii="Times New Roman"/>
                <w:sz w:val="18"/>
              </w:rPr>
              <w:t>0.0417</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10.4</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317.7</w:t>
            </w:r>
          </w:p>
        </w:tc>
      </w:tr>
      <w:tr>
        <w:trPr>
          <w:trHeight w:val="338"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18" w:lineRule="exact"/>
              <w:ind w:left="50" w:right="47"/>
              <w:rPr>
                <w:sz w:val="18"/>
              </w:rPr>
            </w:pPr>
            <w:r>
              <w:rPr>
                <w:sz w:val="18"/>
              </w:rPr>
              <w:t>氯化氢</w:t>
            </w:r>
          </w:p>
        </w:tc>
        <w:tc>
          <w:tcPr>
            <w:tcW w:w="802" w:type="dxa"/>
          </w:tcPr>
          <w:p>
            <w:pPr>
              <w:pStyle w:val="TableParagraph"/>
              <w:spacing w:before="59"/>
              <w:ind w:left="195"/>
              <w:jc w:val="left"/>
              <w:rPr>
                <w:rFonts w:ascii="Times New Roman"/>
                <w:sz w:val="18"/>
              </w:rPr>
            </w:pPr>
            <w:r>
              <w:rPr>
                <w:rFonts w:ascii="Times New Roman"/>
                <w:sz w:val="18"/>
              </w:rPr>
              <w:t>0.362</w:t>
            </w:r>
          </w:p>
        </w:tc>
        <w:tc>
          <w:tcPr>
            <w:tcW w:w="961" w:type="dxa"/>
            <w:tcBorders>
              <w:right w:val="single" w:sz="8" w:space="0" w:color="000000"/>
            </w:tcBorders>
          </w:tcPr>
          <w:p>
            <w:pPr>
              <w:pStyle w:val="TableParagraph"/>
              <w:spacing w:before="59"/>
              <w:ind w:left="297" w:right="292"/>
              <w:rPr>
                <w:rFonts w:ascii="Times New Roman"/>
                <w:sz w:val="18"/>
              </w:rPr>
            </w:pPr>
            <w:r>
              <w:rPr>
                <w:rFonts w:ascii="Times New Roman"/>
                <w:sz w:val="18"/>
              </w:rPr>
              <w:t>90.5</w:t>
            </w:r>
          </w:p>
        </w:tc>
        <w:tc>
          <w:tcPr>
            <w:tcW w:w="807" w:type="dxa"/>
            <w:tcBorders>
              <w:left w:val="single" w:sz="8" w:space="0" w:color="000000"/>
              <w:right w:val="single" w:sz="8" w:space="0" w:color="000000"/>
            </w:tcBorders>
          </w:tcPr>
          <w:p>
            <w:pPr>
              <w:pStyle w:val="TableParagraph"/>
              <w:spacing w:before="59"/>
              <w:ind w:right="234"/>
              <w:jc w:val="right"/>
              <w:rPr>
                <w:rFonts w:ascii="Times New Roman"/>
                <w:sz w:val="18"/>
              </w:rPr>
            </w:pPr>
            <w:r>
              <w:rPr>
                <w:rFonts w:ascii="Times New Roman"/>
                <w:sz w:val="18"/>
              </w:rPr>
              <w:t>0.43</w:t>
            </w:r>
          </w:p>
        </w:tc>
        <w:tc>
          <w:tcPr>
            <w:tcW w:w="855" w:type="dxa"/>
            <w:tcBorders>
              <w:left w:val="single" w:sz="8" w:space="0" w:color="000000"/>
            </w:tcBorders>
          </w:tcPr>
          <w:p>
            <w:pPr>
              <w:pStyle w:val="TableParagraph"/>
              <w:spacing w:before="59"/>
              <w:ind w:left="198" w:right="194"/>
              <w:rPr>
                <w:rFonts w:ascii="Times New Roman"/>
                <w:sz w:val="18"/>
              </w:rPr>
            </w:pPr>
            <w:r>
              <w:rPr>
                <w:rFonts w:ascii="Times New Roman"/>
                <w:sz w:val="18"/>
              </w:rPr>
              <w:t>100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四氢呋喃</w:t>
            </w:r>
          </w:p>
        </w:tc>
        <w:tc>
          <w:tcPr>
            <w:tcW w:w="802" w:type="dxa"/>
          </w:tcPr>
          <w:p>
            <w:pPr>
              <w:pStyle w:val="TableParagraph"/>
              <w:spacing w:before="62"/>
              <w:ind w:left="241"/>
              <w:jc w:val="left"/>
              <w:rPr>
                <w:rFonts w:ascii="Times New Roman"/>
                <w:sz w:val="18"/>
              </w:rPr>
            </w:pPr>
            <w:r>
              <w:rPr>
                <w:rFonts w:ascii="Times New Roman"/>
                <w:sz w:val="18"/>
              </w:rPr>
              <w:t>0.08</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20</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126.7</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呋喃</w:t>
            </w:r>
          </w:p>
        </w:tc>
        <w:tc>
          <w:tcPr>
            <w:tcW w:w="802" w:type="dxa"/>
          </w:tcPr>
          <w:p>
            <w:pPr>
              <w:pStyle w:val="TableParagraph"/>
              <w:spacing w:before="62"/>
              <w:ind w:left="195"/>
              <w:jc w:val="left"/>
              <w:rPr>
                <w:rFonts w:ascii="Times New Roman"/>
                <w:sz w:val="18"/>
              </w:rPr>
            </w:pPr>
            <w:r>
              <w:rPr>
                <w:rFonts w:ascii="Times New Roman"/>
                <w:sz w:val="18"/>
              </w:rPr>
              <w:t>0.002</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0.5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丙酮</w:t>
            </w:r>
          </w:p>
        </w:tc>
        <w:tc>
          <w:tcPr>
            <w:tcW w:w="802" w:type="dxa"/>
          </w:tcPr>
          <w:p>
            <w:pPr>
              <w:pStyle w:val="TableParagraph"/>
              <w:spacing w:before="62"/>
              <w:ind w:left="152"/>
              <w:jc w:val="left"/>
              <w:rPr>
                <w:rFonts w:ascii="Times New Roman"/>
                <w:sz w:val="18"/>
              </w:rPr>
            </w:pPr>
            <w:r>
              <w:rPr>
                <w:rFonts w:ascii="Times New Roman"/>
                <w:sz w:val="18"/>
              </w:rPr>
              <w:t>0.2525</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63.1</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261</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50" w:right="47"/>
              <w:rPr>
                <w:sz w:val="18"/>
              </w:rPr>
            </w:pPr>
            <w:r>
              <w:rPr>
                <w:sz w:val="18"/>
              </w:rPr>
              <w:t>环氧氯丙烷</w:t>
            </w:r>
          </w:p>
        </w:tc>
        <w:tc>
          <w:tcPr>
            <w:tcW w:w="802" w:type="dxa"/>
          </w:tcPr>
          <w:p>
            <w:pPr>
              <w:pStyle w:val="TableParagraph"/>
              <w:spacing w:before="62"/>
              <w:ind w:left="152"/>
              <w:jc w:val="left"/>
              <w:rPr>
                <w:rFonts w:ascii="Times New Roman"/>
                <w:sz w:val="18"/>
              </w:rPr>
            </w:pPr>
            <w:r>
              <w:rPr>
                <w:rFonts w:ascii="Times New Roman"/>
                <w:sz w:val="18"/>
              </w:rPr>
              <w:t>0.0396</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9.9</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3"/>
              <w:rPr>
                <w:rFonts w:ascii="Times New Roman"/>
                <w:sz w:val="18"/>
              </w:rPr>
            </w:pPr>
            <w:r>
              <w:rPr>
                <w:rFonts w:ascii="Times New Roman"/>
                <w:sz w:val="18"/>
              </w:rPr>
              <w:t>4.1</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50" w:right="47"/>
              <w:rPr>
                <w:sz w:val="18"/>
              </w:rPr>
            </w:pPr>
            <w:r>
              <w:rPr>
                <w:sz w:val="18"/>
              </w:rPr>
              <w:t>正丙胺</w:t>
            </w:r>
          </w:p>
        </w:tc>
        <w:tc>
          <w:tcPr>
            <w:tcW w:w="802" w:type="dxa"/>
          </w:tcPr>
          <w:p>
            <w:pPr>
              <w:pStyle w:val="TableParagraph"/>
              <w:spacing w:before="62"/>
              <w:ind w:left="195"/>
              <w:jc w:val="left"/>
              <w:rPr>
                <w:rFonts w:ascii="Times New Roman"/>
                <w:sz w:val="18"/>
              </w:rPr>
            </w:pPr>
            <w:r>
              <w:rPr>
                <w:rFonts w:ascii="Times New Roman"/>
                <w:sz w:val="18"/>
              </w:rPr>
              <w:t>0.054</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13.5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5"/>
              <w:rPr>
                <w:rFonts w:ascii="Times New Roman"/>
                <w:sz w:val="18"/>
              </w:rPr>
            </w:pPr>
            <w:r>
              <w:rPr>
                <w:rFonts w:ascii="Times New Roman"/>
                <w:sz w:val="18"/>
              </w:rPr>
              <w:t>25.7</w:t>
            </w:r>
          </w:p>
        </w:tc>
      </w:tr>
      <w:tr>
        <w:trPr>
          <w:trHeight w:val="338"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18" w:lineRule="exact"/>
              <w:ind w:left="50" w:right="47"/>
              <w:rPr>
                <w:sz w:val="18"/>
              </w:rPr>
            </w:pPr>
            <w:r>
              <w:rPr>
                <w:sz w:val="18"/>
              </w:rPr>
              <w:t>三乙胺</w:t>
            </w:r>
          </w:p>
        </w:tc>
        <w:tc>
          <w:tcPr>
            <w:tcW w:w="802" w:type="dxa"/>
          </w:tcPr>
          <w:p>
            <w:pPr>
              <w:pStyle w:val="TableParagraph"/>
              <w:spacing w:before="59"/>
              <w:ind w:left="241"/>
              <w:jc w:val="left"/>
              <w:rPr>
                <w:rFonts w:ascii="Times New Roman"/>
                <w:sz w:val="18"/>
              </w:rPr>
            </w:pPr>
            <w:r>
              <w:rPr>
                <w:rFonts w:ascii="Times New Roman"/>
                <w:sz w:val="18"/>
              </w:rPr>
              <w:t>0.02</w:t>
            </w:r>
          </w:p>
        </w:tc>
        <w:tc>
          <w:tcPr>
            <w:tcW w:w="961" w:type="dxa"/>
            <w:tcBorders>
              <w:right w:val="single" w:sz="8" w:space="0" w:color="000000"/>
            </w:tcBorders>
          </w:tcPr>
          <w:p>
            <w:pPr>
              <w:pStyle w:val="TableParagraph"/>
              <w:spacing w:before="59"/>
              <w:rPr>
                <w:rFonts w:ascii="Times New Roman"/>
                <w:sz w:val="18"/>
              </w:rPr>
            </w:pPr>
            <w:r>
              <w:rPr>
                <w:rFonts w:ascii="Times New Roman"/>
                <w:sz w:val="18"/>
              </w:rPr>
              <w:t>5</w:t>
            </w:r>
          </w:p>
        </w:tc>
        <w:tc>
          <w:tcPr>
            <w:tcW w:w="807" w:type="dxa"/>
            <w:tcBorders>
              <w:left w:val="single" w:sz="8" w:space="0" w:color="000000"/>
              <w:right w:val="single" w:sz="8" w:space="0" w:color="000000"/>
            </w:tcBorders>
          </w:tcPr>
          <w:p>
            <w:pPr>
              <w:pStyle w:val="TableParagraph"/>
              <w:spacing w:before="59"/>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59"/>
              <w:ind w:left="198" w:right="194"/>
              <w:rPr>
                <w:rFonts w:ascii="Times New Roman" w:hAnsi="Times New Roman"/>
                <w:sz w:val="18"/>
              </w:rPr>
            </w:pPr>
            <w:r>
              <w:rPr>
                <w:rFonts w:ascii="Times New Roman" w:hAnsi="Times New Roman"/>
                <w:sz w:val="18"/>
              </w:rPr>
              <w:t>——</w:t>
            </w:r>
          </w:p>
        </w:tc>
      </w:tr>
      <w:tr>
        <w:trPr>
          <w:trHeight w:val="341"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1" w:lineRule="exact"/>
              <w:ind w:left="47" w:right="47"/>
              <w:rPr>
                <w:sz w:val="18"/>
              </w:rPr>
            </w:pPr>
            <w:r>
              <w:rPr>
                <w:sz w:val="18"/>
              </w:rPr>
              <w:t>醋酐</w:t>
            </w:r>
          </w:p>
        </w:tc>
        <w:tc>
          <w:tcPr>
            <w:tcW w:w="802" w:type="dxa"/>
          </w:tcPr>
          <w:p>
            <w:pPr>
              <w:pStyle w:val="TableParagraph"/>
              <w:spacing w:before="62"/>
              <w:ind w:left="195"/>
              <w:jc w:val="left"/>
              <w:rPr>
                <w:rFonts w:ascii="Times New Roman"/>
                <w:sz w:val="18"/>
              </w:rPr>
            </w:pPr>
            <w:r>
              <w:rPr>
                <w:rFonts w:ascii="Times New Roman"/>
                <w:sz w:val="18"/>
              </w:rPr>
              <w:t>0.021</w:t>
            </w:r>
          </w:p>
        </w:tc>
        <w:tc>
          <w:tcPr>
            <w:tcW w:w="961" w:type="dxa"/>
            <w:tcBorders>
              <w:right w:val="single" w:sz="8" w:space="0" w:color="000000"/>
            </w:tcBorders>
          </w:tcPr>
          <w:p>
            <w:pPr>
              <w:pStyle w:val="TableParagraph"/>
              <w:spacing w:before="62"/>
              <w:rPr>
                <w:rFonts w:ascii="Times New Roman"/>
                <w:sz w:val="18"/>
              </w:rPr>
            </w:pPr>
            <w:r>
              <w:rPr>
                <w:rFonts w:ascii="Times New Roman"/>
                <w:sz w:val="18"/>
              </w:rPr>
              <w:t>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5"/>
              <w:rPr>
                <w:rFonts w:ascii="Times New Roman"/>
                <w:sz w:val="18"/>
              </w:rPr>
            </w:pPr>
            <w:r>
              <w:rPr>
                <w:rFonts w:ascii="Times New Roman"/>
                <w:sz w:val="18"/>
              </w:rPr>
              <w:t>80.1</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醋酸</w:t>
            </w:r>
          </w:p>
        </w:tc>
        <w:tc>
          <w:tcPr>
            <w:tcW w:w="802" w:type="dxa"/>
          </w:tcPr>
          <w:p>
            <w:pPr>
              <w:pStyle w:val="TableParagraph"/>
              <w:spacing w:before="62"/>
              <w:ind w:left="241"/>
              <w:jc w:val="left"/>
              <w:rPr>
                <w:rFonts w:ascii="Times New Roman"/>
                <w:sz w:val="18"/>
              </w:rPr>
            </w:pPr>
            <w:r>
              <w:rPr>
                <w:rFonts w:ascii="Times New Roman"/>
                <w:sz w:val="18"/>
              </w:rPr>
              <w:t>0.13</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32.5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158.9</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硝酸</w:t>
            </w:r>
          </w:p>
        </w:tc>
        <w:tc>
          <w:tcPr>
            <w:tcW w:w="802" w:type="dxa"/>
          </w:tcPr>
          <w:p>
            <w:pPr>
              <w:pStyle w:val="TableParagraph"/>
              <w:spacing w:before="62"/>
              <w:ind w:left="195"/>
              <w:jc w:val="left"/>
              <w:rPr>
                <w:rFonts w:ascii="Times New Roman"/>
                <w:sz w:val="18"/>
              </w:rPr>
            </w:pPr>
            <w:r>
              <w:rPr>
                <w:rFonts w:ascii="Times New Roman"/>
                <w:sz w:val="18"/>
              </w:rPr>
              <w:t>0.017</w:t>
            </w:r>
          </w:p>
        </w:tc>
        <w:tc>
          <w:tcPr>
            <w:tcW w:w="961" w:type="dxa"/>
            <w:tcBorders>
              <w:right w:val="single" w:sz="8" w:space="0" w:color="000000"/>
            </w:tcBorders>
          </w:tcPr>
          <w:p>
            <w:pPr>
              <w:pStyle w:val="TableParagraph"/>
              <w:spacing w:before="62"/>
              <w:rPr>
                <w:rFonts w:ascii="Times New Roman"/>
                <w:sz w:val="18"/>
              </w:rPr>
            </w:pPr>
            <w:r>
              <w:rPr>
                <w:rFonts w:ascii="Times New Roman"/>
                <w:sz w:val="18"/>
              </w:rPr>
              <w:t>4</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乙酸乙酯</w:t>
            </w:r>
          </w:p>
        </w:tc>
        <w:tc>
          <w:tcPr>
            <w:tcW w:w="802" w:type="dxa"/>
          </w:tcPr>
          <w:p>
            <w:pPr>
              <w:pStyle w:val="TableParagraph"/>
              <w:spacing w:before="62"/>
              <w:ind w:left="195"/>
              <w:jc w:val="left"/>
              <w:rPr>
                <w:rFonts w:ascii="Times New Roman"/>
                <w:sz w:val="18"/>
              </w:rPr>
            </w:pPr>
            <w:r>
              <w:rPr>
                <w:rFonts w:ascii="Times New Roman"/>
                <w:sz w:val="18"/>
              </w:rPr>
              <w:t>0.184</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45.9</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252.9</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50" w:right="47"/>
              <w:rPr>
                <w:sz w:val="18"/>
              </w:rPr>
            </w:pPr>
            <w:r>
              <w:rPr>
                <w:sz w:val="18"/>
              </w:rPr>
              <w:t>苯甲醛</w:t>
            </w:r>
          </w:p>
        </w:tc>
        <w:tc>
          <w:tcPr>
            <w:tcW w:w="802" w:type="dxa"/>
          </w:tcPr>
          <w:p>
            <w:pPr>
              <w:pStyle w:val="TableParagraph"/>
              <w:spacing w:before="62"/>
              <w:ind w:left="195"/>
              <w:jc w:val="left"/>
              <w:rPr>
                <w:rFonts w:ascii="Times New Roman"/>
                <w:sz w:val="18"/>
              </w:rPr>
            </w:pPr>
            <w:r>
              <w:rPr>
                <w:rFonts w:ascii="Times New Roman"/>
                <w:sz w:val="18"/>
              </w:rPr>
              <w:t>0.004</w:t>
            </w:r>
          </w:p>
        </w:tc>
        <w:tc>
          <w:tcPr>
            <w:tcW w:w="961" w:type="dxa"/>
            <w:tcBorders>
              <w:right w:val="single" w:sz="8" w:space="0" w:color="000000"/>
            </w:tcBorders>
          </w:tcPr>
          <w:p>
            <w:pPr>
              <w:pStyle w:val="TableParagraph"/>
              <w:spacing w:before="62"/>
              <w:rPr>
                <w:rFonts w:ascii="Times New Roman"/>
                <w:sz w:val="18"/>
              </w:rPr>
            </w:pPr>
            <w:r>
              <w:rPr>
                <w:rFonts w:ascii="Times New Roman"/>
                <w:sz w:val="18"/>
              </w:rPr>
              <w:t>1</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5"/>
              <w:rPr>
                <w:rFonts w:ascii="Times New Roman"/>
                <w:sz w:val="18"/>
              </w:rPr>
            </w:pPr>
            <w:r>
              <w:rPr>
                <w:rFonts w:ascii="Times New Roman"/>
                <w:sz w:val="18"/>
              </w:rPr>
              <w:t>58.5</w:t>
            </w:r>
          </w:p>
        </w:tc>
      </w:tr>
      <w:tr>
        <w:trPr>
          <w:trHeight w:val="337"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18" w:lineRule="exact"/>
              <w:ind w:left="47" w:right="47"/>
              <w:rPr>
                <w:sz w:val="18"/>
              </w:rPr>
            </w:pPr>
            <w:r>
              <w:rPr>
                <w:sz w:val="18"/>
              </w:rPr>
              <w:t>甲醇</w:t>
            </w:r>
          </w:p>
        </w:tc>
        <w:tc>
          <w:tcPr>
            <w:tcW w:w="802" w:type="dxa"/>
          </w:tcPr>
          <w:p>
            <w:pPr>
              <w:pStyle w:val="TableParagraph"/>
              <w:spacing w:before="59"/>
              <w:ind w:left="152"/>
              <w:jc w:val="left"/>
              <w:rPr>
                <w:rFonts w:ascii="Times New Roman"/>
                <w:sz w:val="18"/>
              </w:rPr>
            </w:pPr>
            <w:r>
              <w:rPr>
                <w:rFonts w:ascii="Times New Roman"/>
                <w:sz w:val="18"/>
              </w:rPr>
              <w:t>0.0065</w:t>
            </w:r>
          </w:p>
        </w:tc>
        <w:tc>
          <w:tcPr>
            <w:tcW w:w="961" w:type="dxa"/>
            <w:tcBorders>
              <w:right w:val="single" w:sz="8" w:space="0" w:color="000000"/>
            </w:tcBorders>
          </w:tcPr>
          <w:p>
            <w:pPr>
              <w:pStyle w:val="TableParagraph"/>
              <w:spacing w:before="59"/>
              <w:ind w:left="295" w:right="293"/>
              <w:rPr>
                <w:rFonts w:ascii="Times New Roman"/>
                <w:sz w:val="18"/>
              </w:rPr>
            </w:pPr>
            <w:r>
              <w:rPr>
                <w:rFonts w:ascii="Times New Roman"/>
                <w:sz w:val="18"/>
              </w:rPr>
              <w:t>1.5</w:t>
            </w:r>
          </w:p>
        </w:tc>
        <w:tc>
          <w:tcPr>
            <w:tcW w:w="807" w:type="dxa"/>
            <w:tcBorders>
              <w:left w:val="single" w:sz="8" w:space="0" w:color="000000"/>
              <w:right w:val="single" w:sz="8" w:space="0" w:color="000000"/>
            </w:tcBorders>
          </w:tcPr>
          <w:p>
            <w:pPr>
              <w:pStyle w:val="TableParagraph"/>
              <w:spacing w:before="59"/>
              <w:ind w:right="277"/>
              <w:jc w:val="right"/>
              <w:rPr>
                <w:rFonts w:ascii="Times New Roman"/>
                <w:sz w:val="18"/>
              </w:rPr>
            </w:pPr>
            <w:r>
              <w:rPr>
                <w:rFonts w:ascii="Times New Roman"/>
                <w:sz w:val="18"/>
              </w:rPr>
              <w:t>8.6</w:t>
            </w:r>
          </w:p>
        </w:tc>
        <w:tc>
          <w:tcPr>
            <w:tcW w:w="855" w:type="dxa"/>
            <w:tcBorders>
              <w:left w:val="single" w:sz="8" w:space="0" w:color="000000"/>
            </w:tcBorders>
          </w:tcPr>
          <w:p>
            <w:pPr>
              <w:pStyle w:val="TableParagraph"/>
              <w:spacing w:before="59"/>
              <w:ind w:left="198" w:right="194"/>
              <w:rPr>
                <w:rFonts w:ascii="Times New Roman"/>
                <w:sz w:val="18"/>
              </w:rPr>
            </w:pPr>
            <w:r>
              <w:rPr>
                <w:rFonts w:ascii="Times New Roman"/>
                <w:sz w:val="18"/>
              </w:rPr>
              <w:t>190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氯苯</w:t>
            </w:r>
          </w:p>
        </w:tc>
        <w:tc>
          <w:tcPr>
            <w:tcW w:w="802" w:type="dxa"/>
          </w:tcPr>
          <w:p>
            <w:pPr>
              <w:pStyle w:val="TableParagraph"/>
              <w:spacing w:before="62"/>
              <w:ind w:left="195"/>
              <w:jc w:val="left"/>
              <w:rPr>
                <w:rFonts w:ascii="Times New Roman"/>
                <w:sz w:val="18"/>
              </w:rPr>
            </w:pPr>
            <w:r>
              <w:rPr>
                <w:rFonts w:ascii="Times New Roman"/>
                <w:sz w:val="18"/>
              </w:rPr>
              <w:t>0.177</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44.3</w:t>
            </w:r>
          </w:p>
        </w:tc>
        <w:tc>
          <w:tcPr>
            <w:tcW w:w="807" w:type="dxa"/>
            <w:tcBorders>
              <w:left w:val="single" w:sz="8" w:space="0" w:color="000000"/>
              <w:right w:val="single" w:sz="8" w:space="0" w:color="000000"/>
            </w:tcBorders>
          </w:tcPr>
          <w:p>
            <w:pPr>
              <w:pStyle w:val="TableParagraph"/>
              <w:spacing w:before="62"/>
              <w:ind w:right="234"/>
              <w:jc w:val="right"/>
              <w:rPr>
                <w:rFonts w:ascii="Times New Roman"/>
                <w:sz w:val="18"/>
              </w:rPr>
            </w:pPr>
            <w:r>
              <w:rPr>
                <w:rFonts w:ascii="Times New Roman"/>
                <w:sz w:val="18"/>
              </w:rPr>
              <w:t>0.87</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60</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吡啶</w:t>
            </w:r>
          </w:p>
        </w:tc>
        <w:tc>
          <w:tcPr>
            <w:tcW w:w="802" w:type="dxa"/>
          </w:tcPr>
          <w:p>
            <w:pPr>
              <w:pStyle w:val="TableParagraph"/>
              <w:spacing w:before="62"/>
              <w:ind w:left="152"/>
              <w:jc w:val="left"/>
              <w:rPr>
                <w:rFonts w:ascii="Times New Roman"/>
                <w:sz w:val="18"/>
              </w:rPr>
            </w:pPr>
            <w:r>
              <w:rPr>
                <w:rFonts w:ascii="Times New Roman"/>
                <w:sz w:val="18"/>
              </w:rPr>
              <w:t>0.0021</w:t>
            </w:r>
          </w:p>
        </w:tc>
        <w:tc>
          <w:tcPr>
            <w:tcW w:w="961" w:type="dxa"/>
            <w:tcBorders>
              <w:right w:val="single" w:sz="8" w:space="0" w:color="000000"/>
            </w:tcBorders>
          </w:tcPr>
          <w:p>
            <w:pPr>
              <w:pStyle w:val="TableParagraph"/>
              <w:spacing w:before="62"/>
              <w:rPr>
                <w:rFonts w:ascii="Times New Roman"/>
                <w:sz w:val="18"/>
              </w:rPr>
            </w:pPr>
            <w:r>
              <w:rPr>
                <w:rFonts w:ascii="Times New Roman"/>
                <w:sz w:val="18"/>
              </w:rPr>
              <w:t>1</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氯化亚砜</w:t>
            </w:r>
          </w:p>
        </w:tc>
        <w:tc>
          <w:tcPr>
            <w:tcW w:w="802" w:type="dxa"/>
          </w:tcPr>
          <w:p>
            <w:pPr>
              <w:pStyle w:val="TableParagraph"/>
              <w:spacing w:before="62"/>
              <w:ind w:left="195"/>
              <w:jc w:val="left"/>
              <w:rPr>
                <w:rFonts w:ascii="Times New Roman"/>
                <w:sz w:val="18"/>
              </w:rPr>
            </w:pPr>
            <w:r>
              <w:rPr>
                <w:rFonts w:ascii="Times New Roman"/>
                <w:sz w:val="18"/>
              </w:rPr>
              <w:t>0.023</w:t>
            </w:r>
          </w:p>
        </w:tc>
        <w:tc>
          <w:tcPr>
            <w:tcW w:w="961" w:type="dxa"/>
            <w:tcBorders>
              <w:right w:val="single" w:sz="8" w:space="0" w:color="000000"/>
            </w:tcBorders>
          </w:tcPr>
          <w:p>
            <w:pPr>
              <w:pStyle w:val="TableParagraph"/>
              <w:spacing w:before="62"/>
              <w:rPr>
                <w:rFonts w:ascii="Times New Roman"/>
                <w:sz w:val="18"/>
              </w:rPr>
            </w:pPr>
            <w:r>
              <w:rPr>
                <w:rFonts w:ascii="Times New Roman"/>
                <w:sz w:val="18"/>
              </w:rPr>
              <w:t>6</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hAnsi="Times New Roman"/>
                <w:sz w:val="18"/>
              </w:rPr>
            </w:pPr>
            <w:r>
              <w:rPr>
                <w:rFonts w:ascii="Times New Roman" w:hAnsi="Times New Roman"/>
                <w:sz w:val="18"/>
              </w:rPr>
              <w:t>——</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1" w:lineRule="exact"/>
              <w:ind w:left="47" w:right="47"/>
              <w:rPr>
                <w:sz w:val="18"/>
              </w:rPr>
            </w:pPr>
            <w:r>
              <w:rPr>
                <w:sz w:val="18"/>
              </w:rPr>
              <w:t>硫酸</w:t>
            </w:r>
          </w:p>
        </w:tc>
        <w:tc>
          <w:tcPr>
            <w:tcW w:w="802" w:type="dxa"/>
          </w:tcPr>
          <w:p>
            <w:pPr>
              <w:pStyle w:val="TableParagraph"/>
              <w:spacing w:before="62"/>
              <w:ind w:left="152"/>
              <w:jc w:val="left"/>
              <w:rPr>
                <w:rFonts w:ascii="Times New Roman"/>
                <w:sz w:val="18"/>
              </w:rPr>
            </w:pPr>
            <w:r>
              <w:rPr>
                <w:rFonts w:ascii="Times New Roman"/>
                <w:sz w:val="18"/>
              </w:rPr>
              <w:t>0.0208</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5.5</w:t>
            </w:r>
          </w:p>
        </w:tc>
        <w:tc>
          <w:tcPr>
            <w:tcW w:w="807" w:type="dxa"/>
            <w:tcBorders>
              <w:left w:val="single" w:sz="8" w:space="0" w:color="000000"/>
              <w:right w:val="single" w:sz="8" w:space="0" w:color="000000"/>
            </w:tcBorders>
          </w:tcPr>
          <w:p>
            <w:pPr>
              <w:pStyle w:val="TableParagraph"/>
              <w:spacing w:before="62"/>
              <w:ind w:right="210"/>
              <w:jc w:val="righ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5"/>
              <w:rPr>
                <w:rFonts w:ascii="Times New Roman"/>
                <w:sz w:val="18"/>
              </w:rPr>
            </w:pPr>
            <w:r>
              <w:rPr>
                <w:rFonts w:ascii="Times New Roman"/>
                <w:sz w:val="18"/>
              </w:rPr>
              <w:t>96.3</w:t>
            </w: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甲醛</w:t>
            </w:r>
          </w:p>
        </w:tc>
        <w:tc>
          <w:tcPr>
            <w:tcW w:w="802" w:type="dxa"/>
          </w:tcPr>
          <w:p>
            <w:pPr>
              <w:pStyle w:val="TableParagraph"/>
              <w:spacing w:before="62"/>
              <w:ind w:left="241"/>
              <w:jc w:val="left"/>
              <w:rPr>
                <w:rFonts w:ascii="Times New Roman"/>
                <w:sz w:val="18"/>
              </w:rPr>
            </w:pPr>
            <w:r>
              <w:rPr>
                <w:rFonts w:ascii="Times New Roman"/>
                <w:sz w:val="18"/>
              </w:rPr>
              <w:t>0.05</w:t>
            </w:r>
          </w:p>
        </w:tc>
        <w:tc>
          <w:tcPr>
            <w:tcW w:w="961" w:type="dxa"/>
            <w:tcBorders>
              <w:right w:val="single" w:sz="8" w:space="0" w:color="000000"/>
            </w:tcBorders>
          </w:tcPr>
          <w:p>
            <w:pPr>
              <w:pStyle w:val="TableParagraph"/>
              <w:spacing w:before="62"/>
              <w:ind w:left="297" w:right="292"/>
              <w:rPr>
                <w:rFonts w:ascii="Times New Roman"/>
                <w:sz w:val="18"/>
              </w:rPr>
            </w:pPr>
            <w:r>
              <w:rPr>
                <w:rFonts w:ascii="Times New Roman"/>
                <w:sz w:val="18"/>
              </w:rPr>
              <w:t>12.5</w:t>
            </w:r>
          </w:p>
        </w:tc>
        <w:tc>
          <w:tcPr>
            <w:tcW w:w="807" w:type="dxa"/>
            <w:tcBorders>
              <w:left w:val="single" w:sz="8" w:space="0" w:color="000000"/>
              <w:right w:val="single" w:sz="8" w:space="0" w:color="000000"/>
            </w:tcBorders>
          </w:tcPr>
          <w:p>
            <w:pPr>
              <w:pStyle w:val="TableParagraph"/>
              <w:spacing w:before="62"/>
              <w:ind w:right="234"/>
              <w:jc w:val="right"/>
              <w:rPr>
                <w:rFonts w:ascii="Times New Roman"/>
                <w:sz w:val="18"/>
              </w:rPr>
            </w:pPr>
            <w:r>
              <w:rPr>
                <w:rFonts w:ascii="Times New Roman"/>
                <w:sz w:val="18"/>
              </w:rPr>
              <w:t>0.43</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25</w:t>
            </w:r>
          </w:p>
        </w:tc>
      </w:tr>
    </w:tbl>
    <w:p>
      <w:pPr>
        <w:spacing w:after="0"/>
        <w:rPr>
          <w:rFonts w:ascii="Times New Roman"/>
          <w:sz w:val="18"/>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9"/>
        <w:gridCol w:w="590"/>
        <w:gridCol w:w="411"/>
        <w:gridCol w:w="598"/>
        <w:gridCol w:w="795"/>
        <w:gridCol w:w="1707"/>
        <w:gridCol w:w="802"/>
        <w:gridCol w:w="961"/>
        <w:gridCol w:w="807"/>
        <w:gridCol w:w="855"/>
      </w:tblGrid>
      <w:tr>
        <w:trPr>
          <w:trHeight w:val="340" w:hRule="atLeast"/>
        </w:trPr>
        <w:tc>
          <w:tcPr>
            <w:tcW w:w="799" w:type="dxa"/>
          </w:tcPr>
          <w:p>
            <w:pPr>
              <w:pStyle w:val="TableParagraph"/>
              <w:jc w:val="left"/>
              <w:rPr>
                <w:rFonts w:ascii="Times New Roman"/>
                <w:sz w:val="20"/>
              </w:rPr>
            </w:pPr>
          </w:p>
        </w:tc>
        <w:tc>
          <w:tcPr>
            <w:tcW w:w="590" w:type="dxa"/>
          </w:tcPr>
          <w:p>
            <w:pPr>
              <w:pStyle w:val="TableParagraph"/>
              <w:jc w:val="left"/>
              <w:rPr>
                <w:rFonts w:ascii="Times New Roman"/>
                <w:sz w:val="20"/>
              </w:rPr>
            </w:pPr>
          </w:p>
        </w:tc>
        <w:tc>
          <w:tcPr>
            <w:tcW w:w="411" w:type="dxa"/>
          </w:tcPr>
          <w:p>
            <w:pPr>
              <w:pStyle w:val="TableParagraph"/>
              <w:jc w:val="left"/>
              <w:rPr>
                <w:rFonts w:ascii="Times New Roman"/>
                <w:sz w:val="20"/>
              </w:rPr>
            </w:pPr>
          </w:p>
        </w:tc>
        <w:tc>
          <w:tcPr>
            <w:tcW w:w="598" w:type="dxa"/>
          </w:tcPr>
          <w:p>
            <w:pPr>
              <w:pStyle w:val="TableParagraph"/>
              <w:jc w:val="left"/>
              <w:rPr>
                <w:rFonts w:ascii="Times New Roman"/>
                <w:sz w:val="20"/>
              </w:rPr>
            </w:pPr>
          </w:p>
        </w:tc>
        <w:tc>
          <w:tcPr>
            <w:tcW w:w="795" w:type="dxa"/>
          </w:tcPr>
          <w:p>
            <w:pPr>
              <w:pStyle w:val="TableParagraph"/>
              <w:jc w:val="left"/>
              <w:rPr>
                <w:rFonts w:ascii="Times New Roman"/>
                <w:sz w:val="20"/>
              </w:rPr>
            </w:pPr>
          </w:p>
        </w:tc>
        <w:tc>
          <w:tcPr>
            <w:tcW w:w="1707" w:type="dxa"/>
          </w:tcPr>
          <w:p>
            <w:pPr>
              <w:pStyle w:val="TableParagraph"/>
              <w:spacing w:line="321" w:lineRule="exact"/>
              <w:ind w:left="47" w:right="47"/>
              <w:rPr>
                <w:sz w:val="18"/>
              </w:rPr>
            </w:pPr>
            <w:r>
              <w:rPr>
                <w:sz w:val="18"/>
              </w:rPr>
              <w:t>甲酸</w:t>
            </w:r>
          </w:p>
        </w:tc>
        <w:tc>
          <w:tcPr>
            <w:tcW w:w="802" w:type="dxa"/>
          </w:tcPr>
          <w:p>
            <w:pPr>
              <w:pStyle w:val="TableParagraph"/>
              <w:spacing w:before="62"/>
              <w:ind w:left="132" w:right="124"/>
              <w:rPr>
                <w:rFonts w:ascii="Times New Roman"/>
                <w:sz w:val="18"/>
              </w:rPr>
            </w:pPr>
            <w:r>
              <w:rPr>
                <w:rFonts w:ascii="Times New Roman"/>
                <w:sz w:val="18"/>
              </w:rPr>
              <w:t>0.1542</w:t>
            </w:r>
          </w:p>
        </w:tc>
        <w:tc>
          <w:tcPr>
            <w:tcW w:w="961" w:type="dxa"/>
            <w:tcBorders>
              <w:right w:val="single" w:sz="8" w:space="0" w:color="000000"/>
            </w:tcBorders>
          </w:tcPr>
          <w:p>
            <w:pPr>
              <w:pStyle w:val="TableParagraph"/>
              <w:spacing w:before="62"/>
              <w:ind w:right="310"/>
              <w:jc w:val="right"/>
              <w:rPr>
                <w:rFonts w:ascii="Times New Roman"/>
                <w:sz w:val="18"/>
              </w:rPr>
            </w:pPr>
            <w:r>
              <w:rPr>
                <w:rFonts w:ascii="Times New Roman"/>
                <w:sz w:val="18"/>
              </w:rPr>
              <w:t>38.6</w:t>
            </w:r>
          </w:p>
        </w:tc>
        <w:tc>
          <w:tcPr>
            <w:tcW w:w="807" w:type="dxa"/>
            <w:tcBorders>
              <w:left w:val="single" w:sz="8" w:space="0" w:color="000000"/>
              <w:right w:val="single" w:sz="8" w:space="0" w:color="000000"/>
            </w:tcBorders>
          </w:tcPr>
          <w:p>
            <w:pPr>
              <w:pStyle w:val="TableParagraph"/>
              <w:spacing w:before="62"/>
              <w:ind w:left="214"/>
              <w:jc w:val="lef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5"/>
              <w:rPr>
                <w:rFonts w:ascii="Times New Roman"/>
                <w:sz w:val="18"/>
              </w:rPr>
            </w:pPr>
            <w:r>
              <w:rPr>
                <w:rFonts w:ascii="Times New Roman"/>
                <w:sz w:val="18"/>
              </w:rPr>
              <w:t>49.5</w:t>
            </w:r>
          </w:p>
        </w:tc>
      </w:tr>
      <w:tr>
        <w:trPr>
          <w:trHeight w:val="340" w:hRule="atLeast"/>
        </w:trPr>
        <w:tc>
          <w:tcPr>
            <w:tcW w:w="799" w:type="dxa"/>
            <w:vMerge w:val="restart"/>
            <w:tcBorders>
              <w:bottom w:val="nil"/>
            </w:tcBorders>
          </w:tcPr>
          <w:p>
            <w:pPr>
              <w:pStyle w:val="TableParagraph"/>
              <w:spacing w:line="293" w:lineRule="exact" w:before="155"/>
              <w:ind w:left="129"/>
              <w:jc w:val="left"/>
              <w:rPr>
                <w:sz w:val="18"/>
              </w:rPr>
            </w:pPr>
            <w:r>
              <w:rPr>
                <w:sz w:val="18"/>
              </w:rPr>
              <w:t>溶剂回</w:t>
            </w:r>
          </w:p>
        </w:tc>
        <w:tc>
          <w:tcPr>
            <w:tcW w:w="590" w:type="dxa"/>
            <w:vMerge w:val="restart"/>
            <w:tcBorders>
              <w:bottom w:val="nil"/>
            </w:tcBorders>
          </w:tcPr>
          <w:p>
            <w:pPr>
              <w:pStyle w:val="TableParagraph"/>
              <w:jc w:val="left"/>
              <w:rPr>
                <w:rFonts w:ascii="Times New Roman"/>
                <w:sz w:val="20"/>
              </w:rPr>
            </w:pPr>
          </w:p>
        </w:tc>
        <w:tc>
          <w:tcPr>
            <w:tcW w:w="411" w:type="dxa"/>
            <w:vMerge w:val="restart"/>
            <w:tcBorders>
              <w:bottom w:val="nil"/>
            </w:tcBorders>
          </w:tcPr>
          <w:p>
            <w:pPr>
              <w:pStyle w:val="TableParagraph"/>
              <w:jc w:val="left"/>
              <w:rPr>
                <w:rFonts w:ascii="Times New Roman"/>
                <w:sz w:val="20"/>
              </w:rPr>
            </w:pPr>
          </w:p>
        </w:tc>
        <w:tc>
          <w:tcPr>
            <w:tcW w:w="598" w:type="dxa"/>
            <w:vMerge w:val="restart"/>
            <w:tcBorders>
              <w:bottom w:val="nil"/>
            </w:tcBorders>
          </w:tcPr>
          <w:p>
            <w:pPr>
              <w:pStyle w:val="TableParagraph"/>
              <w:jc w:val="left"/>
              <w:rPr>
                <w:rFonts w:ascii="Times New Roman"/>
                <w:sz w:val="20"/>
              </w:rPr>
            </w:pPr>
          </w:p>
        </w:tc>
        <w:tc>
          <w:tcPr>
            <w:tcW w:w="795" w:type="dxa"/>
            <w:vMerge w:val="restart"/>
            <w:tcBorders>
              <w:bottom w:val="nil"/>
            </w:tcBorders>
          </w:tcPr>
          <w:p>
            <w:pPr>
              <w:pStyle w:val="TableParagraph"/>
              <w:jc w:val="left"/>
              <w:rPr>
                <w:rFonts w:ascii="Times New Roman"/>
                <w:sz w:val="20"/>
              </w:rPr>
            </w:pPr>
          </w:p>
        </w:tc>
        <w:tc>
          <w:tcPr>
            <w:tcW w:w="1707" w:type="dxa"/>
          </w:tcPr>
          <w:p>
            <w:pPr>
              <w:pStyle w:val="TableParagraph"/>
              <w:spacing w:line="320" w:lineRule="exact"/>
              <w:ind w:left="47" w:right="47"/>
              <w:rPr>
                <w:sz w:val="18"/>
              </w:rPr>
            </w:pPr>
            <w:r>
              <w:rPr>
                <w:sz w:val="18"/>
              </w:rPr>
              <w:t>四氢呋喃</w:t>
            </w:r>
          </w:p>
        </w:tc>
        <w:tc>
          <w:tcPr>
            <w:tcW w:w="802" w:type="dxa"/>
          </w:tcPr>
          <w:p>
            <w:pPr>
              <w:pStyle w:val="TableParagraph"/>
              <w:spacing w:before="62"/>
              <w:ind w:left="131" w:right="124"/>
              <w:rPr>
                <w:rFonts w:ascii="Times New Roman"/>
                <w:sz w:val="18"/>
              </w:rPr>
            </w:pPr>
            <w:r>
              <w:rPr>
                <w:rFonts w:ascii="Times New Roman"/>
                <w:sz w:val="18"/>
              </w:rPr>
              <w:t>0.0085</w:t>
            </w:r>
          </w:p>
        </w:tc>
        <w:tc>
          <w:tcPr>
            <w:tcW w:w="961" w:type="dxa"/>
            <w:tcBorders>
              <w:right w:val="single" w:sz="8" w:space="0" w:color="000000"/>
            </w:tcBorders>
          </w:tcPr>
          <w:p>
            <w:pPr>
              <w:pStyle w:val="TableParagraph"/>
              <w:spacing w:before="62"/>
              <w:ind w:left="295" w:right="293"/>
              <w:rPr>
                <w:rFonts w:ascii="Times New Roman"/>
                <w:sz w:val="18"/>
              </w:rPr>
            </w:pPr>
            <w:r>
              <w:rPr>
                <w:rFonts w:ascii="Times New Roman"/>
                <w:sz w:val="18"/>
              </w:rPr>
              <w:t>2.1</w:t>
            </w:r>
          </w:p>
        </w:tc>
        <w:tc>
          <w:tcPr>
            <w:tcW w:w="807" w:type="dxa"/>
            <w:tcBorders>
              <w:left w:val="single" w:sz="8" w:space="0" w:color="000000"/>
              <w:right w:val="single" w:sz="8" w:space="0" w:color="000000"/>
            </w:tcBorders>
          </w:tcPr>
          <w:p>
            <w:pPr>
              <w:pStyle w:val="TableParagraph"/>
              <w:spacing w:before="62"/>
              <w:ind w:left="214"/>
              <w:jc w:val="lef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6"/>
              <w:rPr>
                <w:rFonts w:ascii="Times New Roman"/>
                <w:sz w:val="18"/>
              </w:rPr>
            </w:pPr>
            <w:r>
              <w:rPr>
                <w:rFonts w:ascii="Times New Roman"/>
                <w:sz w:val="18"/>
              </w:rPr>
              <w:t>126.7</w:t>
            </w:r>
          </w:p>
        </w:tc>
      </w:tr>
      <w:tr>
        <w:trPr>
          <w:trHeight w:val="118" w:hRule="atLeast"/>
        </w:trPr>
        <w:tc>
          <w:tcPr>
            <w:tcW w:w="799" w:type="dxa"/>
            <w:vMerge/>
            <w:tcBorders>
              <w:top w:val="nil"/>
              <w:bottom w:val="nil"/>
            </w:tcBorders>
          </w:tcPr>
          <w:p>
            <w:pPr>
              <w:rPr>
                <w:sz w:val="2"/>
                <w:szCs w:val="2"/>
              </w:rPr>
            </w:pPr>
          </w:p>
        </w:tc>
        <w:tc>
          <w:tcPr>
            <w:tcW w:w="590" w:type="dxa"/>
            <w:vMerge/>
            <w:tcBorders>
              <w:top w:val="nil"/>
              <w:bottom w:val="nil"/>
            </w:tcBorders>
          </w:tcPr>
          <w:p>
            <w:pPr>
              <w:rPr>
                <w:sz w:val="2"/>
                <w:szCs w:val="2"/>
              </w:rPr>
            </w:pPr>
          </w:p>
        </w:tc>
        <w:tc>
          <w:tcPr>
            <w:tcW w:w="411" w:type="dxa"/>
            <w:vMerge/>
            <w:tcBorders>
              <w:top w:val="nil"/>
              <w:bottom w:val="nil"/>
            </w:tcBorders>
          </w:tcPr>
          <w:p>
            <w:pPr>
              <w:rPr>
                <w:sz w:val="2"/>
                <w:szCs w:val="2"/>
              </w:rPr>
            </w:pPr>
          </w:p>
        </w:tc>
        <w:tc>
          <w:tcPr>
            <w:tcW w:w="598" w:type="dxa"/>
            <w:vMerge/>
            <w:tcBorders>
              <w:top w:val="nil"/>
              <w:bottom w:val="nil"/>
            </w:tcBorders>
          </w:tcPr>
          <w:p>
            <w:pPr>
              <w:rPr>
                <w:sz w:val="2"/>
                <w:szCs w:val="2"/>
              </w:rPr>
            </w:pPr>
          </w:p>
        </w:tc>
        <w:tc>
          <w:tcPr>
            <w:tcW w:w="795" w:type="dxa"/>
            <w:vMerge/>
            <w:tcBorders>
              <w:top w:val="nil"/>
              <w:bottom w:val="nil"/>
            </w:tcBorders>
          </w:tcPr>
          <w:p>
            <w:pPr>
              <w:rPr>
                <w:sz w:val="2"/>
                <w:szCs w:val="2"/>
              </w:rPr>
            </w:pPr>
          </w:p>
        </w:tc>
        <w:tc>
          <w:tcPr>
            <w:tcW w:w="1707" w:type="dxa"/>
            <w:vMerge w:val="restart"/>
          </w:tcPr>
          <w:p>
            <w:pPr>
              <w:pStyle w:val="TableParagraph"/>
              <w:spacing w:line="320" w:lineRule="exact"/>
              <w:ind w:left="47" w:right="47"/>
              <w:rPr>
                <w:sz w:val="18"/>
              </w:rPr>
            </w:pPr>
            <w:r>
              <w:rPr>
                <w:sz w:val="18"/>
              </w:rPr>
              <w:t>呋喃</w:t>
            </w:r>
          </w:p>
        </w:tc>
        <w:tc>
          <w:tcPr>
            <w:tcW w:w="802" w:type="dxa"/>
            <w:vMerge w:val="restart"/>
          </w:tcPr>
          <w:p>
            <w:pPr>
              <w:pStyle w:val="TableParagraph"/>
              <w:spacing w:before="62"/>
              <w:ind w:left="195"/>
              <w:jc w:val="left"/>
              <w:rPr>
                <w:rFonts w:ascii="Times New Roman"/>
                <w:sz w:val="18"/>
              </w:rPr>
            </w:pPr>
            <w:r>
              <w:rPr>
                <w:rFonts w:ascii="Times New Roman"/>
                <w:sz w:val="18"/>
              </w:rPr>
              <w:t>0.001</w:t>
            </w:r>
          </w:p>
        </w:tc>
        <w:tc>
          <w:tcPr>
            <w:tcW w:w="961" w:type="dxa"/>
            <w:vMerge w:val="restart"/>
            <w:tcBorders>
              <w:right w:val="single" w:sz="8" w:space="0" w:color="000000"/>
            </w:tcBorders>
          </w:tcPr>
          <w:p>
            <w:pPr>
              <w:pStyle w:val="TableParagraph"/>
              <w:spacing w:before="62"/>
              <w:ind w:left="295" w:right="293"/>
              <w:rPr>
                <w:rFonts w:ascii="Times New Roman"/>
                <w:sz w:val="18"/>
              </w:rPr>
            </w:pPr>
            <w:r>
              <w:rPr>
                <w:rFonts w:ascii="Times New Roman"/>
                <w:sz w:val="18"/>
              </w:rPr>
              <w:t>0.5</w:t>
            </w:r>
          </w:p>
        </w:tc>
        <w:tc>
          <w:tcPr>
            <w:tcW w:w="807" w:type="dxa"/>
            <w:vMerge w:val="restart"/>
            <w:tcBorders>
              <w:left w:val="single" w:sz="8" w:space="0" w:color="000000"/>
              <w:right w:val="single" w:sz="8" w:space="0" w:color="000000"/>
            </w:tcBorders>
          </w:tcPr>
          <w:p>
            <w:pPr>
              <w:pStyle w:val="TableParagraph"/>
              <w:spacing w:before="62"/>
              <w:ind w:left="214"/>
              <w:jc w:val="left"/>
              <w:rPr>
                <w:rFonts w:ascii="Times New Roman" w:hAnsi="Times New Roman"/>
                <w:sz w:val="18"/>
              </w:rPr>
            </w:pPr>
            <w:r>
              <w:rPr>
                <w:rFonts w:ascii="Times New Roman" w:hAnsi="Times New Roman"/>
                <w:sz w:val="18"/>
              </w:rPr>
              <w:t>——</w:t>
            </w:r>
          </w:p>
        </w:tc>
        <w:tc>
          <w:tcPr>
            <w:tcW w:w="855" w:type="dxa"/>
            <w:vMerge w:val="restart"/>
            <w:tcBorders>
              <w:left w:val="single" w:sz="8" w:space="0" w:color="000000"/>
            </w:tcBorders>
          </w:tcPr>
          <w:p>
            <w:pPr>
              <w:pStyle w:val="TableParagraph"/>
              <w:spacing w:before="62"/>
              <w:ind w:left="242"/>
              <w:jc w:val="left"/>
              <w:rPr>
                <w:rFonts w:ascii="Times New Roman" w:hAnsi="Times New Roman"/>
                <w:sz w:val="18"/>
              </w:rPr>
            </w:pPr>
            <w:r>
              <w:rPr>
                <w:rFonts w:ascii="Times New Roman" w:hAnsi="Times New Roman"/>
                <w:sz w:val="18"/>
              </w:rPr>
              <w:t>——</w:t>
            </w:r>
          </w:p>
        </w:tc>
      </w:tr>
      <w:tr>
        <w:trPr>
          <w:trHeight w:val="211" w:hRule="atLeast"/>
        </w:trPr>
        <w:tc>
          <w:tcPr>
            <w:tcW w:w="799" w:type="dxa"/>
            <w:vMerge w:val="restart"/>
            <w:tcBorders>
              <w:top w:val="nil"/>
              <w:bottom w:val="nil"/>
            </w:tcBorders>
          </w:tcPr>
          <w:p>
            <w:pPr>
              <w:pStyle w:val="TableParagraph"/>
              <w:spacing w:line="217" w:lineRule="exact"/>
              <w:ind w:left="129"/>
              <w:jc w:val="left"/>
              <w:rPr>
                <w:sz w:val="18"/>
              </w:rPr>
            </w:pPr>
            <w:r>
              <w:rPr>
                <w:sz w:val="18"/>
              </w:rPr>
              <w:t>收车间</w:t>
            </w:r>
          </w:p>
          <w:p>
            <w:pPr>
              <w:pStyle w:val="TableParagraph"/>
              <w:spacing w:line="207" w:lineRule="exact"/>
              <w:ind w:left="129"/>
              <w:jc w:val="left"/>
              <w:rPr>
                <w:sz w:val="18"/>
              </w:rPr>
            </w:pPr>
            <w:r>
              <w:rPr>
                <w:sz w:val="18"/>
              </w:rPr>
              <w:t>排气筒</w:t>
            </w:r>
          </w:p>
        </w:tc>
        <w:tc>
          <w:tcPr>
            <w:tcW w:w="590" w:type="dxa"/>
            <w:vMerge w:val="restart"/>
            <w:tcBorders>
              <w:top w:val="nil"/>
              <w:bottom w:val="nil"/>
            </w:tcBorders>
          </w:tcPr>
          <w:p>
            <w:pPr>
              <w:pStyle w:val="TableParagraph"/>
              <w:spacing w:before="106"/>
              <w:ind w:left="95" w:right="85"/>
              <w:rPr>
                <w:rFonts w:ascii="Times New Roman"/>
                <w:sz w:val="18"/>
              </w:rPr>
            </w:pPr>
            <w:r>
              <w:rPr>
                <w:rFonts w:ascii="Times New Roman"/>
                <w:sz w:val="18"/>
              </w:rPr>
              <w:t>20</w:t>
            </w:r>
          </w:p>
        </w:tc>
        <w:tc>
          <w:tcPr>
            <w:tcW w:w="411" w:type="dxa"/>
            <w:vMerge w:val="restart"/>
            <w:tcBorders>
              <w:top w:val="nil"/>
              <w:bottom w:val="nil"/>
            </w:tcBorders>
          </w:tcPr>
          <w:p>
            <w:pPr>
              <w:pStyle w:val="TableParagraph"/>
              <w:spacing w:before="106"/>
              <w:ind w:left="91"/>
              <w:jc w:val="left"/>
              <w:rPr>
                <w:rFonts w:ascii="Times New Roman"/>
                <w:sz w:val="18"/>
              </w:rPr>
            </w:pPr>
            <w:r>
              <w:rPr>
                <w:rFonts w:ascii="Times New Roman"/>
                <w:sz w:val="18"/>
              </w:rPr>
              <w:t>0.5</w:t>
            </w:r>
          </w:p>
        </w:tc>
        <w:tc>
          <w:tcPr>
            <w:tcW w:w="598" w:type="dxa"/>
            <w:vMerge w:val="restart"/>
            <w:tcBorders>
              <w:top w:val="nil"/>
              <w:bottom w:val="nil"/>
            </w:tcBorders>
          </w:tcPr>
          <w:p>
            <w:pPr>
              <w:pStyle w:val="TableParagraph"/>
              <w:spacing w:before="13"/>
              <w:ind w:left="117"/>
              <w:jc w:val="left"/>
              <w:rPr>
                <w:sz w:val="18"/>
              </w:rPr>
            </w:pPr>
            <w:r>
              <w:rPr>
                <w:sz w:val="18"/>
              </w:rPr>
              <w:t>常温</w:t>
            </w:r>
          </w:p>
        </w:tc>
        <w:tc>
          <w:tcPr>
            <w:tcW w:w="795" w:type="dxa"/>
            <w:vMerge w:val="restart"/>
            <w:tcBorders>
              <w:top w:val="nil"/>
              <w:bottom w:val="nil"/>
            </w:tcBorders>
          </w:tcPr>
          <w:p>
            <w:pPr>
              <w:pStyle w:val="TableParagraph"/>
              <w:spacing w:before="106"/>
              <w:ind w:left="215"/>
              <w:jc w:val="left"/>
              <w:rPr>
                <w:rFonts w:ascii="Times New Roman"/>
                <w:sz w:val="18"/>
              </w:rPr>
            </w:pPr>
            <w:r>
              <w:rPr>
                <w:rFonts w:ascii="Times New Roman"/>
                <w:sz w:val="18"/>
              </w:rPr>
              <w:t>4000</w:t>
            </w:r>
          </w:p>
        </w:tc>
        <w:tc>
          <w:tcPr>
            <w:tcW w:w="1707" w:type="dxa"/>
            <w:vMerge/>
            <w:tcBorders>
              <w:top w:val="nil"/>
            </w:tcBorders>
          </w:tcPr>
          <w:p>
            <w:pPr>
              <w:rPr>
                <w:sz w:val="2"/>
                <w:szCs w:val="2"/>
              </w:rPr>
            </w:pPr>
          </w:p>
        </w:tc>
        <w:tc>
          <w:tcPr>
            <w:tcW w:w="802" w:type="dxa"/>
            <w:vMerge/>
            <w:tcBorders>
              <w:top w:val="nil"/>
            </w:tcBorders>
          </w:tcPr>
          <w:p>
            <w:pPr>
              <w:rPr>
                <w:sz w:val="2"/>
                <w:szCs w:val="2"/>
              </w:rPr>
            </w:pPr>
          </w:p>
        </w:tc>
        <w:tc>
          <w:tcPr>
            <w:tcW w:w="961" w:type="dxa"/>
            <w:vMerge/>
            <w:tcBorders>
              <w:top w:val="nil"/>
              <w:right w:val="single" w:sz="8" w:space="0" w:color="000000"/>
            </w:tcBorders>
          </w:tcPr>
          <w:p>
            <w:pPr>
              <w:rPr>
                <w:sz w:val="2"/>
                <w:szCs w:val="2"/>
              </w:rPr>
            </w:pPr>
          </w:p>
        </w:tc>
        <w:tc>
          <w:tcPr>
            <w:tcW w:w="807" w:type="dxa"/>
            <w:vMerge/>
            <w:tcBorders>
              <w:top w:val="nil"/>
              <w:left w:val="single" w:sz="8" w:space="0" w:color="000000"/>
              <w:right w:val="single" w:sz="8" w:space="0" w:color="000000"/>
            </w:tcBorders>
          </w:tcPr>
          <w:p>
            <w:pPr>
              <w:rPr>
                <w:sz w:val="2"/>
                <w:szCs w:val="2"/>
              </w:rPr>
            </w:pPr>
          </w:p>
        </w:tc>
        <w:tc>
          <w:tcPr>
            <w:tcW w:w="855" w:type="dxa"/>
            <w:vMerge/>
            <w:tcBorders>
              <w:top w:val="nil"/>
              <w:left w:val="single" w:sz="8" w:space="0" w:color="000000"/>
            </w:tcBorders>
          </w:tcPr>
          <w:p>
            <w:pPr>
              <w:rPr>
                <w:sz w:val="2"/>
                <w:szCs w:val="2"/>
              </w:rPr>
            </w:pPr>
          </w:p>
        </w:tc>
      </w:tr>
      <w:tr>
        <w:trPr>
          <w:trHeight w:val="222" w:hRule="atLeast"/>
        </w:trPr>
        <w:tc>
          <w:tcPr>
            <w:tcW w:w="799" w:type="dxa"/>
            <w:vMerge/>
            <w:tcBorders>
              <w:top w:val="nil"/>
              <w:bottom w:val="nil"/>
            </w:tcBorders>
          </w:tcPr>
          <w:p>
            <w:pPr>
              <w:rPr>
                <w:sz w:val="2"/>
                <w:szCs w:val="2"/>
              </w:rPr>
            </w:pPr>
          </w:p>
        </w:tc>
        <w:tc>
          <w:tcPr>
            <w:tcW w:w="590" w:type="dxa"/>
            <w:vMerge/>
            <w:tcBorders>
              <w:top w:val="nil"/>
              <w:bottom w:val="nil"/>
            </w:tcBorders>
          </w:tcPr>
          <w:p>
            <w:pPr>
              <w:rPr>
                <w:sz w:val="2"/>
                <w:szCs w:val="2"/>
              </w:rPr>
            </w:pPr>
          </w:p>
        </w:tc>
        <w:tc>
          <w:tcPr>
            <w:tcW w:w="411" w:type="dxa"/>
            <w:vMerge/>
            <w:tcBorders>
              <w:top w:val="nil"/>
              <w:bottom w:val="nil"/>
            </w:tcBorders>
          </w:tcPr>
          <w:p>
            <w:pPr>
              <w:rPr>
                <w:sz w:val="2"/>
                <w:szCs w:val="2"/>
              </w:rPr>
            </w:pPr>
          </w:p>
        </w:tc>
        <w:tc>
          <w:tcPr>
            <w:tcW w:w="598" w:type="dxa"/>
            <w:vMerge/>
            <w:tcBorders>
              <w:top w:val="nil"/>
              <w:bottom w:val="nil"/>
            </w:tcBorders>
          </w:tcPr>
          <w:p>
            <w:pPr>
              <w:rPr>
                <w:sz w:val="2"/>
                <w:szCs w:val="2"/>
              </w:rPr>
            </w:pPr>
          </w:p>
        </w:tc>
        <w:tc>
          <w:tcPr>
            <w:tcW w:w="795" w:type="dxa"/>
            <w:vMerge/>
            <w:tcBorders>
              <w:top w:val="nil"/>
              <w:bottom w:val="nil"/>
            </w:tcBorders>
          </w:tcPr>
          <w:p>
            <w:pPr>
              <w:rPr>
                <w:sz w:val="2"/>
                <w:szCs w:val="2"/>
              </w:rPr>
            </w:pPr>
          </w:p>
        </w:tc>
        <w:tc>
          <w:tcPr>
            <w:tcW w:w="1707" w:type="dxa"/>
            <w:vMerge w:val="restart"/>
          </w:tcPr>
          <w:p>
            <w:pPr>
              <w:pStyle w:val="TableParagraph"/>
              <w:spacing w:line="318" w:lineRule="exact"/>
              <w:ind w:left="47" w:right="47"/>
              <w:rPr>
                <w:sz w:val="18"/>
              </w:rPr>
            </w:pPr>
            <w:r>
              <w:rPr>
                <w:sz w:val="18"/>
              </w:rPr>
              <w:t>乙醇</w:t>
            </w:r>
          </w:p>
        </w:tc>
        <w:tc>
          <w:tcPr>
            <w:tcW w:w="802" w:type="dxa"/>
            <w:vMerge w:val="restart"/>
          </w:tcPr>
          <w:p>
            <w:pPr>
              <w:pStyle w:val="TableParagraph"/>
              <w:spacing w:before="59"/>
              <w:ind w:left="195"/>
              <w:jc w:val="left"/>
              <w:rPr>
                <w:rFonts w:ascii="Times New Roman"/>
                <w:sz w:val="18"/>
              </w:rPr>
            </w:pPr>
            <w:r>
              <w:rPr>
                <w:rFonts w:ascii="Times New Roman"/>
                <w:sz w:val="18"/>
              </w:rPr>
              <w:t>0.355</w:t>
            </w:r>
          </w:p>
        </w:tc>
        <w:tc>
          <w:tcPr>
            <w:tcW w:w="961" w:type="dxa"/>
            <w:vMerge w:val="restart"/>
            <w:tcBorders>
              <w:right w:val="single" w:sz="8" w:space="0" w:color="000000"/>
            </w:tcBorders>
          </w:tcPr>
          <w:p>
            <w:pPr>
              <w:pStyle w:val="TableParagraph"/>
              <w:spacing w:before="59"/>
              <w:ind w:left="317"/>
              <w:jc w:val="left"/>
              <w:rPr>
                <w:rFonts w:ascii="Times New Roman"/>
                <w:sz w:val="18"/>
              </w:rPr>
            </w:pPr>
            <w:r>
              <w:rPr>
                <w:rFonts w:ascii="Times New Roman"/>
                <w:sz w:val="18"/>
              </w:rPr>
              <w:t>88.8</w:t>
            </w:r>
          </w:p>
        </w:tc>
        <w:tc>
          <w:tcPr>
            <w:tcW w:w="807" w:type="dxa"/>
            <w:vMerge w:val="restart"/>
            <w:tcBorders>
              <w:left w:val="single" w:sz="8" w:space="0" w:color="000000"/>
              <w:right w:val="single" w:sz="8" w:space="0" w:color="000000"/>
            </w:tcBorders>
          </w:tcPr>
          <w:p>
            <w:pPr>
              <w:pStyle w:val="TableParagraph"/>
              <w:spacing w:before="59"/>
              <w:ind w:left="214"/>
              <w:jc w:val="left"/>
              <w:rPr>
                <w:rFonts w:ascii="Times New Roman" w:hAnsi="Times New Roman"/>
                <w:sz w:val="18"/>
              </w:rPr>
            </w:pPr>
            <w:r>
              <w:rPr>
                <w:rFonts w:ascii="Times New Roman" w:hAnsi="Times New Roman"/>
                <w:sz w:val="18"/>
              </w:rPr>
              <w:t>——</w:t>
            </w:r>
          </w:p>
        </w:tc>
        <w:tc>
          <w:tcPr>
            <w:tcW w:w="855" w:type="dxa"/>
            <w:vMerge w:val="restart"/>
            <w:tcBorders>
              <w:left w:val="single" w:sz="8" w:space="0" w:color="000000"/>
            </w:tcBorders>
          </w:tcPr>
          <w:p>
            <w:pPr>
              <w:pStyle w:val="TableParagraph"/>
              <w:spacing w:before="59"/>
              <w:ind w:left="218"/>
              <w:jc w:val="left"/>
              <w:rPr>
                <w:rFonts w:ascii="Times New Roman"/>
                <w:sz w:val="18"/>
              </w:rPr>
            </w:pPr>
            <w:r>
              <w:rPr>
                <w:rFonts w:ascii="Times New Roman"/>
                <w:sz w:val="18"/>
              </w:rPr>
              <w:t>317.7</w:t>
            </w:r>
          </w:p>
        </w:tc>
      </w:tr>
      <w:tr>
        <w:trPr>
          <w:trHeight w:val="105" w:hRule="atLeast"/>
        </w:trPr>
        <w:tc>
          <w:tcPr>
            <w:tcW w:w="799" w:type="dxa"/>
            <w:vMerge w:val="restart"/>
            <w:tcBorders>
              <w:top w:val="nil"/>
            </w:tcBorders>
          </w:tcPr>
          <w:p>
            <w:pPr>
              <w:pStyle w:val="TableParagraph"/>
              <w:spacing w:before="2"/>
              <w:ind w:left="129" w:right="117"/>
              <w:rPr>
                <w:rFonts w:ascii="Times New Roman"/>
                <w:sz w:val="18"/>
              </w:rPr>
            </w:pPr>
            <w:r>
              <w:rPr>
                <w:rFonts w:ascii="Times New Roman"/>
                <w:sz w:val="18"/>
              </w:rPr>
              <w:t>5#</w:t>
            </w:r>
          </w:p>
        </w:tc>
        <w:tc>
          <w:tcPr>
            <w:tcW w:w="590" w:type="dxa"/>
            <w:vMerge w:val="restart"/>
            <w:tcBorders>
              <w:top w:val="nil"/>
            </w:tcBorders>
          </w:tcPr>
          <w:p>
            <w:pPr>
              <w:pStyle w:val="TableParagraph"/>
              <w:jc w:val="left"/>
              <w:rPr>
                <w:rFonts w:ascii="Times New Roman"/>
                <w:sz w:val="20"/>
              </w:rPr>
            </w:pPr>
          </w:p>
        </w:tc>
        <w:tc>
          <w:tcPr>
            <w:tcW w:w="411" w:type="dxa"/>
            <w:vMerge w:val="restart"/>
            <w:tcBorders>
              <w:top w:val="nil"/>
            </w:tcBorders>
          </w:tcPr>
          <w:p>
            <w:pPr>
              <w:pStyle w:val="TableParagraph"/>
              <w:jc w:val="left"/>
              <w:rPr>
                <w:rFonts w:ascii="Times New Roman"/>
                <w:sz w:val="20"/>
              </w:rPr>
            </w:pPr>
          </w:p>
        </w:tc>
        <w:tc>
          <w:tcPr>
            <w:tcW w:w="598" w:type="dxa"/>
            <w:vMerge w:val="restart"/>
            <w:tcBorders>
              <w:top w:val="nil"/>
            </w:tcBorders>
          </w:tcPr>
          <w:p>
            <w:pPr>
              <w:pStyle w:val="TableParagraph"/>
              <w:jc w:val="left"/>
              <w:rPr>
                <w:rFonts w:ascii="Times New Roman"/>
                <w:sz w:val="20"/>
              </w:rPr>
            </w:pPr>
          </w:p>
        </w:tc>
        <w:tc>
          <w:tcPr>
            <w:tcW w:w="795" w:type="dxa"/>
            <w:vMerge w:val="restart"/>
            <w:tcBorders>
              <w:top w:val="nil"/>
            </w:tcBorders>
          </w:tcPr>
          <w:p>
            <w:pPr>
              <w:pStyle w:val="TableParagraph"/>
              <w:jc w:val="left"/>
              <w:rPr>
                <w:rFonts w:ascii="Times New Roman"/>
                <w:sz w:val="20"/>
              </w:rPr>
            </w:pPr>
          </w:p>
        </w:tc>
        <w:tc>
          <w:tcPr>
            <w:tcW w:w="1707" w:type="dxa"/>
            <w:vMerge/>
            <w:tcBorders>
              <w:top w:val="nil"/>
            </w:tcBorders>
          </w:tcPr>
          <w:p>
            <w:pPr>
              <w:rPr>
                <w:sz w:val="2"/>
                <w:szCs w:val="2"/>
              </w:rPr>
            </w:pPr>
          </w:p>
        </w:tc>
        <w:tc>
          <w:tcPr>
            <w:tcW w:w="802" w:type="dxa"/>
            <w:vMerge/>
            <w:tcBorders>
              <w:top w:val="nil"/>
            </w:tcBorders>
          </w:tcPr>
          <w:p>
            <w:pPr>
              <w:rPr>
                <w:sz w:val="2"/>
                <w:szCs w:val="2"/>
              </w:rPr>
            </w:pPr>
          </w:p>
        </w:tc>
        <w:tc>
          <w:tcPr>
            <w:tcW w:w="961" w:type="dxa"/>
            <w:vMerge/>
            <w:tcBorders>
              <w:top w:val="nil"/>
              <w:right w:val="single" w:sz="8" w:space="0" w:color="000000"/>
            </w:tcBorders>
          </w:tcPr>
          <w:p>
            <w:pPr>
              <w:rPr>
                <w:sz w:val="2"/>
                <w:szCs w:val="2"/>
              </w:rPr>
            </w:pPr>
          </w:p>
        </w:tc>
        <w:tc>
          <w:tcPr>
            <w:tcW w:w="807" w:type="dxa"/>
            <w:vMerge/>
            <w:tcBorders>
              <w:top w:val="nil"/>
              <w:left w:val="single" w:sz="8" w:space="0" w:color="000000"/>
              <w:right w:val="single" w:sz="8" w:space="0" w:color="000000"/>
            </w:tcBorders>
          </w:tcPr>
          <w:p>
            <w:pPr>
              <w:rPr>
                <w:sz w:val="2"/>
                <w:szCs w:val="2"/>
              </w:rPr>
            </w:pPr>
          </w:p>
        </w:tc>
        <w:tc>
          <w:tcPr>
            <w:tcW w:w="855" w:type="dxa"/>
            <w:vMerge/>
            <w:tcBorders>
              <w:top w:val="nil"/>
              <w:left w:val="single" w:sz="8" w:space="0" w:color="000000"/>
            </w:tcBorders>
          </w:tcPr>
          <w:p>
            <w:pPr>
              <w:rPr>
                <w:sz w:val="2"/>
                <w:szCs w:val="2"/>
              </w:rPr>
            </w:pPr>
          </w:p>
        </w:tc>
      </w:tr>
      <w:tr>
        <w:trPr>
          <w:trHeight w:val="340" w:hRule="atLeast"/>
        </w:trPr>
        <w:tc>
          <w:tcPr>
            <w:tcW w:w="799" w:type="dxa"/>
            <w:vMerge/>
            <w:tcBorders>
              <w:top w:val="nil"/>
            </w:tcBorders>
          </w:tcPr>
          <w:p>
            <w:pPr>
              <w:rPr>
                <w:sz w:val="2"/>
                <w:szCs w:val="2"/>
              </w:rPr>
            </w:pPr>
          </w:p>
        </w:tc>
        <w:tc>
          <w:tcPr>
            <w:tcW w:w="590" w:type="dxa"/>
            <w:vMerge/>
            <w:tcBorders>
              <w:top w:val="nil"/>
            </w:tcBorders>
          </w:tcPr>
          <w:p>
            <w:pPr>
              <w:rPr>
                <w:sz w:val="2"/>
                <w:szCs w:val="2"/>
              </w:rPr>
            </w:pPr>
          </w:p>
        </w:tc>
        <w:tc>
          <w:tcPr>
            <w:tcW w:w="411" w:type="dxa"/>
            <w:vMerge/>
            <w:tcBorders>
              <w:top w:val="nil"/>
            </w:tcBorders>
          </w:tcPr>
          <w:p>
            <w:pPr>
              <w:rPr>
                <w:sz w:val="2"/>
                <w:szCs w:val="2"/>
              </w:rPr>
            </w:pPr>
          </w:p>
        </w:tc>
        <w:tc>
          <w:tcPr>
            <w:tcW w:w="598" w:type="dxa"/>
            <w:vMerge/>
            <w:tcBorders>
              <w:top w:val="nil"/>
            </w:tcBorders>
          </w:tcPr>
          <w:p>
            <w:pPr>
              <w:rPr>
                <w:sz w:val="2"/>
                <w:szCs w:val="2"/>
              </w:rPr>
            </w:pPr>
          </w:p>
        </w:tc>
        <w:tc>
          <w:tcPr>
            <w:tcW w:w="795" w:type="dxa"/>
            <w:vMerge/>
            <w:tcBorders>
              <w:top w:val="nil"/>
            </w:tcBorders>
          </w:tcPr>
          <w:p>
            <w:pPr>
              <w:rPr>
                <w:sz w:val="2"/>
                <w:szCs w:val="2"/>
              </w:rPr>
            </w:pPr>
          </w:p>
        </w:tc>
        <w:tc>
          <w:tcPr>
            <w:tcW w:w="1707" w:type="dxa"/>
          </w:tcPr>
          <w:p>
            <w:pPr>
              <w:pStyle w:val="TableParagraph"/>
              <w:spacing w:line="320" w:lineRule="exact"/>
              <w:ind w:left="47" w:right="47"/>
              <w:rPr>
                <w:sz w:val="18"/>
              </w:rPr>
            </w:pPr>
            <w:r>
              <w:rPr>
                <w:sz w:val="18"/>
              </w:rPr>
              <w:t>丙酮</w:t>
            </w:r>
          </w:p>
        </w:tc>
        <w:tc>
          <w:tcPr>
            <w:tcW w:w="802" w:type="dxa"/>
          </w:tcPr>
          <w:p>
            <w:pPr>
              <w:pStyle w:val="TableParagraph"/>
              <w:spacing w:before="62"/>
              <w:ind w:left="132" w:right="124"/>
              <w:rPr>
                <w:rFonts w:ascii="Times New Roman"/>
                <w:sz w:val="18"/>
              </w:rPr>
            </w:pPr>
            <w:r>
              <w:rPr>
                <w:rFonts w:ascii="Times New Roman"/>
                <w:sz w:val="18"/>
              </w:rPr>
              <w:t>0.7455</w:t>
            </w:r>
          </w:p>
        </w:tc>
        <w:tc>
          <w:tcPr>
            <w:tcW w:w="961" w:type="dxa"/>
            <w:tcBorders>
              <w:right w:val="single" w:sz="8" w:space="0" w:color="000000"/>
            </w:tcBorders>
          </w:tcPr>
          <w:p>
            <w:pPr>
              <w:pStyle w:val="TableParagraph"/>
              <w:spacing w:before="62"/>
              <w:ind w:right="265"/>
              <w:jc w:val="right"/>
              <w:rPr>
                <w:rFonts w:ascii="Times New Roman"/>
                <w:sz w:val="18"/>
              </w:rPr>
            </w:pPr>
            <w:r>
              <w:rPr>
                <w:rFonts w:ascii="Times New Roman"/>
                <w:sz w:val="18"/>
              </w:rPr>
              <w:t>186.4</w:t>
            </w:r>
          </w:p>
        </w:tc>
        <w:tc>
          <w:tcPr>
            <w:tcW w:w="807" w:type="dxa"/>
            <w:tcBorders>
              <w:left w:val="single" w:sz="8" w:space="0" w:color="000000"/>
              <w:right w:val="single" w:sz="8" w:space="0" w:color="000000"/>
            </w:tcBorders>
          </w:tcPr>
          <w:p>
            <w:pPr>
              <w:pStyle w:val="TableParagraph"/>
              <w:spacing w:before="62"/>
              <w:ind w:left="214"/>
              <w:jc w:val="left"/>
              <w:rPr>
                <w:rFonts w:ascii="Times New Roman" w:hAnsi="Times New Roman"/>
                <w:sz w:val="18"/>
              </w:rPr>
            </w:pPr>
            <w:r>
              <w:rPr>
                <w:rFonts w:ascii="Times New Roman" w:hAnsi="Times New Roman"/>
                <w:sz w:val="18"/>
              </w:rPr>
              <w:t>——</w:t>
            </w:r>
          </w:p>
        </w:tc>
        <w:tc>
          <w:tcPr>
            <w:tcW w:w="855" w:type="dxa"/>
            <w:tcBorders>
              <w:left w:val="single" w:sz="8" w:space="0" w:color="000000"/>
            </w:tcBorders>
          </w:tcPr>
          <w:p>
            <w:pPr>
              <w:pStyle w:val="TableParagraph"/>
              <w:spacing w:before="62"/>
              <w:ind w:left="198" w:right="194"/>
              <w:rPr>
                <w:rFonts w:ascii="Times New Roman"/>
                <w:sz w:val="18"/>
              </w:rPr>
            </w:pPr>
            <w:r>
              <w:rPr>
                <w:rFonts w:ascii="Times New Roman"/>
                <w:sz w:val="18"/>
              </w:rPr>
              <w:t>261</w:t>
            </w:r>
          </w:p>
        </w:tc>
      </w:tr>
    </w:tbl>
    <w:p>
      <w:pPr>
        <w:pStyle w:val="BodyText"/>
        <w:spacing w:before="3"/>
        <w:rPr>
          <w:rFonts w:ascii="Times New Roman"/>
          <w:sz w:val="8"/>
        </w:rPr>
      </w:pPr>
    </w:p>
    <w:p>
      <w:pPr>
        <w:pStyle w:val="BodyText"/>
        <w:spacing w:line="456" w:lineRule="exact"/>
        <w:ind w:left="1058"/>
      </w:pPr>
      <w:r>
        <w:rPr/>
        <w:t>建设单位应做好碱洗塔和活性炭吸附装置的管理、维修工作，选用质量好的</w:t>
      </w:r>
    </w:p>
    <w:p>
      <w:pPr>
        <w:pStyle w:val="BodyText"/>
        <w:spacing w:line="235" w:lineRule="auto" w:before="3"/>
        <w:ind w:left="578" w:right="666"/>
        <w:jc w:val="both"/>
      </w:pPr>
      <w:r>
        <w:rPr/>
        <w:t>设备，派专人对易发生非正常排放的设备进行管理，出现异常要及时维修处理。采取上述措施后，完全可以做到避免非正常排放。</w:t>
      </w:r>
    </w:p>
    <w:p>
      <w:pPr>
        <w:pStyle w:val="BodyText"/>
        <w:spacing w:line="237" w:lineRule="auto"/>
        <w:ind w:left="578" w:right="760" w:firstLine="479"/>
      </w:pPr>
      <w:r>
        <w:rPr/>
        <w:t>（</w:t>
      </w:r>
      <w:r>
        <w:rPr>
          <w:rFonts w:ascii="Times New Roman" w:eastAsia="Times New Roman"/>
        </w:rPr>
        <w:t>2</w:t>
      </w:r>
      <w:r>
        <w:rPr/>
        <w:t>）废水：非正常工况主要指生产过程或污水处理站不能正常运行时废水的排放：</w:t>
      </w:r>
    </w:p>
    <w:p>
      <w:pPr>
        <w:pStyle w:val="BodyText"/>
        <w:spacing w:line="317" w:lineRule="exact"/>
        <w:ind w:left="1058"/>
      </w:pPr>
      <w:r>
        <w:rPr/>
        <w:t>污水处理站不能正常运行时，此情况下会造成 </w:t>
      </w:r>
      <w:r>
        <w:rPr>
          <w:rFonts w:ascii="Times New Roman" w:eastAsia="Times New Roman"/>
        </w:rPr>
        <w:t>COD</w:t>
      </w:r>
      <w:r>
        <w:rPr/>
        <w:t>、氨氮等污染物的超标</w:t>
      </w:r>
    </w:p>
    <w:p>
      <w:pPr>
        <w:pStyle w:val="BodyText"/>
        <w:spacing w:line="220" w:lineRule="auto" w:before="6"/>
        <w:ind w:left="578" w:right="751"/>
        <w:jc w:val="both"/>
      </w:pPr>
      <w:r>
        <w:rPr>
          <w:spacing w:val="-6"/>
        </w:rPr>
        <w:t>排放而污染当地水环境，厂内污水全部排入事故水池暂存，故障排除后再进入厂</w:t>
      </w:r>
      <w:r>
        <w:rPr>
          <w:spacing w:val="-12"/>
        </w:rPr>
        <w:t>内污水处理站处理。事故状态下应立即停车，事故水池可暂存 </w:t>
      </w:r>
      <w:r>
        <w:rPr>
          <w:rFonts w:ascii="Times New Roman" w:eastAsia="Times New Roman"/>
        </w:rPr>
        <w:t>6 </w:t>
      </w:r>
      <w:r>
        <w:rPr/>
        <w:t>天的废水最大排放量。</w:t>
      </w:r>
    </w:p>
    <w:p>
      <w:pPr>
        <w:pStyle w:val="BodyText"/>
        <w:spacing w:line="220" w:lineRule="auto"/>
        <w:ind w:left="578" w:right="672" w:firstLine="479"/>
      </w:pPr>
      <w:r>
        <w:rPr/>
        <w:t>白葡萄球菌生产染菌后，先经高温杀菌，再排至事故池，逐步打入污水处理站处理。</w:t>
      </w:r>
    </w:p>
    <w:p>
      <w:pPr>
        <w:pStyle w:val="Heading2"/>
        <w:numPr>
          <w:ilvl w:val="1"/>
          <w:numId w:val="3"/>
        </w:numPr>
        <w:tabs>
          <w:tab w:pos="1390" w:val="left" w:leader="none"/>
        </w:tabs>
        <w:spacing w:line="240" w:lineRule="auto" w:before="89" w:after="0"/>
        <w:ind w:left="1389" w:right="0" w:hanging="811"/>
        <w:jc w:val="both"/>
        <w:rPr>
          <w:rFonts w:ascii="Times New Roman" w:hAnsi="Times New Roman" w:eastAsia="Times New Roman"/>
        </w:rPr>
      </w:pPr>
      <w:r>
        <w:rPr/>
        <w:t>全厂</w:t>
      </w:r>
      <w:r>
        <w:rPr>
          <w:rFonts w:ascii="Times New Roman" w:hAnsi="Times New Roman" w:eastAsia="Times New Roman"/>
          <w:b/>
        </w:rPr>
        <w:t>“</w:t>
      </w:r>
      <w:r>
        <w:rPr/>
        <w:t>三废</w:t>
      </w:r>
      <w:r>
        <w:rPr>
          <w:rFonts w:ascii="Times New Roman" w:hAnsi="Times New Roman" w:eastAsia="Times New Roman"/>
          <w:b/>
        </w:rPr>
        <w:t>”</w:t>
      </w:r>
      <w:r>
        <w:rPr/>
        <w:t>排放情况汇总</w:t>
      </w:r>
    </w:p>
    <w:p>
      <w:pPr>
        <w:pStyle w:val="BodyText"/>
        <w:spacing w:before="154"/>
        <w:ind w:left="1058"/>
      </w:pPr>
      <w:r>
        <w:rPr/>
        <w:t>本项目污染物产生与排放情况汇总见表 </w:t>
      </w:r>
      <w:r>
        <w:rPr>
          <w:rFonts w:ascii="Times New Roman" w:eastAsia="Times New Roman"/>
        </w:rPr>
        <w:t>4.13-1</w:t>
      </w:r>
      <w:r>
        <w:rPr/>
        <w:t>。</w:t>
      </w:r>
    </w:p>
    <w:p>
      <w:pPr>
        <w:tabs>
          <w:tab w:pos="2911" w:val="left" w:leader="none"/>
          <w:tab w:pos="6706" w:val="left" w:leader="none"/>
        </w:tabs>
        <w:spacing w:before="95"/>
        <w:ind w:left="1893" w:right="0" w:firstLine="0"/>
        <w:jc w:val="left"/>
        <w:rPr>
          <w:rFonts w:ascii="Times New Roman" w:eastAsia="Times New Roman"/>
          <w:b/>
          <w:sz w:val="21"/>
        </w:rPr>
      </w:pPr>
      <w:r>
        <w:rPr>
          <w:sz w:val="21"/>
        </w:rPr>
        <w:t>表</w:t>
      </w:r>
      <w:r>
        <w:rPr>
          <w:spacing w:val="8"/>
          <w:sz w:val="21"/>
        </w:rPr>
        <w:t> </w:t>
      </w:r>
      <w:r>
        <w:rPr>
          <w:rFonts w:ascii="Times New Roman" w:eastAsia="Times New Roman"/>
          <w:b/>
          <w:sz w:val="21"/>
        </w:rPr>
        <w:t>4.13-1</w:t>
        <w:tab/>
      </w:r>
      <w:r>
        <w:rPr>
          <w:sz w:val="21"/>
        </w:rPr>
        <w:t>本项目污染</w:t>
      </w:r>
      <w:r>
        <w:rPr>
          <w:spacing w:val="-3"/>
          <w:sz w:val="21"/>
        </w:rPr>
        <w:t>物</w:t>
      </w:r>
      <w:r>
        <w:rPr>
          <w:sz w:val="21"/>
        </w:rPr>
        <w:t>产生与排放汇总一</w:t>
      </w:r>
      <w:r>
        <w:rPr>
          <w:spacing w:val="-3"/>
          <w:sz w:val="21"/>
        </w:rPr>
        <w:t>览</w:t>
      </w:r>
      <w:r>
        <w:rPr>
          <w:sz w:val="21"/>
        </w:rPr>
        <w:t>表</w:t>
        <w:tab/>
        <w:t>单位：</w:t>
      </w:r>
      <w:r>
        <w:rPr>
          <w:rFonts w:ascii="Times New Roman" w:eastAsia="Times New Roman"/>
          <w:b/>
          <w:sz w:val="21"/>
        </w:rPr>
        <w:t>t/a</w:t>
      </w:r>
    </w:p>
    <w:p>
      <w:pPr>
        <w:pStyle w:val="BodyText"/>
        <w:spacing w:before="5"/>
        <w:rPr>
          <w:rFonts w:ascii="Times New Roman"/>
          <w:b/>
          <w:sz w:val="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
        <w:gridCol w:w="430"/>
        <w:gridCol w:w="1866"/>
        <w:gridCol w:w="973"/>
        <w:gridCol w:w="970"/>
        <w:gridCol w:w="1109"/>
        <w:gridCol w:w="2142"/>
      </w:tblGrid>
      <w:tr>
        <w:trPr>
          <w:trHeight w:val="340" w:hRule="atLeast"/>
        </w:trPr>
        <w:tc>
          <w:tcPr>
            <w:tcW w:w="1042" w:type="dxa"/>
          </w:tcPr>
          <w:p>
            <w:pPr>
              <w:pStyle w:val="TableParagraph"/>
              <w:spacing w:line="320" w:lineRule="exact"/>
              <w:ind w:left="340"/>
              <w:jc w:val="left"/>
              <w:rPr>
                <w:sz w:val="18"/>
              </w:rPr>
            </w:pPr>
            <w:r>
              <w:rPr>
                <w:sz w:val="18"/>
              </w:rPr>
              <w:t>项目</w:t>
            </w:r>
          </w:p>
        </w:tc>
        <w:tc>
          <w:tcPr>
            <w:tcW w:w="2296" w:type="dxa"/>
            <w:gridSpan w:val="2"/>
          </w:tcPr>
          <w:p>
            <w:pPr>
              <w:pStyle w:val="TableParagraph"/>
              <w:spacing w:line="320" w:lineRule="exact"/>
              <w:ind w:left="24" w:right="19"/>
              <w:rPr>
                <w:sz w:val="18"/>
              </w:rPr>
            </w:pPr>
            <w:r>
              <w:rPr>
                <w:sz w:val="18"/>
              </w:rPr>
              <w:t>污染物</w:t>
            </w:r>
          </w:p>
        </w:tc>
        <w:tc>
          <w:tcPr>
            <w:tcW w:w="973" w:type="dxa"/>
          </w:tcPr>
          <w:p>
            <w:pPr>
              <w:pStyle w:val="TableParagraph"/>
              <w:spacing w:line="320" w:lineRule="exact"/>
              <w:ind w:left="166" w:right="166"/>
              <w:rPr>
                <w:sz w:val="18"/>
              </w:rPr>
            </w:pPr>
            <w:r>
              <w:rPr>
                <w:sz w:val="18"/>
              </w:rPr>
              <w:t>产生量</w:t>
            </w:r>
          </w:p>
        </w:tc>
        <w:tc>
          <w:tcPr>
            <w:tcW w:w="970" w:type="dxa"/>
          </w:tcPr>
          <w:p>
            <w:pPr>
              <w:pStyle w:val="TableParagraph"/>
              <w:spacing w:line="320" w:lineRule="exact"/>
              <w:ind w:left="122" w:right="122"/>
              <w:rPr>
                <w:sz w:val="18"/>
              </w:rPr>
            </w:pPr>
            <w:r>
              <w:rPr>
                <w:sz w:val="18"/>
              </w:rPr>
              <w:t>削减量</w:t>
            </w:r>
          </w:p>
        </w:tc>
        <w:tc>
          <w:tcPr>
            <w:tcW w:w="1109" w:type="dxa"/>
          </w:tcPr>
          <w:p>
            <w:pPr>
              <w:pStyle w:val="TableParagraph"/>
              <w:spacing w:line="320" w:lineRule="exact"/>
              <w:ind w:left="147" w:right="147"/>
              <w:rPr>
                <w:sz w:val="18"/>
              </w:rPr>
            </w:pPr>
            <w:r>
              <w:rPr>
                <w:sz w:val="18"/>
              </w:rPr>
              <w:t>排放量</w:t>
            </w:r>
          </w:p>
        </w:tc>
        <w:tc>
          <w:tcPr>
            <w:tcW w:w="2142" w:type="dxa"/>
          </w:tcPr>
          <w:p>
            <w:pPr>
              <w:pStyle w:val="TableParagraph"/>
              <w:spacing w:line="320" w:lineRule="exact"/>
              <w:ind w:left="103" w:right="99"/>
              <w:rPr>
                <w:sz w:val="18"/>
              </w:rPr>
            </w:pPr>
            <w:r>
              <w:rPr>
                <w:sz w:val="18"/>
              </w:rPr>
              <w:t>备注</w:t>
            </w:r>
          </w:p>
        </w:tc>
      </w:tr>
      <w:tr>
        <w:trPr>
          <w:trHeight w:val="338" w:hRule="atLeast"/>
        </w:trPr>
        <w:tc>
          <w:tcPr>
            <w:tcW w:w="1042" w:type="dxa"/>
            <w:vMerge w:val="restart"/>
          </w:tcPr>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spacing w:before="8"/>
              <w:jc w:val="left"/>
              <w:rPr>
                <w:rFonts w:ascii="Times New Roman"/>
                <w:b/>
                <w:sz w:val="17"/>
              </w:rPr>
            </w:pPr>
          </w:p>
          <w:p>
            <w:pPr>
              <w:pStyle w:val="TableParagraph"/>
              <w:ind w:left="340"/>
              <w:jc w:val="left"/>
              <w:rPr>
                <w:sz w:val="18"/>
              </w:rPr>
            </w:pPr>
            <w:r>
              <w:rPr>
                <w:sz w:val="18"/>
              </w:rPr>
              <w:t>废气</w:t>
            </w:r>
          </w:p>
        </w:tc>
        <w:tc>
          <w:tcPr>
            <w:tcW w:w="430" w:type="dxa"/>
            <w:vMerge w:val="restart"/>
          </w:tcPr>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spacing w:before="6"/>
              <w:jc w:val="left"/>
              <w:rPr>
                <w:rFonts w:ascii="Times New Roman"/>
                <w:b/>
                <w:sz w:val="24"/>
              </w:rPr>
            </w:pPr>
          </w:p>
          <w:p>
            <w:pPr>
              <w:pStyle w:val="TableParagraph"/>
              <w:spacing w:line="146" w:lineRule="auto"/>
              <w:ind w:left="121" w:right="116"/>
              <w:jc w:val="both"/>
              <w:rPr>
                <w:sz w:val="18"/>
              </w:rPr>
            </w:pPr>
            <w:r>
              <w:rPr>
                <w:sz w:val="18"/>
              </w:rPr>
              <w:t>有组织</w:t>
            </w:r>
          </w:p>
        </w:tc>
        <w:tc>
          <w:tcPr>
            <w:tcW w:w="1866" w:type="dxa"/>
          </w:tcPr>
          <w:p>
            <w:pPr>
              <w:pStyle w:val="TableParagraph"/>
              <w:spacing w:line="318" w:lineRule="exact"/>
              <w:ind w:left="131" w:right="121"/>
              <w:rPr>
                <w:sz w:val="18"/>
              </w:rPr>
            </w:pPr>
            <w:r>
              <w:rPr>
                <w:sz w:val="18"/>
              </w:rPr>
              <w:t>吡啶</w:t>
            </w:r>
          </w:p>
        </w:tc>
        <w:tc>
          <w:tcPr>
            <w:tcW w:w="973" w:type="dxa"/>
          </w:tcPr>
          <w:p>
            <w:pPr>
              <w:pStyle w:val="TableParagraph"/>
              <w:spacing w:before="59"/>
              <w:ind w:left="167" w:right="166"/>
              <w:rPr>
                <w:rFonts w:ascii="Times New Roman"/>
                <w:sz w:val="18"/>
              </w:rPr>
            </w:pPr>
            <w:r>
              <w:rPr>
                <w:rFonts w:ascii="Times New Roman"/>
                <w:sz w:val="18"/>
              </w:rPr>
              <w:t>0.03</w:t>
            </w:r>
          </w:p>
        </w:tc>
        <w:tc>
          <w:tcPr>
            <w:tcW w:w="970" w:type="dxa"/>
          </w:tcPr>
          <w:p>
            <w:pPr>
              <w:pStyle w:val="TableParagraph"/>
              <w:spacing w:before="59"/>
              <w:ind w:left="122" w:right="123"/>
              <w:rPr>
                <w:rFonts w:ascii="Times New Roman"/>
                <w:sz w:val="18"/>
              </w:rPr>
            </w:pPr>
            <w:r>
              <w:rPr>
                <w:rFonts w:ascii="Times New Roman"/>
                <w:sz w:val="18"/>
              </w:rPr>
              <w:t>0.027</w:t>
            </w:r>
          </w:p>
        </w:tc>
        <w:tc>
          <w:tcPr>
            <w:tcW w:w="1109" w:type="dxa"/>
          </w:tcPr>
          <w:p>
            <w:pPr>
              <w:pStyle w:val="TableParagraph"/>
              <w:spacing w:before="59"/>
              <w:ind w:left="147" w:right="147"/>
              <w:rPr>
                <w:rFonts w:ascii="Times New Roman"/>
                <w:sz w:val="18"/>
              </w:rPr>
            </w:pPr>
            <w:r>
              <w:rPr>
                <w:rFonts w:ascii="Times New Roman"/>
                <w:sz w:val="18"/>
              </w:rPr>
              <w:t>0.003</w:t>
            </w:r>
          </w:p>
        </w:tc>
        <w:tc>
          <w:tcPr>
            <w:tcW w:w="2142" w:type="dxa"/>
            <w:vMerge w:val="restart"/>
          </w:tcPr>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spacing w:before="3"/>
              <w:jc w:val="left"/>
              <w:rPr>
                <w:rFonts w:ascii="Times New Roman"/>
                <w:b/>
                <w:sz w:val="16"/>
              </w:rPr>
            </w:pPr>
          </w:p>
          <w:p>
            <w:pPr>
              <w:pStyle w:val="TableParagraph"/>
              <w:spacing w:line="148" w:lineRule="auto"/>
              <w:ind w:left="976" w:right="162" w:hanging="810"/>
              <w:jc w:val="left"/>
              <w:rPr>
                <w:sz w:val="18"/>
              </w:rPr>
            </w:pPr>
            <w:r>
              <w:rPr>
                <w:sz w:val="18"/>
              </w:rPr>
              <w:t>由各车间排气筒高空排放</w:t>
            </w: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醋酸</w:t>
            </w:r>
          </w:p>
        </w:tc>
        <w:tc>
          <w:tcPr>
            <w:tcW w:w="973" w:type="dxa"/>
          </w:tcPr>
          <w:p>
            <w:pPr>
              <w:pStyle w:val="TableParagraph"/>
              <w:spacing w:before="62"/>
              <w:ind w:left="169" w:right="166"/>
              <w:rPr>
                <w:rFonts w:ascii="Times New Roman"/>
                <w:sz w:val="18"/>
              </w:rPr>
            </w:pPr>
            <w:r>
              <w:rPr>
                <w:rFonts w:ascii="Times New Roman"/>
                <w:sz w:val="18"/>
              </w:rPr>
              <w:t>0.2150</w:t>
            </w:r>
          </w:p>
        </w:tc>
        <w:tc>
          <w:tcPr>
            <w:tcW w:w="970" w:type="dxa"/>
          </w:tcPr>
          <w:p>
            <w:pPr>
              <w:pStyle w:val="TableParagraph"/>
              <w:spacing w:before="62"/>
              <w:ind w:left="122" w:right="122"/>
              <w:rPr>
                <w:rFonts w:ascii="Times New Roman"/>
                <w:sz w:val="18"/>
              </w:rPr>
            </w:pPr>
            <w:r>
              <w:rPr>
                <w:rFonts w:ascii="Times New Roman"/>
                <w:sz w:val="18"/>
              </w:rPr>
              <w:t>0.2064</w:t>
            </w:r>
          </w:p>
        </w:tc>
        <w:tc>
          <w:tcPr>
            <w:tcW w:w="1109" w:type="dxa"/>
          </w:tcPr>
          <w:p>
            <w:pPr>
              <w:pStyle w:val="TableParagraph"/>
              <w:spacing w:before="62"/>
              <w:ind w:left="147" w:right="147"/>
              <w:rPr>
                <w:rFonts w:ascii="Times New Roman"/>
                <w:sz w:val="18"/>
              </w:rPr>
            </w:pPr>
            <w:r>
              <w:rPr>
                <w:rFonts w:ascii="Times New Roman"/>
                <w:sz w:val="18"/>
              </w:rPr>
              <w:t>0.0086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1" w:lineRule="exact"/>
              <w:ind w:left="131" w:right="121"/>
              <w:rPr>
                <w:sz w:val="18"/>
              </w:rPr>
            </w:pPr>
            <w:r>
              <w:rPr>
                <w:sz w:val="18"/>
              </w:rPr>
              <w:t>正溴丙烷</w:t>
            </w:r>
          </w:p>
        </w:tc>
        <w:tc>
          <w:tcPr>
            <w:tcW w:w="973" w:type="dxa"/>
          </w:tcPr>
          <w:p>
            <w:pPr>
              <w:pStyle w:val="TableParagraph"/>
              <w:spacing w:before="62"/>
              <w:ind w:left="167" w:right="166"/>
              <w:rPr>
                <w:rFonts w:ascii="Times New Roman"/>
                <w:sz w:val="18"/>
              </w:rPr>
            </w:pPr>
            <w:r>
              <w:rPr>
                <w:rFonts w:ascii="Times New Roman"/>
                <w:sz w:val="18"/>
              </w:rPr>
              <w:t>1.98</w:t>
            </w:r>
          </w:p>
        </w:tc>
        <w:tc>
          <w:tcPr>
            <w:tcW w:w="970" w:type="dxa"/>
          </w:tcPr>
          <w:p>
            <w:pPr>
              <w:pStyle w:val="TableParagraph"/>
              <w:spacing w:before="62"/>
              <w:ind w:left="122" w:right="123"/>
              <w:rPr>
                <w:rFonts w:ascii="Times New Roman"/>
                <w:sz w:val="18"/>
              </w:rPr>
            </w:pPr>
            <w:r>
              <w:rPr>
                <w:rFonts w:ascii="Times New Roman"/>
                <w:sz w:val="18"/>
              </w:rPr>
              <w:t>1.584</w:t>
            </w:r>
          </w:p>
        </w:tc>
        <w:tc>
          <w:tcPr>
            <w:tcW w:w="1109" w:type="dxa"/>
          </w:tcPr>
          <w:p>
            <w:pPr>
              <w:pStyle w:val="TableParagraph"/>
              <w:spacing w:before="62"/>
              <w:ind w:left="147" w:right="147"/>
              <w:rPr>
                <w:rFonts w:ascii="Times New Roman"/>
                <w:sz w:val="18"/>
              </w:rPr>
            </w:pPr>
            <w:r>
              <w:rPr>
                <w:rFonts w:ascii="Times New Roman"/>
                <w:sz w:val="18"/>
              </w:rPr>
              <w:t>0.396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乙酰乙酸甲酯</w:t>
            </w:r>
          </w:p>
        </w:tc>
        <w:tc>
          <w:tcPr>
            <w:tcW w:w="973" w:type="dxa"/>
          </w:tcPr>
          <w:p>
            <w:pPr>
              <w:pStyle w:val="TableParagraph"/>
              <w:spacing w:before="62"/>
              <w:ind w:left="170" w:right="166"/>
              <w:rPr>
                <w:rFonts w:ascii="Times New Roman"/>
                <w:sz w:val="18"/>
              </w:rPr>
            </w:pPr>
            <w:r>
              <w:rPr>
                <w:rFonts w:ascii="Times New Roman"/>
                <w:sz w:val="18"/>
              </w:rPr>
              <w:t>0.5</w:t>
            </w:r>
          </w:p>
        </w:tc>
        <w:tc>
          <w:tcPr>
            <w:tcW w:w="970" w:type="dxa"/>
          </w:tcPr>
          <w:p>
            <w:pPr>
              <w:pStyle w:val="TableParagraph"/>
              <w:spacing w:before="62"/>
              <w:ind w:left="122" w:right="121"/>
              <w:rPr>
                <w:rFonts w:ascii="Times New Roman"/>
                <w:sz w:val="18"/>
              </w:rPr>
            </w:pPr>
            <w:r>
              <w:rPr>
                <w:rFonts w:ascii="Times New Roman"/>
                <w:sz w:val="18"/>
              </w:rPr>
              <w:t>0.4</w:t>
            </w:r>
          </w:p>
        </w:tc>
        <w:tc>
          <w:tcPr>
            <w:tcW w:w="1109" w:type="dxa"/>
          </w:tcPr>
          <w:p>
            <w:pPr>
              <w:pStyle w:val="TableParagraph"/>
              <w:spacing w:before="62"/>
              <w:ind w:left="147" w:right="147"/>
              <w:rPr>
                <w:rFonts w:ascii="Times New Roman"/>
                <w:sz w:val="18"/>
              </w:rPr>
            </w:pPr>
            <w:r>
              <w:rPr>
                <w:rFonts w:ascii="Times New Roman"/>
                <w:sz w:val="18"/>
              </w:rPr>
              <w:t>0.1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甲醇</w:t>
            </w:r>
          </w:p>
        </w:tc>
        <w:tc>
          <w:tcPr>
            <w:tcW w:w="973" w:type="dxa"/>
          </w:tcPr>
          <w:p>
            <w:pPr>
              <w:pStyle w:val="TableParagraph"/>
              <w:spacing w:before="62"/>
              <w:ind w:left="167" w:right="166"/>
              <w:rPr>
                <w:rFonts w:ascii="Times New Roman"/>
                <w:sz w:val="18"/>
              </w:rPr>
            </w:pPr>
            <w:r>
              <w:rPr>
                <w:rFonts w:ascii="Times New Roman"/>
                <w:sz w:val="18"/>
              </w:rPr>
              <w:t>0.177</w:t>
            </w:r>
          </w:p>
        </w:tc>
        <w:tc>
          <w:tcPr>
            <w:tcW w:w="970" w:type="dxa"/>
          </w:tcPr>
          <w:p>
            <w:pPr>
              <w:pStyle w:val="TableParagraph"/>
              <w:spacing w:before="62"/>
              <w:ind w:left="122" w:right="122"/>
              <w:rPr>
                <w:rFonts w:ascii="Times New Roman"/>
                <w:sz w:val="18"/>
              </w:rPr>
            </w:pPr>
            <w:r>
              <w:rPr>
                <w:rFonts w:ascii="Times New Roman"/>
                <w:sz w:val="18"/>
              </w:rPr>
              <w:t>0.1416</w:t>
            </w:r>
          </w:p>
        </w:tc>
        <w:tc>
          <w:tcPr>
            <w:tcW w:w="1109" w:type="dxa"/>
          </w:tcPr>
          <w:p>
            <w:pPr>
              <w:pStyle w:val="TableParagraph"/>
              <w:spacing w:before="62"/>
              <w:ind w:left="147" w:right="147"/>
              <w:rPr>
                <w:rFonts w:ascii="Times New Roman"/>
                <w:sz w:val="18"/>
              </w:rPr>
            </w:pPr>
            <w:r>
              <w:rPr>
                <w:rFonts w:ascii="Times New Roman"/>
                <w:sz w:val="18"/>
              </w:rPr>
              <w:t>0.0354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醋酸甲酯</w:t>
            </w:r>
          </w:p>
        </w:tc>
        <w:tc>
          <w:tcPr>
            <w:tcW w:w="973" w:type="dxa"/>
          </w:tcPr>
          <w:p>
            <w:pPr>
              <w:pStyle w:val="TableParagraph"/>
              <w:spacing w:before="62"/>
              <w:ind w:left="167" w:right="166"/>
              <w:rPr>
                <w:rFonts w:ascii="Times New Roman"/>
                <w:sz w:val="18"/>
              </w:rPr>
            </w:pPr>
            <w:r>
              <w:rPr>
                <w:rFonts w:ascii="Times New Roman"/>
                <w:sz w:val="18"/>
              </w:rPr>
              <w:t>0.71</w:t>
            </w:r>
          </w:p>
        </w:tc>
        <w:tc>
          <w:tcPr>
            <w:tcW w:w="970" w:type="dxa"/>
          </w:tcPr>
          <w:p>
            <w:pPr>
              <w:pStyle w:val="TableParagraph"/>
              <w:spacing w:before="62"/>
              <w:ind w:left="122" w:right="123"/>
              <w:rPr>
                <w:rFonts w:ascii="Times New Roman"/>
                <w:sz w:val="18"/>
              </w:rPr>
            </w:pPr>
            <w:r>
              <w:rPr>
                <w:rFonts w:ascii="Times New Roman"/>
                <w:sz w:val="18"/>
              </w:rPr>
              <w:t>0.568</w:t>
            </w:r>
          </w:p>
        </w:tc>
        <w:tc>
          <w:tcPr>
            <w:tcW w:w="1109" w:type="dxa"/>
          </w:tcPr>
          <w:p>
            <w:pPr>
              <w:pStyle w:val="TableParagraph"/>
              <w:spacing w:before="62"/>
              <w:ind w:left="147" w:right="147"/>
              <w:rPr>
                <w:rFonts w:ascii="Times New Roman"/>
                <w:sz w:val="18"/>
              </w:rPr>
            </w:pPr>
            <w:r>
              <w:rPr>
                <w:rFonts w:ascii="Times New Roman"/>
                <w:sz w:val="18"/>
              </w:rPr>
              <w:t>0.142</w:t>
            </w:r>
          </w:p>
        </w:tc>
        <w:tc>
          <w:tcPr>
            <w:tcW w:w="2142" w:type="dxa"/>
            <w:vMerge/>
            <w:tcBorders>
              <w:top w:val="nil"/>
            </w:tcBorders>
          </w:tcPr>
          <w:p>
            <w:pPr>
              <w:rPr>
                <w:sz w:val="2"/>
                <w:szCs w:val="2"/>
              </w:rPr>
            </w:pPr>
          </w:p>
        </w:tc>
      </w:tr>
      <w:tr>
        <w:trPr>
          <w:trHeight w:val="338"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8" w:lineRule="exact"/>
              <w:ind w:left="131" w:right="121"/>
              <w:rPr>
                <w:sz w:val="18"/>
              </w:rPr>
            </w:pPr>
            <w:r>
              <w:rPr>
                <w:sz w:val="18"/>
              </w:rPr>
              <w:t>甲苯</w:t>
            </w:r>
          </w:p>
        </w:tc>
        <w:tc>
          <w:tcPr>
            <w:tcW w:w="973" w:type="dxa"/>
          </w:tcPr>
          <w:p>
            <w:pPr>
              <w:pStyle w:val="TableParagraph"/>
              <w:spacing w:before="59"/>
              <w:ind w:left="169" w:right="166"/>
              <w:rPr>
                <w:rFonts w:ascii="Times New Roman"/>
                <w:sz w:val="18"/>
              </w:rPr>
            </w:pPr>
            <w:r>
              <w:rPr>
                <w:rFonts w:ascii="Times New Roman"/>
                <w:sz w:val="18"/>
              </w:rPr>
              <w:t>1.9415</w:t>
            </w:r>
          </w:p>
        </w:tc>
        <w:tc>
          <w:tcPr>
            <w:tcW w:w="970" w:type="dxa"/>
          </w:tcPr>
          <w:p>
            <w:pPr>
              <w:pStyle w:val="TableParagraph"/>
              <w:spacing w:before="59"/>
              <w:ind w:left="122" w:right="122"/>
              <w:rPr>
                <w:rFonts w:ascii="Times New Roman"/>
                <w:sz w:val="18"/>
              </w:rPr>
            </w:pPr>
            <w:r>
              <w:rPr>
                <w:rFonts w:ascii="Times New Roman"/>
                <w:sz w:val="18"/>
              </w:rPr>
              <w:t>1.5532</w:t>
            </w:r>
          </w:p>
        </w:tc>
        <w:tc>
          <w:tcPr>
            <w:tcW w:w="1109" w:type="dxa"/>
          </w:tcPr>
          <w:p>
            <w:pPr>
              <w:pStyle w:val="TableParagraph"/>
              <w:spacing w:before="59"/>
              <w:ind w:left="147" w:right="147"/>
              <w:rPr>
                <w:rFonts w:ascii="Times New Roman"/>
                <w:sz w:val="18"/>
              </w:rPr>
            </w:pPr>
            <w:r>
              <w:rPr>
                <w:rFonts w:ascii="Times New Roman"/>
                <w:sz w:val="18"/>
              </w:rPr>
              <w:t>0.3883</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丙戊酸</w:t>
            </w:r>
          </w:p>
        </w:tc>
        <w:tc>
          <w:tcPr>
            <w:tcW w:w="973" w:type="dxa"/>
          </w:tcPr>
          <w:p>
            <w:pPr>
              <w:pStyle w:val="TableParagraph"/>
              <w:spacing w:before="62"/>
              <w:ind w:left="170" w:right="166"/>
              <w:rPr>
                <w:rFonts w:ascii="Times New Roman"/>
                <w:sz w:val="18"/>
              </w:rPr>
            </w:pPr>
            <w:r>
              <w:rPr>
                <w:rFonts w:ascii="Times New Roman"/>
                <w:sz w:val="18"/>
              </w:rPr>
              <w:t>0.5</w:t>
            </w:r>
          </w:p>
        </w:tc>
        <w:tc>
          <w:tcPr>
            <w:tcW w:w="970" w:type="dxa"/>
          </w:tcPr>
          <w:p>
            <w:pPr>
              <w:pStyle w:val="TableParagraph"/>
              <w:spacing w:before="62"/>
              <w:ind w:left="122" w:right="123"/>
              <w:rPr>
                <w:rFonts w:ascii="Times New Roman"/>
                <w:sz w:val="18"/>
              </w:rPr>
            </w:pPr>
            <w:r>
              <w:rPr>
                <w:rFonts w:ascii="Times New Roman"/>
                <w:sz w:val="18"/>
              </w:rPr>
              <w:t>0.48</w:t>
            </w:r>
          </w:p>
        </w:tc>
        <w:tc>
          <w:tcPr>
            <w:tcW w:w="1109" w:type="dxa"/>
          </w:tcPr>
          <w:p>
            <w:pPr>
              <w:pStyle w:val="TableParagraph"/>
              <w:spacing w:before="62"/>
              <w:ind w:left="146" w:right="147"/>
              <w:rPr>
                <w:rFonts w:ascii="Times New Roman"/>
                <w:sz w:val="18"/>
              </w:rPr>
            </w:pPr>
            <w:r>
              <w:rPr>
                <w:rFonts w:ascii="Times New Roman"/>
                <w:sz w:val="18"/>
              </w:rPr>
              <w:t>0.02</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氯化氢</w:t>
            </w:r>
          </w:p>
        </w:tc>
        <w:tc>
          <w:tcPr>
            <w:tcW w:w="973" w:type="dxa"/>
          </w:tcPr>
          <w:p>
            <w:pPr>
              <w:pStyle w:val="TableParagraph"/>
              <w:spacing w:before="62"/>
              <w:ind w:left="167" w:right="166"/>
              <w:rPr>
                <w:rFonts w:ascii="Times New Roman"/>
                <w:sz w:val="18"/>
              </w:rPr>
            </w:pPr>
            <w:r>
              <w:rPr>
                <w:rFonts w:ascii="Times New Roman"/>
                <w:sz w:val="18"/>
              </w:rPr>
              <w:t>1.514</w:t>
            </w:r>
          </w:p>
        </w:tc>
        <w:tc>
          <w:tcPr>
            <w:tcW w:w="970" w:type="dxa"/>
          </w:tcPr>
          <w:p>
            <w:pPr>
              <w:pStyle w:val="TableParagraph"/>
              <w:spacing w:before="62"/>
              <w:ind w:left="122" w:right="122"/>
              <w:rPr>
                <w:rFonts w:ascii="Times New Roman"/>
                <w:sz w:val="18"/>
              </w:rPr>
            </w:pPr>
            <w:r>
              <w:rPr>
                <w:rFonts w:ascii="Times New Roman"/>
                <w:sz w:val="18"/>
              </w:rPr>
              <w:t>1.3626</w:t>
            </w:r>
          </w:p>
        </w:tc>
        <w:tc>
          <w:tcPr>
            <w:tcW w:w="1109" w:type="dxa"/>
          </w:tcPr>
          <w:p>
            <w:pPr>
              <w:pStyle w:val="TableParagraph"/>
              <w:spacing w:before="62"/>
              <w:ind w:left="147" w:right="147"/>
              <w:rPr>
                <w:rFonts w:ascii="Times New Roman"/>
                <w:sz w:val="18"/>
              </w:rPr>
            </w:pPr>
            <w:r>
              <w:rPr>
                <w:rFonts w:ascii="Times New Roman"/>
                <w:sz w:val="18"/>
              </w:rPr>
              <w:t>0.1514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二甲苯</w:t>
            </w:r>
          </w:p>
        </w:tc>
        <w:tc>
          <w:tcPr>
            <w:tcW w:w="973" w:type="dxa"/>
          </w:tcPr>
          <w:p>
            <w:pPr>
              <w:pStyle w:val="TableParagraph"/>
              <w:spacing w:before="62"/>
              <w:ind w:left="170" w:right="166"/>
              <w:rPr>
                <w:rFonts w:ascii="Times New Roman"/>
                <w:sz w:val="18"/>
              </w:rPr>
            </w:pPr>
            <w:r>
              <w:rPr>
                <w:rFonts w:ascii="Times New Roman"/>
                <w:sz w:val="18"/>
              </w:rPr>
              <w:t>0.2</w:t>
            </w:r>
          </w:p>
        </w:tc>
        <w:tc>
          <w:tcPr>
            <w:tcW w:w="970" w:type="dxa"/>
          </w:tcPr>
          <w:p>
            <w:pPr>
              <w:pStyle w:val="TableParagraph"/>
              <w:spacing w:before="62"/>
              <w:ind w:left="122" w:right="123"/>
              <w:rPr>
                <w:rFonts w:ascii="Times New Roman"/>
                <w:sz w:val="18"/>
              </w:rPr>
            </w:pPr>
            <w:r>
              <w:rPr>
                <w:rFonts w:ascii="Times New Roman"/>
                <w:sz w:val="18"/>
              </w:rPr>
              <w:t>0.16</w:t>
            </w:r>
          </w:p>
        </w:tc>
        <w:tc>
          <w:tcPr>
            <w:tcW w:w="1109" w:type="dxa"/>
          </w:tcPr>
          <w:p>
            <w:pPr>
              <w:pStyle w:val="TableParagraph"/>
              <w:spacing w:before="62"/>
              <w:ind w:left="146" w:right="147"/>
              <w:rPr>
                <w:rFonts w:ascii="Times New Roman"/>
                <w:sz w:val="18"/>
              </w:rPr>
            </w:pPr>
            <w:r>
              <w:rPr>
                <w:rFonts w:ascii="Times New Roman"/>
                <w:sz w:val="18"/>
              </w:rPr>
              <w:t>0.04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哌啶</w:t>
            </w:r>
          </w:p>
        </w:tc>
        <w:tc>
          <w:tcPr>
            <w:tcW w:w="973" w:type="dxa"/>
          </w:tcPr>
          <w:p>
            <w:pPr>
              <w:pStyle w:val="TableParagraph"/>
              <w:spacing w:before="62"/>
              <w:ind w:left="167" w:right="166"/>
              <w:rPr>
                <w:rFonts w:ascii="Times New Roman"/>
                <w:sz w:val="18"/>
              </w:rPr>
            </w:pPr>
            <w:r>
              <w:rPr>
                <w:rFonts w:ascii="Times New Roman"/>
                <w:sz w:val="18"/>
              </w:rPr>
              <w:t>0.04</w:t>
            </w:r>
          </w:p>
        </w:tc>
        <w:tc>
          <w:tcPr>
            <w:tcW w:w="970" w:type="dxa"/>
          </w:tcPr>
          <w:p>
            <w:pPr>
              <w:pStyle w:val="TableParagraph"/>
              <w:spacing w:before="62"/>
              <w:ind w:left="122" w:right="123"/>
              <w:rPr>
                <w:rFonts w:ascii="Times New Roman"/>
                <w:sz w:val="18"/>
              </w:rPr>
            </w:pPr>
            <w:r>
              <w:rPr>
                <w:rFonts w:ascii="Times New Roman"/>
                <w:sz w:val="18"/>
              </w:rPr>
              <w:t>0.03</w:t>
            </w:r>
          </w:p>
        </w:tc>
        <w:tc>
          <w:tcPr>
            <w:tcW w:w="1109" w:type="dxa"/>
          </w:tcPr>
          <w:p>
            <w:pPr>
              <w:pStyle w:val="TableParagraph"/>
              <w:spacing w:before="62"/>
              <w:ind w:left="146" w:right="147"/>
              <w:rPr>
                <w:rFonts w:ascii="Times New Roman"/>
                <w:sz w:val="18"/>
              </w:rPr>
            </w:pPr>
            <w:r>
              <w:rPr>
                <w:rFonts w:ascii="Times New Roman"/>
                <w:sz w:val="18"/>
              </w:rPr>
              <w:t>0.01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1" w:lineRule="exact"/>
              <w:ind w:left="131" w:right="122"/>
              <w:rPr>
                <w:sz w:val="18"/>
              </w:rPr>
            </w:pPr>
            <w:r>
              <w:rPr>
                <w:rFonts w:ascii="Times New Roman" w:eastAsia="Times New Roman"/>
                <w:sz w:val="18"/>
              </w:rPr>
              <w:t>1</w:t>
            </w:r>
            <w:r>
              <w:rPr>
                <w:sz w:val="18"/>
              </w:rPr>
              <w:t>，</w:t>
            </w:r>
            <w:r>
              <w:rPr>
                <w:rFonts w:ascii="Times New Roman" w:eastAsia="Times New Roman"/>
                <w:sz w:val="18"/>
              </w:rPr>
              <w:t>3 </w:t>
            </w:r>
            <w:r>
              <w:rPr>
                <w:sz w:val="18"/>
              </w:rPr>
              <w:t>溴氯丙烷</w:t>
            </w:r>
          </w:p>
        </w:tc>
        <w:tc>
          <w:tcPr>
            <w:tcW w:w="973" w:type="dxa"/>
          </w:tcPr>
          <w:p>
            <w:pPr>
              <w:pStyle w:val="TableParagraph"/>
              <w:spacing w:before="62"/>
              <w:ind w:left="167" w:right="166"/>
              <w:rPr>
                <w:rFonts w:ascii="Times New Roman"/>
                <w:sz w:val="18"/>
              </w:rPr>
            </w:pPr>
            <w:r>
              <w:rPr>
                <w:rFonts w:ascii="Times New Roman"/>
                <w:sz w:val="18"/>
              </w:rPr>
              <w:t>0.08</w:t>
            </w:r>
          </w:p>
        </w:tc>
        <w:tc>
          <w:tcPr>
            <w:tcW w:w="970" w:type="dxa"/>
          </w:tcPr>
          <w:p>
            <w:pPr>
              <w:pStyle w:val="TableParagraph"/>
              <w:spacing w:before="62"/>
              <w:ind w:left="122" w:right="123"/>
              <w:rPr>
                <w:rFonts w:ascii="Times New Roman"/>
                <w:sz w:val="18"/>
              </w:rPr>
            </w:pPr>
            <w:r>
              <w:rPr>
                <w:rFonts w:ascii="Times New Roman"/>
                <w:sz w:val="18"/>
              </w:rPr>
              <w:t>0.064</w:t>
            </w:r>
          </w:p>
        </w:tc>
        <w:tc>
          <w:tcPr>
            <w:tcW w:w="1109" w:type="dxa"/>
          </w:tcPr>
          <w:p>
            <w:pPr>
              <w:pStyle w:val="TableParagraph"/>
              <w:spacing w:before="62"/>
              <w:ind w:left="147" w:right="147"/>
              <w:rPr>
                <w:rFonts w:ascii="Times New Roman"/>
                <w:sz w:val="18"/>
              </w:rPr>
            </w:pPr>
            <w:r>
              <w:rPr>
                <w:rFonts w:ascii="Times New Roman"/>
                <w:sz w:val="18"/>
              </w:rPr>
              <w:t>0.016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rFonts w:ascii="Times New Roman" w:eastAsia="Times New Roman"/>
                <w:sz w:val="18"/>
              </w:rPr>
              <w:t>1-</w:t>
            </w:r>
            <w:r>
              <w:rPr>
                <w:sz w:val="18"/>
              </w:rPr>
              <w:t>（</w:t>
            </w:r>
            <w:r>
              <w:rPr>
                <w:rFonts w:ascii="Times New Roman" w:eastAsia="Times New Roman"/>
                <w:sz w:val="18"/>
              </w:rPr>
              <w:t>3-</w:t>
            </w:r>
            <w:r>
              <w:rPr>
                <w:sz w:val="18"/>
              </w:rPr>
              <w:t>氯丙基）哌啶</w:t>
            </w:r>
          </w:p>
        </w:tc>
        <w:tc>
          <w:tcPr>
            <w:tcW w:w="973" w:type="dxa"/>
          </w:tcPr>
          <w:p>
            <w:pPr>
              <w:pStyle w:val="TableParagraph"/>
              <w:spacing w:before="59"/>
              <w:ind w:left="167" w:right="166"/>
              <w:rPr>
                <w:rFonts w:ascii="Times New Roman"/>
                <w:sz w:val="18"/>
              </w:rPr>
            </w:pPr>
            <w:r>
              <w:rPr>
                <w:rFonts w:ascii="Times New Roman"/>
                <w:sz w:val="18"/>
              </w:rPr>
              <w:t>0.24</w:t>
            </w:r>
          </w:p>
        </w:tc>
        <w:tc>
          <w:tcPr>
            <w:tcW w:w="970" w:type="dxa"/>
          </w:tcPr>
          <w:p>
            <w:pPr>
              <w:pStyle w:val="TableParagraph"/>
              <w:spacing w:before="59"/>
              <w:ind w:left="122" w:right="123"/>
              <w:rPr>
                <w:rFonts w:ascii="Times New Roman"/>
                <w:sz w:val="18"/>
              </w:rPr>
            </w:pPr>
            <w:r>
              <w:rPr>
                <w:rFonts w:ascii="Times New Roman"/>
                <w:sz w:val="18"/>
              </w:rPr>
              <w:t>0.192</w:t>
            </w:r>
          </w:p>
        </w:tc>
        <w:tc>
          <w:tcPr>
            <w:tcW w:w="1109" w:type="dxa"/>
          </w:tcPr>
          <w:p>
            <w:pPr>
              <w:pStyle w:val="TableParagraph"/>
              <w:spacing w:before="59"/>
              <w:ind w:left="146" w:right="147"/>
              <w:rPr>
                <w:rFonts w:ascii="Times New Roman"/>
                <w:sz w:val="18"/>
              </w:rPr>
            </w:pPr>
            <w:r>
              <w:rPr>
                <w:rFonts w:ascii="Times New Roman"/>
                <w:sz w:val="18"/>
              </w:rPr>
              <w:t>0.048</w:t>
            </w:r>
          </w:p>
        </w:tc>
        <w:tc>
          <w:tcPr>
            <w:tcW w:w="2142" w:type="dxa"/>
            <w:vMerge/>
            <w:tcBorders>
              <w:top w:val="nil"/>
            </w:tcBorders>
          </w:tcPr>
          <w:p>
            <w:pPr>
              <w:rPr>
                <w:sz w:val="2"/>
                <w:szCs w:val="2"/>
              </w:rPr>
            </w:pPr>
          </w:p>
        </w:tc>
      </w:tr>
    </w:tbl>
    <w:p>
      <w:pPr>
        <w:spacing w:after="0"/>
        <w:rPr>
          <w:sz w:val="2"/>
          <w:szCs w:val="2"/>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
        <w:gridCol w:w="430"/>
        <w:gridCol w:w="1866"/>
        <w:gridCol w:w="973"/>
        <w:gridCol w:w="970"/>
        <w:gridCol w:w="1109"/>
        <w:gridCol w:w="2142"/>
      </w:tblGrid>
      <w:tr>
        <w:trPr>
          <w:trHeight w:val="340" w:hRule="atLeast"/>
        </w:trPr>
        <w:tc>
          <w:tcPr>
            <w:tcW w:w="1042" w:type="dxa"/>
            <w:vMerge w:val="restart"/>
          </w:tcPr>
          <w:p>
            <w:pPr>
              <w:pStyle w:val="TableParagraph"/>
              <w:jc w:val="left"/>
              <w:rPr>
                <w:rFonts w:ascii="Times New Roman"/>
                <w:sz w:val="18"/>
              </w:rPr>
            </w:pPr>
          </w:p>
        </w:tc>
        <w:tc>
          <w:tcPr>
            <w:tcW w:w="430" w:type="dxa"/>
            <w:vMerge w:val="restart"/>
          </w:tcPr>
          <w:p>
            <w:pPr>
              <w:pStyle w:val="TableParagraph"/>
              <w:jc w:val="left"/>
              <w:rPr>
                <w:rFonts w:ascii="Times New Roman"/>
                <w:sz w:val="18"/>
              </w:rPr>
            </w:pPr>
          </w:p>
        </w:tc>
        <w:tc>
          <w:tcPr>
            <w:tcW w:w="1866" w:type="dxa"/>
          </w:tcPr>
          <w:p>
            <w:pPr>
              <w:pStyle w:val="TableParagraph"/>
              <w:spacing w:line="321" w:lineRule="exact"/>
              <w:ind w:left="131" w:right="121"/>
              <w:rPr>
                <w:sz w:val="18"/>
              </w:rPr>
            </w:pPr>
            <w:r>
              <w:rPr>
                <w:sz w:val="18"/>
              </w:rPr>
              <w:t>四氢呋喃</w:t>
            </w:r>
          </w:p>
        </w:tc>
        <w:tc>
          <w:tcPr>
            <w:tcW w:w="973" w:type="dxa"/>
          </w:tcPr>
          <w:p>
            <w:pPr>
              <w:pStyle w:val="TableParagraph"/>
              <w:spacing w:before="62"/>
              <w:ind w:left="167" w:right="166"/>
              <w:rPr>
                <w:rFonts w:ascii="Times New Roman"/>
                <w:sz w:val="18"/>
              </w:rPr>
            </w:pPr>
            <w:r>
              <w:rPr>
                <w:rFonts w:ascii="Times New Roman"/>
                <w:sz w:val="18"/>
              </w:rPr>
              <w:t>0.836</w:t>
            </w:r>
          </w:p>
        </w:tc>
        <w:tc>
          <w:tcPr>
            <w:tcW w:w="970" w:type="dxa"/>
          </w:tcPr>
          <w:p>
            <w:pPr>
              <w:pStyle w:val="TableParagraph"/>
              <w:spacing w:before="62"/>
              <w:ind w:left="122" w:right="122"/>
              <w:rPr>
                <w:rFonts w:ascii="Times New Roman"/>
                <w:sz w:val="18"/>
              </w:rPr>
            </w:pPr>
            <w:r>
              <w:rPr>
                <w:rFonts w:ascii="Times New Roman"/>
                <w:sz w:val="18"/>
              </w:rPr>
              <w:t>0.7524</w:t>
            </w:r>
          </w:p>
        </w:tc>
        <w:tc>
          <w:tcPr>
            <w:tcW w:w="1109" w:type="dxa"/>
          </w:tcPr>
          <w:p>
            <w:pPr>
              <w:pStyle w:val="TableParagraph"/>
              <w:spacing w:before="62"/>
              <w:ind w:right="299"/>
              <w:jc w:val="right"/>
              <w:rPr>
                <w:rFonts w:ascii="Times New Roman"/>
                <w:sz w:val="18"/>
              </w:rPr>
            </w:pPr>
            <w:r>
              <w:rPr>
                <w:rFonts w:ascii="Times New Roman"/>
                <w:sz w:val="18"/>
              </w:rPr>
              <w:t>0.0836</w:t>
            </w:r>
          </w:p>
        </w:tc>
        <w:tc>
          <w:tcPr>
            <w:tcW w:w="2142" w:type="dxa"/>
            <w:vMerge w:val="restart"/>
          </w:tcPr>
          <w:p>
            <w:pPr>
              <w:pStyle w:val="TableParagraph"/>
              <w:jc w:val="left"/>
              <w:rPr>
                <w:rFonts w:ascii="Times New Roman"/>
                <w:sz w:val="18"/>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乙醇</w:t>
            </w:r>
          </w:p>
        </w:tc>
        <w:tc>
          <w:tcPr>
            <w:tcW w:w="973" w:type="dxa"/>
          </w:tcPr>
          <w:p>
            <w:pPr>
              <w:pStyle w:val="TableParagraph"/>
              <w:spacing w:before="62"/>
              <w:ind w:left="167" w:right="166"/>
              <w:rPr>
                <w:rFonts w:ascii="Times New Roman"/>
                <w:sz w:val="18"/>
              </w:rPr>
            </w:pPr>
            <w:r>
              <w:rPr>
                <w:rFonts w:ascii="Times New Roman"/>
                <w:sz w:val="18"/>
              </w:rPr>
              <w:t>1.31</w:t>
            </w:r>
          </w:p>
        </w:tc>
        <w:tc>
          <w:tcPr>
            <w:tcW w:w="970" w:type="dxa"/>
          </w:tcPr>
          <w:p>
            <w:pPr>
              <w:pStyle w:val="TableParagraph"/>
              <w:spacing w:before="62"/>
              <w:ind w:left="122" w:right="122"/>
              <w:rPr>
                <w:rFonts w:ascii="Times New Roman"/>
                <w:sz w:val="18"/>
              </w:rPr>
            </w:pPr>
            <w:r>
              <w:rPr>
                <w:rFonts w:ascii="Times New Roman"/>
                <w:sz w:val="18"/>
              </w:rPr>
              <w:t>0.7825</w:t>
            </w:r>
          </w:p>
        </w:tc>
        <w:tc>
          <w:tcPr>
            <w:tcW w:w="1109" w:type="dxa"/>
          </w:tcPr>
          <w:p>
            <w:pPr>
              <w:pStyle w:val="TableParagraph"/>
              <w:spacing w:before="62"/>
              <w:ind w:right="299"/>
              <w:jc w:val="right"/>
              <w:rPr>
                <w:rFonts w:ascii="Times New Roman"/>
                <w:sz w:val="18"/>
              </w:rPr>
            </w:pPr>
            <w:r>
              <w:rPr>
                <w:rFonts w:ascii="Times New Roman"/>
                <w:sz w:val="18"/>
              </w:rPr>
              <w:t>0.5275</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异丙醇</w:t>
            </w:r>
          </w:p>
        </w:tc>
        <w:tc>
          <w:tcPr>
            <w:tcW w:w="973" w:type="dxa"/>
          </w:tcPr>
          <w:p>
            <w:pPr>
              <w:pStyle w:val="TableParagraph"/>
              <w:spacing w:before="62"/>
              <w:ind w:left="167" w:right="166"/>
              <w:rPr>
                <w:rFonts w:ascii="Times New Roman"/>
                <w:sz w:val="18"/>
              </w:rPr>
            </w:pPr>
            <w:r>
              <w:rPr>
                <w:rFonts w:ascii="Times New Roman"/>
                <w:sz w:val="18"/>
              </w:rPr>
              <w:t>0.012</w:t>
            </w:r>
          </w:p>
        </w:tc>
        <w:tc>
          <w:tcPr>
            <w:tcW w:w="970" w:type="dxa"/>
          </w:tcPr>
          <w:p>
            <w:pPr>
              <w:pStyle w:val="TableParagraph"/>
              <w:spacing w:before="62"/>
              <w:ind w:left="122" w:right="122"/>
              <w:rPr>
                <w:rFonts w:ascii="Times New Roman"/>
                <w:sz w:val="18"/>
              </w:rPr>
            </w:pPr>
            <w:r>
              <w:rPr>
                <w:rFonts w:ascii="Times New Roman"/>
                <w:sz w:val="18"/>
              </w:rPr>
              <w:t>0.0108</w:t>
            </w:r>
          </w:p>
        </w:tc>
        <w:tc>
          <w:tcPr>
            <w:tcW w:w="1109" w:type="dxa"/>
          </w:tcPr>
          <w:p>
            <w:pPr>
              <w:pStyle w:val="TableParagraph"/>
              <w:spacing w:before="62"/>
              <w:ind w:right="299"/>
              <w:jc w:val="right"/>
              <w:rPr>
                <w:rFonts w:ascii="Times New Roman"/>
                <w:sz w:val="18"/>
              </w:rPr>
            </w:pPr>
            <w:r>
              <w:rPr>
                <w:rFonts w:ascii="Times New Roman"/>
                <w:sz w:val="18"/>
              </w:rPr>
              <w:t>0.0012</w:t>
            </w:r>
          </w:p>
        </w:tc>
        <w:tc>
          <w:tcPr>
            <w:tcW w:w="2142" w:type="dxa"/>
            <w:vMerge/>
            <w:tcBorders>
              <w:top w:val="nil"/>
            </w:tcBorders>
          </w:tcPr>
          <w:p>
            <w:pPr>
              <w:rPr>
                <w:sz w:val="2"/>
                <w:szCs w:val="2"/>
              </w:rPr>
            </w:pPr>
          </w:p>
        </w:tc>
      </w:tr>
      <w:tr>
        <w:trPr>
          <w:trHeight w:val="337"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8" w:lineRule="exact"/>
              <w:ind w:left="131" w:right="121"/>
              <w:rPr>
                <w:sz w:val="18"/>
              </w:rPr>
            </w:pPr>
            <w:r>
              <w:rPr>
                <w:sz w:val="18"/>
              </w:rPr>
              <w:t>呋喃</w:t>
            </w:r>
          </w:p>
        </w:tc>
        <w:tc>
          <w:tcPr>
            <w:tcW w:w="973" w:type="dxa"/>
          </w:tcPr>
          <w:p>
            <w:pPr>
              <w:pStyle w:val="TableParagraph"/>
              <w:spacing w:before="59"/>
              <w:ind w:left="169" w:right="166"/>
              <w:rPr>
                <w:rFonts w:ascii="Times New Roman"/>
                <w:sz w:val="18"/>
              </w:rPr>
            </w:pPr>
            <w:r>
              <w:rPr>
                <w:rFonts w:ascii="Times New Roman"/>
                <w:sz w:val="18"/>
              </w:rPr>
              <w:t>0.0022</w:t>
            </w:r>
          </w:p>
        </w:tc>
        <w:tc>
          <w:tcPr>
            <w:tcW w:w="970" w:type="dxa"/>
          </w:tcPr>
          <w:p>
            <w:pPr>
              <w:pStyle w:val="TableParagraph"/>
              <w:spacing w:before="59"/>
              <w:ind w:left="122" w:right="122"/>
              <w:rPr>
                <w:rFonts w:ascii="Times New Roman"/>
                <w:sz w:val="18"/>
              </w:rPr>
            </w:pPr>
            <w:r>
              <w:rPr>
                <w:rFonts w:ascii="Times New Roman"/>
                <w:sz w:val="18"/>
              </w:rPr>
              <w:t>0.0018</w:t>
            </w:r>
          </w:p>
        </w:tc>
        <w:tc>
          <w:tcPr>
            <w:tcW w:w="1109" w:type="dxa"/>
          </w:tcPr>
          <w:p>
            <w:pPr>
              <w:pStyle w:val="TableParagraph"/>
              <w:spacing w:before="59"/>
              <w:ind w:right="299"/>
              <w:jc w:val="right"/>
              <w:rPr>
                <w:rFonts w:ascii="Times New Roman"/>
                <w:sz w:val="18"/>
              </w:rPr>
            </w:pPr>
            <w:r>
              <w:rPr>
                <w:rFonts w:ascii="Times New Roman"/>
                <w:sz w:val="18"/>
              </w:rPr>
              <w:t>0.0004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丙酮</w:t>
            </w:r>
          </w:p>
        </w:tc>
        <w:tc>
          <w:tcPr>
            <w:tcW w:w="973" w:type="dxa"/>
          </w:tcPr>
          <w:p>
            <w:pPr>
              <w:pStyle w:val="TableParagraph"/>
              <w:spacing w:before="62"/>
              <w:ind w:left="167" w:right="166"/>
              <w:rPr>
                <w:rFonts w:ascii="Times New Roman"/>
                <w:sz w:val="18"/>
              </w:rPr>
            </w:pPr>
            <w:r>
              <w:rPr>
                <w:rFonts w:ascii="Times New Roman"/>
                <w:sz w:val="18"/>
              </w:rPr>
              <w:t>3.785</w:t>
            </w:r>
          </w:p>
        </w:tc>
        <w:tc>
          <w:tcPr>
            <w:tcW w:w="970" w:type="dxa"/>
          </w:tcPr>
          <w:p>
            <w:pPr>
              <w:pStyle w:val="TableParagraph"/>
              <w:spacing w:before="62"/>
              <w:ind w:left="122" w:right="123"/>
              <w:rPr>
                <w:rFonts w:ascii="Times New Roman"/>
                <w:sz w:val="18"/>
              </w:rPr>
            </w:pPr>
            <w:r>
              <w:rPr>
                <w:rFonts w:ascii="Times New Roman"/>
                <w:sz w:val="18"/>
              </w:rPr>
              <w:t>3.028</w:t>
            </w:r>
          </w:p>
        </w:tc>
        <w:tc>
          <w:tcPr>
            <w:tcW w:w="1109" w:type="dxa"/>
          </w:tcPr>
          <w:p>
            <w:pPr>
              <w:pStyle w:val="TableParagraph"/>
              <w:spacing w:before="62"/>
              <w:ind w:right="345"/>
              <w:jc w:val="right"/>
              <w:rPr>
                <w:rFonts w:ascii="Times New Roman"/>
                <w:sz w:val="18"/>
              </w:rPr>
            </w:pPr>
            <w:r>
              <w:rPr>
                <w:rFonts w:ascii="Times New Roman"/>
                <w:sz w:val="18"/>
              </w:rPr>
              <w:t>0.757</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环氧氯丙烷</w:t>
            </w:r>
          </w:p>
        </w:tc>
        <w:tc>
          <w:tcPr>
            <w:tcW w:w="973" w:type="dxa"/>
          </w:tcPr>
          <w:p>
            <w:pPr>
              <w:pStyle w:val="TableParagraph"/>
              <w:spacing w:before="62"/>
              <w:ind w:left="167" w:right="166"/>
              <w:rPr>
                <w:rFonts w:ascii="Times New Roman"/>
                <w:sz w:val="18"/>
              </w:rPr>
            </w:pPr>
            <w:r>
              <w:rPr>
                <w:rFonts w:ascii="Times New Roman"/>
                <w:sz w:val="18"/>
              </w:rPr>
              <w:t>0.133</w:t>
            </w:r>
          </w:p>
        </w:tc>
        <w:tc>
          <w:tcPr>
            <w:tcW w:w="970" w:type="dxa"/>
          </w:tcPr>
          <w:p>
            <w:pPr>
              <w:pStyle w:val="TableParagraph"/>
              <w:spacing w:before="62"/>
              <w:ind w:left="122" w:right="122"/>
              <w:rPr>
                <w:rFonts w:ascii="Times New Roman"/>
                <w:sz w:val="18"/>
              </w:rPr>
            </w:pPr>
            <w:r>
              <w:rPr>
                <w:rFonts w:ascii="Times New Roman"/>
                <w:sz w:val="18"/>
              </w:rPr>
              <w:t>0.1064</w:t>
            </w:r>
          </w:p>
        </w:tc>
        <w:tc>
          <w:tcPr>
            <w:tcW w:w="1109" w:type="dxa"/>
          </w:tcPr>
          <w:p>
            <w:pPr>
              <w:pStyle w:val="TableParagraph"/>
              <w:spacing w:before="62"/>
              <w:ind w:right="299"/>
              <w:jc w:val="right"/>
              <w:rPr>
                <w:rFonts w:ascii="Times New Roman"/>
                <w:sz w:val="18"/>
              </w:rPr>
            </w:pPr>
            <w:r>
              <w:rPr>
                <w:rFonts w:ascii="Times New Roman"/>
                <w:sz w:val="18"/>
              </w:rPr>
              <w:t>0.0266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正丙胺</w:t>
            </w:r>
          </w:p>
        </w:tc>
        <w:tc>
          <w:tcPr>
            <w:tcW w:w="973" w:type="dxa"/>
          </w:tcPr>
          <w:p>
            <w:pPr>
              <w:pStyle w:val="TableParagraph"/>
              <w:spacing w:before="62"/>
              <w:ind w:left="167" w:right="166"/>
              <w:rPr>
                <w:rFonts w:ascii="Times New Roman"/>
                <w:sz w:val="18"/>
              </w:rPr>
            </w:pPr>
            <w:r>
              <w:rPr>
                <w:rFonts w:ascii="Times New Roman"/>
                <w:sz w:val="18"/>
              </w:rPr>
              <w:t>0.182</w:t>
            </w:r>
          </w:p>
        </w:tc>
        <w:tc>
          <w:tcPr>
            <w:tcW w:w="970" w:type="dxa"/>
          </w:tcPr>
          <w:p>
            <w:pPr>
              <w:pStyle w:val="TableParagraph"/>
              <w:spacing w:before="62"/>
              <w:ind w:left="122" w:right="122"/>
              <w:rPr>
                <w:rFonts w:ascii="Times New Roman"/>
                <w:sz w:val="18"/>
              </w:rPr>
            </w:pPr>
            <w:r>
              <w:rPr>
                <w:rFonts w:ascii="Times New Roman"/>
                <w:sz w:val="18"/>
              </w:rPr>
              <w:t>0.1456</w:t>
            </w:r>
          </w:p>
        </w:tc>
        <w:tc>
          <w:tcPr>
            <w:tcW w:w="1109" w:type="dxa"/>
          </w:tcPr>
          <w:p>
            <w:pPr>
              <w:pStyle w:val="TableParagraph"/>
              <w:spacing w:before="62"/>
              <w:ind w:right="299"/>
              <w:jc w:val="right"/>
              <w:rPr>
                <w:rFonts w:ascii="Times New Roman"/>
                <w:sz w:val="18"/>
              </w:rPr>
            </w:pPr>
            <w:r>
              <w:rPr>
                <w:rFonts w:ascii="Times New Roman"/>
                <w:sz w:val="18"/>
              </w:rPr>
              <w:t>0.0364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双氟苯甲醇</w:t>
            </w:r>
          </w:p>
        </w:tc>
        <w:tc>
          <w:tcPr>
            <w:tcW w:w="973" w:type="dxa"/>
          </w:tcPr>
          <w:p>
            <w:pPr>
              <w:pStyle w:val="TableParagraph"/>
              <w:spacing w:before="62"/>
              <w:ind w:left="169" w:right="166"/>
              <w:rPr>
                <w:rFonts w:ascii="Times New Roman"/>
                <w:sz w:val="18"/>
              </w:rPr>
            </w:pPr>
            <w:r>
              <w:rPr>
                <w:rFonts w:ascii="Times New Roman"/>
                <w:sz w:val="18"/>
              </w:rPr>
              <w:t>0.0015</w:t>
            </w:r>
          </w:p>
        </w:tc>
        <w:tc>
          <w:tcPr>
            <w:tcW w:w="970" w:type="dxa"/>
          </w:tcPr>
          <w:p>
            <w:pPr>
              <w:pStyle w:val="TableParagraph"/>
              <w:spacing w:before="62"/>
              <w:ind w:left="122" w:right="122"/>
              <w:rPr>
                <w:rFonts w:ascii="Times New Roman"/>
                <w:sz w:val="18"/>
              </w:rPr>
            </w:pPr>
            <w:r>
              <w:rPr>
                <w:rFonts w:ascii="Times New Roman"/>
                <w:sz w:val="18"/>
              </w:rPr>
              <w:t>0.0012</w:t>
            </w:r>
          </w:p>
        </w:tc>
        <w:tc>
          <w:tcPr>
            <w:tcW w:w="1109" w:type="dxa"/>
          </w:tcPr>
          <w:p>
            <w:pPr>
              <w:pStyle w:val="TableParagraph"/>
              <w:spacing w:before="62"/>
              <w:ind w:right="299"/>
              <w:jc w:val="right"/>
              <w:rPr>
                <w:rFonts w:ascii="Times New Roman"/>
                <w:sz w:val="18"/>
              </w:rPr>
            </w:pPr>
            <w:r>
              <w:rPr>
                <w:rFonts w:ascii="Times New Roman"/>
                <w:sz w:val="18"/>
              </w:rPr>
              <w:t>0.0003</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双氟苯氯甲烷</w:t>
            </w:r>
          </w:p>
        </w:tc>
        <w:tc>
          <w:tcPr>
            <w:tcW w:w="973" w:type="dxa"/>
          </w:tcPr>
          <w:p>
            <w:pPr>
              <w:pStyle w:val="TableParagraph"/>
              <w:spacing w:before="62"/>
              <w:ind w:left="167" w:right="166"/>
              <w:rPr>
                <w:rFonts w:ascii="Times New Roman"/>
                <w:sz w:val="18"/>
              </w:rPr>
            </w:pPr>
            <w:r>
              <w:rPr>
                <w:rFonts w:ascii="Times New Roman"/>
                <w:sz w:val="18"/>
              </w:rPr>
              <w:t>0.012</w:t>
            </w:r>
          </w:p>
        </w:tc>
        <w:tc>
          <w:tcPr>
            <w:tcW w:w="970" w:type="dxa"/>
          </w:tcPr>
          <w:p>
            <w:pPr>
              <w:pStyle w:val="TableParagraph"/>
              <w:spacing w:before="62"/>
              <w:ind w:left="122" w:right="122"/>
              <w:rPr>
                <w:rFonts w:ascii="Times New Roman"/>
                <w:sz w:val="18"/>
              </w:rPr>
            </w:pPr>
            <w:r>
              <w:rPr>
                <w:rFonts w:ascii="Times New Roman"/>
                <w:sz w:val="18"/>
              </w:rPr>
              <w:t>0.0096</w:t>
            </w:r>
          </w:p>
        </w:tc>
        <w:tc>
          <w:tcPr>
            <w:tcW w:w="1109" w:type="dxa"/>
          </w:tcPr>
          <w:p>
            <w:pPr>
              <w:pStyle w:val="TableParagraph"/>
              <w:spacing w:before="62"/>
              <w:ind w:right="299"/>
              <w:jc w:val="right"/>
              <w:rPr>
                <w:rFonts w:ascii="Times New Roman"/>
                <w:sz w:val="18"/>
              </w:rPr>
            </w:pPr>
            <w:r>
              <w:rPr>
                <w:rFonts w:ascii="Times New Roman"/>
                <w:sz w:val="18"/>
              </w:rPr>
              <w:t>0.0024</w:t>
            </w:r>
          </w:p>
        </w:tc>
        <w:tc>
          <w:tcPr>
            <w:tcW w:w="2142" w:type="dxa"/>
            <w:vMerge/>
            <w:tcBorders>
              <w:top w:val="nil"/>
            </w:tcBorders>
          </w:tcPr>
          <w:p>
            <w:pPr>
              <w:rPr>
                <w:sz w:val="2"/>
                <w:szCs w:val="2"/>
              </w:rPr>
            </w:pPr>
          </w:p>
        </w:tc>
      </w:tr>
      <w:tr>
        <w:trPr>
          <w:trHeight w:val="338"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9" w:lineRule="exact"/>
              <w:ind w:left="131" w:right="124"/>
              <w:rPr>
                <w:sz w:val="18"/>
              </w:rPr>
            </w:pPr>
            <w:r>
              <w:rPr>
                <w:sz w:val="18"/>
              </w:rPr>
              <w:t>三乙胺</w:t>
            </w:r>
          </w:p>
        </w:tc>
        <w:tc>
          <w:tcPr>
            <w:tcW w:w="973" w:type="dxa"/>
          </w:tcPr>
          <w:p>
            <w:pPr>
              <w:pStyle w:val="TableParagraph"/>
              <w:spacing w:before="59"/>
              <w:ind w:left="167" w:right="166"/>
              <w:rPr>
                <w:rFonts w:ascii="Times New Roman"/>
                <w:sz w:val="18"/>
              </w:rPr>
            </w:pPr>
            <w:r>
              <w:rPr>
                <w:rFonts w:ascii="Times New Roman"/>
                <w:sz w:val="18"/>
              </w:rPr>
              <w:t>0.012</w:t>
            </w:r>
          </w:p>
        </w:tc>
        <w:tc>
          <w:tcPr>
            <w:tcW w:w="970" w:type="dxa"/>
          </w:tcPr>
          <w:p>
            <w:pPr>
              <w:pStyle w:val="TableParagraph"/>
              <w:spacing w:before="59"/>
              <w:ind w:left="122" w:right="122"/>
              <w:rPr>
                <w:rFonts w:ascii="Times New Roman"/>
                <w:sz w:val="18"/>
              </w:rPr>
            </w:pPr>
            <w:r>
              <w:rPr>
                <w:rFonts w:ascii="Times New Roman"/>
                <w:sz w:val="18"/>
              </w:rPr>
              <w:t>0.0096</w:t>
            </w:r>
          </w:p>
        </w:tc>
        <w:tc>
          <w:tcPr>
            <w:tcW w:w="1109" w:type="dxa"/>
          </w:tcPr>
          <w:p>
            <w:pPr>
              <w:pStyle w:val="TableParagraph"/>
              <w:spacing w:before="59"/>
              <w:ind w:right="299"/>
              <w:jc w:val="right"/>
              <w:rPr>
                <w:rFonts w:ascii="Times New Roman"/>
                <w:sz w:val="18"/>
              </w:rPr>
            </w:pPr>
            <w:r>
              <w:rPr>
                <w:rFonts w:ascii="Times New Roman"/>
                <w:sz w:val="18"/>
              </w:rPr>
              <w:t>0.0024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醋酐</w:t>
            </w:r>
          </w:p>
        </w:tc>
        <w:tc>
          <w:tcPr>
            <w:tcW w:w="973" w:type="dxa"/>
          </w:tcPr>
          <w:p>
            <w:pPr>
              <w:pStyle w:val="TableParagraph"/>
              <w:spacing w:before="62"/>
              <w:ind w:left="167" w:right="166"/>
              <w:rPr>
                <w:rFonts w:ascii="Times New Roman"/>
                <w:sz w:val="18"/>
              </w:rPr>
            </w:pPr>
            <w:r>
              <w:rPr>
                <w:rFonts w:ascii="Times New Roman"/>
                <w:sz w:val="18"/>
              </w:rPr>
              <w:t>0.017</w:t>
            </w:r>
          </w:p>
        </w:tc>
        <w:tc>
          <w:tcPr>
            <w:tcW w:w="970" w:type="dxa"/>
          </w:tcPr>
          <w:p>
            <w:pPr>
              <w:pStyle w:val="TableParagraph"/>
              <w:spacing w:before="62"/>
              <w:ind w:left="122" w:right="122"/>
              <w:rPr>
                <w:rFonts w:ascii="Times New Roman"/>
                <w:sz w:val="18"/>
              </w:rPr>
            </w:pPr>
            <w:r>
              <w:rPr>
                <w:rFonts w:ascii="Times New Roman"/>
                <w:sz w:val="18"/>
              </w:rPr>
              <w:t>0.0153</w:t>
            </w:r>
          </w:p>
        </w:tc>
        <w:tc>
          <w:tcPr>
            <w:tcW w:w="1109" w:type="dxa"/>
          </w:tcPr>
          <w:p>
            <w:pPr>
              <w:pStyle w:val="TableParagraph"/>
              <w:spacing w:before="62"/>
              <w:ind w:right="299"/>
              <w:jc w:val="right"/>
              <w:rPr>
                <w:rFonts w:ascii="Times New Roman"/>
                <w:sz w:val="18"/>
              </w:rPr>
            </w:pPr>
            <w:r>
              <w:rPr>
                <w:rFonts w:ascii="Times New Roman"/>
                <w:sz w:val="18"/>
              </w:rPr>
              <w:t>0.0017</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硝酸</w:t>
            </w:r>
          </w:p>
        </w:tc>
        <w:tc>
          <w:tcPr>
            <w:tcW w:w="973" w:type="dxa"/>
          </w:tcPr>
          <w:p>
            <w:pPr>
              <w:pStyle w:val="TableParagraph"/>
              <w:spacing w:before="62"/>
              <w:ind w:left="169" w:right="166"/>
              <w:rPr>
                <w:rFonts w:ascii="Times New Roman"/>
                <w:sz w:val="18"/>
              </w:rPr>
            </w:pPr>
            <w:r>
              <w:rPr>
                <w:rFonts w:ascii="Times New Roman"/>
                <w:sz w:val="18"/>
              </w:rPr>
              <w:t>0.0088</w:t>
            </w:r>
          </w:p>
        </w:tc>
        <w:tc>
          <w:tcPr>
            <w:tcW w:w="970" w:type="dxa"/>
          </w:tcPr>
          <w:p>
            <w:pPr>
              <w:pStyle w:val="TableParagraph"/>
              <w:spacing w:before="62"/>
              <w:ind w:left="122" w:right="122"/>
              <w:rPr>
                <w:rFonts w:ascii="Times New Roman"/>
                <w:sz w:val="18"/>
              </w:rPr>
            </w:pPr>
            <w:r>
              <w:rPr>
                <w:rFonts w:ascii="Times New Roman"/>
                <w:sz w:val="18"/>
              </w:rPr>
              <w:t>0.0074</w:t>
            </w:r>
          </w:p>
        </w:tc>
        <w:tc>
          <w:tcPr>
            <w:tcW w:w="1109" w:type="dxa"/>
          </w:tcPr>
          <w:p>
            <w:pPr>
              <w:pStyle w:val="TableParagraph"/>
              <w:spacing w:before="62"/>
              <w:ind w:right="299"/>
              <w:jc w:val="right"/>
              <w:rPr>
                <w:rFonts w:ascii="Times New Roman"/>
                <w:sz w:val="18"/>
              </w:rPr>
            </w:pPr>
            <w:r>
              <w:rPr>
                <w:rFonts w:ascii="Times New Roman"/>
                <w:sz w:val="18"/>
              </w:rPr>
              <w:t>0.0014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乙酸乙酯</w:t>
            </w:r>
          </w:p>
        </w:tc>
        <w:tc>
          <w:tcPr>
            <w:tcW w:w="973" w:type="dxa"/>
          </w:tcPr>
          <w:p>
            <w:pPr>
              <w:pStyle w:val="TableParagraph"/>
              <w:spacing w:before="62"/>
              <w:ind w:left="170" w:right="166"/>
              <w:rPr>
                <w:rFonts w:ascii="Times New Roman"/>
                <w:sz w:val="18"/>
              </w:rPr>
            </w:pPr>
            <w:r>
              <w:rPr>
                <w:rFonts w:ascii="Times New Roman"/>
                <w:sz w:val="18"/>
              </w:rPr>
              <w:t>0.5</w:t>
            </w:r>
          </w:p>
        </w:tc>
        <w:tc>
          <w:tcPr>
            <w:tcW w:w="970" w:type="dxa"/>
          </w:tcPr>
          <w:p>
            <w:pPr>
              <w:pStyle w:val="TableParagraph"/>
              <w:spacing w:before="62"/>
              <w:ind w:left="122" w:right="121"/>
              <w:rPr>
                <w:rFonts w:ascii="Times New Roman"/>
                <w:sz w:val="18"/>
              </w:rPr>
            </w:pPr>
            <w:r>
              <w:rPr>
                <w:rFonts w:ascii="Times New Roman"/>
                <w:sz w:val="18"/>
              </w:rPr>
              <w:t>0.4</w:t>
            </w:r>
          </w:p>
        </w:tc>
        <w:tc>
          <w:tcPr>
            <w:tcW w:w="1109" w:type="dxa"/>
          </w:tcPr>
          <w:p>
            <w:pPr>
              <w:pStyle w:val="TableParagraph"/>
              <w:spacing w:before="62"/>
              <w:ind w:left="147" w:right="147"/>
              <w:rPr>
                <w:rFonts w:ascii="Times New Roman"/>
                <w:sz w:val="18"/>
              </w:rPr>
            </w:pPr>
            <w:r>
              <w:rPr>
                <w:rFonts w:ascii="Times New Roman"/>
                <w:sz w:val="18"/>
              </w:rPr>
              <w:t>0.1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苯甲醛</w:t>
            </w:r>
          </w:p>
        </w:tc>
        <w:tc>
          <w:tcPr>
            <w:tcW w:w="973" w:type="dxa"/>
          </w:tcPr>
          <w:p>
            <w:pPr>
              <w:pStyle w:val="TableParagraph"/>
              <w:spacing w:before="62"/>
              <w:ind w:left="167" w:right="166"/>
              <w:rPr>
                <w:rFonts w:ascii="Times New Roman"/>
                <w:sz w:val="18"/>
              </w:rPr>
            </w:pPr>
            <w:r>
              <w:rPr>
                <w:rFonts w:ascii="Times New Roman"/>
                <w:sz w:val="18"/>
              </w:rPr>
              <w:t>0.018</w:t>
            </w:r>
          </w:p>
        </w:tc>
        <w:tc>
          <w:tcPr>
            <w:tcW w:w="970" w:type="dxa"/>
          </w:tcPr>
          <w:p>
            <w:pPr>
              <w:pStyle w:val="TableParagraph"/>
              <w:spacing w:before="62"/>
              <w:ind w:left="122" w:right="122"/>
              <w:rPr>
                <w:rFonts w:ascii="Times New Roman"/>
                <w:sz w:val="18"/>
              </w:rPr>
            </w:pPr>
            <w:r>
              <w:rPr>
                <w:rFonts w:ascii="Times New Roman"/>
                <w:sz w:val="18"/>
              </w:rPr>
              <w:t>0.0144</w:t>
            </w:r>
          </w:p>
        </w:tc>
        <w:tc>
          <w:tcPr>
            <w:tcW w:w="1109" w:type="dxa"/>
          </w:tcPr>
          <w:p>
            <w:pPr>
              <w:pStyle w:val="TableParagraph"/>
              <w:spacing w:before="62"/>
              <w:ind w:right="299"/>
              <w:jc w:val="right"/>
              <w:rPr>
                <w:rFonts w:ascii="Times New Roman"/>
                <w:sz w:val="18"/>
              </w:rPr>
            </w:pPr>
            <w:r>
              <w:rPr>
                <w:rFonts w:ascii="Times New Roman"/>
                <w:sz w:val="18"/>
              </w:rPr>
              <w:t>0.0036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苄氨基乙醇</w:t>
            </w:r>
          </w:p>
        </w:tc>
        <w:tc>
          <w:tcPr>
            <w:tcW w:w="973" w:type="dxa"/>
          </w:tcPr>
          <w:p>
            <w:pPr>
              <w:pStyle w:val="TableParagraph"/>
              <w:spacing w:before="62"/>
              <w:ind w:left="167" w:right="166"/>
              <w:rPr>
                <w:rFonts w:ascii="Times New Roman"/>
                <w:sz w:val="18"/>
              </w:rPr>
            </w:pPr>
            <w:r>
              <w:rPr>
                <w:rFonts w:ascii="Times New Roman"/>
                <w:sz w:val="18"/>
              </w:rPr>
              <w:t>0.09</w:t>
            </w:r>
          </w:p>
        </w:tc>
        <w:tc>
          <w:tcPr>
            <w:tcW w:w="970" w:type="dxa"/>
          </w:tcPr>
          <w:p>
            <w:pPr>
              <w:pStyle w:val="TableParagraph"/>
              <w:spacing w:before="62"/>
              <w:ind w:left="122" w:right="123"/>
              <w:rPr>
                <w:rFonts w:ascii="Times New Roman"/>
                <w:sz w:val="18"/>
              </w:rPr>
            </w:pPr>
            <w:r>
              <w:rPr>
                <w:rFonts w:ascii="Times New Roman"/>
                <w:sz w:val="18"/>
              </w:rPr>
              <w:t>0.072</w:t>
            </w:r>
          </w:p>
        </w:tc>
        <w:tc>
          <w:tcPr>
            <w:tcW w:w="1109" w:type="dxa"/>
          </w:tcPr>
          <w:p>
            <w:pPr>
              <w:pStyle w:val="TableParagraph"/>
              <w:spacing w:before="62"/>
              <w:ind w:right="345"/>
              <w:jc w:val="right"/>
              <w:rPr>
                <w:rFonts w:ascii="Times New Roman"/>
                <w:sz w:val="18"/>
              </w:rPr>
            </w:pPr>
            <w:r>
              <w:rPr>
                <w:rFonts w:ascii="Times New Roman"/>
                <w:sz w:val="18"/>
              </w:rPr>
              <w:t>0.018</w:t>
            </w:r>
          </w:p>
        </w:tc>
        <w:tc>
          <w:tcPr>
            <w:tcW w:w="2142" w:type="dxa"/>
            <w:vMerge/>
            <w:tcBorders>
              <w:top w:val="nil"/>
            </w:tcBorders>
          </w:tcPr>
          <w:p>
            <w:pPr>
              <w:rPr>
                <w:sz w:val="2"/>
                <w:szCs w:val="2"/>
              </w:rPr>
            </w:pPr>
          </w:p>
        </w:tc>
      </w:tr>
      <w:tr>
        <w:trPr>
          <w:trHeight w:val="337"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8" w:lineRule="exact"/>
              <w:ind w:left="131" w:right="124"/>
              <w:rPr>
                <w:sz w:val="18"/>
              </w:rPr>
            </w:pPr>
            <w:r>
              <w:rPr>
                <w:sz w:val="18"/>
              </w:rPr>
              <w:t>氧化苯乙烯</w:t>
            </w:r>
          </w:p>
        </w:tc>
        <w:tc>
          <w:tcPr>
            <w:tcW w:w="973" w:type="dxa"/>
          </w:tcPr>
          <w:p>
            <w:pPr>
              <w:pStyle w:val="TableParagraph"/>
              <w:spacing w:before="59"/>
              <w:ind w:left="167" w:right="166"/>
              <w:rPr>
                <w:rFonts w:ascii="Times New Roman"/>
                <w:sz w:val="18"/>
              </w:rPr>
            </w:pPr>
            <w:r>
              <w:rPr>
                <w:rFonts w:ascii="Times New Roman"/>
                <w:sz w:val="18"/>
              </w:rPr>
              <w:t>0.09</w:t>
            </w:r>
          </w:p>
        </w:tc>
        <w:tc>
          <w:tcPr>
            <w:tcW w:w="970" w:type="dxa"/>
          </w:tcPr>
          <w:p>
            <w:pPr>
              <w:pStyle w:val="TableParagraph"/>
              <w:spacing w:before="59"/>
              <w:ind w:left="122" w:right="123"/>
              <w:rPr>
                <w:rFonts w:ascii="Times New Roman"/>
                <w:sz w:val="18"/>
              </w:rPr>
            </w:pPr>
            <w:r>
              <w:rPr>
                <w:rFonts w:ascii="Times New Roman"/>
                <w:sz w:val="18"/>
              </w:rPr>
              <w:t>0.072</w:t>
            </w:r>
          </w:p>
        </w:tc>
        <w:tc>
          <w:tcPr>
            <w:tcW w:w="1109" w:type="dxa"/>
          </w:tcPr>
          <w:p>
            <w:pPr>
              <w:pStyle w:val="TableParagraph"/>
              <w:spacing w:before="59"/>
              <w:ind w:right="345"/>
              <w:jc w:val="right"/>
              <w:rPr>
                <w:rFonts w:ascii="Times New Roman"/>
                <w:sz w:val="18"/>
              </w:rPr>
            </w:pPr>
            <w:r>
              <w:rPr>
                <w:rFonts w:ascii="Times New Roman"/>
                <w:sz w:val="18"/>
              </w:rPr>
              <w:t>0.018</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氯苯</w:t>
            </w:r>
          </w:p>
        </w:tc>
        <w:tc>
          <w:tcPr>
            <w:tcW w:w="973" w:type="dxa"/>
          </w:tcPr>
          <w:p>
            <w:pPr>
              <w:pStyle w:val="TableParagraph"/>
              <w:spacing w:before="62"/>
              <w:ind w:left="167" w:right="166"/>
              <w:rPr>
                <w:rFonts w:ascii="Times New Roman"/>
                <w:sz w:val="18"/>
              </w:rPr>
            </w:pPr>
            <w:r>
              <w:rPr>
                <w:rFonts w:ascii="Times New Roman"/>
                <w:sz w:val="18"/>
              </w:rPr>
              <w:t>0.765</w:t>
            </w:r>
          </w:p>
        </w:tc>
        <w:tc>
          <w:tcPr>
            <w:tcW w:w="970" w:type="dxa"/>
          </w:tcPr>
          <w:p>
            <w:pPr>
              <w:pStyle w:val="TableParagraph"/>
              <w:spacing w:before="62"/>
              <w:ind w:left="122" w:right="123"/>
              <w:rPr>
                <w:rFonts w:ascii="Times New Roman"/>
                <w:sz w:val="18"/>
              </w:rPr>
            </w:pPr>
            <w:r>
              <w:rPr>
                <w:rFonts w:ascii="Times New Roman"/>
                <w:sz w:val="18"/>
              </w:rPr>
              <w:t>0.612</w:t>
            </w:r>
          </w:p>
        </w:tc>
        <w:tc>
          <w:tcPr>
            <w:tcW w:w="1109" w:type="dxa"/>
          </w:tcPr>
          <w:p>
            <w:pPr>
              <w:pStyle w:val="TableParagraph"/>
              <w:spacing w:before="62"/>
              <w:ind w:right="345"/>
              <w:jc w:val="right"/>
              <w:rPr>
                <w:rFonts w:ascii="Times New Roman"/>
                <w:sz w:val="18"/>
              </w:rPr>
            </w:pPr>
            <w:r>
              <w:rPr>
                <w:rFonts w:ascii="Times New Roman"/>
                <w:sz w:val="18"/>
              </w:rPr>
              <w:t>0.153</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氯化亚砜</w:t>
            </w:r>
          </w:p>
        </w:tc>
        <w:tc>
          <w:tcPr>
            <w:tcW w:w="973" w:type="dxa"/>
          </w:tcPr>
          <w:p>
            <w:pPr>
              <w:pStyle w:val="TableParagraph"/>
              <w:spacing w:before="62"/>
              <w:ind w:left="167" w:right="166"/>
              <w:rPr>
                <w:rFonts w:ascii="Times New Roman"/>
                <w:sz w:val="18"/>
              </w:rPr>
            </w:pPr>
            <w:r>
              <w:rPr>
                <w:rFonts w:ascii="Times New Roman"/>
                <w:sz w:val="18"/>
              </w:rPr>
              <w:t>0.099</w:t>
            </w:r>
          </w:p>
        </w:tc>
        <w:tc>
          <w:tcPr>
            <w:tcW w:w="970" w:type="dxa"/>
          </w:tcPr>
          <w:p>
            <w:pPr>
              <w:pStyle w:val="TableParagraph"/>
              <w:spacing w:before="62"/>
              <w:ind w:left="122" w:right="122"/>
              <w:rPr>
                <w:rFonts w:ascii="Times New Roman"/>
                <w:sz w:val="18"/>
              </w:rPr>
            </w:pPr>
            <w:r>
              <w:rPr>
                <w:rFonts w:ascii="Times New Roman"/>
                <w:sz w:val="18"/>
              </w:rPr>
              <w:t>0.0891</w:t>
            </w:r>
          </w:p>
        </w:tc>
        <w:tc>
          <w:tcPr>
            <w:tcW w:w="1109" w:type="dxa"/>
          </w:tcPr>
          <w:p>
            <w:pPr>
              <w:pStyle w:val="TableParagraph"/>
              <w:spacing w:before="62"/>
              <w:ind w:right="299"/>
              <w:jc w:val="right"/>
              <w:rPr>
                <w:rFonts w:ascii="Times New Roman"/>
                <w:sz w:val="18"/>
              </w:rPr>
            </w:pPr>
            <w:r>
              <w:rPr>
                <w:rFonts w:ascii="Times New Roman"/>
                <w:sz w:val="18"/>
              </w:rPr>
              <w:t>0.0099</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硫酸</w:t>
            </w:r>
          </w:p>
        </w:tc>
        <w:tc>
          <w:tcPr>
            <w:tcW w:w="973" w:type="dxa"/>
          </w:tcPr>
          <w:p>
            <w:pPr>
              <w:pStyle w:val="TableParagraph"/>
              <w:spacing w:before="62"/>
              <w:ind w:left="167" w:right="166"/>
              <w:rPr>
                <w:rFonts w:ascii="Times New Roman"/>
                <w:sz w:val="18"/>
              </w:rPr>
            </w:pPr>
            <w:r>
              <w:rPr>
                <w:rFonts w:ascii="Times New Roman"/>
                <w:sz w:val="18"/>
              </w:rPr>
              <w:t>0.09</w:t>
            </w:r>
          </w:p>
        </w:tc>
        <w:tc>
          <w:tcPr>
            <w:tcW w:w="970" w:type="dxa"/>
          </w:tcPr>
          <w:p>
            <w:pPr>
              <w:pStyle w:val="TableParagraph"/>
              <w:spacing w:before="62"/>
              <w:ind w:left="122" w:right="123"/>
              <w:rPr>
                <w:rFonts w:ascii="Times New Roman"/>
                <w:sz w:val="18"/>
              </w:rPr>
            </w:pPr>
            <w:r>
              <w:rPr>
                <w:rFonts w:ascii="Times New Roman"/>
                <w:sz w:val="18"/>
              </w:rPr>
              <w:t>0.072</w:t>
            </w:r>
          </w:p>
        </w:tc>
        <w:tc>
          <w:tcPr>
            <w:tcW w:w="1109" w:type="dxa"/>
          </w:tcPr>
          <w:p>
            <w:pPr>
              <w:pStyle w:val="TableParagraph"/>
              <w:spacing w:before="62"/>
              <w:ind w:right="345"/>
              <w:jc w:val="right"/>
              <w:rPr>
                <w:rFonts w:ascii="Times New Roman"/>
                <w:sz w:val="18"/>
              </w:rPr>
            </w:pPr>
            <w:r>
              <w:rPr>
                <w:rFonts w:ascii="Times New Roman"/>
                <w:sz w:val="18"/>
              </w:rPr>
              <w:t>0.018</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1" w:lineRule="exact"/>
              <w:ind w:left="131" w:right="124"/>
              <w:rPr>
                <w:sz w:val="18"/>
              </w:rPr>
            </w:pPr>
            <w:r>
              <w:rPr>
                <w:sz w:val="18"/>
              </w:rPr>
              <w:t>氯甲酸乙酯</w:t>
            </w:r>
          </w:p>
        </w:tc>
        <w:tc>
          <w:tcPr>
            <w:tcW w:w="973" w:type="dxa"/>
          </w:tcPr>
          <w:p>
            <w:pPr>
              <w:pStyle w:val="TableParagraph"/>
              <w:spacing w:before="62"/>
              <w:ind w:left="167" w:right="166"/>
              <w:rPr>
                <w:rFonts w:ascii="Times New Roman"/>
                <w:sz w:val="18"/>
              </w:rPr>
            </w:pPr>
            <w:r>
              <w:rPr>
                <w:rFonts w:ascii="Times New Roman"/>
                <w:sz w:val="18"/>
              </w:rPr>
              <w:t>0.725</w:t>
            </w:r>
          </w:p>
        </w:tc>
        <w:tc>
          <w:tcPr>
            <w:tcW w:w="970" w:type="dxa"/>
          </w:tcPr>
          <w:p>
            <w:pPr>
              <w:pStyle w:val="TableParagraph"/>
              <w:spacing w:before="62"/>
              <w:ind w:left="122" w:right="123"/>
              <w:rPr>
                <w:rFonts w:ascii="Times New Roman"/>
                <w:sz w:val="18"/>
              </w:rPr>
            </w:pPr>
            <w:r>
              <w:rPr>
                <w:rFonts w:ascii="Times New Roman"/>
                <w:sz w:val="18"/>
              </w:rPr>
              <w:t>0.58</w:t>
            </w:r>
          </w:p>
        </w:tc>
        <w:tc>
          <w:tcPr>
            <w:tcW w:w="1109" w:type="dxa"/>
          </w:tcPr>
          <w:p>
            <w:pPr>
              <w:pStyle w:val="TableParagraph"/>
              <w:spacing w:before="62"/>
              <w:ind w:right="345"/>
              <w:jc w:val="right"/>
              <w:rPr>
                <w:rFonts w:ascii="Times New Roman"/>
                <w:sz w:val="18"/>
              </w:rPr>
            </w:pPr>
            <w:r>
              <w:rPr>
                <w:rFonts w:ascii="Times New Roman"/>
                <w:sz w:val="18"/>
              </w:rPr>
              <w:t>0.145</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正丁醇</w:t>
            </w:r>
          </w:p>
        </w:tc>
        <w:tc>
          <w:tcPr>
            <w:tcW w:w="973" w:type="dxa"/>
          </w:tcPr>
          <w:p>
            <w:pPr>
              <w:pStyle w:val="TableParagraph"/>
              <w:spacing w:before="62"/>
              <w:ind w:left="167" w:right="166"/>
              <w:rPr>
                <w:rFonts w:ascii="Times New Roman"/>
                <w:sz w:val="18"/>
              </w:rPr>
            </w:pPr>
            <w:r>
              <w:rPr>
                <w:rFonts w:ascii="Times New Roman"/>
                <w:sz w:val="18"/>
              </w:rPr>
              <w:t>0.567</w:t>
            </w:r>
          </w:p>
        </w:tc>
        <w:tc>
          <w:tcPr>
            <w:tcW w:w="970" w:type="dxa"/>
          </w:tcPr>
          <w:p>
            <w:pPr>
              <w:pStyle w:val="TableParagraph"/>
              <w:spacing w:before="62"/>
              <w:ind w:left="122" w:right="122"/>
              <w:rPr>
                <w:rFonts w:ascii="Times New Roman"/>
                <w:sz w:val="18"/>
              </w:rPr>
            </w:pPr>
            <w:r>
              <w:rPr>
                <w:rFonts w:ascii="Times New Roman"/>
                <w:sz w:val="18"/>
              </w:rPr>
              <w:t>0.4536</w:t>
            </w:r>
          </w:p>
        </w:tc>
        <w:tc>
          <w:tcPr>
            <w:tcW w:w="1109" w:type="dxa"/>
          </w:tcPr>
          <w:p>
            <w:pPr>
              <w:pStyle w:val="TableParagraph"/>
              <w:spacing w:before="62"/>
              <w:ind w:right="299"/>
              <w:jc w:val="right"/>
              <w:rPr>
                <w:rFonts w:ascii="Times New Roman"/>
                <w:sz w:val="18"/>
              </w:rPr>
            </w:pPr>
            <w:r>
              <w:rPr>
                <w:rFonts w:ascii="Times New Roman"/>
                <w:sz w:val="18"/>
              </w:rPr>
              <w:t>0.1134</w:t>
            </w:r>
          </w:p>
        </w:tc>
        <w:tc>
          <w:tcPr>
            <w:tcW w:w="2142" w:type="dxa"/>
            <w:vMerge/>
            <w:tcBorders>
              <w:top w:val="nil"/>
            </w:tcBorders>
          </w:tcPr>
          <w:p>
            <w:pPr>
              <w:rPr>
                <w:sz w:val="2"/>
                <w:szCs w:val="2"/>
              </w:rPr>
            </w:pPr>
          </w:p>
        </w:tc>
      </w:tr>
      <w:tr>
        <w:trPr>
          <w:trHeight w:val="337"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8" w:lineRule="exact"/>
              <w:ind w:left="131" w:right="121"/>
              <w:rPr>
                <w:sz w:val="18"/>
              </w:rPr>
            </w:pPr>
            <w:r>
              <w:rPr>
                <w:sz w:val="18"/>
              </w:rPr>
              <w:t>甲醛</w:t>
            </w:r>
          </w:p>
        </w:tc>
        <w:tc>
          <w:tcPr>
            <w:tcW w:w="973" w:type="dxa"/>
          </w:tcPr>
          <w:p>
            <w:pPr>
              <w:pStyle w:val="TableParagraph"/>
              <w:spacing w:before="59"/>
              <w:ind w:left="167" w:right="166"/>
              <w:rPr>
                <w:rFonts w:ascii="Times New Roman"/>
                <w:sz w:val="18"/>
              </w:rPr>
            </w:pPr>
            <w:r>
              <w:rPr>
                <w:rFonts w:ascii="Times New Roman"/>
                <w:sz w:val="18"/>
              </w:rPr>
              <w:t>0.216</w:t>
            </w:r>
          </w:p>
        </w:tc>
        <w:tc>
          <w:tcPr>
            <w:tcW w:w="970" w:type="dxa"/>
          </w:tcPr>
          <w:p>
            <w:pPr>
              <w:pStyle w:val="TableParagraph"/>
              <w:spacing w:before="59"/>
              <w:ind w:left="122" w:right="122"/>
              <w:rPr>
                <w:rFonts w:ascii="Times New Roman"/>
                <w:sz w:val="18"/>
              </w:rPr>
            </w:pPr>
            <w:r>
              <w:rPr>
                <w:rFonts w:ascii="Times New Roman"/>
                <w:sz w:val="18"/>
              </w:rPr>
              <w:t>0.1728</w:t>
            </w:r>
          </w:p>
        </w:tc>
        <w:tc>
          <w:tcPr>
            <w:tcW w:w="1109" w:type="dxa"/>
          </w:tcPr>
          <w:p>
            <w:pPr>
              <w:pStyle w:val="TableParagraph"/>
              <w:spacing w:before="59"/>
              <w:ind w:right="299"/>
              <w:jc w:val="right"/>
              <w:rPr>
                <w:rFonts w:ascii="Times New Roman"/>
                <w:sz w:val="18"/>
              </w:rPr>
            </w:pPr>
            <w:r>
              <w:rPr>
                <w:rFonts w:ascii="Times New Roman"/>
                <w:sz w:val="18"/>
              </w:rPr>
              <w:t>0.0432</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甲酸</w:t>
            </w:r>
          </w:p>
        </w:tc>
        <w:tc>
          <w:tcPr>
            <w:tcW w:w="973" w:type="dxa"/>
          </w:tcPr>
          <w:p>
            <w:pPr>
              <w:pStyle w:val="TableParagraph"/>
              <w:spacing w:before="62"/>
              <w:ind w:left="167" w:right="166"/>
              <w:rPr>
                <w:rFonts w:ascii="Times New Roman"/>
                <w:sz w:val="18"/>
              </w:rPr>
            </w:pPr>
            <w:r>
              <w:rPr>
                <w:rFonts w:ascii="Times New Roman"/>
                <w:sz w:val="18"/>
              </w:rPr>
              <w:t>0.666</w:t>
            </w:r>
          </w:p>
        </w:tc>
        <w:tc>
          <w:tcPr>
            <w:tcW w:w="970" w:type="dxa"/>
          </w:tcPr>
          <w:p>
            <w:pPr>
              <w:pStyle w:val="TableParagraph"/>
              <w:spacing w:before="62"/>
              <w:ind w:left="122" w:right="122"/>
              <w:rPr>
                <w:rFonts w:ascii="Times New Roman"/>
                <w:sz w:val="18"/>
              </w:rPr>
            </w:pPr>
            <w:r>
              <w:rPr>
                <w:rFonts w:ascii="Times New Roman"/>
                <w:sz w:val="18"/>
              </w:rPr>
              <w:t>0.5328</w:t>
            </w:r>
          </w:p>
        </w:tc>
        <w:tc>
          <w:tcPr>
            <w:tcW w:w="1109" w:type="dxa"/>
          </w:tcPr>
          <w:p>
            <w:pPr>
              <w:pStyle w:val="TableParagraph"/>
              <w:spacing w:before="62"/>
              <w:ind w:right="299"/>
              <w:jc w:val="right"/>
              <w:rPr>
                <w:rFonts w:ascii="Times New Roman"/>
                <w:sz w:val="18"/>
              </w:rPr>
            </w:pPr>
            <w:r>
              <w:rPr>
                <w:rFonts w:ascii="Times New Roman"/>
                <w:sz w:val="18"/>
              </w:rPr>
              <w:t>0.1332</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粉尘</w:t>
            </w:r>
          </w:p>
        </w:tc>
        <w:tc>
          <w:tcPr>
            <w:tcW w:w="973" w:type="dxa"/>
          </w:tcPr>
          <w:p>
            <w:pPr>
              <w:pStyle w:val="TableParagraph"/>
              <w:spacing w:before="62"/>
              <w:ind w:left="167" w:right="166"/>
              <w:rPr>
                <w:rFonts w:ascii="Times New Roman"/>
                <w:sz w:val="18"/>
              </w:rPr>
            </w:pPr>
            <w:r>
              <w:rPr>
                <w:rFonts w:ascii="Times New Roman"/>
                <w:sz w:val="18"/>
              </w:rPr>
              <w:t>8.415</w:t>
            </w:r>
          </w:p>
        </w:tc>
        <w:tc>
          <w:tcPr>
            <w:tcW w:w="970" w:type="dxa"/>
          </w:tcPr>
          <w:p>
            <w:pPr>
              <w:pStyle w:val="TableParagraph"/>
              <w:spacing w:before="62"/>
              <w:ind w:left="122" w:right="122"/>
              <w:rPr>
                <w:rFonts w:ascii="Times New Roman"/>
                <w:sz w:val="18"/>
              </w:rPr>
            </w:pPr>
            <w:r>
              <w:rPr>
                <w:rFonts w:ascii="Times New Roman"/>
                <w:sz w:val="18"/>
              </w:rPr>
              <w:t>8.4066</w:t>
            </w:r>
          </w:p>
        </w:tc>
        <w:tc>
          <w:tcPr>
            <w:tcW w:w="1109" w:type="dxa"/>
          </w:tcPr>
          <w:p>
            <w:pPr>
              <w:pStyle w:val="TableParagraph"/>
              <w:spacing w:before="62"/>
              <w:ind w:right="299"/>
              <w:jc w:val="right"/>
              <w:rPr>
                <w:rFonts w:ascii="Times New Roman"/>
                <w:sz w:val="18"/>
              </w:rPr>
            </w:pPr>
            <w:r>
              <w:rPr>
                <w:rFonts w:ascii="Times New Roman"/>
                <w:sz w:val="18"/>
              </w:rPr>
              <w:t>0.0084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val="restart"/>
          </w:tcPr>
          <w:p>
            <w:pPr>
              <w:pStyle w:val="TableParagraph"/>
              <w:spacing w:before="3"/>
              <w:jc w:val="left"/>
              <w:rPr>
                <w:rFonts w:ascii="Times New Roman"/>
                <w:sz w:val="16"/>
              </w:rPr>
            </w:pPr>
          </w:p>
          <w:p>
            <w:pPr>
              <w:pStyle w:val="TableParagraph"/>
              <w:spacing w:line="146" w:lineRule="auto"/>
              <w:ind w:left="121" w:right="116"/>
              <w:jc w:val="both"/>
              <w:rPr>
                <w:sz w:val="18"/>
              </w:rPr>
            </w:pPr>
            <w:r>
              <w:rPr>
                <w:sz w:val="18"/>
              </w:rPr>
              <w:t>有组织</w:t>
            </w:r>
          </w:p>
        </w:tc>
        <w:tc>
          <w:tcPr>
            <w:tcW w:w="1866" w:type="dxa"/>
          </w:tcPr>
          <w:p>
            <w:pPr>
              <w:pStyle w:val="TableParagraph"/>
              <w:spacing w:line="320" w:lineRule="exact"/>
              <w:ind w:left="131" w:right="121"/>
              <w:rPr>
                <w:sz w:val="18"/>
              </w:rPr>
            </w:pPr>
            <w:r>
              <w:rPr>
                <w:sz w:val="18"/>
              </w:rPr>
              <w:t>二氧化硫</w:t>
            </w:r>
          </w:p>
        </w:tc>
        <w:tc>
          <w:tcPr>
            <w:tcW w:w="973" w:type="dxa"/>
          </w:tcPr>
          <w:p>
            <w:pPr>
              <w:pStyle w:val="TableParagraph"/>
              <w:spacing w:before="62"/>
              <w:ind w:left="167" w:right="166"/>
              <w:rPr>
                <w:rFonts w:ascii="Times New Roman"/>
                <w:sz w:val="18"/>
              </w:rPr>
            </w:pPr>
            <w:r>
              <w:rPr>
                <w:rFonts w:ascii="Times New Roman"/>
                <w:sz w:val="18"/>
              </w:rPr>
              <w:t>3.478</w:t>
            </w:r>
          </w:p>
        </w:tc>
        <w:tc>
          <w:tcPr>
            <w:tcW w:w="970" w:type="dxa"/>
          </w:tcPr>
          <w:p>
            <w:pPr>
              <w:pStyle w:val="TableParagraph"/>
              <w:spacing w:before="62"/>
              <w:rPr>
                <w:rFonts w:ascii="Times New Roman"/>
                <w:sz w:val="18"/>
              </w:rPr>
            </w:pPr>
            <w:r>
              <w:rPr>
                <w:rFonts w:ascii="Times New Roman"/>
                <w:sz w:val="18"/>
              </w:rPr>
              <w:t>0</w:t>
            </w:r>
          </w:p>
        </w:tc>
        <w:tc>
          <w:tcPr>
            <w:tcW w:w="1109" w:type="dxa"/>
          </w:tcPr>
          <w:p>
            <w:pPr>
              <w:pStyle w:val="TableParagraph"/>
              <w:spacing w:before="62"/>
              <w:ind w:right="345"/>
              <w:jc w:val="right"/>
              <w:rPr>
                <w:rFonts w:ascii="Times New Roman"/>
                <w:sz w:val="18"/>
              </w:rPr>
            </w:pPr>
            <w:r>
              <w:rPr>
                <w:rFonts w:ascii="Times New Roman"/>
                <w:sz w:val="18"/>
              </w:rPr>
              <w:t>3.478</w:t>
            </w:r>
          </w:p>
        </w:tc>
        <w:tc>
          <w:tcPr>
            <w:tcW w:w="2142" w:type="dxa"/>
            <w:vMerge w:val="restart"/>
          </w:tcPr>
          <w:p>
            <w:pPr>
              <w:pStyle w:val="TableParagraph"/>
              <w:jc w:val="left"/>
              <w:rPr>
                <w:rFonts w:ascii="Times New Roman"/>
                <w:sz w:val="18"/>
              </w:rPr>
            </w:pPr>
          </w:p>
          <w:p>
            <w:pPr>
              <w:pStyle w:val="TableParagraph"/>
              <w:spacing w:before="109"/>
              <w:ind w:left="167"/>
              <w:jc w:val="left"/>
              <w:rPr>
                <w:sz w:val="18"/>
              </w:rPr>
            </w:pPr>
            <w:r>
              <w:rPr>
                <w:sz w:val="18"/>
              </w:rPr>
              <w:t>经燃气锅炉排气筒排放</w:t>
            </w: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烟尘</w:t>
            </w:r>
          </w:p>
        </w:tc>
        <w:tc>
          <w:tcPr>
            <w:tcW w:w="973" w:type="dxa"/>
          </w:tcPr>
          <w:p>
            <w:pPr>
              <w:pStyle w:val="TableParagraph"/>
              <w:spacing w:before="62"/>
              <w:ind w:left="167" w:right="166"/>
              <w:rPr>
                <w:rFonts w:ascii="Times New Roman"/>
                <w:sz w:val="18"/>
              </w:rPr>
            </w:pPr>
            <w:r>
              <w:rPr>
                <w:rFonts w:ascii="Times New Roman"/>
                <w:sz w:val="18"/>
              </w:rPr>
              <w:t>0.907</w:t>
            </w:r>
          </w:p>
        </w:tc>
        <w:tc>
          <w:tcPr>
            <w:tcW w:w="970" w:type="dxa"/>
          </w:tcPr>
          <w:p>
            <w:pPr>
              <w:pStyle w:val="TableParagraph"/>
              <w:spacing w:before="62"/>
              <w:rPr>
                <w:rFonts w:ascii="Times New Roman"/>
                <w:sz w:val="18"/>
              </w:rPr>
            </w:pPr>
            <w:r>
              <w:rPr>
                <w:rFonts w:ascii="Times New Roman"/>
                <w:sz w:val="18"/>
              </w:rPr>
              <w:t>0</w:t>
            </w:r>
          </w:p>
        </w:tc>
        <w:tc>
          <w:tcPr>
            <w:tcW w:w="1109" w:type="dxa"/>
          </w:tcPr>
          <w:p>
            <w:pPr>
              <w:pStyle w:val="TableParagraph"/>
              <w:spacing w:before="62"/>
              <w:ind w:left="146" w:right="147"/>
              <w:rPr>
                <w:rFonts w:ascii="Times New Roman"/>
                <w:sz w:val="18"/>
              </w:rPr>
            </w:pPr>
            <w:r>
              <w:rPr>
                <w:rFonts w:ascii="Times New Roman"/>
                <w:sz w:val="18"/>
              </w:rPr>
              <w:t>0.91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氮氧化物</w:t>
            </w:r>
          </w:p>
        </w:tc>
        <w:tc>
          <w:tcPr>
            <w:tcW w:w="973" w:type="dxa"/>
          </w:tcPr>
          <w:p>
            <w:pPr>
              <w:pStyle w:val="TableParagraph"/>
              <w:spacing w:before="62"/>
              <w:ind w:left="167" w:right="166"/>
              <w:rPr>
                <w:rFonts w:ascii="Times New Roman"/>
                <w:sz w:val="18"/>
              </w:rPr>
            </w:pPr>
            <w:r>
              <w:rPr>
                <w:rFonts w:ascii="Times New Roman"/>
                <w:sz w:val="18"/>
              </w:rPr>
              <w:t>7.072</w:t>
            </w:r>
          </w:p>
        </w:tc>
        <w:tc>
          <w:tcPr>
            <w:tcW w:w="970" w:type="dxa"/>
          </w:tcPr>
          <w:p>
            <w:pPr>
              <w:pStyle w:val="TableParagraph"/>
              <w:spacing w:before="62"/>
              <w:rPr>
                <w:rFonts w:ascii="Times New Roman"/>
                <w:sz w:val="18"/>
              </w:rPr>
            </w:pPr>
            <w:r>
              <w:rPr>
                <w:rFonts w:ascii="Times New Roman"/>
                <w:sz w:val="18"/>
              </w:rPr>
              <w:t>0</w:t>
            </w:r>
          </w:p>
        </w:tc>
        <w:tc>
          <w:tcPr>
            <w:tcW w:w="1109" w:type="dxa"/>
          </w:tcPr>
          <w:p>
            <w:pPr>
              <w:pStyle w:val="TableParagraph"/>
              <w:spacing w:before="62"/>
              <w:ind w:right="345"/>
              <w:jc w:val="right"/>
              <w:rPr>
                <w:rFonts w:ascii="Times New Roman"/>
                <w:sz w:val="18"/>
              </w:rPr>
            </w:pPr>
            <w:r>
              <w:rPr>
                <w:rFonts w:ascii="Times New Roman"/>
                <w:sz w:val="18"/>
              </w:rPr>
              <w:t>7.072</w:t>
            </w:r>
          </w:p>
        </w:tc>
        <w:tc>
          <w:tcPr>
            <w:tcW w:w="2142" w:type="dxa"/>
            <w:vMerge/>
            <w:tcBorders>
              <w:top w:val="nil"/>
            </w:tcBorders>
          </w:tcPr>
          <w:p>
            <w:pPr>
              <w:rPr>
                <w:sz w:val="2"/>
                <w:szCs w:val="2"/>
              </w:rPr>
            </w:pPr>
          </w:p>
        </w:tc>
      </w:tr>
      <w:tr>
        <w:trPr>
          <w:trHeight w:val="337" w:hRule="atLeast"/>
        </w:trPr>
        <w:tc>
          <w:tcPr>
            <w:tcW w:w="1042" w:type="dxa"/>
            <w:vMerge/>
            <w:tcBorders>
              <w:top w:val="nil"/>
            </w:tcBorders>
          </w:tcPr>
          <w:p>
            <w:pPr>
              <w:rPr>
                <w:sz w:val="2"/>
                <w:szCs w:val="2"/>
              </w:rPr>
            </w:pPr>
          </w:p>
        </w:tc>
        <w:tc>
          <w:tcPr>
            <w:tcW w:w="430"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line="146" w:lineRule="auto" w:before="107"/>
              <w:ind w:left="121" w:right="116"/>
              <w:jc w:val="both"/>
              <w:rPr>
                <w:sz w:val="18"/>
              </w:rPr>
            </w:pPr>
            <w:r>
              <w:rPr>
                <w:sz w:val="18"/>
              </w:rPr>
              <w:t>无组织</w:t>
            </w:r>
          </w:p>
        </w:tc>
        <w:tc>
          <w:tcPr>
            <w:tcW w:w="1866" w:type="dxa"/>
          </w:tcPr>
          <w:p>
            <w:pPr>
              <w:pStyle w:val="TableParagraph"/>
              <w:spacing w:line="318" w:lineRule="exact"/>
              <w:ind w:left="131" w:right="121"/>
              <w:rPr>
                <w:sz w:val="18"/>
              </w:rPr>
            </w:pPr>
            <w:r>
              <w:rPr>
                <w:sz w:val="18"/>
              </w:rPr>
              <w:t>吡啶</w:t>
            </w:r>
          </w:p>
        </w:tc>
        <w:tc>
          <w:tcPr>
            <w:tcW w:w="973" w:type="dxa"/>
          </w:tcPr>
          <w:p>
            <w:pPr>
              <w:pStyle w:val="TableParagraph"/>
              <w:spacing w:before="59"/>
              <w:ind w:left="170" w:right="166"/>
              <w:rPr>
                <w:rFonts w:ascii="Times New Roman"/>
                <w:sz w:val="18"/>
              </w:rPr>
            </w:pPr>
            <w:r>
              <w:rPr>
                <w:rFonts w:ascii="Times New Roman"/>
                <w:sz w:val="18"/>
              </w:rPr>
              <w:t>0.00032</w:t>
            </w:r>
          </w:p>
        </w:tc>
        <w:tc>
          <w:tcPr>
            <w:tcW w:w="970" w:type="dxa"/>
          </w:tcPr>
          <w:p>
            <w:pPr>
              <w:pStyle w:val="TableParagraph"/>
              <w:spacing w:before="59"/>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59"/>
              <w:ind w:right="253"/>
              <w:jc w:val="right"/>
              <w:rPr>
                <w:rFonts w:ascii="Times New Roman"/>
                <w:sz w:val="18"/>
              </w:rPr>
            </w:pPr>
            <w:r>
              <w:rPr>
                <w:rFonts w:ascii="Times New Roman"/>
                <w:sz w:val="18"/>
              </w:rPr>
              <w:t>0.00032</w:t>
            </w:r>
          </w:p>
        </w:tc>
        <w:tc>
          <w:tcPr>
            <w:tcW w:w="2142"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5"/>
              <w:ind w:left="103" w:right="99"/>
              <w:rPr>
                <w:rFonts w:ascii="Times New Roman" w:hAnsi="Times New Roman"/>
                <w:sz w:val="18"/>
              </w:rPr>
            </w:pPr>
            <w:r>
              <w:rPr>
                <w:rFonts w:ascii="Times New Roman" w:hAnsi="Times New Roman"/>
                <w:sz w:val="18"/>
              </w:rPr>
              <w:t>——</w:t>
            </w:r>
          </w:p>
        </w:tc>
      </w:tr>
      <w:tr>
        <w:trPr>
          <w:trHeight w:val="341"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1" w:lineRule="exact"/>
              <w:ind w:left="131" w:right="121"/>
              <w:rPr>
                <w:sz w:val="18"/>
              </w:rPr>
            </w:pPr>
            <w:r>
              <w:rPr>
                <w:sz w:val="18"/>
              </w:rPr>
              <w:t>哌啶</w:t>
            </w:r>
          </w:p>
        </w:tc>
        <w:tc>
          <w:tcPr>
            <w:tcW w:w="973" w:type="dxa"/>
          </w:tcPr>
          <w:p>
            <w:pPr>
              <w:pStyle w:val="TableParagraph"/>
              <w:spacing w:before="62"/>
              <w:ind w:left="170" w:right="166"/>
              <w:rPr>
                <w:rFonts w:ascii="Times New Roman"/>
                <w:sz w:val="18"/>
              </w:rPr>
            </w:pPr>
            <w:r>
              <w:rPr>
                <w:rFonts w:ascii="Times New Roman"/>
                <w:sz w:val="18"/>
              </w:rPr>
              <w:t>0.00032</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53"/>
              <w:jc w:val="right"/>
              <w:rPr>
                <w:rFonts w:ascii="Times New Roman"/>
                <w:sz w:val="18"/>
              </w:rPr>
            </w:pPr>
            <w:r>
              <w:rPr>
                <w:rFonts w:ascii="Times New Roman"/>
                <w:sz w:val="18"/>
              </w:rPr>
              <w:t>0.00032</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溴乙烷</w:t>
            </w:r>
          </w:p>
        </w:tc>
        <w:tc>
          <w:tcPr>
            <w:tcW w:w="973" w:type="dxa"/>
          </w:tcPr>
          <w:p>
            <w:pPr>
              <w:pStyle w:val="TableParagraph"/>
              <w:spacing w:before="62"/>
              <w:ind w:left="169" w:right="166"/>
              <w:rPr>
                <w:rFonts w:ascii="Times New Roman"/>
                <w:sz w:val="18"/>
              </w:rPr>
            </w:pPr>
            <w:r>
              <w:rPr>
                <w:rFonts w:ascii="Times New Roman"/>
                <w:sz w:val="18"/>
              </w:rPr>
              <w:t>0.00002</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54"/>
              <w:jc w:val="right"/>
              <w:rPr>
                <w:rFonts w:ascii="Times New Roman"/>
                <w:sz w:val="18"/>
              </w:rPr>
            </w:pPr>
            <w:r>
              <w:rPr>
                <w:rFonts w:ascii="Times New Roman"/>
                <w:sz w:val="18"/>
              </w:rPr>
              <w:t>0.00002</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双氟苯甲醇</w:t>
            </w:r>
          </w:p>
        </w:tc>
        <w:tc>
          <w:tcPr>
            <w:tcW w:w="973" w:type="dxa"/>
          </w:tcPr>
          <w:p>
            <w:pPr>
              <w:pStyle w:val="TableParagraph"/>
              <w:spacing w:before="62"/>
              <w:ind w:left="169" w:right="166"/>
              <w:rPr>
                <w:rFonts w:ascii="Times New Roman"/>
                <w:sz w:val="18"/>
              </w:rPr>
            </w:pPr>
            <w:r>
              <w:rPr>
                <w:rFonts w:ascii="Times New Roman"/>
                <w:sz w:val="18"/>
              </w:rPr>
              <w:t>0.0001</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0.0001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三乙胺</w:t>
            </w:r>
          </w:p>
        </w:tc>
        <w:tc>
          <w:tcPr>
            <w:tcW w:w="973" w:type="dxa"/>
          </w:tcPr>
          <w:p>
            <w:pPr>
              <w:pStyle w:val="TableParagraph"/>
              <w:spacing w:before="62"/>
              <w:ind w:left="170" w:right="165"/>
              <w:rPr>
                <w:rFonts w:ascii="Times New Roman"/>
                <w:sz w:val="18"/>
              </w:rPr>
            </w:pPr>
            <w:r>
              <w:rPr>
                <w:rFonts w:ascii="Times New Roman"/>
                <w:sz w:val="18"/>
              </w:rPr>
              <w:t>0.00006</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52"/>
              <w:jc w:val="right"/>
              <w:rPr>
                <w:rFonts w:ascii="Times New Roman"/>
                <w:sz w:val="18"/>
              </w:rPr>
            </w:pPr>
            <w:r>
              <w:rPr>
                <w:rFonts w:ascii="Times New Roman"/>
                <w:sz w:val="18"/>
              </w:rPr>
              <w:t>0.00006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醋酐</w:t>
            </w:r>
          </w:p>
        </w:tc>
        <w:tc>
          <w:tcPr>
            <w:tcW w:w="973" w:type="dxa"/>
          </w:tcPr>
          <w:p>
            <w:pPr>
              <w:pStyle w:val="TableParagraph"/>
              <w:spacing w:before="62"/>
              <w:ind w:left="170" w:right="166"/>
              <w:rPr>
                <w:rFonts w:ascii="Times New Roman"/>
                <w:sz w:val="18"/>
              </w:rPr>
            </w:pPr>
            <w:r>
              <w:rPr>
                <w:rFonts w:ascii="Times New Roman"/>
                <w:sz w:val="18"/>
              </w:rPr>
              <w:t>0.00044</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0.0004</w:t>
            </w:r>
          </w:p>
        </w:tc>
        <w:tc>
          <w:tcPr>
            <w:tcW w:w="2142" w:type="dxa"/>
            <w:vMerge/>
            <w:tcBorders>
              <w:top w:val="nil"/>
            </w:tcBorders>
          </w:tcPr>
          <w:p>
            <w:pPr>
              <w:rPr>
                <w:sz w:val="2"/>
                <w:szCs w:val="2"/>
              </w:rPr>
            </w:pPr>
          </w:p>
        </w:tc>
      </w:tr>
      <w:tr>
        <w:trPr>
          <w:trHeight w:val="338"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8" w:lineRule="exact"/>
              <w:ind w:left="131" w:right="124"/>
              <w:rPr>
                <w:sz w:val="18"/>
              </w:rPr>
            </w:pPr>
            <w:r>
              <w:rPr>
                <w:sz w:val="18"/>
              </w:rPr>
              <w:t>苯甲醛</w:t>
            </w:r>
          </w:p>
        </w:tc>
        <w:tc>
          <w:tcPr>
            <w:tcW w:w="973" w:type="dxa"/>
          </w:tcPr>
          <w:p>
            <w:pPr>
              <w:pStyle w:val="TableParagraph"/>
              <w:spacing w:before="59"/>
              <w:ind w:left="169" w:right="166"/>
              <w:rPr>
                <w:rFonts w:ascii="Times New Roman"/>
                <w:sz w:val="18"/>
              </w:rPr>
            </w:pPr>
            <w:r>
              <w:rPr>
                <w:rFonts w:ascii="Times New Roman"/>
                <w:sz w:val="18"/>
              </w:rPr>
              <w:t>0.0058</w:t>
            </w:r>
          </w:p>
        </w:tc>
        <w:tc>
          <w:tcPr>
            <w:tcW w:w="970" w:type="dxa"/>
          </w:tcPr>
          <w:p>
            <w:pPr>
              <w:pStyle w:val="TableParagraph"/>
              <w:spacing w:before="59"/>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59"/>
              <w:ind w:right="299"/>
              <w:jc w:val="right"/>
              <w:rPr>
                <w:rFonts w:ascii="Times New Roman"/>
                <w:sz w:val="18"/>
              </w:rPr>
            </w:pPr>
            <w:r>
              <w:rPr>
                <w:rFonts w:ascii="Times New Roman"/>
                <w:sz w:val="18"/>
              </w:rPr>
              <w:t>0.0058</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乙醇胺</w:t>
            </w:r>
          </w:p>
        </w:tc>
        <w:tc>
          <w:tcPr>
            <w:tcW w:w="973" w:type="dxa"/>
          </w:tcPr>
          <w:p>
            <w:pPr>
              <w:pStyle w:val="TableParagraph"/>
              <w:spacing w:before="62"/>
              <w:ind w:left="169" w:right="166"/>
              <w:rPr>
                <w:rFonts w:ascii="Times New Roman"/>
                <w:sz w:val="18"/>
              </w:rPr>
            </w:pPr>
            <w:r>
              <w:rPr>
                <w:rFonts w:ascii="Times New Roman"/>
                <w:sz w:val="18"/>
              </w:rPr>
              <w:t>0.0033</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0.0033</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氧化苯乙烯</w:t>
            </w:r>
          </w:p>
        </w:tc>
        <w:tc>
          <w:tcPr>
            <w:tcW w:w="973" w:type="dxa"/>
          </w:tcPr>
          <w:p>
            <w:pPr>
              <w:pStyle w:val="TableParagraph"/>
              <w:spacing w:before="62"/>
              <w:ind w:left="169" w:right="166"/>
              <w:rPr>
                <w:rFonts w:ascii="Times New Roman"/>
                <w:sz w:val="18"/>
              </w:rPr>
            </w:pPr>
            <w:r>
              <w:rPr>
                <w:rFonts w:ascii="Times New Roman"/>
                <w:sz w:val="18"/>
              </w:rPr>
              <w:t>0.0027</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0.0027</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氯甲酸乙酯</w:t>
            </w:r>
          </w:p>
        </w:tc>
        <w:tc>
          <w:tcPr>
            <w:tcW w:w="973" w:type="dxa"/>
          </w:tcPr>
          <w:p>
            <w:pPr>
              <w:pStyle w:val="TableParagraph"/>
              <w:spacing w:before="62"/>
              <w:ind w:left="169" w:right="166"/>
              <w:rPr>
                <w:rFonts w:ascii="Times New Roman"/>
                <w:sz w:val="18"/>
              </w:rPr>
            </w:pPr>
            <w:r>
              <w:rPr>
                <w:rFonts w:ascii="Times New Roman"/>
                <w:sz w:val="18"/>
              </w:rPr>
              <w:t>0.0014</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0.0014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正丁醇</w:t>
            </w:r>
          </w:p>
        </w:tc>
        <w:tc>
          <w:tcPr>
            <w:tcW w:w="973" w:type="dxa"/>
          </w:tcPr>
          <w:p>
            <w:pPr>
              <w:pStyle w:val="TableParagraph"/>
              <w:spacing w:before="62"/>
              <w:ind w:left="169" w:right="166"/>
              <w:rPr>
                <w:rFonts w:ascii="Times New Roman"/>
                <w:sz w:val="18"/>
              </w:rPr>
            </w:pPr>
            <w:r>
              <w:rPr>
                <w:rFonts w:ascii="Times New Roman"/>
                <w:sz w:val="18"/>
              </w:rPr>
              <w:t>0.0014</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0.0014</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1" w:lineRule="exact"/>
              <w:ind w:left="131" w:right="121"/>
              <w:rPr>
                <w:sz w:val="18"/>
              </w:rPr>
            </w:pPr>
            <w:r>
              <w:rPr>
                <w:rFonts w:ascii="Times New Roman" w:eastAsia="Times New Roman"/>
                <w:sz w:val="18"/>
              </w:rPr>
              <w:t>90%</w:t>
            </w:r>
            <w:r>
              <w:rPr>
                <w:sz w:val="18"/>
              </w:rPr>
              <w:t>甲酸</w:t>
            </w:r>
          </w:p>
        </w:tc>
        <w:tc>
          <w:tcPr>
            <w:tcW w:w="973" w:type="dxa"/>
          </w:tcPr>
          <w:p>
            <w:pPr>
              <w:pStyle w:val="TableParagraph"/>
              <w:spacing w:before="62"/>
              <w:ind w:left="169" w:right="166"/>
              <w:rPr>
                <w:rFonts w:ascii="Times New Roman"/>
                <w:sz w:val="18"/>
              </w:rPr>
            </w:pPr>
            <w:r>
              <w:rPr>
                <w:rFonts w:ascii="Times New Roman"/>
                <w:sz w:val="18"/>
              </w:rPr>
              <w:t>0.0014</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0.0014</w:t>
            </w:r>
          </w:p>
        </w:tc>
        <w:tc>
          <w:tcPr>
            <w:tcW w:w="2142" w:type="dxa"/>
            <w:vMerge/>
            <w:tcBorders>
              <w:top w:val="nil"/>
            </w:tcBorders>
          </w:tcPr>
          <w:p>
            <w:pPr>
              <w:rPr>
                <w:sz w:val="2"/>
                <w:szCs w:val="2"/>
              </w:rPr>
            </w:pPr>
          </w:p>
        </w:tc>
      </w:tr>
    </w:tbl>
    <w:p>
      <w:pPr>
        <w:spacing w:after="0"/>
        <w:rPr>
          <w:sz w:val="2"/>
          <w:szCs w:val="2"/>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
        <w:gridCol w:w="430"/>
        <w:gridCol w:w="1866"/>
        <w:gridCol w:w="973"/>
        <w:gridCol w:w="970"/>
        <w:gridCol w:w="1109"/>
        <w:gridCol w:w="2142"/>
      </w:tblGrid>
      <w:tr>
        <w:trPr>
          <w:trHeight w:val="340" w:hRule="atLeast"/>
        </w:trPr>
        <w:tc>
          <w:tcPr>
            <w:tcW w:w="1042" w:type="dxa"/>
            <w:vMerge w:val="restart"/>
          </w:tcPr>
          <w:p>
            <w:pPr>
              <w:pStyle w:val="TableParagraph"/>
              <w:jc w:val="left"/>
              <w:rPr>
                <w:rFonts w:ascii="Times New Roman"/>
                <w:sz w:val="18"/>
              </w:rPr>
            </w:pPr>
          </w:p>
        </w:tc>
        <w:tc>
          <w:tcPr>
            <w:tcW w:w="430" w:type="dxa"/>
            <w:vMerge w:val="restart"/>
          </w:tcPr>
          <w:p>
            <w:pPr>
              <w:pStyle w:val="TableParagraph"/>
              <w:jc w:val="left"/>
              <w:rPr>
                <w:rFonts w:ascii="Times New Roman"/>
                <w:sz w:val="18"/>
              </w:rPr>
            </w:pPr>
          </w:p>
        </w:tc>
        <w:tc>
          <w:tcPr>
            <w:tcW w:w="1866" w:type="dxa"/>
          </w:tcPr>
          <w:p>
            <w:pPr>
              <w:pStyle w:val="TableParagraph"/>
              <w:spacing w:line="321" w:lineRule="exact"/>
              <w:ind w:left="131" w:right="121"/>
              <w:rPr>
                <w:sz w:val="18"/>
              </w:rPr>
            </w:pPr>
            <w:r>
              <w:rPr>
                <w:sz w:val="18"/>
              </w:rPr>
              <w:t>硝酸</w:t>
            </w:r>
          </w:p>
        </w:tc>
        <w:tc>
          <w:tcPr>
            <w:tcW w:w="973" w:type="dxa"/>
          </w:tcPr>
          <w:p>
            <w:pPr>
              <w:pStyle w:val="TableParagraph"/>
              <w:spacing w:before="62"/>
              <w:ind w:left="169" w:right="166"/>
              <w:rPr>
                <w:rFonts w:ascii="Times New Roman"/>
                <w:sz w:val="18"/>
              </w:rPr>
            </w:pPr>
            <w:r>
              <w:rPr>
                <w:rFonts w:ascii="Times New Roman"/>
                <w:sz w:val="18"/>
              </w:rPr>
              <w:t>0.0002</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0.0002</w:t>
            </w:r>
          </w:p>
        </w:tc>
        <w:tc>
          <w:tcPr>
            <w:tcW w:w="2142" w:type="dxa"/>
            <w:vMerge w:val="restart"/>
          </w:tcPr>
          <w:p>
            <w:pPr>
              <w:pStyle w:val="TableParagraph"/>
              <w:jc w:val="left"/>
              <w:rPr>
                <w:rFonts w:ascii="Times New Roman"/>
                <w:sz w:val="18"/>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呋喃</w:t>
            </w:r>
          </w:p>
        </w:tc>
        <w:tc>
          <w:tcPr>
            <w:tcW w:w="973" w:type="dxa"/>
          </w:tcPr>
          <w:p>
            <w:pPr>
              <w:pStyle w:val="TableParagraph"/>
              <w:spacing w:before="62"/>
              <w:ind w:left="169" w:right="166"/>
              <w:rPr>
                <w:rFonts w:ascii="Times New Roman"/>
                <w:sz w:val="18"/>
              </w:rPr>
            </w:pPr>
            <w:r>
              <w:rPr>
                <w:rFonts w:ascii="Times New Roman"/>
                <w:sz w:val="18"/>
              </w:rPr>
              <w:t>0.0001</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99"/>
              <w:jc w:val="right"/>
              <w:rPr>
                <w:rFonts w:ascii="Times New Roman"/>
                <w:sz w:val="18"/>
              </w:rPr>
            </w:pPr>
            <w:r>
              <w:rPr>
                <w:rFonts w:ascii="Times New Roman"/>
                <w:sz w:val="18"/>
              </w:rPr>
              <w:t>0.0001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氯仿</w:t>
            </w:r>
          </w:p>
        </w:tc>
        <w:tc>
          <w:tcPr>
            <w:tcW w:w="973" w:type="dxa"/>
          </w:tcPr>
          <w:p>
            <w:pPr>
              <w:pStyle w:val="TableParagraph"/>
              <w:spacing w:before="62"/>
              <w:ind w:left="169" w:right="166"/>
              <w:rPr>
                <w:rFonts w:ascii="Times New Roman"/>
                <w:sz w:val="18"/>
              </w:rPr>
            </w:pPr>
            <w:r>
              <w:rPr>
                <w:rFonts w:ascii="Times New Roman"/>
                <w:sz w:val="18"/>
              </w:rPr>
              <w:t>0.00003</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254"/>
              <w:jc w:val="right"/>
              <w:rPr>
                <w:rFonts w:ascii="Times New Roman"/>
                <w:sz w:val="18"/>
              </w:rPr>
            </w:pPr>
            <w:r>
              <w:rPr>
                <w:rFonts w:ascii="Times New Roman"/>
                <w:sz w:val="18"/>
              </w:rPr>
              <w:t>0.00003</w:t>
            </w:r>
          </w:p>
        </w:tc>
        <w:tc>
          <w:tcPr>
            <w:tcW w:w="2142" w:type="dxa"/>
            <w:vMerge/>
            <w:tcBorders>
              <w:top w:val="nil"/>
            </w:tcBorders>
          </w:tcPr>
          <w:p>
            <w:pPr>
              <w:rPr>
                <w:sz w:val="2"/>
                <w:szCs w:val="2"/>
              </w:rPr>
            </w:pPr>
          </w:p>
        </w:tc>
      </w:tr>
      <w:tr>
        <w:trPr>
          <w:trHeight w:val="337"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8" w:lineRule="exact"/>
              <w:ind w:left="131" w:right="121"/>
              <w:rPr>
                <w:sz w:val="18"/>
              </w:rPr>
            </w:pPr>
            <w:r>
              <w:rPr>
                <w:sz w:val="18"/>
              </w:rPr>
              <w:t>乙醇</w:t>
            </w:r>
          </w:p>
        </w:tc>
        <w:tc>
          <w:tcPr>
            <w:tcW w:w="973" w:type="dxa"/>
          </w:tcPr>
          <w:p>
            <w:pPr>
              <w:pStyle w:val="TableParagraph"/>
              <w:spacing w:before="59"/>
              <w:ind w:left="167" w:right="166"/>
              <w:rPr>
                <w:rFonts w:ascii="Times New Roman"/>
                <w:sz w:val="18"/>
              </w:rPr>
            </w:pPr>
            <w:r>
              <w:rPr>
                <w:rFonts w:ascii="Times New Roman"/>
                <w:sz w:val="18"/>
              </w:rPr>
              <w:t>0.083</w:t>
            </w:r>
          </w:p>
        </w:tc>
        <w:tc>
          <w:tcPr>
            <w:tcW w:w="970" w:type="dxa"/>
          </w:tcPr>
          <w:p>
            <w:pPr>
              <w:pStyle w:val="TableParagraph"/>
              <w:spacing w:before="59"/>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59"/>
              <w:ind w:right="345"/>
              <w:jc w:val="right"/>
              <w:rPr>
                <w:rFonts w:ascii="Times New Roman"/>
                <w:sz w:val="18"/>
              </w:rPr>
            </w:pPr>
            <w:r>
              <w:rPr>
                <w:rFonts w:ascii="Times New Roman"/>
                <w:sz w:val="18"/>
              </w:rPr>
              <w:t>0.083</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乙酰乙酸甲酯</w:t>
            </w:r>
          </w:p>
        </w:tc>
        <w:tc>
          <w:tcPr>
            <w:tcW w:w="973" w:type="dxa"/>
          </w:tcPr>
          <w:p>
            <w:pPr>
              <w:pStyle w:val="TableParagraph"/>
              <w:spacing w:before="62"/>
              <w:ind w:left="167" w:right="166"/>
              <w:rPr>
                <w:rFonts w:ascii="Times New Roman"/>
                <w:sz w:val="18"/>
              </w:rPr>
            </w:pPr>
            <w:r>
              <w:rPr>
                <w:rFonts w:ascii="Times New Roman"/>
                <w:sz w:val="18"/>
              </w:rPr>
              <w:t>0.02</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left="146" w:right="147"/>
              <w:rPr>
                <w:rFonts w:ascii="Times New Roman"/>
                <w:sz w:val="18"/>
              </w:rPr>
            </w:pPr>
            <w:r>
              <w:rPr>
                <w:rFonts w:ascii="Times New Roman"/>
                <w:sz w:val="18"/>
              </w:rPr>
              <w:t>0.02</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甲醛</w:t>
            </w:r>
          </w:p>
        </w:tc>
        <w:tc>
          <w:tcPr>
            <w:tcW w:w="973" w:type="dxa"/>
          </w:tcPr>
          <w:p>
            <w:pPr>
              <w:pStyle w:val="TableParagraph"/>
              <w:spacing w:before="62"/>
              <w:ind w:left="167" w:right="166"/>
              <w:rPr>
                <w:rFonts w:ascii="Times New Roman"/>
                <w:sz w:val="18"/>
              </w:rPr>
            </w:pPr>
            <w:r>
              <w:rPr>
                <w:rFonts w:ascii="Times New Roman"/>
                <w:sz w:val="18"/>
              </w:rPr>
              <w:t>0.06</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left="146" w:right="147"/>
              <w:rPr>
                <w:rFonts w:ascii="Times New Roman"/>
                <w:sz w:val="18"/>
              </w:rPr>
            </w:pPr>
            <w:r>
              <w:rPr>
                <w:rFonts w:ascii="Times New Roman"/>
                <w:sz w:val="18"/>
              </w:rPr>
              <w:t>0.06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醋酸</w:t>
            </w:r>
          </w:p>
        </w:tc>
        <w:tc>
          <w:tcPr>
            <w:tcW w:w="973" w:type="dxa"/>
          </w:tcPr>
          <w:p>
            <w:pPr>
              <w:pStyle w:val="TableParagraph"/>
              <w:spacing w:before="62"/>
              <w:ind w:left="167" w:right="166"/>
              <w:rPr>
                <w:rFonts w:ascii="Times New Roman"/>
                <w:sz w:val="18"/>
              </w:rPr>
            </w:pPr>
            <w:r>
              <w:rPr>
                <w:rFonts w:ascii="Times New Roman"/>
                <w:sz w:val="18"/>
              </w:rPr>
              <w:t>0.018</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345"/>
              <w:jc w:val="right"/>
              <w:rPr>
                <w:rFonts w:ascii="Times New Roman"/>
                <w:sz w:val="18"/>
              </w:rPr>
            </w:pPr>
            <w:r>
              <w:rPr>
                <w:rFonts w:ascii="Times New Roman"/>
                <w:sz w:val="18"/>
              </w:rPr>
              <w:t>0.018</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甲苯</w:t>
            </w:r>
          </w:p>
        </w:tc>
        <w:tc>
          <w:tcPr>
            <w:tcW w:w="973" w:type="dxa"/>
          </w:tcPr>
          <w:p>
            <w:pPr>
              <w:pStyle w:val="TableParagraph"/>
              <w:spacing w:before="62"/>
              <w:ind w:left="167" w:right="166"/>
              <w:rPr>
                <w:rFonts w:ascii="Times New Roman"/>
                <w:sz w:val="18"/>
              </w:rPr>
            </w:pPr>
            <w:r>
              <w:rPr>
                <w:rFonts w:ascii="Times New Roman"/>
                <w:sz w:val="18"/>
              </w:rPr>
              <w:t>0.05</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left="146" w:right="147"/>
              <w:rPr>
                <w:rFonts w:ascii="Times New Roman"/>
                <w:sz w:val="18"/>
              </w:rPr>
            </w:pPr>
            <w:r>
              <w:rPr>
                <w:rFonts w:ascii="Times New Roman"/>
                <w:sz w:val="18"/>
              </w:rPr>
              <w:t>0.05</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二甲苯</w:t>
            </w:r>
          </w:p>
        </w:tc>
        <w:tc>
          <w:tcPr>
            <w:tcW w:w="973" w:type="dxa"/>
          </w:tcPr>
          <w:p>
            <w:pPr>
              <w:pStyle w:val="TableParagraph"/>
              <w:spacing w:before="62"/>
              <w:ind w:left="167" w:right="166"/>
              <w:rPr>
                <w:rFonts w:ascii="Times New Roman"/>
                <w:sz w:val="18"/>
              </w:rPr>
            </w:pPr>
            <w:r>
              <w:rPr>
                <w:rFonts w:ascii="Times New Roman"/>
                <w:sz w:val="18"/>
              </w:rPr>
              <w:t>0.013</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345"/>
              <w:jc w:val="right"/>
              <w:rPr>
                <w:rFonts w:ascii="Times New Roman"/>
                <w:sz w:val="18"/>
              </w:rPr>
            </w:pPr>
            <w:r>
              <w:rPr>
                <w:rFonts w:ascii="Times New Roman"/>
                <w:sz w:val="18"/>
              </w:rPr>
              <w:t>0.013</w:t>
            </w:r>
          </w:p>
        </w:tc>
        <w:tc>
          <w:tcPr>
            <w:tcW w:w="2142" w:type="dxa"/>
            <w:vMerge/>
            <w:tcBorders>
              <w:top w:val="nil"/>
            </w:tcBorders>
          </w:tcPr>
          <w:p>
            <w:pPr>
              <w:rPr>
                <w:sz w:val="2"/>
                <w:szCs w:val="2"/>
              </w:rPr>
            </w:pPr>
          </w:p>
        </w:tc>
      </w:tr>
      <w:tr>
        <w:trPr>
          <w:trHeight w:val="338"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9" w:lineRule="exact"/>
              <w:ind w:left="131" w:right="124"/>
              <w:rPr>
                <w:sz w:val="18"/>
              </w:rPr>
            </w:pPr>
            <w:r>
              <w:rPr>
                <w:sz w:val="18"/>
              </w:rPr>
              <w:t>溴丙烷</w:t>
            </w:r>
          </w:p>
        </w:tc>
        <w:tc>
          <w:tcPr>
            <w:tcW w:w="973" w:type="dxa"/>
          </w:tcPr>
          <w:p>
            <w:pPr>
              <w:pStyle w:val="TableParagraph"/>
              <w:spacing w:before="59"/>
              <w:ind w:left="167" w:right="166"/>
              <w:rPr>
                <w:rFonts w:ascii="Times New Roman"/>
                <w:sz w:val="18"/>
              </w:rPr>
            </w:pPr>
            <w:r>
              <w:rPr>
                <w:rFonts w:ascii="Times New Roman"/>
                <w:sz w:val="18"/>
              </w:rPr>
              <w:t>0.33</w:t>
            </w:r>
          </w:p>
        </w:tc>
        <w:tc>
          <w:tcPr>
            <w:tcW w:w="970" w:type="dxa"/>
          </w:tcPr>
          <w:p>
            <w:pPr>
              <w:pStyle w:val="TableParagraph"/>
              <w:spacing w:before="59"/>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59"/>
              <w:ind w:left="146" w:right="147"/>
              <w:rPr>
                <w:rFonts w:ascii="Times New Roman"/>
                <w:sz w:val="18"/>
              </w:rPr>
            </w:pPr>
            <w:r>
              <w:rPr>
                <w:rFonts w:ascii="Times New Roman"/>
                <w:sz w:val="18"/>
              </w:rPr>
              <w:t>0.33</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丙酮</w:t>
            </w:r>
          </w:p>
        </w:tc>
        <w:tc>
          <w:tcPr>
            <w:tcW w:w="973" w:type="dxa"/>
          </w:tcPr>
          <w:p>
            <w:pPr>
              <w:pStyle w:val="TableParagraph"/>
              <w:spacing w:before="62"/>
              <w:ind w:left="167" w:right="166"/>
              <w:rPr>
                <w:rFonts w:ascii="Times New Roman"/>
                <w:sz w:val="18"/>
              </w:rPr>
            </w:pPr>
            <w:r>
              <w:rPr>
                <w:rFonts w:ascii="Times New Roman"/>
                <w:sz w:val="18"/>
              </w:rPr>
              <w:t>0.11</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left="146" w:right="147"/>
              <w:rPr>
                <w:rFonts w:ascii="Times New Roman"/>
                <w:sz w:val="18"/>
              </w:rPr>
            </w:pPr>
            <w:r>
              <w:rPr>
                <w:rFonts w:ascii="Times New Roman"/>
                <w:sz w:val="18"/>
              </w:rPr>
              <w:t>0.11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四氢呋喃</w:t>
            </w:r>
          </w:p>
        </w:tc>
        <w:tc>
          <w:tcPr>
            <w:tcW w:w="973" w:type="dxa"/>
          </w:tcPr>
          <w:p>
            <w:pPr>
              <w:pStyle w:val="TableParagraph"/>
              <w:spacing w:before="62"/>
              <w:ind w:left="167" w:right="166"/>
              <w:rPr>
                <w:rFonts w:ascii="Times New Roman"/>
                <w:sz w:val="18"/>
              </w:rPr>
            </w:pPr>
            <w:r>
              <w:rPr>
                <w:rFonts w:ascii="Times New Roman"/>
                <w:sz w:val="18"/>
              </w:rPr>
              <w:t>0.07</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left="146" w:right="147"/>
              <w:rPr>
                <w:rFonts w:ascii="Times New Roman"/>
                <w:sz w:val="18"/>
              </w:rPr>
            </w:pPr>
            <w:r>
              <w:rPr>
                <w:rFonts w:ascii="Times New Roman"/>
                <w:sz w:val="18"/>
              </w:rPr>
              <w:t>0.07</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甲醇</w:t>
            </w:r>
          </w:p>
        </w:tc>
        <w:tc>
          <w:tcPr>
            <w:tcW w:w="973" w:type="dxa"/>
          </w:tcPr>
          <w:p>
            <w:pPr>
              <w:pStyle w:val="TableParagraph"/>
              <w:spacing w:before="62"/>
              <w:ind w:left="167" w:right="166"/>
              <w:rPr>
                <w:rFonts w:ascii="Times New Roman"/>
                <w:sz w:val="18"/>
              </w:rPr>
            </w:pPr>
            <w:r>
              <w:rPr>
                <w:rFonts w:ascii="Times New Roman"/>
                <w:sz w:val="18"/>
              </w:rPr>
              <w:t>0.06</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left="146" w:right="147"/>
              <w:rPr>
                <w:rFonts w:ascii="Times New Roman"/>
                <w:sz w:val="18"/>
              </w:rPr>
            </w:pPr>
            <w:r>
              <w:rPr>
                <w:rFonts w:ascii="Times New Roman"/>
                <w:sz w:val="18"/>
              </w:rPr>
              <w:t>0.06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环氧氯丙烷</w:t>
            </w:r>
          </w:p>
        </w:tc>
        <w:tc>
          <w:tcPr>
            <w:tcW w:w="973" w:type="dxa"/>
          </w:tcPr>
          <w:p>
            <w:pPr>
              <w:pStyle w:val="TableParagraph"/>
              <w:spacing w:before="62"/>
              <w:ind w:left="167" w:right="166"/>
              <w:rPr>
                <w:rFonts w:ascii="Times New Roman"/>
                <w:sz w:val="18"/>
              </w:rPr>
            </w:pPr>
            <w:r>
              <w:rPr>
                <w:rFonts w:ascii="Times New Roman"/>
                <w:sz w:val="18"/>
              </w:rPr>
              <w:t>0.016</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345"/>
              <w:jc w:val="right"/>
              <w:rPr>
                <w:rFonts w:ascii="Times New Roman"/>
                <w:sz w:val="18"/>
              </w:rPr>
            </w:pPr>
            <w:r>
              <w:rPr>
                <w:rFonts w:ascii="Times New Roman"/>
                <w:sz w:val="18"/>
              </w:rPr>
              <w:t>0.016</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正丙胺</w:t>
            </w:r>
          </w:p>
        </w:tc>
        <w:tc>
          <w:tcPr>
            <w:tcW w:w="973" w:type="dxa"/>
          </w:tcPr>
          <w:p>
            <w:pPr>
              <w:pStyle w:val="TableParagraph"/>
              <w:spacing w:before="62"/>
              <w:ind w:left="167" w:right="166"/>
              <w:rPr>
                <w:rFonts w:ascii="Times New Roman"/>
                <w:sz w:val="18"/>
              </w:rPr>
            </w:pPr>
            <w:r>
              <w:rPr>
                <w:rFonts w:ascii="Times New Roman"/>
                <w:sz w:val="18"/>
              </w:rPr>
              <w:t>0.085</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345"/>
              <w:jc w:val="right"/>
              <w:rPr>
                <w:rFonts w:ascii="Times New Roman"/>
                <w:sz w:val="18"/>
              </w:rPr>
            </w:pPr>
            <w:r>
              <w:rPr>
                <w:rFonts w:ascii="Times New Roman"/>
                <w:sz w:val="18"/>
              </w:rPr>
              <w:t>0.085</w:t>
            </w:r>
          </w:p>
        </w:tc>
        <w:tc>
          <w:tcPr>
            <w:tcW w:w="2142" w:type="dxa"/>
            <w:vMerge/>
            <w:tcBorders>
              <w:top w:val="nil"/>
            </w:tcBorders>
          </w:tcPr>
          <w:p>
            <w:pPr>
              <w:rPr>
                <w:sz w:val="2"/>
                <w:szCs w:val="2"/>
              </w:rPr>
            </w:pPr>
          </w:p>
        </w:tc>
      </w:tr>
      <w:tr>
        <w:trPr>
          <w:trHeight w:val="337"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18" w:lineRule="exact"/>
              <w:ind w:left="131" w:right="121"/>
              <w:rPr>
                <w:sz w:val="18"/>
              </w:rPr>
            </w:pPr>
            <w:r>
              <w:rPr>
                <w:sz w:val="18"/>
              </w:rPr>
              <w:t>溴氯丙烷</w:t>
            </w:r>
          </w:p>
        </w:tc>
        <w:tc>
          <w:tcPr>
            <w:tcW w:w="973" w:type="dxa"/>
          </w:tcPr>
          <w:p>
            <w:pPr>
              <w:pStyle w:val="TableParagraph"/>
              <w:spacing w:before="59"/>
              <w:ind w:left="167" w:right="166"/>
              <w:rPr>
                <w:rFonts w:ascii="Times New Roman"/>
                <w:sz w:val="18"/>
              </w:rPr>
            </w:pPr>
            <w:r>
              <w:rPr>
                <w:rFonts w:ascii="Times New Roman"/>
                <w:sz w:val="18"/>
              </w:rPr>
              <w:t>0.021</w:t>
            </w:r>
          </w:p>
        </w:tc>
        <w:tc>
          <w:tcPr>
            <w:tcW w:w="970" w:type="dxa"/>
          </w:tcPr>
          <w:p>
            <w:pPr>
              <w:pStyle w:val="TableParagraph"/>
              <w:spacing w:before="59"/>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59"/>
              <w:ind w:right="345"/>
              <w:jc w:val="right"/>
              <w:rPr>
                <w:rFonts w:ascii="Times New Roman"/>
                <w:sz w:val="18"/>
              </w:rPr>
            </w:pPr>
            <w:r>
              <w:rPr>
                <w:rFonts w:ascii="Times New Roman"/>
                <w:sz w:val="18"/>
              </w:rPr>
              <w:t>0.021</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氯苯</w:t>
            </w:r>
          </w:p>
        </w:tc>
        <w:tc>
          <w:tcPr>
            <w:tcW w:w="973" w:type="dxa"/>
          </w:tcPr>
          <w:p>
            <w:pPr>
              <w:pStyle w:val="TableParagraph"/>
              <w:spacing w:before="62"/>
              <w:ind w:left="167" w:right="166"/>
              <w:rPr>
                <w:rFonts w:ascii="Times New Roman"/>
                <w:sz w:val="18"/>
              </w:rPr>
            </w:pPr>
            <w:r>
              <w:rPr>
                <w:rFonts w:ascii="Times New Roman"/>
                <w:sz w:val="18"/>
              </w:rPr>
              <w:t>0.015</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345"/>
              <w:jc w:val="right"/>
              <w:rPr>
                <w:rFonts w:ascii="Times New Roman"/>
                <w:sz w:val="18"/>
              </w:rPr>
            </w:pPr>
            <w:r>
              <w:rPr>
                <w:rFonts w:ascii="Times New Roman"/>
                <w:sz w:val="18"/>
              </w:rPr>
              <w:t>0.015</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4"/>
              <w:rPr>
                <w:sz w:val="18"/>
              </w:rPr>
            </w:pPr>
            <w:r>
              <w:rPr>
                <w:sz w:val="18"/>
              </w:rPr>
              <w:t>氯化氢</w:t>
            </w:r>
          </w:p>
        </w:tc>
        <w:tc>
          <w:tcPr>
            <w:tcW w:w="973" w:type="dxa"/>
          </w:tcPr>
          <w:p>
            <w:pPr>
              <w:pStyle w:val="TableParagraph"/>
              <w:spacing w:before="62"/>
              <w:ind w:left="167" w:right="166"/>
              <w:rPr>
                <w:rFonts w:ascii="Times New Roman"/>
                <w:sz w:val="18"/>
              </w:rPr>
            </w:pPr>
            <w:r>
              <w:rPr>
                <w:rFonts w:ascii="Times New Roman"/>
                <w:sz w:val="18"/>
              </w:rPr>
              <w:t>0.145</w:t>
            </w:r>
          </w:p>
        </w:tc>
        <w:tc>
          <w:tcPr>
            <w:tcW w:w="970" w:type="dxa"/>
          </w:tcPr>
          <w:p>
            <w:pPr>
              <w:pStyle w:val="TableParagraph"/>
              <w:jc w:val="left"/>
              <w:rPr>
                <w:rFonts w:ascii="Times New Roman"/>
                <w:sz w:val="18"/>
              </w:rPr>
            </w:pPr>
          </w:p>
        </w:tc>
        <w:tc>
          <w:tcPr>
            <w:tcW w:w="1109" w:type="dxa"/>
          </w:tcPr>
          <w:p>
            <w:pPr>
              <w:pStyle w:val="TableParagraph"/>
              <w:spacing w:before="62"/>
              <w:ind w:right="345"/>
              <w:jc w:val="right"/>
              <w:rPr>
                <w:rFonts w:ascii="Times New Roman"/>
                <w:sz w:val="18"/>
              </w:rPr>
            </w:pPr>
            <w:r>
              <w:rPr>
                <w:rFonts w:ascii="Times New Roman"/>
                <w:sz w:val="18"/>
              </w:rPr>
              <w:t>0.145</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430" w:type="dxa"/>
            <w:vMerge/>
            <w:tcBorders>
              <w:top w:val="nil"/>
            </w:tcBorders>
          </w:tcPr>
          <w:p>
            <w:pPr>
              <w:rPr>
                <w:sz w:val="2"/>
                <w:szCs w:val="2"/>
              </w:rPr>
            </w:pPr>
          </w:p>
        </w:tc>
        <w:tc>
          <w:tcPr>
            <w:tcW w:w="1866" w:type="dxa"/>
          </w:tcPr>
          <w:p>
            <w:pPr>
              <w:pStyle w:val="TableParagraph"/>
              <w:spacing w:line="320" w:lineRule="exact"/>
              <w:ind w:left="131" w:right="121"/>
              <w:rPr>
                <w:sz w:val="18"/>
              </w:rPr>
            </w:pPr>
            <w:r>
              <w:rPr>
                <w:sz w:val="18"/>
              </w:rPr>
              <w:t>乙酸乙酯</w:t>
            </w:r>
          </w:p>
        </w:tc>
        <w:tc>
          <w:tcPr>
            <w:tcW w:w="973" w:type="dxa"/>
          </w:tcPr>
          <w:p>
            <w:pPr>
              <w:pStyle w:val="TableParagraph"/>
              <w:spacing w:before="62"/>
              <w:ind w:left="167" w:right="166"/>
              <w:rPr>
                <w:rFonts w:ascii="Times New Roman"/>
                <w:sz w:val="18"/>
              </w:rPr>
            </w:pPr>
            <w:r>
              <w:rPr>
                <w:rFonts w:ascii="Times New Roman"/>
                <w:sz w:val="18"/>
              </w:rPr>
              <w:t>0.044</w:t>
            </w:r>
          </w:p>
        </w:tc>
        <w:tc>
          <w:tcPr>
            <w:tcW w:w="970" w:type="dxa"/>
          </w:tcPr>
          <w:p>
            <w:pPr>
              <w:pStyle w:val="TableParagraph"/>
              <w:spacing w:before="62"/>
              <w:ind w:left="122" w:right="122"/>
              <w:rPr>
                <w:rFonts w:ascii="Times New Roman" w:hAnsi="Times New Roman"/>
                <w:sz w:val="18"/>
              </w:rPr>
            </w:pPr>
            <w:r>
              <w:rPr>
                <w:rFonts w:ascii="Times New Roman" w:hAnsi="Times New Roman"/>
                <w:sz w:val="18"/>
              </w:rPr>
              <w:t>——</w:t>
            </w:r>
          </w:p>
        </w:tc>
        <w:tc>
          <w:tcPr>
            <w:tcW w:w="1109" w:type="dxa"/>
          </w:tcPr>
          <w:p>
            <w:pPr>
              <w:pStyle w:val="TableParagraph"/>
              <w:spacing w:before="62"/>
              <w:ind w:right="345"/>
              <w:jc w:val="right"/>
              <w:rPr>
                <w:rFonts w:ascii="Times New Roman"/>
                <w:sz w:val="18"/>
              </w:rPr>
            </w:pPr>
            <w:r>
              <w:rPr>
                <w:rFonts w:ascii="Times New Roman"/>
                <w:sz w:val="18"/>
              </w:rPr>
              <w:t>0.044</w:t>
            </w:r>
          </w:p>
        </w:tc>
        <w:tc>
          <w:tcPr>
            <w:tcW w:w="2142" w:type="dxa"/>
            <w:vMerge/>
            <w:tcBorders>
              <w:top w:val="nil"/>
            </w:tcBorders>
          </w:tcPr>
          <w:p>
            <w:pPr>
              <w:rPr>
                <w:sz w:val="2"/>
                <w:szCs w:val="2"/>
              </w:rPr>
            </w:pPr>
          </w:p>
        </w:tc>
      </w:tr>
      <w:tr>
        <w:trPr>
          <w:trHeight w:val="335" w:hRule="atLeast"/>
        </w:trPr>
        <w:tc>
          <w:tcPr>
            <w:tcW w:w="1042" w:type="dxa"/>
            <w:vMerge w:val="restart"/>
            <w:tcBorders>
              <w:bottom w:val="single" w:sz="8" w:space="0" w:color="000000"/>
            </w:tcBorders>
          </w:tcPr>
          <w:p>
            <w:pPr>
              <w:pStyle w:val="TableParagraph"/>
              <w:jc w:val="left"/>
              <w:rPr>
                <w:rFonts w:ascii="Times New Roman"/>
                <w:sz w:val="18"/>
              </w:rPr>
            </w:pPr>
          </w:p>
          <w:p>
            <w:pPr>
              <w:pStyle w:val="TableParagraph"/>
              <w:spacing w:before="3"/>
              <w:jc w:val="left"/>
              <w:rPr>
                <w:rFonts w:ascii="Times New Roman"/>
                <w:sz w:val="18"/>
              </w:rPr>
            </w:pPr>
          </w:p>
          <w:p>
            <w:pPr>
              <w:pStyle w:val="TableParagraph"/>
              <w:spacing w:before="1"/>
              <w:ind w:left="340"/>
              <w:jc w:val="left"/>
              <w:rPr>
                <w:sz w:val="18"/>
              </w:rPr>
            </w:pPr>
            <w:r>
              <w:rPr>
                <w:sz w:val="18"/>
              </w:rPr>
              <w:t>废水</w:t>
            </w:r>
          </w:p>
        </w:tc>
        <w:tc>
          <w:tcPr>
            <w:tcW w:w="2296" w:type="dxa"/>
            <w:gridSpan w:val="2"/>
          </w:tcPr>
          <w:p>
            <w:pPr>
              <w:pStyle w:val="TableParagraph"/>
              <w:spacing w:line="316" w:lineRule="exact"/>
              <w:ind w:left="529"/>
              <w:jc w:val="left"/>
              <w:rPr>
                <w:sz w:val="18"/>
              </w:rPr>
            </w:pPr>
            <w:r>
              <w:rPr>
                <w:sz w:val="18"/>
              </w:rPr>
              <w:t>废水量（</w:t>
            </w:r>
            <w:r>
              <w:rPr>
                <w:rFonts w:ascii="Times New Roman" w:eastAsia="Times New Roman"/>
                <w:sz w:val="18"/>
              </w:rPr>
              <w:t>m</w:t>
            </w:r>
            <w:r>
              <w:rPr>
                <w:rFonts w:ascii="Times New Roman" w:eastAsia="Times New Roman"/>
                <w:position w:val="6"/>
                <w:sz w:val="12"/>
              </w:rPr>
              <w:t>3</w:t>
            </w:r>
            <w:r>
              <w:rPr>
                <w:rFonts w:ascii="Times New Roman" w:eastAsia="Times New Roman"/>
                <w:sz w:val="18"/>
              </w:rPr>
              <w:t>/a</w:t>
            </w:r>
            <w:r>
              <w:rPr>
                <w:sz w:val="18"/>
              </w:rPr>
              <w:t>）</w:t>
            </w:r>
          </w:p>
        </w:tc>
        <w:tc>
          <w:tcPr>
            <w:tcW w:w="973" w:type="dxa"/>
          </w:tcPr>
          <w:p>
            <w:pPr>
              <w:pStyle w:val="TableParagraph"/>
              <w:spacing w:before="62"/>
              <w:ind w:left="170" w:right="166"/>
              <w:rPr>
                <w:rFonts w:ascii="Times New Roman"/>
                <w:sz w:val="18"/>
              </w:rPr>
            </w:pPr>
            <w:r>
              <w:rPr>
                <w:rFonts w:ascii="Times New Roman"/>
                <w:sz w:val="18"/>
              </w:rPr>
              <w:t>88320</w:t>
            </w:r>
          </w:p>
        </w:tc>
        <w:tc>
          <w:tcPr>
            <w:tcW w:w="970" w:type="dxa"/>
          </w:tcPr>
          <w:p>
            <w:pPr>
              <w:pStyle w:val="TableParagraph"/>
              <w:spacing w:before="62"/>
              <w:rPr>
                <w:rFonts w:ascii="Times New Roman"/>
                <w:sz w:val="18"/>
              </w:rPr>
            </w:pPr>
            <w:r>
              <w:rPr>
                <w:rFonts w:ascii="Times New Roman"/>
                <w:sz w:val="18"/>
              </w:rPr>
              <w:t>0</w:t>
            </w:r>
          </w:p>
        </w:tc>
        <w:tc>
          <w:tcPr>
            <w:tcW w:w="1109" w:type="dxa"/>
          </w:tcPr>
          <w:p>
            <w:pPr>
              <w:pStyle w:val="TableParagraph"/>
              <w:spacing w:before="62"/>
              <w:ind w:right="321"/>
              <w:jc w:val="right"/>
              <w:rPr>
                <w:rFonts w:ascii="Times New Roman"/>
                <w:sz w:val="18"/>
              </w:rPr>
            </w:pPr>
            <w:r>
              <w:rPr>
                <w:rFonts w:ascii="Times New Roman"/>
                <w:sz w:val="18"/>
              </w:rPr>
              <w:t>88320</w:t>
            </w:r>
          </w:p>
        </w:tc>
        <w:tc>
          <w:tcPr>
            <w:tcW w:w="2142" w:type="dxa"/>
            <w:vMerge w:val="restart"/>
          </w:tcPr>
          <w:p>
            <w:pPr>
              <w:pStyle w:val="TableParagraph"/>
              <w:spacing w:line="148" w:lineRule="auto" w:before="51"/>
              <w:ind w:left="167" w:right="162" w:firstLine="180"/>
              <w:jc w:val="left"/>
              <w:rPr>
                <w:sz w:val="18"/>
              </w:rPr>
            </w:pPr>
            <w:r>
              <w:rPr>
                <w:sz w:val="18"/>
              </w:rPr>
              <w:t>经厂区污水处理站 处理后排入莒南新区污</w:t>
            </w:r>
          </w:p>
          <w:p>
            <w:pPr>
              <w:pStyle w:val="TableParagraph"/>
              <w:spacing w:line="146" w:lineRule="auto"/>
              <w:ind w:left="105" w:right="99"/>
              <w:rPr>
                <w:sz w:val="18"/>
              </w:rPr>
            </w:pPr>
            <w:r>
              <w:rPr>
                <w:spacing w:val="-7"/>
                <w:sz w:val="18"/>
              </w:rPr>
              <w:t>水处理厂处理，达标后排</w:t>
            </w:r>
            <w:r>
              <w:rPr>
                <w:spacing w:val="-10"/>
                <w:sz w:val="18"/>
              </w:rPr>
              <w:t>入白马河，而后汇入鸡龙</w:t>
            </w:r>
          </w:p>
          <w:p>
            <w:pPr>
              <w:pStyle w:val="TableParagraph"/>
              <w:spacing w:line="229" w:lineRule="exact"/>
              <w:ind w:left="1"/>
              <w:rPr>
                <w:sz w:val="18"/>
              </w:rPr>
            </w:pPr>
            <w:r>
              <w:rPr>
                <w:sz w:val="18"/>
              </w:rPr>
              <w:t>河</w:t>
            </w:r>
          </w:p>
        </w:tc>
      </w:tr>
      <w:tr>
        <w:trPr>
          <w:trHeight w:val="428" w:hRule="atLeast"/>
        </w:trPr>
        <w:tc>
          <w:tcPr>
            <w:tcW w:w="1042" w:type="dxa"/>
            <w:vMerge/>
            <w:tcBorders>
              <w:top w:val="nil"/>
              <w:bottom w:val="single" w:sz="8" w:space="0" w:color="000000"/>
            </w:tcBorders>
          </w:tcPr>
          <w:p>
            <w:pPr>
              <w:rPr>
                <w:sz w:val="2"/>
                <w:szCs w:val="2"/>
              </w:rPr>
            </w:pPr>
          </w:p>
        </w:tc>
        <w:tc>
          <w:tcPr>
            <w:tcW w:w="2296" w:type="dxa"/>
            <w:gridSpan w:val="2"/>
          </w:tcPr>
          <w:p>
            <w:pPr>
              <w:pStyle w:val="TableParagraph"/>
              <w:spacing w:before="105"/>
              <w:ind w:left="23" w:right="19"/>
              <w:rPr>
                <w:rFonts w:ascii="Times New Roman"/>
                <w:sz w:val="18"/>
              </w:rPr>
            </w:pPr>
            <w:r>
              <w:rPr>
                <w:rFonts w:ascii="Times New Roman"/>
                <w:sz w:val="18"/>
              </w:rPr>
              <w:t>COD</w:t>
            </w:r>
          </w:p>
        </w:tc>
        <w:tc>
          <w:tcPr>
            <w:tcW w:w="973" w:type="dxa"/>
          </w:tcPr>
          <w:p>
            <w:pPr>
              <w:pStyle w:val="TableParagraph"/>
              <w:spacing w:before="105"/>
              <w:ind w:left="169" w:right="166"/>
              <w:rPr>
                <w:rFonts w:ascii="Times New Roman"/>
                <w:sz w:val="18"/>
              </w:rPr>
            </w:pPr>
            <w:r>
              <w:rPr>
                <w:rFonts w:ascii="Times New Roman"/>
                <w:sz w:val="18"/>
              </w:rPr>
              <w:t>3070.16</w:t>
            </w:r>
          </w:p>
        </w:tc>
        <w:tc>
          <w:tcPr>
            <w:tcW w:w="970" w:type="dxa"/>
          </w:tcPr>
          <w:p>
            <w:pPr>
              <w:pStyle w:val="TableParagraph"/>
              <w:spacing w:before="105"/>
              <w:ind w:left="122" w:right="123"/>
              <w:rPr>
                <w:rFonts w:ascii="Times New Roman"/>
                <w:sz w:val="18"/>
              </w:rPr>
            </w:pPr>
            <w:r>
              <w:rPr>
                <w:rFonts w:ascii="Times New Roman"/>
                <w:sz w:val="18"/>
              </w:rPr>
              <w:t>3061.328</w:t>
            </w:r>
          </w:p>
        </w:tc>
        <w:tc>
          <w:tcPr>
            <w:tcW w:w="1109" w:type="dxa"/>
          </w:tcPr>
          <w:p>
            <w:pPr>
              <w:pStyle w:val="TableParagraph"/>
              <w:spacing w:line="156" w:lineRule="exact"/>
              <w:ind w:left="147" w:right="147"/>
              <w:rPr>
                <w:rFonts w:ascii="Times New Roman"/>
                <w:sz w:val="18"/>
              </w:rPr>
            </w:pPr>
            <w:r>
              <w:rPr>
                <w:rFonts w:ascii="Times New Roman"/>
                <w:sz w:val="18"/>
              </w:rPr>
              <w:t>8.832</w:t>
            </w:r>
          </w:p>
          <w:p>
            <w:pPr>
              <w:pStyle w:val="TableParagraph"/>
              <w:spacing w:line="253" w:lineRule="exact"/>
              <w:ind w:left="147" w:right="147"/>
              <w:rPr>
                <w:sz w:val="18"/>
              </w:rPr>
            </w:pPr>
            <w:r>
              <w:rPr>
                <w:sz w:val="18"/>
              </w:rPr>
              <w:t>（</w:t>
            </w:r>
            <w:r>
              <w:rPr>
                <w:rFonts w:ascii="Times New Roman" w:eastAsia="Times New Roman"/>
                <w:sz w:val="18"/>
              </w:rPr>
              <w:t>4.416</w:t>
            </w:r>
            <w:r>
              <w:rPr>
                <w:sz w:val="18"/>
              </w:rPr>
              <w:t>）</w:t>
            </w:r>
          </w:p>
        </w:tc>
        <w:tc>
          <w:tcPr>
            <w:tcW w:w="2142" w:type="dxa"/>
            <w:vMerge/>
            <w:tcBorders>
              <w:top w:val="nil"/>
            </w:tcBorders>
          </w:tcPr>
          <w:p>
            <w:pPr>
              <w:rPr>
                <w:sz w:val="2"/>
                <w:szCs w:val="2"/>
              </w:rPr>
            </w:pPr>
          </w:p>
        </w:tc>
      </w:tr>
      <w:tr>
        <w:trPr>
          <w:trHeight w:val="431" w:hRule="atLeast"/>
        </w:trPr>
        <w:tc>
          <w:tcPr>
            <w:tcW w:w="1042" w:type="dxa"/>
            <w:vMerge/>
            <w:tcBorders>
              <w:top w:val="nil"/>
              <w:bottom w:val="single" w:sz="8" w:space="0" w:color="000000"/>
            </w:tcBorders>
          </w:tcPr>
          <w:p>
            <w:pPr>
              <w:rPr>
                <w:sz w:val="2"/>
                <w:szCs w:val="2"/>
              </w:rPr>
            </w:pPr>
          </w:p>
        </w:tc>
        <w:tc>
          <w:tcPr>
            <w:tcW w:w="2296" w:type="dxa"/>
            <w:gridSpan w:val="2"/>
          </w:tcPr>
          <w:p>
            <w:pPr>
              <w:pStyle w:val="TableParagraph"/>
              <w:spacing w:before="14"/>
              <w:ind w:left="22" w:right="19"/>
              <w:rPr>
                <w:sz w:val="18"/>
              </w:rPr>
            </w:pPr>
            <w:r>
              <w:rPr>
                <w:sz w:val="18"/>
              </w:rPr>
              <w:t>氨氮</w:t>
            </w:r>
          </w:p>
        </w:tc>
        <w:tc>
          <w:tcPr>
            <w:tcW w:w="973" w:type="dxa"/>
          </w:tcPr>
          <w:p>
            <w:pPr>
              <w:pStyle w:val="TableParagraph"/>
              <w:spacing w:before="107"/>
              <w:ind w:left="169" w:right="166"/>
              <w:rPr>
                <w:rFonts w:ascii="Times New Roman"/>
                <w:sz w:val="18"/>
              </w:rPr>
            </w:pPr>
            <w:r>
              <w:rPr>
                <w:rFonts w:ascii="Times New Roman"/>
                <w:sz w:val="18"/>
              </w:rPr>
              <w:t>106.843</w:t>
            </w:r>
          </w:p>
        </w:tc>
        <w:tc>
          <w:tcPr>
            <w:tcW w:w="970" w:type="dxa"/>
          </w:tcPr>
          <w:p>
            <w:pPr>
              <w:pStyle w:val="TableParagraph"/>
              <w:spacing w:before="107"/>
              <w:ind w:left="122" w:right="122"/>
              <w:rPr>
                <w:rFonts w:ascii="Times New Roman"/>
                <w:sz w:val="18"/>
              </w:rPr>
            </w:pPr>
            <w:r>
              <w:rPr>
                <w:rFonts w:ascii="Times New Roman"/>
                <w:sz w:val="18"/>
              </w:rPr>
              <w:t>105.96</w:t>
            </w:r>
          </w:p>
        </w:tc>
        <w:tc>
          <w:tcPr>
            <w:tcW w:w="1109" w:type="dxa"/>
          </w:tcPr>
          <w:p>
            <w:pPr>
              <w:pStyle w:val="TableParagraph"/>
              <w:spacing w:line="158" w:lineRule="exact"/>
              <w:ind w:left="147" w:right="147"/>
              <w:rPr>
                <w:rFonts w:ascii="Times New Roman"/>
                <w:sz w:val="18"/>
              </w:rPr>
            </w:pPr>
            <w:r>
              <w:rPr>
                <w:rFonts w:ascii="Times New Roman"/>
                <w:sz w:val="18"/>
              </w:rPr>
              <w:t>0.883</w:t>
            </w:r>
          </w:p>
          <w:p>
            <w:pPr>
              <w:pStyle w:val="TableParagraph"/>
              <w:spacing w:line="253" w:lineRule="exact"/>
              <w:ind w:left="147" w:right="147"/>
              <w:rPr>
                <w:sz w:val="18"/>
              </w:rPr>
            </w:pPr>
            <w:r>
              <w:rPr>
                <w:sz w:val="18"/>
              </w:rPr>
              <w:t>（</w:t>
            </w:r>
            <w:r>
              <w:rPr>
                <w:rFonts w:ascii="Times New Roman" w:eastAsia="Times New Roman"/>
                <w:sz w:val="18"/>
              </w:rPr>
              <w:t>0.442</w:t>
            </w:r>
            <w:r>
              <w:rPr>
                <w:sz w:val="18"/>
              </w:rPr>
              <w:t>）</w:t>
            </w:r>
          </w:p>
        </w:tc>
        <w:tc>
          <w:tcPr>
            <w:tcW w:w="2142" w:type="dxa"/>
            <w:vMerge/>
            <w:tcBorders>
              <w:top w:val="nil"/>
            </w:tcBorders>
          </w:tcPr>
          <w:p>
            <w:pPr>
              <w:rPr>
                <w:sz w:val="2"/>
                <w:szCs w:val="2"/>
              </w:rPr>
            </w:pPr>
          </w:p>
        </w:tc>
      </w:tr>
      <w:tr>
        <w:trPr>
          <w:trHeight w:val="700" w:hRule="atLeast"/>
        </w:trPr>
        <w:tc>
          <w:tcPr>
            <w:tcW w:w="1042" w:type="dxa"/>
            <w:vMerge w:val="restart"/>
            <w:tcBorders>
              <w:top w:val="single" w:sz="8"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22"/>
              <w:ind w:left="160"/>
              <w:jc w:val="left"/>
              <w:rPr>
                <w:sz w:val="18"/>
              </w:rPr>
            </w:pPr>
            <w:r>
              <w:rPr>
                <w:sz w:val="18"/>
              </w:rPr>
              <w:t>固体废物</w:t>
            </w:r>
          </w:p>
        </w:tc>
        <w:tc>
          <w:tcPr>
            <w:tcW w:w="2296" w:type="dxa"/>
            <w:gridSpan w:val="2"/>
          </w:tcPr>
          <w:p>
            <w:pPr>
              <w:pStyle w:val="TableParagraph"/>
              <w:spacing w:line="148" w:lineRule="auto" w:before="19"/>
              <w:ind w:left="104" w:right="19"/>
              <w:rPr>
                <w:sz w:val="18"/>
              </w:rPr>
            </w:pPr>
            <w:r>
              <w:rPr>
                <w:sz w:val="18"/>
              </w:rPr>
              <w:t>生产过程产生的蒸馏残液、滤渣、离心母液、洗涤废水</w:t>
            </w:r>
          </w:p>
          <w:p>
            <w:pPr>
              <w:pStyle w:val="TableParagraph"/>
              <w:spacing w:line="188" w:lineRule="exact"/>
              <w:ind w:left="5"/>
              <w:rPr>
                <w:sz w:val="18"/>
              </w:rPr>
            </w:pPr>
            <w:r>
              <w:rPr>
                <w:sz w:val="18"/>
              </w:rPr>
              <w:t>等</w:t>
            </w:r>
          </w:p>
        </w:tc>
        <w:tc>
          <w:tcPr>
            <w:tcW w:w="973" w:type="dxa"/>
          </w:tcPr>
          <w:p>
            <w:pPr>
              <w:pStyle w:val="TableParagraph"/>
              <w:spacing w:before="5"/>
              <w:jc w:val="left"/>
              <w:rPr>
                <w:rFonts w:ascii="Times New Roman"/>
                <w:sz w:val="21"/>
              </w:rPr>
            </w:pPr>
          </w:p>
          <w:p>
            <w:pPr>
              <w:pStyle w:val="TableParagraph"/>
              <w:ind w:left="167" w:right="166"/>
              <w:rPr>
                <w:rFonts w:ascii="Times New Roman"/>
                <w:sz w:val="18"/>
              </w:rPr>
            </w:pPr>
            <w:r>
              <w:rPr>
                <w:rFonts w:ascii="Times New Roman"/>
                <w:sz w:val="18"/>
              </w:rPr>
              <w:t>995.4</w:t>
            </w:r>
          </w:p>
        </w:tc>
        <w:tc>
          <w:tcPr>
            <w:tcW w:w="970" w:type="dxa"/>
            <w:tcBorders>
              <w:bottom w:val="single" w:sz="8" w:space="0" w:color="000000"/>
            </w:tcBorders>
          </w:tcPr>
          <w:p>
            <w:pPr>
              <w:pStyle w:val="TableParagraph"/>
              <w:spacing w:before="5"/>
              <w:jc w:val="left"/>
              <w:rPr>
                <w:rFonts w:ascii="Times New Roman"/>
                <w:sz w:val="21"/>
              </w:rPr>
            </w:pPr>
          </w:p>
          <w:p>
            <w:pPr>
              <w:pStyle w:val="TableParagraph"/>
              <w:ind w:left="122" w:right="123"/>
              <w:rPr>
                <w:rFonts w:ascii="Times New Roman"/>
                <w:sz w:val="18"/>
              </w:rPr>
            </w:pPr>
            <w:r>
              <w:rPr>
                <w:rFonts w:ascii="Times New Roman"/>
                <w:sz w:val="18"/>
              </w:rPr>
              <w:t>995.4</w:t>
            </w:r>
          </w:p>
        </w:tc>
        <w:tc>
          <w:tcPr>
            <w:tcW w:w="1109" w:type="dxa"/>
            <w:tcBorders>
              <w:bottom w:val="single" w:sz="8" w:space="0" w:color="000000"/>
            </w:tcBorders>
          </w:tcPr>
          <w:p>
            <w:pPr>
              <w:pStyle w:val="TableParagraph"/>
              <w:spacing w:before="5"/>
              <w:jc w:val="left"/>
              <w:rPr>
                <w:rFonts w:ascii="Times New Roman"/>
                <w:sz w:val="21"/>
              </w:rPr>
            </w:pPr>
          </w:p>
          <w:p>
            <w:pPr>
              <w:pStyle w:val="TableParagraph"/>
              <w:ind w:right="1"/>
              <w:rPr>
                <w:rFonts w:ascii="Times New Roman"/>
                <w:sz w:val="18"/>
              </w:rPr>
            </w:pPr>
            <w:r>
              <w:rPr>
                <w:rFonts w:ascii="Times New Roman"/>
                <w:sz w:val="18"/>
              </w:rPr>
              <w:t>0</w:t>
            </w:r>
          </w:p>
        </w:tc>
        <w:tc>
          <w:tcPr>
            <w:tcW w:w="2142"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line="146" w:lineRule="auto" w:before="1"/>
              <w:ind w:left="976" w:right="162" w:hanging="810"/>
              <w:jc w:val="left"/>
              <w:rPr>
                <w:sz w:val="18"/>
              </w:rPr>
            </w:pPr>
            <w:r>
              <w:rPr>
                <w:sz w:val="18"/>
              </w:rPr>
              <w:t>委托有危废资质单位处置</w:t>
            </w:r>
          </w:p>
        </w:tc>
      </w:tr>
      <w:tr>
        <w:trPr>
          <w:trHeight w:val="472" w:hRule="atLeast"/>
        </w:trPr>
        <w:tc>
          <w:tcPr>
            <w:tcW w:w="1042" w:type="dxa"/>
            <w:vMerge/>
            <w:tcBorders>
              <w:top w:val="nil"/>
            </w:tcBorders>
          </w:tcPr>
          <w:p>
            <w:pPr>
              <w:rPr>
                <w:sz w:val="2"/>
                <w:szCs w:val="2"/>
              </w:rPr>
            </w:pPr>
          </w:p>
        </w:tc>
        <w:tc>
          <w:tcPr>
            <w:tcW w:w="2296" w:type="dxa"/>
            <w:gridSpan w:val="2"/>
          </w:tcPr>
          <w:p>
            <w:pPr>
              <w:pStyle w:val="TableParagraph"/>
              <w:spacing w:line="226" w:lineRule="exact"/>
              <w:ind w:left="23" w:right="19"/>
              <w:rPr>
                <w:sz w:val="18"/>
              </w:rPr>
            </w:pPr>
            <w:r>
              <w:rPr>
                <w:sz w:val="18"/>
              </w:rPr>
              <w:t>工艺废气吸收装置废活性</w:t>
            </w:r>
          </w:p>
          <w:p>
            <w:pPr>
              <w:pStyle w:val="TableParagraph"/>
              <w:spacing w:line="226" w:lineRule="exact"/>
              <w:ind w:left="5"/>
              <w:rPr>
                <w:sz w:val="18"/>
              </w:rPr>
            </w:pPr>
            <w:r>
              <w:rPr>
                <w:sz w:val="18"/>
              </w:rPr>
              <w:t>炭</w:t>
            </w:r>
          </w:p>
        </w:tc>
        <w:tc>
          <w:tcPr>
            <w:tcW w:w="973" w:type="dxa"/>
          </w:tcPr>
          <w:p>
            <w:pPr>
              <w:pStyle w:val="TableParagraph"/>
              <w:spacing w:before="131"/>
              <w:ind w:left="168" w:right="166"/>
              <w:rPr>
                <w:rFonts w:ascii="Times New Roman"/>
                <w:sz w:val="18"/>
              </w:rPr>
            </w:pPr>
            <w:r>
              <w:rPr>
                <w:rFonts w:ascii="Times New Roman"/>
                <w:sz w:val="18"/>
              </w:rPr>
              <w:t>39</w:t>
            </w:r>
          </w:p>
        </w:tc>
        <w:tc>
          <w:tcPr>
            <w:tcW w:w="970" w:type="dxa"/>
            <w:tcBorders>
              <w:top w:val="single" w:sz="8" w:space="0" w:color="000000"/>
            </w:tcBorders>
          </w:tcPr>
          <w:p>
            <w:pPr>
              <w:pStyle w:val="TableParagraph"/>
              <w:spacing w:before="131"/>
              <w:ind w:left="122" w:right="122"/>
              <w:rPr>
                <w:rFonts w:ascii="Times New Roman"/>
                <w:sz w:val="18"/>
              </w:rPr>
            </w:pPr>
            <w:r>
              <w:rPr>
                <w:rFonts w:ascii="Times New Roman"/>
                <w:sz w:val="18"/>
              </w:rPr>
              <w:t>39</w:t>
            </w:r>
          </w:p>
        </w:tc>
        <w:tc>
          <w:tcPr>
            <w:tcW w:w="1109" w:type="dxa"/>
            <w:tcBorders>
              <w:top w:val="single" w:sz="8" w:space="0" w:color="000000"/>
            </w:tcBorders>
          </w:tcPr>
          <w:p>
            <w:pPr>
              <w:pStyle w:val="TableParagraph"/>
              <w:spacing w:before="131"/>
              <w:ind w:right="1"/>
              <w:rPr>
                <w:rFonts w:ascii="Times New Roman"/>
                <w:sz w:val="18"/>
              </w:rPr>
            </w:pPr>
            <w:r>
              <w:rPr>
                <w:rFonts w:ascii="Times New Roman"/>
                <w:sz w:val="18"/>
              </w:rPr>
              <w:t>0</w:t>
            </w:r>
          </w:p>
        </w:tc>
        <w:tc>
          <w:tcPr>
            <w:tcW w:w="2142" w:type="dxa"/>
            <w:vMerge/>
            <w:tcBorders>
              <w:top w:val="nil"/>
            </w:tcBorders>
          </w:tcPr>
          <w:p>
            <w:pPr>
              <w:rPr>
                <w:sz w:val="2"/>
                <w:szCs w:val="2"/>
              </w:rPr>
            </w:pPr>
          </w:p>
        </w:tc>
      </w:tr>
      <w:tr>
        <w:trPr>
          <w:trHeight w:val="467" w:hRule="atLeast"/>
        </w:trPr>
        <w:tc>
          <w:tcPr>
            <w:tcW w:w="1042" w:type="dxa"/>
            <w:vMerge/>
            <w:tcBorders>
              <w:top w:val="nil"/>
            </w:tcBorders>
          </w:tcPr>
          <w:p>
            <w:pPr>
              <w:rPr>
                <w:sz w:val="2"/>
                <w:szCs w:val="2"/>
              </w:rPr>
            </w:pPr>
          </w:p>
        </w:tc>
        <w:tc>
          <w:tcPr>
            <w:tcW w:w="2296" w:type="dxa"/>
            <w:gridSpan w:val="2"/>
          </w:tcPr>
          <w:p>
            <w:pPr>
              <w:pStyle w:val="TableParagraph"/>
              <w:spacing w:line="221" w:lineRule="exact"/>
              <w:ind w:left="23" w:right="19"/>
              <w:rPr>
                <w:sz w:val="18"/>
              </w:rPr>
            </w:pPr>
            <w:r>
              <w:rPr>
                <w:sz w:val="18"/>
              </w:rPr>
              <w:t>高浓高盐废水预处理蒸馏</w:t>
            </w:r>
          </w:p>
          <w:p>
            <w:pPr>
              <w:pStyle w:val="TableParagraph"/>
              <w:spacing w:line="227" w:lineRule="exact"/>
              <w:ind w:left="22" w:right="19"/>
              <w:rPr>
                <w:sz w:val="18"/>
              </w:rPr>
            </w:pPr>
            <w:r>
              <w:rPr>
                <w:sz w:val="18"/>
              </w:rPr>
              <w:t>残渣</w:t>
            </w:r>
          </w:p>
        </w:tc>
        <w:tc>
          <w:tcPr>
            <w:tcW w:w="973" w:type="dxa"/>
          </w:tcPr>
          <w:p>
            <w:pPr>
              <w:pStyle w:val="TableParagraph"/>
              <w:spacing w:before="124"/>
              <w:ind w:left="170" w:right="166"/>
              <w:rPr>
                <w:rFonts w:ascii="Times New Roman"/>
                <w:sz w:val="18"/>
              </w:rPr>
            </w:pPr>
            <w:r>
              <w:rPr>
                <w:rFonts w:ascii="Times New Roman"/>
                <w:sz w:val="18"/>
              </w:rPr>
              <w:t>1074.6</w:t>
            </w:r>
          </w:p>
        </w:tc>
        <w:tc>
          <w:tcPr>
            <w:tcW w:w="970" w:type="dxa"/>
          </w:tcPr>
          <w:p>
            <w:pPr>
              <w:pStyle w:val="TableParagraph"/>
              <w:spacing w:before="124"/>
              <w:ind w:left="122" w:right="121"/>
              <w:rPr>
                <w:rFonts w:ascii="Times New Roman"/>
                <w:sz w:val="18"/>
              </w:rPr>
            </w:pPr>
            <w:r>
              <w:rPr>
                <w:rFonts w:ascii="Times New Roman"/>
                <w:sz w:val="18"/>
              </w:rPr>
              <w:t>1074.6</w:t>
            </w:r>
          </w:p>
        </w:tc>
        <w:tc>
          <w:tcPr>
            <w:tcW w:w="1109" w:type="dxa"/>
          </w:tcPr>
          <w:p>
            <w:pPr>
              <w:pStyle w:val="TableParagraph"/>
              <w:spacing w:before="124"/>
              <w:ind w:right="1"/>
              <w:rPr>
                <w:rFonts w:ascii="Times New Roman"/>
                <w:sz w:val="18"/>
              </w:rPr>
            </w:pPr>
            <w:r>
              <w:rPr>
                <w:rFonts w:ascii="Times New Roman"/>
                <w:sz w:val="18"/>
              </w:rPr>
              <w:t>0</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2296" w:type="dxa"/>
            <w:gridSpan w:val="2"/>
          </w:tcPr>
          <w:p>
            <w:pPr>
              <w:pStyle w:val="TableParagraph"/>
              <w:spacing w:line="320" w:lineRule="exact"/>
              <w:ind w:left="335"/>
              <w:jc w:val="left"/>
              <w:rPr>
                <w:sz w:val="18"/>
              </w:rPr>
            </w:pPr>
            <w:r>
              <w:rPr>
                <w:sz w:val="18"/>
              </w:rPr>
              <w:t>白葡菌生产压滤滤渣</w:t>
            </w:r>
          </w:p>
        </w:tc>
        <w:tc>
          <w:tcPr>
            <w:tcW w:w="973" w:type="dxa"/>
          </w:tcPr>
          <w:p>
            <w:pPr>
              <w:pStyle w:val="TableParagraph"/>
              <w:spacing w:before="62"/>
              <w:ind w:left="169" w:right="166"/>
              <w:rPr>
                <w:rFonts w:ascii="Times New Roman"/>
                <w:sz w:val="18"/>
              </w:rPr>
            </w:pPr>
            <w:r>
              <w:rPr>
                <w:rFonts w:ascii="Times New Roman"/>
                <w:sz w:val="18"/>
              </w:rPr>
              <w:t>200</w:t>
            </w:r>
          </w:p>
        </w:tc>
        <w:tc>
          <w:tcPr>
            <w:tcW w:w="970" w:type="dxa"/>
          </w:tcPr>
          <w:p>
            <w:pPr>
              <w:pStyle w:val="TableParagraph"/>
              <w:spacing w:before="62"/>
              <w:ind w:left="122" w:right="122"/>
              <w:rPr>
                <w:rFonts w:ascii="Times New Roman"/>
                <w:sz w:val="18"/>
              </w:rPr>
            </w:pPr>
            <w:r>
              <w:rPr>
                <w:rFonts w:ascii="Times New Roman"/>
                <w:sz w:val="18"/>
              </w:rPr>
              <w:t>200</w:t>
            </w:r>
          </w:p>
        </w:tc>
        <w:tc>
          <w:tcPr>
            <w:tcW w:w="1109" w:type="dxa"/>
          </w:tcPr>
          <w:p>
            <w:pPr>
              <w:pStyle w:val="TableParagraph"/>
              <w:spacing w:before="62"/>
              <w:ind w:right="1"/>
              <w:rPr>
                <w:rFonts w:ascii="Times New Roman"/>
                <w:sz w:val="18"/>
              </w:rPr>
            </w:pPr>
            <w:r>
              <w:rPr>
                <w:rFonts w:ascii="Times New Roman"/>
                <w:sz w:val="18"/>
              </w:rPr>
              <w:t>0</w:t>
            </w:r>
          </w:p>
        </w:tc>
        <w:tc>
          <w:tcPr>
            <w:tcW w:w="2142" w:type="dxa"/>
          </w:tcPr>
          <w:p>
            <w:pPr>
              <w:pStyle w:val="TableParagraph"/>
              <w:spacing w:line="320" w:lineRule="exact"/>
              <w:ind w:left="103" w:right="99"/>
              <w:rPr>
                <w:sz w:val="18"/>
              </w:rPr>
            </w:pPr>
            <w:r>
              <w:rPr>
                <w:sz w:val="18"/>
              </w:rPr>
              <w:t>回用于污水处理站</w:t>
            </w:r>
          </w:p>
        </w:tc>
      </w:tr>
      <w:tr>
        <w:trPr>
          <w:trHeight w:val="338" w:hRule="atLeast"/>
        </w:trPr>
        <w:tc>
          <w:tcPr>
            <w:tcW w:w="1042" w:type="dxa"/>
            <w:vMerge/>
            <w:tcBorders>
              <w:top w:val="nil"/>
            </w:tcBorders>
          </w:tcPr>
          <w:p>
            <w:pPr>
              <w:rPr>
                <w:sz w:val="2"/>
                <w:szCs w:val="2"/>
              </w:rPr>
            </w:pPr>
          </w:p>
        </w:tc>
        <w:tc>
          <w:tcPr>
            <w:tcW w:w="2296" w:type="dxa"/>
            <w:gridSpan w:val="2"/>
          </w:tcPr>
          <w:p>
            <w:pPr>
              <w:pStyle w:val="TableParagraph"/>
              <w:spacing w:line="319" w:lineRule="exact"/>
              <w:ind w:left="335"/>
              <w:jc w:val="left"/>
              <w:rPr>
                <w:sz w:val="18"/>
              </w:rPr>
            </w:pPr>
            <w:r>
              <w:rPr>
                <w:sz w:val="18"/>
              </w:rPr>
              <w:t>厂区污水处理站污泥</w:t>
            </w:r>
          </w:p>
        </w:tc>
        <w:tc>
          <w:tcPr>
            <w:tcW w:w="973" w:type="dxa"/>
          </w:tcPr>
          <w:p>
            <w:pPr>
              <w:pStyle w:val="TableParagraph"/>
              <w:spacing w:before="60"/>
              <w:ind w:left="169" w:right="166"/>
              <w:rPr>
                <w:rFonts w:ascii="Times New Roman"/>
                <w:sz w:val="18"/>
              </w:rPr>
            </w:pPr>
            <w:r>
              <w:rPr>
                <w:rFonts w:ascii="Times New Roman"/>
                <w:sz w:val="18"/>
              </w:rPr>
              <w:t>10</w:t>
            </w:r>
          </w:p>
        </w:tc>
        <w:tc>
          <w:tcPr>
            <w:tcW w:w="970" w:type="dxa"/>
          </w:tcPr>
          <w:p>
            <w:pPr>
              <w:pStyle w:val="TableParagraph"/>
              <w:spacing w:before="60"/>
              <w:ind w:left="122" w:right="122"/>
              <w:rPr>
                <w:rFonts w:ascii="Times New Roman"/>
                <w:sz w:val="18"/>
              </w:rPr>
            </w:pPr>
            <w:r>
              <w:rPr>
                <w:rFonts w:ascii="Times New Roman"/>
                <w:sz w:val="18"/>
              </w:rPr>
              <w:t>10</w:t>
            </w:r>
          </w:p>
        </w:tc>
        <w:tc>
          <w:tcPr>
            <w:tcW w:w="1109" w:type="dxa"/>
          </w:tcPr>
          <w:p>
            <w:pPr>
              <w:pStyle w:val="TableParagraph"/>
              <w:spacing w:before="60"/>
              <w:ind w:right="1"/>
              <w:rPr>
                <w:rFonts w:ascii="Times New Roman"/>
                <w:sz w:val="18"/>
              </w:rPr>
            </w:pPr>
            <w:r>
              <w:rPr>
                <w:rFonts w:ascii="Times New Roman"/>
                <w:sz w:val="18"/>
              </w:rPr>
              <w:t>0</w:t>
            </w:r>
          </w:p>
        </w:tc>
        <w:tc>
          <w:tcPr>
            <w:tcW w:w="2142" w:type="dxa"/>
            <w:vMerge w:val="restart"/>
          </w:tcPr>
          <w:p>
            <w:pPr>
              <w:pStyle w:val="TableParagraph"/>
              <w:spacing w:line="146" w:lineRule="auto" w:before="18"/>
              <w:ind w:left="105" w:right="100"/>
              <w:jc w:val="both"/>
              <w:rPr>
                <w:sz w:val="18"/>
              </w:rPr>
            </w:pPr>
            <w:r>
              <w:rPr>
                <w:spacing w:val="-7"/>
                <w:sz w:val="18"/>
              </w:rPr>
              <w:t>应进行特性鉴别，经鉴别</w:t>
            </w:r>
            <w:r>
              <w:rPr>
                <w:spacing w:val="-11"/>
                <w:sz w:val="18"/>
              </w:rPr>
              <w:t>后属于危险废物，按照危险废物由有危废资质单</w:t>
            </w:r>
            <w:r>
              <w:rPr>
                <w:spacing w:val="-10"/>
                <w:sz w:val="18"/>
              </w:rPr>
              <w:t>位处置，不属于危险废物</w:t>
            </w:r>
          </w:p>
          <w:p>
            <w:pPr>
              <w:pStyle w:val="TableParagraph"/>
              <w:spacing w:line="198" w:lineRule="exact"/>
              <w:ind w:left="167"/>
              <w:jc w:val="both"/>
              <w:rPr>
                <w:sz w:val="18"/>
              </w:rPr>
            </w:pPr>
            <w:r>
              <w:rPr>
                <w:sz w:val="18"/>
              </w:rPr>
              <w:t>则按一般废物进行处置</w:t>
            </w:r>
          </w:p>
        </w:tc>
      </w:tr>
      <w:tr>
        <w:trPr>
          <w:trHeight w:val="817" w:hRule="atLeast"/>
        </w:trPr>
        <w:tc>
          <w:tcPr>
            <w:tcW w:w="1042" w:type="dxa"/>
            <w:vMerge/>
            <w:tcBorders>
              <w:top w:val="nil"/>
            </w:tcBorders>
          </w:tcPr>
          <w:p>
            <w:pPr>
              <w:rPr>
                <w:sz w:val="2"/>
                <w:szCs w:val="2"/>
              </w:rPr>
            </w:pPr>
          </w:p>
        </w:tc>
        <w:tc>
          <w:tcPr>
            <w:tcW w:w="2296" w:type="dxa"/>
            <w:gridSpan w:val="2"/>
          </w:tcPr>
          <w:p>
            <w:pPr>
              <w:pStyle w:val="TableParagraph"/>
              <w:spacing w:before="10"/>
              <w:jc w:val="left"/>
              <w:rPr>
                <w:rFonts w:ascii="Times New Roman"/>
                <w:sz w:val="16"/>
              </w:rPr>
            </w:pPr>
          </w:p>
          <w:p>
            <w:pPr>
              <w:pStyle w:val="TableParagraph"/>
              <w:spacing w:line="146" w:lineRule="auto" w:before="1"/>
              <w:ind w:left="784" w:right="148" w:hanging="629"/>
              <w:jc w:val="left"/>
              <w:rPr>
                <w:sz w:val="18"/>
              </w:rPr>
            </w:pPr>
            <w:r>
              <w:rPr>
                <w:sz w:val="18"/>
              </w:rPr>
              <w:t>丙戊酸钠废水预处理结晶溴化钾盐</w:t>
            </w:r>
          </w:p>
        </w:tc>
        <w:tc>
          <w:tcPr>
            <w:tcW w:w="973" w:type="dxa"/>
          </w:tcPr>
          <w:p>
            <w:pPr>
              <w:pStyle w:val="TableParagraph"/>
              <w:spacing w:before="3"/>
              <w:jc w:val="left"/>
              <w:rPr>
                <w:rFonts w:ascii="Times New Roman"/>
                <w:sz w:val="26"/>
              </w:rPr>
            </w:pPr>
          </w:p>
          <w:p>
            <w:pPr>
              <w:pStyle w:val="TableParagraph"/>
              <w:ind w:left="169" w:right="166"/>
              <w:rPr>
                <w:rFonts w:ascii="Times New Roman"/>
                <w:sz w:val="18"/>
              </w:rPr>
            </w:pPr>
            <w:r>
              <w:rPr>
                <w:rFonts w:ascii="Times New Roman"/>
                <w:sz w:val="18"/>
              </w:rPr>
              <w:t>573</w:t>
            </w:r>
          </w:p>
        </w:tc>
        <w:tc>
          <w:tcPr>
            <w:tcW w:w="970" w:type="dxa"/>
          </w:tcPr>
          <w:p>
            <w:pPr>
              <w:pStyle w:val="TableParagraph"/>
              <w:spacing w:before="3"/>
              <w:jc w:val="left"/>
              <w:rPr>
                <w:rFonts w:ascii="Times New Roman"/>
                <w:sz w:val="26"/>
              </w:rPr>
            </w:pPr>
          </w:p>
          <w:p>
            <w:pPr>
              <w:pStyle w:val="TableParagraph"/>
              <w:ind w:left="122" w:right="122"/>
              <w:rPr>
                <w:rFonts w:ascii="Times New Roman"/>
                <w:sz w:val="18"/>
              </w:rPr>
            </w:pPr>
            <w:r>
              <w:rPr>
                <w:rFonts w:ascii="Times New Roman"/>
                <w:sz w:val="18"/>
              </w:rPr>
              <w:t>573</w:t>
            </w:r>
          </w:p>
        </w:tc>
        <w:tc>
          <w:tcPr>
            <w:tcW w:w="1109" w:type="dxa"/>
          </w:tcPr>
          <w:p>
            <w:pPr>
              <w:pStyle w:val="TableParagraph"/>
              <w:spacing w:before="3"/>
              <w:jc w:val="left"/>
              <w:rPr>
                <w:rFonts w:ascii="Times New Roman"/>
                <w:sz w:val="26"/>
              </w:rPr>
            </w:pPr>
          </w:p>
          <w:p>
            <w:pPr>
              <w:pStyle w:val="TableParagraph"/>
              <w:ind w:right="1"/>
              <w:rPr>
                <w:rFonts w:ascii="Times New Roman"/>
                <w:sz w:val="18"/>
              </w:rPr>
            </w:pPr>
            <w:r>
              <w:rPr>
                <w:rFonts w:ascii="Times New Roman"/>
                <w:sz w:val="18"/>
              </w:rPr>
              <w:t>0</w:t>
            </w:r>
          </w:p>
        </w:tc>
        <w:tc>
          <w:tcPr>
            <w:tcW w:w="2142" w:type="dxa"/>
            <w:vMerge/>
            <w:tcBorders>
              <w:top w:val="nil"/>
            </w:tcBorders>
          </w:tcPr>
          <w:p>
            <w:pPr>
              <w:rPr>
                <w:sz w:val="2"/>
                <w:szCs w:val="2"/>
              </w:rPr>
            </w:pPr>
          </w:p>
        </w:tc>
      </w:tr>
      <w:tr>
        <w:trPr>
          <w:trHeight w:val="340" w:hRule="atLeast"/>
        </w:trPr>
        <w:tc>
          <w:tcPr>
            <w:tcW w:w="1042" w:type="dxa"/>
            <w:vMerge/>
            <w:tcBorders>
              <w:top w:val="nil"/>
            </w:tcBorders>
          </w:tcPr>
          <w:p>
            <w:pPr>
              <w:rPr>
                <w:sz w:val="2"/>
                <w:szCs w:val="2"/>
              </w:rPr>
            </w:pPr>
          </w:p>
        </w:tc>
        <w:tc>
          <w:tcPr>
            <w:tcW w:w="2296" w:type="dxa"/>
            <w:gridSpan w:val="2"/>
          </w:tcPr>
          <w:p>
            <w:pPr>
              <w:pStyle w:val="TableParagraph"/>
              <w:spacing w:line="320" w:lineRule="exact"/>
              <w:ind w:left="21" w:right="19"/>
              <w:rPr>
                <w:sz w:val="18"/>
              </w:rPr>
            </w:pPr>
            <w:r>
              <w:rPr>
                <w:sz w:val="18"/>
              </w:rPr>
              <w:t>生活垃圾</w:t>
            </w:r>
          </w:p>
        </w:tc>
        <w:tc>
          <w:tcPr>
            <w:tcW w:w="973" w:type="dxa"/>
          </w:tcPr>
          <w:p>
            <w:pPr>
              <w:pStyle w:val="TableParagraph"/>
              <w:spacing w:before="62"/>
              <w:ind w:left="169" w:right="166"/>
              <w:rPr>
                <w:rFonts w:ascii="Times New Roman"/>
                <w:sz w:val="18"/>
              </w:rPr>
            </w:pPr>
            <w:r>
              <w:rPr>
                <w:rFonts w:ascii="Times New Roman"/>
                <w:sz w:val="18"/>
              </w:rPr>
              <w:t>117</w:t>
            </w:r>
          </w:p>
        </w:tc>
        <w:tc>
          <w:tcPr>
            <w:tcW w:w="970" w:type="dxa"/>
          </w:tcPr>
          <w:p>
            <w:pPr>
              <w:pStyle w:val="TableParagraph"/>
              <w:spacing w:before="62"/>
              <w:ind w:left="122" w:right="122"/>
              <w:rPr>
                <w:rFonts w:ascii="Times New Roman"/>
                <w:sz w:val="18"/>
              </w:rPr>
            </w:pPr>
            <w:r>
              <w:rPr>
                <w:rFonts w:ascii="Times New Roman"/>
                <w:sz w:val="18"/>
              </w:rPr>
              <w:t>117</w:t>
            </w:r>
          </w:p>
        </w:tc>
        <w:tc>
          <w:tcPr>
            <w:tcW w:w="1109" w:type="dxa"/>
          </w:tcPr>
          <w:p>
            <w:pPr>
              <w:pStyle w:val="TableParagraph"/>
              <w:spacing w:before="62"/>
              <w:ind w:right="1"/>
              <w:rPr>
                <w:rFonts w:ascii="Times New Roman"/>
                <w:sz w:val="18"/>
              </w:rPr>
            </w:pPr>
            <w:r>
              <w:rPr>
                <w:rFonts w:ascii="Times New Roman"/>
                <w:sz w:val="18"/>
              </w:rPr>
              <w:t>0</w:t>
            </w:r>
          </w:p>
        </w:tc>
        <w:tc>
          <w:tcPr>
            <w:tcW w:w="2142" w:type="dxa"/>
          </w:tcPr>
          <w:p>
            <w:pPr>
              <w:pStyle w:val="TableParagraph"/>
              <w:spacing w:line="320" w:lineRule="exact"/>
              <w:ind w:left="103" w:right="99"/>
              <w:rPr>
                <w:sz w:val="18"/>
              </w:rPr>
            </w:pPr>
            <w:r>
              <w:rPr>
                <w:sz w:val="18"/>
              </w:rPr>
              <w:t>环卫部门清运</w:t>
            </w:r>
          </w:p>
        </w:tc>
      </w:tr>
    </w:tbl>
    <w:p>
      <w:pPr>
        <w:pStyle w:val="BodyText"/>
        <w:rPr>
          <w:rFonts w:ascii="Times New Roman"/>
          <w:sz w:val="20"/>
        </w:rPr>
      </w:pPr>
    </w:p>
    <w:p>
      <w:pPr>
        <w:pStyle w:val="BodyText"/>
        <w:spacing w:before="1"/>
        <w:rPr>
          <w:rFonts w:ascii="Times New Roman"/>
          <w:sz w:val="27"/>
        </w:rPr>
      </w:pPr>
    </w:p>
    <w:p>
      <w:pPr>
        <w:pStyle w:val="Heading2"/>
        <w:numPr>
          <w:ilvl w:val="1"/>
          <w:numId w:val="3"/>
        </w:numPr>
        <w:tabs>
          <w:tab w:pos="1390" w:val="left" w:leader="none"/>
        </w:tabs>
        <w:spacing w:line="613" w:lineRule="exact" w:before="0" w:after="0"/>
        <w:ind w:left="1389" w:right="0" w:hanging="811"/>
        <w:jc w:val="left"/>
        <w:rPr>
          <w:rFonts w:ascii="Times New Roman" w:eastAsia="Times New Roman"/>
        </w:rPr>
      </w:pPr>
      <w:r>
        <w:rPr/>
        <w:t>污染物总量控制分析</w:t>
      </w:r>
    </w:p>
    <w:p>
      <w:pPr>
        <w:spacing w:after="0" w:line="613" w:lineRule="exact"/>
        <w:jc w:val="left"/>
        <w:rPr>
          <w:rFonts w:ascii="Times New Roman" w:eastAsia="Times New Roman"/>
        </w:rPr>
        <w:sectPr>
          <w:pgSz w:w="11910" w:h="16840"/>
          <w:pgMar w:header="877" w:footer="973" w:top="1340" w:bottom="1160" w:left="1220" w:right="1040"/>
        </w:sectPr>
      </w:pPr>
    </w:p>
    <w:p>
      <w:pPr>
        <w:pStyle w:val="BodyText"/>
        <w:spacing w:before="14"/>
        <w:rPr>
          <w:rFonts w:ascii="Droid Sans Fallback"/>
          <w:sz w:val="11"/>
        </w:rPr>
      </w:pPr>
    </w:p>
    <w:p>
      <w:pPr>
        <w:pStyle w:val="ListParagraph"/>
        <w:numPr>
          <w:ilvl w:val="0"/>
          <w:numId w:val="3"/>
        </w:numPr>
        <w:tabs>
          <w:tab w:pos="1019" w:val="left" w:leader="none"/>
          <w:tab w:pos="1020" w:val="left" w:leader="none"/>
        </w:tabs>
        <w:spacing w:line="726" w:lineRule="exact" w:before="0" w:after="0"/>
        <w:ind w:left="1019" w:right="0" w:hanging="441"/>
        <w:jc w:val="left"/>
        <w:rPr>
          <w:rFonts w:ascii="Times New Roman" w:eastAsia="Times New Roman"/>
          <w:sz w:val="44"/>
        </w:rPr>
      </w:pPr>
      <w:r>
        <w:rPr>
          <w:rFonts w:ascii="Droid Sans Fallback" w:eastAsia="Droid Sans Fallback" w:hint="eastAsia"/>
          <w:sz w:val="44"/>
        </w:rPr>
        <w:t>环境现状调查与评价</w:t>
      </w:r>
    </w:p>
    <w:p>
      <w:pPr>
        <w:pStyle w:val="Heading3"/>
        <w:numPr>
          <w:ilvl w:val="1"/>
          <w:numId w:val="4"/>
        </w:numPr>
        <w:tabs>
          <w:tab w:pos="1140" w:val="left" w:leader="none"/>
        </w:tabs>
        <w:spacing w:line="675" w:lineRule="exact" w:before="29" w:after="0"/>
        <w:ind w:left="1139" w:right="0" w:hanging="561"/>
        <w:jc w:val="left"/>
        <w:rPr>
          <w:rFonts w:ascii="Noto Sans CJK JP Regular" w:eastAsia="Noto Sans CJK JP Regular" w:hint="eastAsia"/>
        </w:rPr>
      </w:pPr>
      <w:r>
        <w:rPr>
          <w:rFonts w:ascii="Noto Sans CJK JP Regular" w:eastAsia="Noto Sans CJK JP Regular" w:hint="eastAsia"/>
        </w:rPr>
        <w:t>自然环境概况</w:t>
      </w:r>
    </w:p>
    <w:p>
      <w:pPr>
        <w:pStyle w:val="Heading5"/>
        <w:numPr>
          <w:ilvl w:val="2"/>
          <w:numId w:val="4"/>
        </w:numPr>
        <w:tabs>
          <w:tab w:pos="1279" w:val="left" w:leader="none"/>
        </w:tabs>
        <w:spacing w:line="588" w:lineRule="exact" w:before="0" w:after="0"/>
        <w:ind w:left="1278" w:right="0" w:hanging="700"/>
        <w:jc w:val="left"/>
      </w:pPr>
      <w:r>
        <w:rPr/>
        <w:t>地理位置</w:t>
      </w:r>
    </w:p>
    <w:p>
      <w:pPr>
        <w:pStyle w:val="BodyText"/>
        <w:spacing w:line="220" w:lineRule="auto" w:before="27"/>
        <w:ind w:left="578" w:right="755" w:firstLine="479"/>
        <w:jc w:val="both"/>
      </w:pPr>
      <w:r>
        <w:rPr>
          <w:spacing w:val="-6"/>
        </w:rPr>
        <w:t>莒南县位于山东省东南部的鲁、苏交界处，东与日照市相邻，紧靠岚山港， 南与江苏省连云港市接壤，西与临沂市河东区毗邻，北与莒县相接，交通条件十分优越，地处交通要冲，兖石铁路、岚济公路横穿东西，</w:t>
      </w:r>
      <w:r>
        <w:rPr>
          <w:rFonts w:ascii="Times New Roman" w:eastAsia="Times New Roman"/>
          <w:spacing w:val="-6"/>
        </w:rPr>
        <w:t>206</w:t>
      </w:r>
      <w:r>
        <w:rPr>
          <w:rFonts w:ascii="Times New Roman" w:eastAsia="Times New Roman"/>
          <w:spacing w:val="12"/>
        </w:rPr>
        <w:t> </w:t>
      </w:r>
      <w:r>
        <w:rPr/>
        <w:t>国道在境内西</w:t>
      </w:r>
      <w:r>
        <w:rPr>
          <w:spacing w:val="-4"/>
        </w:rPr>
        <w:t>北穿过；距石臼港 </w:t>
      </w:r>
      <w:r>
        <w:rPr>
          <w:rFonts w:ascii="Times New Roman" w:eastAsia="Times New Roman"/>
          <w:spacing w:val="-6"/>
        </w:rPr>
        <w:t>50km</w:t>
      </w:r>
      <w:r>
        <w:rPr/>
        <w:t>，岚山港 </w:t>
      </w:r>
      <w:r>
        <w:rPr>
          <w:rFonts w:ascii="Times New Roman" w:eastAsia="Times New Roman"/>
          <w:spacing w:val="-6"/>
        </w:rPr>
        <w:t>25km</w:t>
      </w:r>
      <w:r>
        <w:rPr>
          <w:spacing w:val="-2"/>
        </w:rPr>
        <w:t>，距连云港及其机场 </w:t>
      </w:r>
      <w:r>
        <w:rPr>
          <w:rFonts w:ascii="Times New Roman" w:eastAsia="Times New Roman"/>
          <w:spacing w:val="-6"/>
        </w:rPr>
        <w:t>60km</w:t>
      </w:r>
      <w:r>
        <w:rPr>
          <w:spacing w:val="-2"/>
        </w:rPr>
        <w:t>，距临沂机场</w:t>
      </w:r>
      <w:r>
        <w:rPr>
          <w:rFonts w:ascii="Times New Roman" w:eastAsia="Times New Roman"/>
          <w:spacing w:val="-2"/>
        </w:rPr>
        <w:t>40km</w:t>
      </w:r>
      <w:r>
        <w:rPr>
          <w:spacing w:val="-2"/>
        </w:rPr>
        <w:t>，海陆空运输十分方便。</w:t>
      </w:r>
    </w:p>
    <w:p>
      <w:pPr>
        <w:pStyle w:val="BodyText"/>
        <w:spacing w:line="220" w:lineRule="auto"/>
        <w:ind w:left="578" w:right="880" w:firstLine="479"/>
      </w:pPr>
      <w:r>
        <w:rPr/>
        <w:t>本项目位于莒南县经济开发区，所在区域地势平坦，周边交通便捷，区位条件良好，项目地理位置图见图 </w:t>
      </w:r>
      <w:r>
        <w:rPr>
          <w:rFonts w:ascii="Times New Roman" w:eastAsia="Times New Roman"/>
        </w:rPr>
        <w:t>5.1-1</w:t>
      </w:r>
      <w:r>
        <w:rPr/>
        <w:t>。</w:t>
      </w:r>
    </w:p>
    <w:p>
      <w:pPr>
        <w:pStyle w:val="Heading5"/>
        <w:numPr>
          <w:ilvl w:val="2"/>
          <w:numId w:val="4"/>
        </w:numPr>
        <w:tabs>
          <w:tab w:pos="1279" w:val="left" w:leader="none"/>
        </w:tabs>
        <w:spacing w:line="552" w:lineRule="exact" w:before="5" w:after="0"/>
        <w:ind w:left="1278" w:right="0" w:hanging="700"/>
        <w:jc w:val="left"/>
      </w:pPr>
      <w:r>
        <w:rPr/>
        <w:t>地形、地貌及地质</w:t>
      </w:r>
    </w:p>
    <w:p>
      <w:pPr>
        <w:pStyle w:val="ListParagraph"/>
        <w:numPr>
          <w:ilvl w:val="3"/>
          <w:numId w:val="4"/>
        </w:numPr>
        <w:tabs>
          <w:tab w:pos="1358" w:val="left" w:leader="none"/>
        </w:tabs>
        <w:spacing w:line="467" w:lineRule="exact" w:before="0" w:after="0"/>
        <w:ind w:left="1358" w:right="0" w:hanging="780"/>
        <w:jc w:val="left"/>
        <w:rPr>
          <w:rFonts w:ascii="Times New Roman" w:eastAsia="Times New Roman"/>
          <w:sz w:val="24"/>
        </w:rPr>
      </w:pPr>
      <w:r>
        <w:rPr>
          <w:sz w:val="24"/>
        </w:rPr>
        <w:t>地形地貌</w:t>
      </w:r>
    </w:p>
    <w:p>
      <w:pPr>
        <w:pStyle w:val="BodyText"/>
        <w:spacing w:line="220" w:lineRule="auto" w:before="68"/>
        <w:ind w:left="578" w:right="777" w:firstLine="479"/>
        <w:jc w:val="both"/>
      </w:pPr>
      <w:r>
        <w:rPr/>
        <w:t>莒南县跨胶南地体和沂沭断裂带，著名的郯（城）庐（江）巨型断裂带呈北北东向通过县境西部。该县属鲁东南丘陵区，为胶南隆起的一部分，地势由北向南倾斜。全县平均海拔 </w:t>
      </w:r>
      <w:r>
        <w:rPr>
          <w:rFonts w:ascii="Times New Roman" w:hAnsi="Times New Roman" w:eastAsia="Times New Roman"/>
        </w:rPr>
        <w:t>200m</w:t>
      </w:r>
      <w:r>
        <w:rPr/>
        <w:t>，境内山头星罗棋布，共有大小山头 </w:t>
      </w:r>
      <w:r>
        <w:rPr>
          <w:rFonts w:ascii="Times New Roman" w:hAnsi="Times New Roman" w:eastAsia="Times New Roman"/>
        </w:rPr>
        <w:t>517 </w:t>
      </w:r>
      <w:r>
        <w:rPr/>
        <w:t>个。海拔最高点是马鬃山（</w:t>
      </w:r>
      <w:r>
        <w:rPr>
          <w:rFonts w:ascii="Times New Roman" w:hAnsi="Times New Roman" w:eastAsia="Times New Roman"/>
        </w:rPr>
        <w:t>662.2m</w:t>
      </w:r>
      <w:r>
        <w:rPr/>
        <w:t>）基准为鸡山</w:t>
      </w:r>
      <w:r>
        <w:rPr>
          <w:rFonts w:ascii="Times New Roman" w:hAnsi="Times New Roman" w:eastAsia="Times New Roman"/>
        </w:rPr>
        <w:t>(585m)</w:t>
      </w:r>
      <w:r>
        <w:rPr/>
        <w:t>，大山</w:t>
      </w:r>
      <w:r>
        <w:rPr>
          <w:rFonts w:ascii="Times New Roman" w:hAnsi="Times New Roman" w:eastAsia="Times New Roman"/>
        </w:rPr>
        <w:t>(560m)</w:t>
      </w:r>
      <w:r>
        <w:rPr/>
        <w:t>等；海拔最低点 </w:t>
      </w:r>
      <w:r>
        <w:rPr>
          <w:rFonts w:ascii="Times New Roman" w:hAnsi="Times New Roman" w:eastAsia="Times New Roman"/>
        </w:rPr>
        <w:t>19.9m</w:t>
      </w:r>
      <w:r>
        <w:rPr/>
        <w:t>，位于壮岗镇陈家河村前。境内基岩主要有花岗岩、变质岩、紫红色沙岩三大类。县境地貌以大店、十字路至相沟为界，大致分东西两部分，即东部低山丘区、剥蚀丘陵区、岭下平地和洪水冲积平原四种地貌类型。低山丘陵区海拔一般在 </w:t>
      </w:r>
      <w:r>
        <w:rPr>
          <w:rFonts w:ascii="Times New Roman" w:hAnsi="Times New Roman" w:eastAsia="Times New Roman"/>
        </w:rPr>
        <w:t>100m </w:t>
      </w:r>
      <w:r>
        <w:rPr/>
        <w:t>以上，坡度大于 </w:t>
      </w:r>
      <w:r>
        <w:rPr>
          <w:rFonts w:ascii="Times New Roman" w:hAnsi="Times New Roman" w:eastAsia="Times New Roman"/>
        </w:rPr>
        <w:t>8°</w:t>
      </w:r>
      <w:r>
        <w:rPr/>
        <w:t>，主要分布于北部和东北部，部分分布于南部和东南部，面积 </w:t>
      </w:r>
      <w:r>
        <w:rPr>
          <w:rFonts w:ascii="Times New Roman" w:hAnsi="Times New Roman" w:eastAsia="Times New Roman"/>
        </w:rPr>
        <w:t>526</w:t>
      </w:r>
      <w:r>
        <w:rPr/>
        <w:t>～</w:t>
      </w:r>
      <w:r>
        <w:rPr>
          <w:rFonts w:ascii="Times New Roman" w:hAnsi="Times New Roman" w:eastAsia="Times New Roman"/>
        </w:rPr>
        <w:t>700km</w:t>
      </w:r>
      <w:r>
        <w:rPr>
          <w:rFonts w:ascii="Times New Roman" w:hAnsi="Times New Roman" w:eastAsia="Times New Roman"/>
          <w:position w:val="9"/>
          <w:sz w:val="16"/>
        </w:rPr>
        <w:t>2</w:t>
      </w:r>
      <w:r>
        <w:rPr/>
        <w:t>，占全县总面积的 </w:t>
      </w:r>
      <w:r>
        <w:rPr>
          <w:rFonts w:ascii="Times New Roman" w:hAnsi="Times New Roman" w:eastAsia="Times New Roman"/>
        </w:rPr>
        <w:t>30</w:t>
      </w:r>
      <w:r>
        <w:rPr/>
        <w:t>～</w:t>
      </w:r>
      <w:r>
        <w:rPr>
          <w:rFonts w:ascii="Times New Roman" w:hAnsi="Times New Roman" w:eastAsia="Times New Roman"/>
        </w:rPr>
        <w:t>40%</w:t>
      </w:r>
      <w:r>
        <w:rPr/>
        <w:t>。其特点是北部山峻坡陡、沟深谷窄、山石裸露、土层较薄，东及东南部山低岭缓，土层较厚。剥蚀丘陵区因基岩（变质岩）风华剥蚀严重，形成丘低坡缓、阜岗浑圆、沟宽谷阔、起伏如波的地貌特征，土层较厚，以白浆化棕禳为主。海拔一般低于 </w:t>
      </w:r>
      <w:r>
        <w:rPr>
          <w:rFonts w:ascii="Times New Roman" w:hAnsi="Times New Roman" w:eastAsia="Times New Roman"/>
        </w:rPr>
        <w:t>100m</w:t>
      </w:r>
      <w:r>
        <w:rPr/>
        <w:t>，坡度低于 </w:t>
      </w:r>
      <w:r>
        <w:rPr>
          <w:rFonts w:ascii="Times New Roman" w:hAnsi="Times New Roman" w:eastAsia="Times New Roman"/>
        </w:rPr>
        <w:t>3</w:t>
      </w:r>
      <w:r>
        <w:rPr/>
        <w:t>～</w:t>
      </w:r>
      <w:r>
        <w:rPr>
          <w:rFonts w:ascii="Times New Roman" w:hAnsi="Times New Roman" w:eastAsia="Times New Roman"/>
        </w:rPr>
        <w:t>5°</w:t>
      </w:r>
      <w:r>
        <w:rPr/>
        <w:t>，面积 </w:t>
      </w:r>
      <w:r>
        <w:rPr>
          <w:rFonts w:ascii="Times New Roman" w:hAnsi="Times New Roman" w:eastAsia="Times New Roman"/>
        </w:rPr>
        <w:t>526</w:t>
      </w:r>
      <w:r>
        <w:rPr/>
        <w:t>～</w:t>
      </w:r>
      <w:r>
        <w:rPr>
          <w:rFonts w:ascii="Times New Roman" w:hAnsi="Times New Roman" w:eastAsia="Times New Roman"/>
        </w:rPr>
        <w:t>613km</w:t>
      </w:r>
      <w:r>
        <w:rPr>
          <w:rFonts w:ascii="Times New Roman" w:hAnsi="Times New Roman" w:eastAsia="Times New Roman"/>
          <w:position w:val="9"/>
          <w:sz w:val="16"/>
        </w:rPr>
        <w:t>2</w:t>
      </w:r>
      <w:r>
        <w:rPr/>
        <w:t>，占全县总面积的 </w:t>
      </w:r>
      <w:r>
        <w:rPr>
          <w:rFonts w:ascii="Times New Roman" w:hAnsi="Times New Roman" w:eastAsia="Times New Roman"/>
        </w:rPr>
        <w:t>30</w:t>
      </w:r>
      <w:r>
        <w:rPr/>
        <w:t>～</w:t>
      </w:r>
      <w:r>
        <w:rPr>
          <w:rFonts w:ascii="Times New Roman" w:hAnsi="Times New Roman" w:eastAsia="Times New Roman"/>
        </w:rPr>
        <w:t>35%</w:t>
      </w:r>
      <w:r>
        <w:rPr/>
        <w:t>。岭下平地包括山前平地、岭间平地和沿河谷地，多与低山丘陵和剥蚀丘陵相间分布。特点是谷宽而平，地块大、阶差小。洪冲积平原分布于境遇中沿沭河及其</w:t>
      </w:r>
    </w:p>
    <w:p>
      <w:pPr>
        <w:spacing w:after="0" w:line="220" w:lineRule="auto"/>
        <w:jc w:val="both"/>
        <w:sectPr>
          <w:headerReference w:type="default" r:id="rId25"/>
          <w:footerReference w:type="default" r:id="rId26"/>
          <w:pgSz w:w="11910" w:h="16840"/>
          <w:pgMar w:header="877" w:footer="973" w:top="1340" w:bottom="1160" w:left="1220" w:right="1040"/>
        </w:sectPr>
      </w:pPr>
    </w:p>
    <w:p>
      <w:pPr>
        <w:pStyle w:val="BodyText"/>
        <w:spacing w:line="220" w:lineRule="auto" w:before="77"/>
        <w:ind w:left="1058" w:right="2559" w:hanging="480"/>
      </w:pPr>
      <w:r>
        <w:rPr/>
        <w:t>支流和各乡镇，面积约 </w:t>
      </w:r>
      <w:r>
        <w:rPr>
          <w:rFonts w:ascii="Times New Roman" w:eastAsia="Times New Roman"/>
        </w:rPr>
        <w:t>438</w:t>
      </w:r>
      <w:r>
        <w:rPr/>
        <w:t>～</w:t>
      </w:r>
      <w:r>
        <w:rPr>
          <w:rFonts w:ascii="Times New Roman" w:eastAsia="Times New Roman"/>
        </w:rPr>
        <w:t>526km</w:t>
      </w:r>
      <w:r>
        <w:rPr>
          <w:rFonts w:ascii="Times New Roman" w:eastAsia="Times New Roman"/>
          <w:position w:val="9"/>
          <w:sz w:val="16"/>
        </w:rPr>
        <w:t>2 </w:t>
      </w:r>
      <w:r>
        <w:rPr/>
        <w:t>占全县面积的 </w:t>
      </w:r>
      <w:r>
        <w:rPr>
          <w:rFonts w:ascii="Times New Roman" w:eastAsia="Times New Roman"/>
        </w:rPr>
        <w:t>25</w:t>
      </w:r>
      <w:r>
        <w:rPr/>
        <w:t>～</w:t>
      </w:r>
      <w:r>
        <w:rPr>
          <w:rFonts w:ascii="Times New Roman" w:eastAsia="Times New Roman"/>
        </w:rPr>
        <w:t>30%</w:t>
      </w:r>
      <w:r>
        <w:rPr/>
        <w:t>。项目厂址所处地貌为河流冲洪积平原，场地地形平坦。</w:t>
      </w:r>
    </w:p>
    <w:p>
      <w:pPr>
        <w:pStyle w:val="Heading5"/>
        <w:numPr>
          <w:ilvl w:val="3"/>
          <w:numId w:val="4"/>
        </w:numPr>
        <w:tabs>
          <w:tab w:pos="1490" w:val="left" w:leader="none"/>
        </w:tabs>
        <w:spacing w:line="240" w:lineRule="auto" w:before="27" w:after="0"/>
        <w:ind w:left="1490" w:right="0" w:hanging="912"/>
        <w:jc w:val="left"/>
        <w:rPr>
          <w:rFonts w:ascii="Times New Roman" w:eastAsia="Times New Roman"/>
        </w:rPr>
      </w:pPr>
      <w:r>
        <w:rPr/>
        <w:t>地质</w:t>
      </w:r>
    </w:p>
    <w:p>
      <w:pPr>
        <w:pStyle w:val="BodyText"/>
        <w:spacing w:line="220" w:lineRule="auto" w:before="80"/>
        <w:ind w:left="578" w:right="880" w:firstLine="479"/>
        <w:jc w:val="both"/>
      </w:pPr>
      <w:r>
        <w:rPr/>
        <w:t>莒南经济开发区内地层为耕土、粘土、粗砾砂层、强风化层、中风化层。共分为 </w:t>
      </w:r>
      <w:r>
        <w:rPr>
          <w:rFonts w:ascii="Times New Roman" w:eastAsia="Times New Roman"/>
        </w:rPr>
        <w:t>5 </w:t>
      </w:r>
      <w:r>
        <w:rPr/>
        <w:t>层。按自上而下的顺序分述如下：</w:t>
      </w:r>
    </w:p>
    <w:p>
      <w:pPr>
        <w:pStyle w:val="BodyText"/>
        <w:spacing w:line="220" w:lineRule="auto"/>
        <w:ind w:left="578" w:right="878" w:firstLine="359"/>
        <w:jc w:val="both"/>
      </w:pPr>
      <w:r>
        <w:rPr/>
        <w:t>（</w:t>
      </w:r>
      <w:r>
        <w:rPr>
          <w:rFonts w:ascii="Times New Roman" w:hAnsi="Times New Roman" w:eastAsia="Times New Roman"/>
        </w:rPr>
        <w:t>1</w:t>
      </w:r>
      <w:r>
        <w:rPr/>
        <w:t>）耕土：灰褐</w:t>
      </w:r>
      <w:r>
        <w:rPr>
          <w:rFonts w:ascii="Times New Roman" w:hAnsi="Times New Roman" w:eastAsia="Times New Roman"/>
        </w:rPr>
        <w:t>—</w:t>
      </w:r>
      <w:r>
        <w:rPr/>
        <w:t>灰黑色，松散，为粘性土，含植物根系，整个区域皆有分布，厚 </w:t>
      </w:r>
      <w:r>
        <w:rPr>
          <w:rFonts w:ascii="Times New Roman" w:hAnsi="Times New Roman" w:eastAsia="Times New Roman"/>
        </w:rPr>
        <w:t>0.3</w:t>
      </w:r>
      <w:r>
        <w:rPr/>
        <w:t>～</w:t>
      </w:r>
      <w:r>
        <w:rPr>
          <w:rFonts w:ascii="Times New Roman" w:hAnsi="Times New Roman" w:eastAsia="Times New Roman"/>
        </w:rPr>
        <w:t>0.9 </w:t>
      </w:r>
      <w:r>
        <w:rPr/>
        <w:t>米。</w:t>
      </w:r>
    </w:p>
    <w:p>
      <w:pPr>
        <w:pStyle w:val="BodyText"/>
        <w:spacing w:line="220" w:lineRule="auto"/>
        <w:ind w:left="578" w:right="873" w:firstLine="359"/>
        <w:jc w:val="both"/>
      </w:pPr>
      <w:r>
        <w:rPr/>
        <w:t>（</w:t>
      </w:r>
      <w:r>
        <w:rPr>
          <w:rFonts w:ascii="Times New Roman" w:hAnsi="Times New Roman" w:eastAsia="Times New Roman"/>
        </w:rPr>
        <w:t>2</w:t>
      </w:r>
      <w:r>
        <w:rPr/>
        <w:t>）粘土：灰黑</w:t>
      </w:r>
      <w:r>
        <w:rPr>
          <w:rFonts w:ascii="Times New Roman" w:hAnsi="Times New Roman" w:eastAsia="Times New Roman"/>
        </w:rPr>
        <w:t>—</w:t>
      </w:r>
      <w:r>
        <w:rPr/>
        <w:t>褐色，可塑</w:t>
      </w:r>
      <w:r>
        <w:rPr>
          <w:rFonts w:ascii="Times New Roman" w:hAnsi="Times New Roman" w:eastAsia="Times New Roman"/>
        </w:rPr>
        <w:t>—</w:t>
      </w:r>
      <w:r>
        <w:rPr/>
        <w:t>硬塑，干强度高，韧性高，有光泽，无摇震反应。含长石砂、砾，紫红色沉积岩屑（已风化</w:t>
      </w:r>
      <w:r>
        <w:rPr>
          <w:spacing w:val="-120"/>
        </w:rPr>
        <w:t>）</w:t>
      </w:r>
      <w:r>
        <w:rPr>
          <w:spacing w:val="-2"/>
        </w:rPr>
        <w:t>，局部有卵石。层厚  </w:t>
      </w:r>
      <w:r>
        <w:rPr>
          <w:rFonts w:ascii="Times New Roman" w:hAnsi="Times New Roman" w:eastAsia="Times New Roman"/>
        </w:rPr>
        <w:t>0.6</w:t>
      </w:r>
      <w:r>
        <w:rPr/>
        <w:t>～</w:t>
      </w:r>
    </w:p>
    <w:p>
      <w:pPr>
        <w:pStyle w:val="BodyText"/>
        <w:spacing w:line="460" w:lineRule="exact"/>
        <w:ind w:left="578"/>
      </w:pPr>
      <w:r>
        <w:rPr>
          <w:rFonts w:ascii="Times New Roman" w:eastAsia="Times New Roman"/>
        </w:rPr>
        <w:t>2.3 </w:t>
      </w:r>
      <w:r>
        <w:rPr/>
        <w:t>米，层顶埋深 </w:t>
      </w:r>
      <w:r>
        <w:rPr>
          <w:rFonts w:ascii="Times New Roman" w:eastAsia="Times New Roman"/>
        </w:rPr>
        <w:t>0.3</w:t>
      </w:r>
      <w:r>
        <w:rPr/>
        <w:t>～</w:t>
      </w:r>
      <w:r>
        <w:rPr>
          <w:rFonts w:ascii="Times New Roman" w:eastAsia="Times New Roman"/>
        </w:rPr>
        <w:t>0.9 </w:t>
      </w:r>
      <w:r>
        <w:rPr/>
        <w:t>米。</w:t>
      </w:r>
    </w:p>
    <w:p>
      <w:pPr>
        <w:pStyle w:val="BodyText"/>
        <w:spacing w:line="220" w:lineRule="auto" w:before="8"/>
        <w:ind w:left="578" w:right="871" w:firstLine="359"/>
        <w:jc w:val="both"/>
      </w:pPr>
      <w:r>
        <w:rPr/>
        <w:t>（</w:t>
      </w:r>
      <w:r>
        <w:rPr>
          <w:rFonts w:ascii="Times New Roman" w:hAnsi="Times New Roman" w:eastAsia="Times New Roman"/>
        </w:rPr>
        <w:t>3</w:t>
      </w:r>
      <w:r>
        <w:rPr/>
        <w:t>）粗砾砂：褐色，饱和，松散</w:t>
      </w:r>
      <w:r>
        <w:rPr>
          <w:rFonts w:ascii="Times New Roman" w:hAnsi="Times New Roman" w:eastAsia="Times New Roman"/>
        </w:rPr>
        <w:t>—</w:t>
      </w:r>
      <w:r>
        <w:rPr/>
        <w:t>中密，分选较好，次圆状，级配不良。</w:t>
      </w:r>
      <w:r>
        <w:rPr>
          <w:spacing w:val="-5"/>
        </w:rPr>
        <w:t>成分为长石、沉积岩火山岩屑</w:t>
      </w:r>
      <w:r>
        <w:rPr/>
        <w:t>（已风化）</w:t>
      </w:r>
      <w:r>
        <w:rPr>
          <w:spacing w:val="-2"/>
        </w:rPr>
        <w:t> ，少量石英和粘粒及卵石，局部含卵</w:t>
      </w:r>
      <w:r>
        <w:rPr>
          <w:spacing w:val="-4"/>
        </w:rPr>
        <w:t>石，粒径般为 </w:t>
      </w:r>
      <w:r>
        <w:rPr>
          <w:rFonts w:ascii="Times New Roman" w:hAnsi="Times New Roman" w:eastAsia="Times New Roman"/>
          <w:spacing w:val="-3"/>
        </w:rPr>
        <w:t>3</w:t>
      </w:r>
      <w:r>
        <w:rPr>
          <w:spacing w:val="-3"/>
        </w:rPr>
        <w:t>～</w:t>
      </w:r>
      <w:r>
        <w:rPr>
          <w:rFonts w:ascii="Times New Roman" w:hAnsi="Times New Roman" w:eastAsia="Times New Roman"/>
          <w:spacing w:val="-3"/>
        </w:rPr>
        <w:t>6cm</w:t>
      </w:r>
      <w:r>
        <w:rPr>
          <w:spacing w:val="-6"/>
        </w:rPr>
        <w:t>，成分为长石、沉积岩火山岩屑</w:t>
      </w:r>
      <w:r>
        <w:rPr/>
        <w:t>（已风化</w:t>
      </w:r>
      <w:r>
        <w:rPr>
          <w:spacing w:val="-120"/>
        </w:rPr>
        <w:t>）</w:t>
      </w:r>
      <w:r>
        <w:rPr>
          <w:spacing w:val="-3"/>
        </w:rPr>
        <w:t>。厚度为 </w:t>
      </w:r>
      <w:r>
        <w:rPr>
          <w:rFonts w:ascii="Times New Roman" w:hAnsi="Times New Roman" w:eastAsia="Times New Roman"/>
        </w:rPr>
        <w:t>0.1</w:t>
      </w:r>
      <w:r>
        <w:rPr/>
        <w:t>～</w:t>
      </w:r>
    </w:p>
    <w:p>
      <w:pPr>
        <w:pStyle w:val="BodyText"/>
        <w:spacing w:line="220" w:lineRule="auto"/>
        <w:ind w:left="578" w:right="880"/>
      </w:pPr>
      <w:r>
        <w:rPr>
          <w:rFonts w:ascii="Times New Roman" w:eastAsia="Times New Roman"/>
        </w:rPr>
        <w:t>2 </w:t>
      </w:r>
      <w:r>
        <w:rPr/>
        <w:t>米。该层分选性、磨圆度较好，由下到上，粒度由粗变细，成熟度差。层顶埋深 </w:t>
      </w:r>
      <w:r>
        <w:rPr>
          <w:rFonts w:ascii="Times New Roman" w:eastAsia="Times New Roman"/>
        </w:rPr>
        <w:t>1.2</w:t>
      </w:r>
      <w:r>
        <w:rPr/>
        <w:t>～</w:t>
      </w:r>
      <w:r>
        <w:rPr>
          <w:rFonts w:ascii="Times New Roman" w:eastAsia="Times New Roman"/>
        </w:rPr>
        <w:t>2.9 </w:t>
      </w:r>
      <w:r>
        <w:rPr/>
        <w:t>米。</w:t>
      </w:r>
    </w:p>
    <w:p>
      <w:pPr>
        <w:pStyle w:val="BodyText"/>
        <w:spacing w:line="220" w:lineRule="auto"/>
        <w:ind w:left="578" w:right="877" w:firstLine="359"/>
        <w:jc w:val="both"/>
      </w:pPr>
      <w:r>
        <w:rPr/>
        <w:t>（</w:t>
      </w:r>
      <w:r>
        <w:rPr>
          <w:rFonts w:ascii="Times New Roman" w:eastAsia="Times New Roman"/>
        </w:rPr>
        <w:t>4</w:t>
      </w:r>
      <w:r>
        <w:rPr/>
        <w:t>）细砂岩强风化层：紫红色，密实，组织结构大部分破坏，裂隙发育， 岩石破碎，碎石土状，部分长石变为粘土。其成分与母岩基本一致，长石、石英、碎云母片，厚度 </w:t>
      </w:r>
      <w:r>
        <w:rPr>
          <w:rFonts w:ascii="Times New Roman" w:eastAsia="Times New Roman"/>
        </w:rPr>
        <w:t>0</w:t>
      </w:r>
      <w:r>
        <w:rPr/>
        <w:t>～</w:t>
      </w:r>
      <w:r>
        <w:rPr>
          <w:rFonts w:ascii="Times New Roman" w:eastAsia="Times New Roman"/>
        </w:rPr>
        <w:t>3.7 </w:t>
      </w:r>
      <w:r>
        <w:rPr/>
        <w:t>米。层顶埋深 </w:t>
      </w:r>
      <w:r>
        <w:rPr>
          <w:rFonts w:ascii="Times New Roman" w:eastAsia="Times New Roman"/>
        </w:rPr>
        <w:t>1.4</w:t>
      </w:r>
      <w:r>
        <w:rPr/>
        <w:t>～</w:t>
      </w:r>
      <w:r>
        <w:rPr>
          <w:rFonts w:ascii="Times New Roman" w:eastAsia="Times New Roman"/>
        </w:rPr>
        <w:t>3.8 </w:t>
      </w:r>
      <w:r>
        <w:rPr/>
        <w:t>米。</w:t>
      </w:r>
    </w:p>
    <w:p>
      <w:pPr>
        <w:pStyle w:val="BodyText"/>
        <w:spacing w:line="220" w:lineRule="auto"/>
        <w:ind w:left="578" w:right="878" w:firstLine="359"/>
        <w:jc w:val="both"/>
      </w:pPr>
      <w:r>
        <w:rPr/>
        <w:t>（</w:t>
      </w:r>
      <w:r>
        <w:rPr>
          <w:rFonts w:ascii="Times New Roman" w:hAnsi="Times New Roman" w:eastAsia="Times New Roman"/>
        </w:rPr>
        <w:t>5</w:t>
      </w:r>
      <w:r>
        <w:rPr/>
        <w:t>）细砂岩中风化：紫红色，组织结构部分破坏，矿物成分基本未变，节理裂隙发育，裂隙充填泥，粒状结构，块状构造；主要成分长石、石英、碎云母片、基质；基质胶结；坚固性为较坚固的</w:t>
      </w:r>
      <w:r>
        <w:rPr>
          <w:rFonts w:ascii="Times New Roman" w:hAnsi="Times New Roman" w:eastAsia="Times New Roman"/>
        </w:rPr>
        <w:t>—</w:t>
      </w:r>
      <w:r>
        <w:rPr/>
        <w:t>坚固的，厚度 </w:t>
      </w:r>
      <w:r>
        <w:rPr>
          <w:rFonts w:ascii="Times New Roman" w:hAnsi="Times New Roman" w:eastAsia="Times New Roman"/>
        </w:rPr>
        <w:t>0</w:t>
      </w:r>
      <w:r>
        <w:rPr/>
        <w:t>～</w:t>
      </w:r>
      <w:r>
        <w:rPr>
          <w:rFonts w:ascii="Times New Roman" w:hAnsi="Times New Roman" w:eastAsia="Times New Roman"/>
        </w:rPr>
        <w:t>2.5 </w:t>
      </w:r>
      <w:r>
        <w:rPr/>
        <w:t>米。</w:t>
      </w:r>
    </w:p>
    <w:p>
      <w:pPr>
        <w:pStyle w:val="Heading5"/>
        <w:numPr>
          <w:ilvl w:val="2"/>
          <w:numId w:val="4"/>
        </w:numPr>
        <w:tabs>
          <w:tab w:pos="1279" w:val="left" w:leader="none"/>
        </w:tabs>
        <w:spacing w:line="592" w:lineRule="exact" w:before="6" w:after="0"/>
        <w:ind w:left="1278" w:right="0" w:hanging="700"/>
        <w:jc w:val="left"/>
      </w:pPr>
      <w:r>
        <w:rPr/>
        <w:t>地表水</w:t>
      </w:r>
    </w:p>
    <w:p>
      <w:pPr>
        <w:pStyle w:val="BodyText"/>
        <w:spacing w:line="220" w:lineRule="auto" w:before="26"/>
        <w:ind w:left="578" w:right="874" w:firstLine="479"/>
        <w:jc w:val="both"/>
      </w:pPr>
      <w:r>
        <w:rPr/>
        <w:t>莒南县系淮河流域沭河水系和滨海水系，境内河流有 </w:t>
      </w:r>
      <w:r>
        <w:rPr>
          <w:rFonts w:ascii="Times New Roman" w:eastAsia="Times New Roman"/>
        </w:rPr>
        <w:t>323 </w:t>
      </w:r>
      <w:r>
        <w:rPr/>
        <w:t>条，多为季节性河流，分属流向西南入沭河的沭河水系和流向东南入黄海的滨海水系。沭河水</w:t>
      </w:r>
      <w:r>
        <w:rPr>
          <w:spacing w:val="-5"/>
        </w:rPr>
        <w:t>系居县境西、北部，流域面积 </w:t>
      </w:r>
      <w:r>
        <w:rPr>
          <w:rFonts w:ascii="Times New Roman" w:eastAsia="Times New Roman"/>
        </w:rPr>
        <w:t>902km</w:t>
      </w:r>
      <w:r>
        <w:rPr>
          <w:rFonts w:ascii="Times New Roman" w:eastAsia="Times New Roman"/>
          <w:position w:val="9"/>
          <w:sz w:val="16"/>
        </w:rPr>
        <w:t>2</w:t>
      </w:r>
      <w:r>
        <w:rPr>
          <w:spacing w:val="-1"/>
        </w:rPr>
        <w:t>，占全县总面积的 </w:t>
      </w:r>
      <w:r>
        <w:rPr>
          <w:rFonts w:ascii="Times New Roman" w:eastAsia="Times New Roman"/>
          <w:spacing w:val="-3"/>
        </w:rPr>
        <w:t>51.4</w:t>
      </w:r>
      <w:r>
        <w:rPr>
          <w:spacing w:val="-2"/>
        </w:rPr>
        <w:t>％，主要支流有浔河、鸡龙河、武阳河、鲁沟河、汀水河。</w:t>
      </w:r>
    </w:p>
    <w:p>
      <w:pPr>
        <w:pStyle w:val="BodyText"/>
        <w:spacing w:line="220" w:lineRule="auto"/>
        <w:ind w:left="578" w:right="871" w:firstLine="479"/>
        <w:jc w:val="both"/>
      </w:pPr>
      <w:r>
        <w:rPr/>
        <w:t>沭河源于沂水县沂山南麓，经莒县至大店镇入境，流经大店、王家沟岭泉</w:t>
      </w:r>
      <w:r>
        <w:rPr>
          <w:spacing w:val="2"/>
        </w:rPr>
        <w:t>和板泉等 </w:t>
      </w:r>
      <w:r>
        <w:rPr>
          <w:rFonts w:ascii="Times New Roman" w:eastAsia="Times New Roman"/>
        </w:rPr>
        <w:t>7 </w:t>
      </w:r>
      <w:r>
        <w:rPr>
          <w:spacing w:val="-5"/>
        </w:rPr>
        <w:t>个乡镇，由板泉镇入临沭县境，经江苏省注入黄海，为莒南县境内</w:t>
      </w:r>
      <w:r>
        <w:rPr>
          <w:spacing w:val="-8"/>
        </w:rPr>
        <w:t>最大过境河，丰水期最大洪峰流量 </w:t>
      </w:r>
      <w:r>
        <w:rPr>
          <w:rFonts w:ascii="Times New Roman" w:eastAsia="Times New Roman"/>
        </w:rPr>
        <w:t>6850m</w:t>
      </w:r>
      <w:r>
        <w:rPr>
          <w:rFonts w:ascii="Times New Roman" w:eastAsia="Times New Roman"/>
          <w:position w:val="9"/>
          <w:sz w:val="16"/>
        </w:rPr>
        <w:t>3</w:t>
      </w:r>
      <w:r>
        <w:rPr>
          <w:rFonts w:ascii="Times New Roman" w:eastAsia="Times New Roman"/>
        </w:rPr>
        <w:t>/s</w:t>
      </w:r>
      <w:r>
        <w:rPr>
          <w:spacing w:val="-5"/>
        </w:rPr>
        <w:t>、枯水期流量在 </w:t>
      </w:r>
      <w:r>
        <w:rPr>
          <w:rFonts w:ascii="Times New Roman" w:eastAsia="Times New Roman"/>
        </w:rPr>
        <w:t>0.1m</w:t>
      </w:r>
      <w:r>
        <w:rPr>
          <w:rFonts w:ascii="Times New Roman" w:eastAsia="Times New Roman"/>
          <w:position w:val="9"/>
          <w:sz w:val="16"/>
        </w:rPr>
        <w:t>3</w:t>
      </w:r>
      <w:r>
        <w:rPr>
          <w:rFonts w:ascii="Times New Roman" w:eastAsia="Times New Roman"/>
        </w:rPr>
        <w:t>/s </w:t>
      </w:r>
      <w:r>
        <w:rPr>
          <w:spacing w:val="-8"/>
        </w:rPr>
        <w:t>以上，系常</w:t>
      </w:r>
    </w:p>
    <w:p>
      <w:pPr>
        <w:spacing w:after="0" w:line="220" w:lineRule="auto"/>
        <w:jc w:val="both"/>
        <w:sectPr>
          <w:footerReference w:type="default" r:id="rId27"/>
          <w:pgSz w:w="11910" w:h="16840"/>
          <w:pgMar w:footer="973" w:header="877" w:top="1340" w:bottom="1160" w:left="1220" w:right="1040"/>
          <w:pgNumType w:start="2"/>
        </w:sectPr>
      </w:pPr>
    </w:p>
    <w:p>
      <w:pPr>
        <w:pStyle w:val="BodyText"/>
        <w:spacing w:line="488" w:lineRule="exact" w:before="48"/>
        <w:ind w:left="578"/>
      </w:pPr>
      <w:r>
        <w:rPr/>
        <w:t>流河。</w:t>
      </w:r>
    </w:p>
    <w:p>
      <w:pPr>
        <w:pStyle w:val="BodyText"/>
        <w:spacing w:line="220" w:lineRule="auto" w:before="8"/>
        <w:ind w:left="578" w:right="752" w:firstLine="479"/>
        <w:jc w:val="both"/>
      </w:pPr>
      <w:r>
        <w:rPr>
          <w:spacing w:val="-7"/>
        </w:rPr>
        <w:t>鸡龙河位于县境西部，属沭河一级支流，自鸡山南麓，经涝坡乡、扁山乡、</w:t>
      </w:r>
      <w:r>
        <w:rPr>
          <w:spacing w:val="-8"/>
        </w:rPr>
        <w:t>十字路镇、岭泉乡，于刘家庄乡大白常村西汇入沭河，全长 </w:t>
      </w:r>
      <w:r>
        <w:rPr>
          <w:rFonts w:ascii="Times New Roman" w:eastAsia="Times New Roman"/>
        </w:rPr>
        <w:t>37.9km</w:t>
      </w:r>
      <w:r>
        <w:rPr/>
        <w:t>，流域面积</w:t>
      </w:r>
      <w:r>
        <w:rPr>
          <w:rFonts w:ascii="Times New Roman" w:eastAsia="Times New Roman"/>
          <w:spacing w:val="-6"/>
        </w:rPr>
        <w:t>307.5km</w:t>
      </w:r>
      <w:r>
        <w:rPr>
          <w:rFonts w:ascii="Times New Roman" w:eastAsia="Times New Roman"/>
          <w:spacing w:val="-6"/>
          <w:position w:val="9"/>
          <w:sz w:val="16"/>
        </w:rPr>
        <w:t>2</w:t>
      </w:r>
      <w:r>
        <w:rPr>
          <w:spacing w:val="-2"/>
        </w:rPr>
        <w:t>，入沭河口段河床宽 </w:t>
      </w:r>
      <w:r>
        <w:rPr>
          <w:rFonts w:ascii="Times New Roman" w:eastAsia="Times New Roman"/>
          <w:spacing w:val="-10"/>
        </w:rPr>
        <w:t>100m</w:t>
      </w:r>
      <w:r>
        <w:rPr>
          <w:spacing w:val="-1"/>
        </w:rPr>
        <w:t>，平均坡降 </w:t>
      </w:r>
      <w:r>
        <w:rPr>
          <w:rFonts w:ascii="Times New Roman" w:eastAsia="Times New Roman"/>
        </w:rPr>
        <w:t>1.8m/km</w:t>
      </w:r>
      <w:r>
        <w:rPr>
          <w:spacing w:val="-7"/>
        </w:rPr>
        <w:t>。鸡龙河汛期水浮两岸， 旱季河水断流，属季节性河流。</w:t>
      </w:r>
    </w:p>
    <w:p>
      <w:pPr>
        <w:pStyle w:val="BodyText"/>
        <w:spacing w:line="220" w:lineRule="auto"/>
        <w:ind w:left="578" w:right="880" w:firstLine="479"/>
        <w:jc w:val="both"/>
      </w:pPr>
      <w:r>
        <w:rPr/>
        <w:t>白马河为鸡龙河支流，源出十字路南，西经石桥，于前柴沟村后入干流， 长 </w:t>
      </w:r>
      <w:r>
        <w:rPr>
          <w:rFonts w:ascii="Times New Roman" w:eastAsia="Times New Roman"/>
        </w:rPr>
        <w:t>15.5km</w:t>
      </w:r>
      <w:r>
        <w:rPr/>
        <w:t>，流域面积 </w:t>
      </w:r>
      <w:r>
        <w:rPr>
          <w:rFonts w:ascii="Times New Roman" w:eastAsia="Times New Roman"/>
        </w:rPr>
        <w:t>20.8km</w:t>
      </w:r>
      <w:r>
        <w:rPr>
          <w:rFonts w:ascii="Times New Roman" w:eastAsia="Times New Roman"/>
          <w:position w:val="9"/>
          <w:sz w:val="16"/>
        </w:rPr>
        <w:t>2</w:t>
      </w:r>
      <w:r>
        <w:rPr/>
        <w:t>，目前功能主要为流域区提供农业灌溉用水。</w:t>
      </w:r>
    </w:p>
    <w:p>
      <w:pPr>
        <w:pStyle w:val="BodyText"/>
        <w:spacing w:line="478" w:lineRule="exact"/>
        <w:ind w:left="1058"/>
      </w:pPr>
      <w:r>
        <w:rPr/>
        <w:t>项目区周围水系分布情况见图 </w:t>
      </w:r>
      <w:r>
        <w:rPr>
          <w:rFonts w:ascii="Times New Roman" w:eastAsia="Times New Roman"/>
        </w:rPr>
        <w:t>5.1-2</w:t>
      </w:r>
      <w:r>
        <w:rPr/>
        <w:t>。</w:t>
      </w:r>
    </w:p>
    <w:p>
      <w:pPr>
        <w:pStyle w:val="Heading5"/>
        <w:numPr>
          <w:ilvl w:val="2"/>
          <w:numId w:val="4"/>
        </w:numPr>
        <w:tabs>
          <w:tab w:pos="1279" w:val="left" w:leader="none"/>
        </w:tabs>
        <w:spacing w:line="588" w:lineRule="exact" w:before="0" w:after="0"/>
        <w:ind w:left="1278" w:right="0" w:hanging="700"/>
        <w:jc w:val="left"/>
      </w:pPr>
      <w:r>
        <w:rPr/>
        <w:t>水文地质</w:t>
      </w:r>
    </w:p>
    <w:p>
      <w:pPr>
        <w:pStyle w:val="BodyText"/>
        <w:spacing w:line="220" w:lineRule="auto" w:before="26"/>
        <w:ind w:left="578" w:right="873" w:firstLine="479"/>
        <w:jc w:val="both"/>
      </w:pPr>
      <w:r>
        <w:rPr>
          <w:spacing w:val="-11"/>
        </w:rPr>
        <w:t>根据《莒南县志》，莒南县全年多年平均地下水总量 </w:t>
      </w:r>
      <w:r>
        <w:rPr>
          <w:rFonts w:ascii="Times New Roman" w:eastAsia="Times New Roman"/>
        </w:rPr>
        <w:t>1.46 </w:t>
      </w:r>
      <w:r>
        <w:rPr>
          <w:spacing w:val="4"/>
        </w:rPr>
        <w:t>亿 </w:t>
      </w:r>
      <w:r>
        <w:rPr>
          <w:rFonts w:ascii="Times New Roman" w:eastAsia="Times New Roman"/>
        </w:rPr>
        <w:t>m</w:t>
      </w:r>
      <w:r>
        <w:rPr>
          <w:rFonts w:ascii="Times New Roman" w:eastAsia="Times New Roman"/>
          <w:position w:val="9"/>
          <w:sz w:val="16"/>
        </w:rPr>
        <w:t>3</w:t>
      </w:r>
      <w:r>
        <w:rPr>
          <w:spacing w:val="-2"/>
        </w:rPr>
        <w:t>，主要由第四纪潜水半承压水和浅层基岩裂隙水组成。根据其富水程度，划分为四种分布情况：第四纪沿河平原集中富水区、第四纪一般富水区、山丘基岩一般富水区和基岩贫水区。</w:t>
      </w:r>
    </w:p>
    <w:p>
      <w:pPr>
        <w:pStyle w:val="BodyText"/>
        <w:spacing w:line="460" w:lineRule="exact"/>
        <w:ind w:left="938"/>
      </w:pPr>
      <w:r>
        <w:rPr/>
        <w:t>（</w:t>
      </w:r>
      <w:r>
        <w:rPr>
          <w:rFonts w:ascii="Times New Roman" w:eastAsia="Times New Roman"/>
        </w:rPr>
        <w:t>1</w:t>
      </w:r>
      <w:r>
        <w:rPr/>
        <w:t>）第四纪沿河平原孔隙水集中富水区</w:t>
      </w:r>
    </w:p>
    <w:p>
      <w:pPr>
        <w:pStyle w:val="BodyText"/>
        <w:spacing w:line="220" w:lineRule="auto" w:before="8"/>
        <w:ind w:left="578" w:right="752" w:firstLine="479"/>
      </w:pPr>
      <w:r>
        <w:rPr/>
        <w:t>沐河由于受景芝</w:t>
      </w:r>
      <w:r>
        <w:rPr>
          <w:rFonts w:ascii="Times New Roman" w:hAnsi="Times New Roman" w:eastAsia="Times New Roman"/>
        </w:rPr>
        <w:t>—</w:t>
      </w:r>
      <w:r>
        <w:rPr>
          <w:spacing w:val="-8"/>
        </w:rPr>
        <w:t>大店地层断裂带影响，地质构造形成地坎，地势较低平。绣针河、龙王河、洙溪河及文疃河流域，由于受河流侵蚀、剥蚀作用，形成第四纪沿河平原。地表覆盖层下主要是粗砂和砾石，含水层较厚，一般 </w:t>
      </w:r>
      <w:r>
        <w:rPr>
          <w:rFonts w:ascii="Times New Roman" w:hAnsi="Times New Roman" w:eastAsia="Times New Roman"/>
        </w:rPr>
        <w:t>8</w:t>
      </w:r>
      <w:r>
        <w:rPr/>
        <w:t>～</w:t>
      </w:r>
      <w:r>
        <w:rPr>
          <w:rFonts w:ascii="Times New Roman" w:hAnsi="Times New Roman" w:eastAsia="Times New Roman"/>
        </w:rPr>
        <w:t>20m</w:t>
      </w:r>
      <w:r>
        <w:rPr/>
        <w:t>， 易于地表水补给和侧向补给，成为第四纪沿河平原孔隙水集中富水区，单井出</w:t>
      </w:r>
      <w:r>
        <w:rPr>
          <w:spacing w:val="4"/>
        </w:rPr>
        <w:t>水量 </w:t>
      </w:r>
      <w:r>
        <w:rPr>
          <w:rFonts w:ascii="Times New Roman" w:hAnsi="Times New Roman" w:eastAsia="Times New Roman"/>
        </w:rPr>
        <w:t>60</w:t>
      </w:r>
      <w:r>
        <w:rPr/>
        <w:t>～</w:t>
      </w:r>
      <w:r>
        <w:rPr>
          <w:rFonts w:ascii="Times New Roman" w:hAnsi="Times New Roman" w:eastAsia="Times New Roman"/>
        </w:rPr>
        <w:t>150m</w:t>
      </w:r>
      <w:r>
        <w:rPr>
          <w:rFonts w:ascii="Times New Roman" w:hAnsi="Times New Roman" w:eastAsia="Times New Roman"/>
          <w:position w:val="9"/>
          <w:sz w:val="16"/>
        </w:rPr>
        <w:t>3</w:t>
      </w:r>
      <w:r>
        <w:rPr>
          <w:rFonts w:ascii="Times New Roman" w:hAnsi="Times New Roman" w:eastAsia="Times New Roman"/>
        </w:rPr>
        <w:t>/h</w:t>
      </w:r>
      <w:r>
        <w:rPr>
          <w:spacing w:val="-8"/>
        </w:rPr>
        <w:t>。主要分布在刘家庄、板泉及沭河东岸，坊前、朱芦、洙边、文疃等乡镇的沿河平原，面积 </w:t>
      </w:r>
      <w:r>
        <w:rPr>
          <w:rFonts w:ascii="Times New Roman" w:hAnsi="Times New Roman" w:eastAsia="Times New Roman"/>
        </w:rPr>
        <w:t>163.25km</w:t>
      </w:r>
      <w:r>
        <w:rPr>
          <w:rFonts w:ascii="Times New Roman" w:hAnsi="Times New Roman" w:eastAsia="Times New Roman"/>
          <w:position w:val="9"/>
          <w:sz w:val="16"/>
        </w:rPr>
        <w:t>2</w:t>
      </w:r>
      <w:r>
        <w:rPr/>
        <w:t>。</w:t>
      </w:r>
    </w:p>
    <w:p>
      <w:pPr>
        <w:pStyle w:val="BodyText"/>
        <w:spacing w:line="460" w:lineRule="exact"/>
        <w:ind w:left="938"/>
      </w:pPr>
      <w:r>
        <w:rPr/>
        <w:t>（</w:t>
      </w:r>
      <w:r>
        <w:rPr>
          <w:rFonts w:ascii="Times New Roman" w:eastAsia="Times New Roman"/>
        </w:rPr>
        <w:t>2</w:t>
      </w:r>
      <w:r>
        <w:rPr/>
        <w:t>）第四纪一般富水区</w:t>
      </w:r>
    </w:p>
    <w:p>
      <w:pPr>
        <w:pStyle w:val="BodyText"/>
        <w:spacing w:line="220" w:lineRule="auto" w:before="9"/>
        <w:ind w:left="578" w:right="871" w:firstLine="479"/>
        <w:jc w:val="both"/>
      </w:pPr>
      <w:r>
        <w:rPr/>
        <w:t>地质上部为亚沙土、亚粘土，下部为中、粗细砂，个别地方黄泥夹砂。基</w:t>
      </w:r>
      <w:r>
        <w:rPr>
          <w:spacing w:val="-1"/>
        </w:rPr>
        <w:t>岩是紫红色砂岩，含水层一般为 </w:t>
      </w:r>
      <w:r>
        <w:rPr>
          <w:rFonts w:ascii="Times New Roman" w:eastAsia="Times New Roman"/>
        </w:rPr>
        <w:t>2</w:t>
      </w:r>
      <w:r>
        <w:rPr/>
        <w:t>～</w:t>
      </w:r>
      <w:r>
        <w:rPr>
          <w:rFonts w:ascii="Times New Roman" w:eastAsia="Times New Roman"/>
        </w:rPr>
        <w:t>7m</w:t>
      </w:r>
      <w:r>
        <w:rPr/>
        <w:t>，单井涌水量为 </w:t>
      </w:r>
      <w:r>
        <w:rPr>
          <w:rFonts w:ascii="Times New Roman" w:eastAsia="Times New Roman"/>
        </w:rPr>
        <w:t>10</w:t>
      </w:r>
      <w:r>
        <w:rPr/>
        <w:t>～</w:t>
      </w:r>
      <w:r>
        <w:rPr>
          <w:rFonts w:ascii="Times New Roman" w:eastAsia="Times New Roman"/>
        </w:rPr>
        <w:t>20m</w:t>
      </w:r>
      <w:r>
        <w:rPr>
          <w:rFonts w:ascii="Times New Roman" w:eastAsia="Times New Roman"/>
          <w:position w:val="9"/>
          <w:sz w:val="16"/>
        </w:rPr>
        <w:t>3</w:t>
      </w:r>
      <w:r>
        <w:rPr>
          <w:rFonts w:ascii="Times New Roman" w:eastAsia="Times New Roman"/>
        </w:rPr>
        <w:t>/h</w:t>
      </w:r>
      <w:r>
        <w:rPr/>
        <w:t>，个别地区</w:t>
      </w:r>
      <w:r>
        <w:rPr>
          <w:spacing w:val="6"/>
        </w:rPr>
        <w:t>如侯疃、莱沟为 </w:t>
      </w:r>
      <w:r>
        <w:rPr>
          <w:rFonts w:ascii="Times New Roman" w:eastAsia="Times New Roman"/>
        </w:rPr>
        <w:t>40</w:t>
      </w:r>
      <w:r>
        <w:rPr/>
        <w:t>～</w:t>
      </w:r>
      <w:r>
        <w:rPr>
          <w:rFonts w:ascii="Times New Roman" w:eastAsia="Times New Roman"/>
        </w:rPr>
        <w:t>100m</w:t>
      </w:r>
      <w:r>
        <w:rPr>
          <w:rFonts w:ascii="Times New Roman" w:eastAsia="Times New Roman"/>
          <w:position w:val="9"/>
          <w:sz w:val="16"/>
        </w:rPr>
        <w:t>3</w:t>
      </w:r>
      <w:r>
        <w:rPr>
          <w:rFonts w:ascii="Times New Roman" w:eastAsia="Times New Roman"/>
        </w:rPr>
        <w:t>/h</w:t>
      </w:r>
      <w:r>
        <w:rPr/>
        <w:t>。分布在大店镇的埠墩、坡子，筵宾乡的范家水磨、下河、苍沟，岚兖公路以北、莒青公路以西地区及石莲子乡的广亮门、侯疃一带，总面积 </w:t>
      </w:r>
      <w:r>
        <w:rPr>
          <w:rFonts w:ascii="Times New Roman" w:eastAsia="Times New Roman"/>
        </w:rPr>
        <w:t>165.25km</w:t>
      </w:r>
      <w:r>
        <w:rPr>
          <w:rFonts w:ascii="Times New Roman" w:eastAsia="Times New Roman"/>
          <w:position w:val="9"/>
          <w:sz w:val="16"/>
        </w:rPr>
        <w:t>2</w:t>
      </w:r>
      <w:r>
        <w:rPr/>
        <w:t>。</w:t>
      </w:r>
    </w:p>
    <w:p>
      <w:pPr>
        <w:pStyle w:val="BodyText"/>
        <w:spacing w:line="460" w:lineRule="exact"/>
        <w:ind w:left="938"/>
      </w:pPr>
      <w:r>
        <w:rPr/>
        <w:t>（</w:t>
      </w:r>
      <w:r>
        <w:rPr>
          <w:rFonts w:ascii="Times New Roman" w:eastAsia="Times New Roman"/>
        </w:rPr>
        <w:t>3</w:t>
      </w:r>
      <w:r>
        <w:rPr/>
        <w:t>）山丘基岩一般富水区</w:t>
      </w:r>
    </w:p>
    <w:p>
      <w:pPr>
        <w:pStyle w:val="BodyText"/>
        <w:spacing w:line="220" w:lineRule="auto" w:before="8"/>
        <w:ind w:left="578" w:right="753" w:firstLine="479"/>
      </w:pPr>
      <w:r>
        <w:rPr>
          <w:spacing w:val="-8"/>
        </w:rPr>
        <w:t>地质为风化片麻岩，风化裂隙成为地下水储存的主要空间。上部为亚砂土， </w:t>
      </w:r>
      <w:r>
        <w:rPr>
          <w:spacing w:val="-2"/>
        </w:rPr>
        <w:t>厚 </w:t>
      </w:r>
      <w:r>
        <w:rPr>
          <w:rFonts w:ascii="Times New Roman" w:eastAsia="Times New Roman"/>
        </w:rPr>
        <w:t>1</w:t>
      </w:r>
      <w:r>
        <w:rPr/>
        <w:t>～</w:t>
      </w:r>
      <w:r>
        <w:rPr>
          <w:rFonts w:ascii="Times New Roman" w:eastAsia="Times New Roman"/>
        </w:rPr>
        <w:t>3m</w:t>
      </w:r>
      <w:r>
        <w:rPr/>
        <w:t>。下部风化层厚 </w:t>
      </w:r>
      <w:r>
        <w:rPr>
          <w:rFonts w:ascii="Times New Roman" w:eastAsia="Times New Roman"/>
        </w:rPr>
        <w:t>3</w:t>
      </w:r>
      <w:r>
        <w:rPr/>
        <w:t>～</w:t>
      </w:r>
      <w:r>
        <w:rPr>
          <w:rFonts w:ascii="Times New Roman" w:eastAsia="Times New Roman"/>
        </w:rPr>
        <w:t>15m</w:t>
      </w:r>
      <w:r>
        <w:rPr>
          <w:spacing w:val="1"/>
        </w:rPr>
        <w:t>，单井涌水 </w:t>
      </w:r>
      <w:r>
        <w:rPr>
          <w:rFonts w:ascii="Times New Roman" w:eastAsia="Times New Roman"/>
        </w:rPr>
        <w:t>5</w:t>
      </w:r>
      <w:r>
        <w:rPr/>
        <w:t>～</w:t>
      </w:r>
      <w:r>
        <w:rPr>
          <w:rFonts w:ascii="Times New Roman" w:eastAsia="Times New Roman"/>
        </w:rPr>
        <w:t>20m</w:t>
      </w:r>
      <w:r>
        <w:rPr>
          <w:rFonts w:ascii="Times New Roman" w:eastAsia="Times New Roman"/>
          <w:position w:val="9"/>
          <w:sz w:val="16"/>
        </w:rPr>
        <w:t>3</w:t>
      </w:r>
      <w:r>
        <w:rPr>
          <w:rFonts w:ascii="Times New Roman" w:eastAsia="Times New Roman"/>
        </w:rPr>
        <w:t>/h</w:t>
      </w:r>
      <w:r>
        <w:rPr>
          <w:spacing w:val="-1"/>
        </w:rPr>
        <w:t>，分布在板泉镇东部、</w:t>
      </w:r>
    </w:p>
    <w:p>
      <w:pPr>
        <w:spacing w:after="0" w:line="220" w:lineRule="auto"/>
        <w:sectPr>
          <w:pgSz w:w="11910" w:h="16840"/>
          <w:pgMar w:header="877" w:footer="973" w:top="1340" w:bottom="1160" w:left="1220" w:right="1040"/>
        </w:sectPr>
      </w:pPr>
    </w:p>
    <w:p>
      <w:pPr>
        <w:pStyle w:val="BodyText"/>
        <w:spacing w:line="488" w:lineRule="exact" w:before="48"/>
        <w:ind w:left="578"/>
      </w:pPr>
      <w:r>
        <w:rPr/>
        <w:t>相沟乡北部、十字路镇南部及岚兖公路以南地区。总面积 </w:t>
      </w:r>
      <w:r>
        <w:rPr>
          <w:rFonts w:ascii="Times New Roman" w:eastAsia="Times New Roman"/>
        </w:rPr>
        <w:t>779.23km</w:t>
      </w:r>
      <w:r>
        <w:rPr>
          <w:rFonts w:ascii="Times New Roman" w:eastAsia="Times New Roman"/>
          <w:position w:val="9"/>
          <w:sz w:val="16"/>
        </w:rPr>
        <w:t>2</w:t>
      </w:r>
      <w:r>
        <w:rPr/>
        <w:t>。</w:t>
      </w:r>
    </w:p>
    <w:p>
      <w:pPr>
        <w:pStyle w:val="BodyText"/>
        <w:spacing w:line="468" w:lineRule="exact"/>
        <w:ind w:left="938"/>
      </w:pPr>
      <w:r>
        <w:rPr/>
        <w:t>（</w:t>
      </w:r>
      <w:r>
        <w:rPr>
          <w:rFonts w:ascii="Times New Roman" w:eastAsia="Times New Roman"/>
        </w:rPr>
        <w:t>4</w:t>
      </w:r>
      <w:r>
        <w:rPr/>
        <w:t>）基岩贫水区</w:t>
      </w:r>
    </w:p>
    <w:p>
      <w:pPr>
        <w:pStyle w:val="BodyText"/>
        <w:spacing w:line="220" w:lineRule="auto" w:before="8"/>
        <w:ind w:left="578" w:right="868" w:firstLine="479"/>
        <w:jc w:val="both"/>
      </w:pPr>
      <w:r>
        <w:rPr/>
        <w:t>主要分布在县境北部、西北部山丘地区。古老的变质岩出露地表，长期受外力作用，风化裂隙较为发育，丘陵地层有一部分亚砂土覆盖，只有低洼带风化层较厚，绝大部分岩石裸露，地下水储量很少，单井出水量 </w:t>
      </w:r>
      <w:r>
        <w:rPr>
          <w:rFonts w:ascii="Times New Roman" w:eastAsia="Times New Roman"/>
        </w:rPr>
        <w:t>5m</w:t>
      </w:r>
      <w:r>
        <w:rPr>
          <w:rFonts w:ascii="Times New Roman" w:eastAsia="Times New Roman"/>
          <w:position w:val="9"/>
          <w:sz w:val="16"/>
        </w:rPr>
        <w:t>3</w:t>
      </w:r>
      <w:r>
        <w:rPr>
          <w:rFonts w:ascii="Times New Roman" w:eastAsia="Times New Roman"/>
        </w:rPr>
        <w:t>/h</w:t>
      </w:r>
      <w:r>
        <w:rPr/>
        <w:t>，有些地</w:t>
      </w:r>
      <w:r>
        <w:rPr>
          <w:spacing w:val="-5"/>
        </w:rPr>
        <w:t>区甚至无水。面积 </w:t>
      </w:r>
      <w:r>
        <w:rPr>
          <w:rFonts w:ascii="Times New Roman" w:eastAsia="Times New Roman"/>
        </w:rPr>
        <w:t>664.27km</w:t>
      </w:r>
      <w:r>
        <w:rPr>
          <w:rFonts w:ascii="Times New Roman" w:eastAsia="Times New Roman"/>
          <w:position w:val="9"/>
          <w:sz w:val="16"/>
        </w:rPr>
        <w:t>2</w:t>
      </w:r>
      <w:r>
        <w:rPr>
          <w:spacing w:val="-9"/>
        </w:rPr>
        <w:t>。项目区地下水类型主要以第四系潜水，存在于基岩裂隙中，主要接受大气降水补给，侧向径流。多年最高水位为 </w:t>
      </w:r>
      <w:r>
        <w:rPr>
          <w:rFonts w:ascii="Times New Roman" w:eastAsia="Times New Roman"/>
        </w:rPr>
        <w:t>1.8m</w:t>
      </w:r>
      <w:r>
        <w:rPr>
          <w:spacing w:val="-3"/>
        </w:rPr>
        <w:t>。综上分析，项目区含水层不属于富水区，且透水性较差，因此地下水含水层易污染特征分级为不易。地下水的补给来源主要来自大气降水和地表径流，排泄方式主要为大气蒸发、渗流和人为取水。项目周边区域水文地质图见图 </w:t>
      </w:r>
      <w:r>
        <w:rPr>
          <w:rFonts w:ascii="Times New Roman" w:eastAsia="Times New Roman"/>
        </w:rPr>
        <w:t>5.1-3</w:t>
      </w:r>
      <w:r>
        <w:rPr/>
        <w:t>。</w:t>
      </w:r>
    </w:p>
    <w:p>
      <w:pPr>
        <w:pStyle w:val="Heading5"/>
        <w:numPr>
          <w:ilvl w:val="2"/>
          <w:numId w:val="4"/>
        </w:numPr>
        <w:tabs>
          <w:tab w:pos="1279" w:val="left" w:leader="none"/>
        </w:tabs>
        <w:spacing w:line="592" w:lineRule="exact" w:before="6" w:after="0"/>
        <w:ind w:left="1278" w:right="0" w:hanging="700"/>
        <w:jc w:val="left"/>
      </w:pPr>
      <w:r>
        <w:rPr/>
        <w:t>水源保护地</w:t>
      </w:r>
    </w:p>
    <w:p>
      <w:pPr>
        <w:pStyle w:val="BodyText"/>
        <w:spacing w:line="220" w:lineRule="auto" w:before="26"/>
        <w:ind w:left="578" w:right="872" w:firstLine="479"/>
        <w:jc w:val="both"/>
      </w:pPr>
      <w:r>
        <w:rPr>
          <w:spacing w:val="1"/>
        </w:rPr>
        <w:t>根据 </w:t>
      </w:r>
      <w:r>
        <w:rPr>
          <w:rFonts w:ascii="Times New Roman" w:eastAsia="Times New Roman"/>
        </w:rPr>
        <w:t>2009 </w:t>
      </w:r>
      <w:r>
        <w:rPr>
          <w:spacing w:val="-8"/>
        </w:rPr>
        <w:t>年临沂市编制的《临沂市饮用水源地环境保护规划》可知，莒南县辖区的集中饮用水水源保护区主要为莒南县石泉湖水库。保护区具体划分情况如下：</w:t>
      </w:r>
    </w:p>
    <w:p>
      <w:pPr>
        <w:pStyle w:val="BodyText"/>
        <w:spacing w:line="220" w:lineRule="auto" w:before="1"/>
        <w:ind w:left="578" w:right="770" w:firstLine="479"/>
        <w:jc w:val="both"/>
      </w:pPr>
      <w:r>
        <w:rPr/>
        <w:t>一级保护区：水域范围为正常水位线以下的全部水域面积；陆域范围为取水口侧正常水位线以上 </w:t>
      </w:r>
      <w:r>
        <w:rPr>
          <w:rFonts w:ascii="Times New Roman" w:eastAsia="Times New Roman"/>
        </w:rPr>
        <w:t>200m </w:t>
      </w:r>
      <w:r>
        <w:rPr/>
        <w:t>范围内的陆域，河流入库口 </w:t>
      </w:r>
      <w:r>
        <w:rPr>
          <w:rFonts w:ascii="Times New Roman" w:eastAsia="Times New Roman"/>
        </w:rPr>
        <w:t>100m </w:t>
      </w:r>
      <w:r>
        <w:rPr/>
        <w:t>范围内的陆域、正常水位线外 </w:t>
      </w:r>
      <w:r>
        <w:rPr>
          <w:rFonts w:ascii="Times New Roman" w:eastAsia="Times New Roman"/>
        </w:rPr>
        <w:t>50m </w:t>
      </w:r>
      <w:r>
        <w:rPr/>
        <w:t>范围内的陆域，但不超过流域分水岭范围，保护面积为</w:t>
      </w:r>
    </w:p>
    <w:p>
      <w:pPr>
        <w:pStyle w:val="BodyText"/>
        <w:spacing w:line="460" w:lineRule="exact"/>
        <w:ind w:left="578"/>
      </w:pPr>
      <w:r>
        <w:rPr>
          <w:rFonts w:ascii="Times New Roman" w:eastAsia="Times New Roman"/>
        </w:rPr>
        <w:t>11.56km</w:t>
      </w:r>
      <w:r>
        <w:rPr>
          <w:rFonts w:ascii="Times New Roman" w:eastAsia="Times New Roman"/>
          <w:position w:val="9"/>
          <w:sz w:val="16"/>
        </w:rPr>
        <w:t>2</w:t>
      </w:r>
      <w:r>
        <w:rPr/>
        <w:t>。</w:t>
      </w:r>
    </w:p>
    <w:p>
      <w:pPr>
        <w:pStyle w:val="BodyText"/>
        <w:spacing w:line="220" w:lineRule="auto" w:before="8"/>
        <w:ind w:left="578" w:right="874" w:firstLine="479"/>
        <w:jc w:val="both"/>
      </w:pPr>
      <w:r>
        <w:rPr/>
        <w:t>二级保护区：水域范围为一级保护区边界外的水域面积；陆域范围为水库</w:t>
      </w:r>
      <w:r>
        <w:rPr>
          <w:spacing w:val="-2"/>
        </w:rPr>
        <w:t>周边山脊线以内</w:t>
      </w:r>
      <w:r>
        <w:rPr/>
        <w:t>（一级保护区以外</w:t>
      </w:r>
      <w:r>
        <w:rPr>
          <w:spacing w:val="-12"/>
        </w:rPr>
        <w:t>）</w:t>
      </w:r>
      <w:r>
        <w:rPr/>
        <w:t>及入库河流上溯到 </w:t>
      </w:r>
      <w:r>
        <w:rPr>
          <w:rFonts w:ascii="Times New Roman" w:eastAsia="Times New Roman"/>
        </w:rPr>
        <w:t>3000m </w:t>
      </w:r>
      <w:r>
        <w:rPr>
          <w:spacing w:val="-2"/>
        </w:rPr>
        <w:t>的汇水区域，保</w:t>
      </w:r>
      <w:r>
        <w:rPr>
          <w:spacing w:val="-1"/>
        </w:rPr>
        <w:t>护面积为 </w:t>
      </w:r>
      <w:r>
        <w:rPr>
          <w:rFonts w:ascii="Times New Roman" w:eastAsia="Times New Roman"/>
        </w:rPr>
        <w:t>83.36km</w:t>
      </w:r>
      <w:r>
        <w:rPr>
          <w:rFonts w:ascii="Times New Roman" w:eastAsia="Times New Roman"/>
          <w:position w:val="9"/>
          <w:sz w:val="16"/>
        </w:rPr>
        <w:t>2</w:t>
      </w:r>
      <w:r>
        <w:rPr/>
        <w:t>。</w:t>
      </w:r>
    </w:p>
    <w:p>
      <w:pPr>
        <w:pStyle w:val="BodyText"/>
        <w:spacing w:line="460" w:lineRule="exact"/>
        <w:ind w:left="1058"/>
      </w:pPr>
      <w:r>
        <w:rPr/>
        <w:t>准保护区：二级保护区以外的汇水区域，保护面积为 </w:t>
      </w:r>
      <w:r>
        <w:rPr>
          <w:rFonts w:ascii="Times New Roman" w:eastAsia="Times New Roman"/>
        </w:rPr>
        <w:t>117.37km</w:t>
      </w:r>
      <w:r>
        <w:rPr>
          <w:rFonts w:ascii="Times New Roman" w:eastAsia="Times New Roman"/>
          <w:position w:val="9"/>
          <w:sz w:val="16"/>
        </w:rPr>
        <w:t>2</w:t>
      </w:r>
      <w:r>
        <w:rPr/>
        <w:t>。</w:t>
      </w:r>
    </w:p>
    <w:p>
      <w:pPr>
        <w:pStyle w:val="BodyText"/>
        <w:spacing w:line="220" w:lineRule="auto" w:before="8"/>
        <w:ind w:left="578" w:right="752" w:firstLine="479"/>
        <w:jc w:val="both"/>
      </w:pPr>
      <w:r>
        <w:rPr>
          <w:spacing w:val="3"/>
        </w:rPr>
        <w:t>本项目位于石泉湖水库西南方向约 </w:t>
      </w:r>
      <w:r>
        <w:rPr>
          <w:rFonts w:ascii="Times New Roman" w:hAnsi="Times New Roman" w:eastAsia="Times New Roman"/>
        </w:rPr>
        <w:t>10km </w:t>
      </w:r>
      <w:r>
        <w:rPr>
          <w:spacing w:val="-2"/>
        </w:rPr>
        <w:t>处，不在石泉湖水库一级、二级</w:t>
      </w:r>
      <w:r>
        <w:rPr>
          <w:spacing w:val="-9"/>
        </w:rPr>
        <w:t>保护区和准保护区内；项目厂址不位于水源保护地上游，与之不发生水力联系。因此，项目建设不会对莒南县辖区的集中饮用水水源保护区</w:t>
      </w:r>
      <w:r>
        <w:rPr>
          <w:rFonts w:ascii="Times New Roman" w:hAnsi="Times New Roman" w:eastAsia="Times New Roman"/>
        </w:rPr>
        <w:t>——</w:t>
      </w:r>
      <w:r>
        <w:rPr/>
        <w:t>石泉湖水库造成影响。</w:t>
      </w:r>
    </w:p>
    <w:p>
      <w:pPr>
        <w:pStyle w:val="BodyText"/>
        <w:spacing w:line="480" w:lineRule="exact"/>
        <w:ind w:left="1058"/>
      </w:pPr>
      <w:r>
        <w:rPr/>
        <w:t>项目所在区莒南县饮用水源地环境保护规划图见图 </w:t>
      </w:r>
      <w:r>
        <w:rPr>
          <w:rFonts w:ascii="Times New Roman" w:eastAsia="Times New Roman"/>
        </w:rPr>
        <w:t>5.1-4</w:t>
      </w:r>
      <w:r>
        <w:rPr/>
        <w:t>。</w:t>
      </w:r>
    </w:p>
    <w:p>
      <w:pPr>
        <w:spacing w:after="0" w:line="480" w:lineRule="exact"/>
        <w:sectPr>
          <w:pgSz w:w="11910" w:h="16840"/>
          <w:pgMar w:header="877" w:footer="973" w:top="1340" w:bottom="1160" w:left="1220" w:right="1040"/>
        </w:sectPr>
      </w:pPr>
    </w:p>
    <w:p>
      <w:pPr>
        <w:pStyle w:val="BodyText"/>
        <w:spacing w:before="19"/>
        <w:rPr>
          <w:sz w:val="6"/>
        </w:rPr>
      </w:pPr>
    </w:p>
    <w:p>
      <w:pPr>
        <w:spacing w:line="528" w:lineRule="exact" w:before="0"/>
        <w:ind w:left="578" w:right="0" w:firstLine="0"/>
        <w:jc w:val="left"/>
        <w:rPr>
          <w:sz w:val="28"/>
        </w:rPr>
      </w:pPr>
      <w:r>
        <w:rPr>
          <w:rFonts w:ascii="Times New Roman" w:eastAsia="Times New Roman"/>
          <w:b/>
          <w:sz w:val="28"/>
        </w:rPr>
        <w:t>5.1.6 </w:t>
      </w:r>
      <w:r>
        <w:rPr>
          <w:sz w:val="28"/>
        </w:rPr>
        <w:t>气候气象</w:t>
      </w:r>
    </w:p>
    <w:p>
      <w:pPr>
        <w:pStyle w:val="BodyText"/>
        <w:spacing w:line="220" w:lineRule="auto" w:before="26"/>
        <w:ind w:left="578" w:right="752" w:firstLine="479"/>
      </w:pPr>
      <w:r>
        <w:rPr/>
        <w:t>莒南县属暖温带季风区半湿润大陆性气候，大陆度 </w:t>
      </w:r>
      <w:r>
        <w:rPr>
          <w:rFonts w:ascii="Times New Roman" w:hAnsi="Times New Roman" w:eastAsia="Times New Roman"/>
        </w:rPr>
        <w:t>61.1%</w:t>
      </w:r>
      <w:r>
        <w:rPr/>
        <w:t>。春季温暖，干</w:t>
      </w:r>
      <w:r>
        <w:rPr>
          <w:spacing w:val="-10"/>
        </w:rPr>
        <w:t>燥多风；夏季湿热，雨量充沛；秋季凉爽，昼夜温差大；冬季寒冷，雨雪稀少。四季分明，光照充足，无霜期长。莒南县常年主导风向为东南风；春、夏、秋季多为东南风，冬季为西北风，年平均风速为 </w:t>
      </w:r>
      <w:r>
        <w:rPr>
          <w:rFonts w:ascii="Times New Roman" w:hAnsi="Times New Roman" w:eastAsia="Times New Roman"/>
        </w:rPr>
        <w:t>3.1m/s</w:t>
      </w:r>
      <w:r>
        <w:rPr/>
        <w:t>；年平均气温 </w:t>
      </w:r>
      <w:r>
        <w:rPr>
          <w:rFonts w:ascii="Times New Roman" w:hAnsi="Times New Roman" w:eastAsia="Times New Roman"/>
        </w:rPr>
        <w:t>13.7</w:t>
      </w:r>
      <w:r>
        <w:rPr/>
        <w:t>℃，极端最高气温 </w:t>
      </w:r>
      <w:r>
        <w:rPr>
          <w:rFonts w:ascii="Times New Roman" w:hAnsi="Times New Roman" w:eastAsia="Times New Roman"/>
        </w:rPr>
        <w:t>38.9</w:t>
      </w:r>
      <w:r>
        <w:rPr/>
        <w:t>℃，极端最低气温</w:t>
      </w:r>
      <w:r>
        <w:rPr>
          <w:rFonts w:ascii="Times New Roman" w:hAnsi="Times New Roman" w:eastAsia="Times New Roman"/>
        </w:rPr>
        <w:t>-19.2</w:t>
      </w:r>
      <w:r>
        <w:rPr/>
        <w:t>℃，一月份最冷，月平均气温</w:t>
      </w:r>
      <w:r>
        <w:rPr>
          <w:rFonts w:ascii="Times New Roman" w:hAnsi="Times New Roman" w:eastAsia="Times New Roman"/>
        </w:rPr>
        <w:t>-1.9</w:t>
      </w:r>
      <w:r>
        <w:rPr/>
        <w:t>℃，七月份最热，月平均气温 </w:t>
      </w:r>
      <w:r>
        <w:rPr>
          <w:rFonts w:ascii="Times New Roman" w:hAnsi="Times New Roman" w:eastAsia="Times New Roman"/>
        </w:rPr>
        <w:t>25.5</w:t>
      </w:r>
      <w:r>
        <w:rPr/>
        <w:t>℃。冬季天气干燥寒冷，秋季凉爽。莒南县常年平均降水量为 </w:t>
      </w:r>
      <w:r>
        <w:rPr>
          <w:rFonts w:ascii="Times New Roman" w:hAnsi="Times New Roman" w:eastAsia="Times New Roman"/>
        </w:rPr>
        <w:t>856.7mm</w:t>
      </w:r>
      <w:r>
        <w:rPr/>
        <w:t>，主要集中在 </w:t>
      </w:r>
      <w:r>
        <w:rPr>
          <w:rFonts w:ascii="Times New Roman" w:hAnsi="Times New Roman" w:eastAsia="Times New Roman"/>
        </w:rPr>
        <w:t>7</w:t>
      </w:r>
      <w:r>
        <w:rPr/>
        <w:t>～</w:t>
      </w:r>
      <w:r>
        <w:rPr>
          <w:rFonts w:ascii="Times New Roman" w:hAnsi="Times New Roman" w:eastAsia="Times New Roman"/>
        </w:rPr>
        <w:t>9 </w:t>
      </w:r>
      <w:r>
        <w:rPr/>
        <w:t>月份。最大年降水量为 </w:t>
      </w:r>
      <w:r>
        <w:rPr>
          <w:rFonts w:ascii="Times New Roman" w:hAnsi="Times New Roman" w:eastAsia="Times New Roman"/>
        </w:rPr>
        <w:t>1314.2mm</w:t>
      </w:r>
      <w:r>
        <w:rPr/>
        <w:t>，最小年降水量为 </w:t>
      </w:r>
      <w:r>
        <w:rPr>
          <w:rFonts w:ascii="Times New Roman" w:hAnsi="Times New Roman" w:eastAsia="Times New Roman"/>
        </w:rPr>
        <w:t>494.9mm</w:t>
      </w:r>
      <w:r>
        <w:rPr/>
        <w:t>（</w:t>
      </w:r>
      <w:r>
        <w:rPr>
          <w:rFonts w:ascii="Times New Roman" w:hAnsi="Times New Roman" w:eastAsia="Times New Roman"/>
        </w:rPr>
        <w:t>1981 </w:t>
      </w:r>
      <w:r>
        <w:rPr/>
        <w:t>年），夏季降水相对集中，约占全年总量的</w:t>
      </w:r>
    </w:p>
    <w:p>
      <w:pPr>
        <w:pStyle w:val="BodyText"/>
        <w:spacing w:line="453" w:lineRule="exact"/>
        <w:ind w:left="578"/>
      </w:pPr>
      <w:r>
        <w:rPr>
          <w:rFonts w:ascii="Times New Roman" w:eastAsia="Times New Roman"/>
        </w:rPr>
        <w:t>63.6%</w:t>
      </w:r>
      <w:r>
        <w:rPr/>
        <w:t>。莒南县光热资源丰富，年平均日照时数为 </w:t>
      </w:r>
      <w:r>
        <w:rPr>
          <w:rFonts w:ascii="Times New Roman" w:eastAsia="Times New Roman"/>
        </w:rPr>
        <w:t>2434.6h</w:t>
      </w:r>
      <w:r>
        <w:rPr/>
        <w:t>，无霜期 </w:t>
      </w:r>
      <w:r>
        <w:rPr>
          <w:rFonts w:ascii="Times New Roman" w:eastAsia="Times New Roman"/>
        </w:rPr>
        <w:t>200 </w:t>
      </w:r>
      <w:r>
        <w:rPr/>
        <w:t>天。</w:t>
      </w:r>
    </w:p>
    <w:p>
      <w:pPr>
        <w:pStyle w:val="Heading3"/>
        <w:numPr>
          <w:ilvl w:val="1"/>
          <w:numId w:val="5"/>
        </w:numPr>
        <w:tabs>
          <w:tab w:pos="1140" w:val="left" w:leader="none"/>
        </w:tabs>
        <w:spacing w:line="648" w:lineRule="exact" w:before="0" w:after="0"/>
        <w:ind w:left="1139" w:right="0" w:hanging="561"/>
        <w:jc w:val="left"/>
        <w:rPr>
          <w:rFonts w:ascii="Times New Roman" w:eastAsia="Times New Roman"/>
        </w:rPr>
      </w:pPr>
      <w:r>
        <w:rPr>
          <w:rFonts w:ascii="Noto Sans CJK JP Regular" w:eastAsia="Noto Sans CJK JP Regular" w:hint="eastAsia"/>
        </w:rPr>
        <w:t>社会环境概况</w:t>
      </w:r>
    </w:p>
    <w:p>
      <w:pPr>
        <w:pStyle w:val="Heading5"/>
        <w:numPr>
          <w:ilvl w:val="2"/>
          <w:numId w:val="5"/>
        </w:numPr>
        <w:tabs>
          <w:tab w:pos="1279" w:val="left" w:leader="none"/>
        </w:tabs>
        <w:spacing w:line="588" w:lineRule="exact" w:before="0" w:after="0"/>
        <w:ind w:left="1278" w:right="0" w:hanging="700"/>
        <w:jc w:val="left"/>
        <w:rPr>
          <w:rFonts w:ascii="Times New Roman" w:eastAsia="Times New Roman"/>
        </w:rPr>
      </w:pPr>
      <w:r>
        <w:rPr/>
        <w:t>莒南县社会简况</w:t>
      </w:r>
    </w:p>
    <w:p>
      <w:pPr>
        <w:pStyle w:val="BodyText"/>
        <w:spacing w:line="220" w:lineRule="auto" w:before="27"/>
        <w:ind w:left="578" w:right="751" w:firstLine="479"/>
        <w:jc w:val="both"/>
      </w:pPr>
      <w:r>
        <w:rPr/>
        <w:t>莒南县位于山东省东南部鲁苏交界处，东与新兴港城日照市相邻，紧靠岚山港，南与新亚欧大陆桥东桥头堡</w:t>
      </w:r>
      <w:r>
        <w:rPr>
          <w:rFonts w:ascii="Times New Roman" w:hAnsi="Times New Roman" w:eastAsia="Times New Roman"/>
        </w:rPr>
        <w:t>——</w:t>
      </w:r>
      <w:r>
        <w:rPr/>
        <w:t>江苏省连云港市接壤，西与临沂市河东</w:t>
      </w:r>
      <w:r>
        <w:rPr>
          <w:spacing w:val="-7"/>
        </w:rPr>
        <w:t>区毗邻，北与日照市莒县相接。全县辖 </w:t>
      </w:r>
      <w:r>
        <w:rPr>
          <w:rFonts w:ascii="Times New Roman" w:hAnsi="Times New Roman" w:eastAsia="Times New Roman"/>
        </w:rPr>
        <w:t>18 </w:t>
      </w:r>
      <w:r>
        <w:rPr>
          <w:spacing w:val="-8"/>
        </w:rPr>
        <w:t>处乡镇</w:t>
      </w:r>
      <w:r>
        <w:rPr/>
        <w:t>（</w:t>
      </w:r>
      <w:r>
        <w:rPr>
          <w:rFonts w:ascii="Times New Roman" w:hAnsi="Times New Roman" w:eastAsia="Times New Roman"/>
        </w:rPr>
        <w:t>16 </w:t>
      </w:r>
      <w:r>
        <w:rPr>
          <w:spacing w:val="3"/>
        </w:rPr>
        <w:t>镇 </w:t>
      </w:r>
      <w:r>
        <w:rPr>
          <w:rFonts w:ascii="Times New Roman" w:hAnsi="Times New Roman" w:eastAsia="Times New Roman"/>
        </w:rPr>
        <w:t>2 </w:t>
      </w:r>
      <w:r>
        <w:rPr/>
        <w:t>乡</w:t>
      </w:r>
      <w:r>
        <w:rPr>
          <w:spacing w:val="-120"/>
        </w:rPr>
        <w:t>）</w:t>
      </w:r>
      <w:r>
        <w:rPr>
          <w:spacing w:val="-21"/>
        </w:rPr>
        <w:t>，</w:t>
      </w:r>
      <w:r>
        <w:rPr>
          <w:rFonts w:ascii="Times New Roman" w:hAnsi="Times New Roman" w:eastAsia="Times New Roman"/>
        </w:rPr>
        <w:t>937 </w:t>
      </w:r>
      <w:r>
        <w:rPr/>
        <w:t>个行政村，</w:t>
      </w:r>
    </w:p>
    <w:p>
      <w:pPr>
        <w:pStyle w:val="BodyText"/>
        <w:spacing w:line="460" w:lineRule="exact"/>
        <w:ind w:left="578"/>
      </w:pPr>
      <w:r>
        <w:rPr>
          <w:rFonts w:ascii="Times New Roman" w:eastAsia="Times New Roman"/>
        </w:rPr>
        <w:t>99 </w:t>
      </w:r>
      <w:r>
        <w:rPr/>
        <w:t>万人口；总面积 </w:t>
      </w:r>
      <w:r>
        <w:rPr>
          <w:rFonts w:ascii="Times New Roman" w:eastAsia="Times New Roman"/>
        </w:rPr>
        <w:t>1752km</w:t>
      </w:r>
      <w:r>
        <w:rPr>
          <w:rFonts w:ascii="Times New Roman" w:eastAsia="Times New Roman"/>
          <w:position w:val="9"/>
          <w:sz w:val="16"/>
        </w:rPr>
        <w:t>2</w:t>
      </w:r>
      <w:r>
        <w:rPr/>
        <w:t>，</w:t>
      </w:r>
      <w:r>
        <w:rPr>
          <w:rFonts w:ascii="Times New Roman" w:eastAsia="Times New Roman"/>
        </w:rPr>
        <w:t>109 </w:t>
      </w:r>
      <w:r>
        <w:rPr/>
        <w:t>万亩耕地，其中丘陵、山地占 </w:t>
      </w:r>
      <w:r>
        <w:rPr>
          <w:rFonts w:ascii="Times New Roman" w:eastAsia="Times New Roman"/>
        </w:rPr>
        <w:t>71%</w:t>
      </w:r>
      <w:r>
        <w:rPr/>
        <w:t>，平原占</w:t>
      </w:r>
    </w:p>
    <w:p>
      <w:pPr>
        <w:pStyle w:val="BodyText"/>
        <w:spacing w:line="468" w:lineRule="exact"/>
        <w:ind w:left="578"/>
      </w:pPr>
      <w:r>
        <w:rPr>
          <w:rFonts w:ascii="Times New Roman" w:eastAsia="Times New Roman"/>
        </w:rPr>
        <w:t>29%</w:t>
      </w:r>
      <w:r>
        <w:rPr/>
        <w:t>。</w:t>
      </w:r>
    </w:p>
    <w:p>
      <w:pPr>
        <w:pStyle w:val="BodyText"/>
        <w:spacing w:line="220" w:lineRule="auto" w:before="8"/>
        <w:ind w:left="578" w:right="873" w:firstLine="479"/>
        <w:jc w:val="both"/>
      </w:pPr>
      <w:r>
        <w:rPr/>
        <w:t>莒南县物产资源十分丰富，农业产业化经营初具规模。莒南县属暖温带季风区半湿润大陆性气候，适宜农作物生长，是全国重要粮油生产基地，现已建立起花生、黄烟、桑蚕、蔬菜、苹果、板栗、茶叶、生猪、牛羊兔等十大特色产业，其中花生单产、总产分别居全国第一和第二位，兴办了 </w:t>
      </w:r>
      <w:r>
        <w:rPr>
          <w:rFonts w:ascii="Times New Roman" w:hAnsi="Times New Roman" w:eastAsia="Times New Roman"/>
        </w:rPr>
        <w:t>300 </w:t>
      </w:r>
      <w:r>
        <w:rPr/>
        <w:t>多家农字号工商企业，农业产业化进程不断加快。先后被评为全国商品粮大县，油料、果品、肉类生产百强县，花生生产出口基地县和全省苹果、桑蚕、茶叶生产重点县，是中国</w:t>
      </w:r>
      <w:r>
        <w:rPr>
          <w:rFonts w:ascii="Times New Roman" w:hAnsi="Times New Roman" w:eastAsia="Times New Roman"/>
        </w:rPr>
        <w:t>“</w:t>
      </w:r>
      <w:r>
        <w:rPr/>
        <w:t>花生之乡</w:t>
      </w:r>
      <w:r>
        <w:rPr>
          <w:rFonts w:ascii="Times New Roman" w:hAnsi="Times New Roman" w:eastAsia="Times New Roman"/>
        </w:rPr>
        <w:t>”</w:t>
      </w:r>
      <w:r>
        <w:rPr/>
        <w:t>、</w:t>
      </w:r>
      <w:r>
        <w:rPr>
          <w:rFonts w:ascii="Times New Roman" w:hAnsi="Times New Roman" w:eastAsia="Times New Roman"/>
        </w:rPr>
        <w:t>“</w:t>
      </w:r>
      <w:r>
        <w:rPr/>
        <w:t>板栗之乡</w:t>
      </w:r>
      <w:r>
        <w:rPr>
          <w:rFonts w:ascii="Times New Roman" w:hAnsi="Times New Roman" w:eastAsia="Times New Roman"/>
        </w:rPr>
        <w:t>”</w:t>
      </w:r>
      <w:r>
        <w:rPr/>
        <w:t>、</w:t>
      </w:r>
      <w:r>
        <w:rPr>
          <w:rFonts w:ascii="Times New Roman" w:hAnsi="Times New Roman" w:eastAsia="Times New Roman"/>
        </w:rPr>
        <w:t>“</w:t>
      </w:r>
      <w:r>
        <w:rPr/>
        <w:t>茶叶之乡</w:t>
      </w:r>
      <w:r>
        <w:rPr>
          <w:rFonts w:ascii="Times New Roman" w:hAnsi="Times New Roman" w:eastAsia="Times New Roman"/>
        </w:rPr>
        <w:t>”</w:t>
      </w:r>
      <w:r>
        <w:rPr/>
        <w:t>。</w:t>
      </w:r>
    </w:p>
    <w:p>
      <w:pPr>
        <w:pStyle w:val="BodyText"/>
        <w:spacing w:line="220" w:lineRule="auto"/>
        <w:ind w:left="578" w:right="871" w:firstLine="479"/>
        <w:jc w:val="both"/>
      </w:pPr>
      <w:r>
        <w:rPr/>
        <w:t>莒南县工业生产发展迅速，对外经贸势头强劲。现已形成以轻工、纺织、化工、机械、建材、食品、工艺美术等产业为骨干，以福瑞集团、宇达集团、路克士集团、春园集团等十二家省以上大中型企业为代表的门类比较齐全的工</w:t>
      </w:r>
      <w:r>
        <w:rPr>
          <w:spacing w:val="-9"/>
        </w:rPr>
        <w:t>业体系，多种系列产品已打入国际市场。目前，该县已与 </w:t>
      </w:r>
      <w:r>
        <w:rPr>
          <w:rFonts w:ascii="Times New Roman" w:eastAsia="Times New Roman"/>
        </w:rPr>
        <w:t>40 </w:t>
      </w:r>
      <w:r>
        <w:rPr/>
        <w:t>多个国家和地区建</w:t>
      </w:r>
    </w:p>
    <w:p>
      <w:pPr>
        <w:spacing w:after="0" w:line="220" w:lineRule="auto"/>
        <w:jc w:val="both"/>
        <w:sectPr>
          <w:pgSz w:w="11910" w:h="16840"/>
          <w:pgMar w:header="877" w:footer="973" w:top="1340" w:bottom="1160" w:left="1220" w:right="1040"/>
        </w:sectPr>
      </w:pPr>
    </w:p>
    <w:p>
      <w:pPr>
        <w:pStyle w:val="BodyText"/>
        <w:spacing w:line="488" w:lineRule="exact" w:before="48"/>
        <w:ind w:left="578"/>
      </w:pPr>
      <w:r>
        <w:rPr/>
        <w:t>立了稳定的经贸关系，拥有自营进出口权的企业达 </w:t>
      </w:r>
      <w:r>
        <w:rPr>
          <w:rFonts w:ascii="Times New Roman" w:eastAsia="Times New Roman"/>
        </w:rPr>
        <w:t>59 </w:t>
      </w:r>
      <w:r>
        <w:rPr/>
        <w:t>家。</w:t>
      </w:r>
    </w:p>
    <w:p>
      <w:pPr>
        <w:pStyle w:val="BodyText"/>
        <w:spacing w:line="468" w:lineRule="exact"/>
        <w:ind w:left="1060"/>
      </w:pPr>
      <w:r>
        <w:rPr/>
        <w:t>目前开发区共有 </w:t>
      </w:r>
      <w:r>
        <w:rPr>
          <w:rFonts w:ascii="Times New Roman" w:eastAsia="Times New Roman"/>
        </w:rPr>
        <w:t>21 </w:t>
      </w:r>
      <w:r>
        <w:rPr/>
        <w:t>个投资过千万元的项目入区建设，其中过亿元的 </w:t>
      </w:r>
      <w:r>
        <w:rPr>
          <w:rFonts w:ascii="Times New Roman" w:eastAsia="Times New Roman"/>
        </w:rPr>
        <w:t>5 </w:t>
      </w:r>
      <w:r>
        <w:rPr/>
        <w:t>个，</w:t>
      </w:r>
    </w:p>
    <w:p>
      <w:pPr>
        <w:pStyle w:val="BodyText"/>
        <w:spacing w:line="220" w:lineRule="auto" w:before="8"/>
        <w:ind w:left="578" w:right="874"/>
        <w:jc w:val="both"/>
      </w:pPr>
      <w:r>
        <w:rPr/>
        <w:t>总投资额达到 </w:t>
      </w:r>
      <w:r>
        <w:rPr>
          <w:rFonts w:ascii="Times New Roman" w:eastAsia="Times New Roman"/>
        </w:rPr>
        <w:t>16 </w:t>
      </w:r>
      <w:r>
        <w:rPr>
          <w:spacing w:val="-5"/>
        </w:rPr>
        <w:t>亿元，完成固定资产投资 </w:t>
      </w:r>
      <w:r>
        <w:rPr>
          <w:rFonts w:ascii="Times New Roman" w:eastAsia="Times New Roman"/>
        </w:rPr>
        <w:t>12 </w:t>
      </w:r>
      <w:r>
        <w:rPr>
          <w:spacing w:val="-5"/>
        </w:rPr>
        <w:t>亿元，有 </w:t>
      </w:r>
      <w:r>
        <w:rPr>
          <w:rFonts w:ascii="Times New Roman" w:eastAsia="Times New Roman"/>
          <w:spacing w:val="-5"/>
        </w:rPr>
        <w:t>11 </w:t>
      </w:r>
      <w:r>
        <w:rPr>
          <w:spacing w:val="-4"/>
        </w:rPr>
        <w:t>个项目建成投产，初步形成了轻工食品、精细化工产业为支柱的企业结构框架。经调查，项目周边没有受保护的文物古迹和重要的人文景观分布。</w:t>
      </w:r>
    </w:p>
    <w:p>
      <w:pPr>
        <w:pStyle w:val="Heading5"/>
        <w:numPr>
          <w:ilvl w:val="2"/>
          <w:numId w:val="5"/>
        </w:numPr>
        <w:tabs>
          <w:tab w:pos="1279" w:val="left" w:leader="none"/>
        </w:tabs>
        <w:spacing w:line="592" w:lineRule="exact" w:before="6" w:after="0"/>
        <w:ind w:left="1278" w:right="0" w:hanging="700"/>
        <w:jc w:val="left"/>
        <w:rPr>
          <w:rFonts w:ascii="Times New Roman" w:eastAsia="Times New Roman"/>
        </w:rPr>
      </w:pPr>
      <w:r>
        <w:rPr/>
        <w:t>莒南县经济开发区概况</w:t>
      </w:r>
    </w:p>
    <w:p>
      <w:pPr>
        <w:pStyle w:val="BodyText"/>
        <w:spacing w:line="487" w:lineRule="exact"/>
        <w:ind w:left="1060"/>
      </w:pPr>
      <w:r>
        <w:rPr/>
        <w:t>一、概况</w:t>
      </w:r>
    </w:p>
    <w:p>
      <w:pPr>
        <w:pStyle w:val="BodyText"/>
        <w:spacing w:line="468" w:lineRule="exact"/>
        <w:ind w:left="1060"/>
      </w:pPr>
      <w:r>
        <w:rPr/>
        <w:t>莒南经济开发区前身是 </w:t>
      </w:r>
      <w:r>
        <w:rPr>
          <w:rFonts w:ascii="Times New Roman" w:eastAsia="Times New Roman"/>
        </w:rPr>
        <w:t>2001 </w:t>
      </w:r>
      <w:r>
        <w:rPr/>
        <w:t>年由临沂市政府批准设立的莒南民营科技园，</w:t>
      </w:r>
    </w:p>
    <w:p>
      <w:pPr>
        <w:pStyle w:val="BodyText"/>
        <w:spacing w:line="220" w:lineRule="auto" w:before="8"/>
        <w:ind w:left="578" w:right="786"/>
        <w:jc w:val="both"/>
      </w:pPr>
      <w:r>
        <w:rPr>
          <w:rFonts w:ascii="Times New Roman" w:eastAsia="Times New Roman"/>
        </w:rPr>
        <w:t>2006 </w:t>
      </w:r>
      <w:r>
        <w:rPr>
          <w:spacing w:val="3"/>
        </w:rPr>
        <w:t>年 </w:t>
      </w:r>
      <w:r>
        <w:rPr>
          <w:rFonts w:ascii="Times New Roman" w:eastAsia="Times New Roman"/>
        </w:rPr>
        <w:t>3 </w:t>
      </w:r>
      <w:r>
        <w:rPr/>
        <w:t>月山东省人民政府下发了鲁政字</w:t>
      </w:r>
      <w:r>
        <w:rPr>
          <w:rFonts w:ascii="Times New Roman" w:eastAsia="Times New Roman"/>
        </w:rPr>
        <w:t>[2006]71 </w:t>
      </w:r>
      <w:r>
        <w:rPr>
          <w:spacing w:val="-3"/>
        </w:rPr>
        <w:t>号《山东省人民政府关于济</w:t>
      </w:r>
      <w:r>
        <w:rPr>
          <w:spacing w:val="-9"/>
        </w:rPr>
        <w:t>南槐荫工业园区等设立为省级工业园区的通知》，批准将其设立为省级开发区， 同时更名为山东莒南经济开发区，审核面积为 </w:t>
      </w:r>
      <w:r>
        <w:rPr>
          <w:rFonts w:ascii="Times New Roman" w:eastAsia="Times New Roman"/>
        </w:rPr>
        <w:t>3.0km</w:t>
      </w:r>
      <w:r>
        <w:rPr>
          <w:rFonts w:ascii="Times New Roman" w:eastAsia="Times New Roman"/>
          <w:position w:val="9"/>
          <w:sz w:val="16"/>
        </w:rPr>
        <w:t>2</w:t>
      </w:r>
      <w:r>
        <w:rPr>
          <w:spacing w:val="-1"/>
        </w:rPr>
        <w:t>，确立其主导产业为农副产品加工、生物工程和化工行业。</w:t>
      </w:r>
    </w:p>
    <w:p>
      <w:pPr>
        <w:pStyle w:val="BodyText"/>
        <w:spacing w:line="220" w:lineRule="auto"/>
        <w:ind w:left="578" w:right="874" w:firstLine="482"/>
        <w:jc w:val="both"/>
      </w:pPr>
      <w:r>
        <w:rPr>
          <w:spacing w:val="-9"/>
        </w:rPr>
        <w:t>为了促进当地经济发展，莒南县政府于 </w:t>
      </w:r>
      <w:r>
        <w:rPr>
          <w:rFonts w:ascii="Times New Roman" w:eastAsia="Times New Roman"/>
        </w:rPr>
        <w:t>2007 </w:t>
      </w:r>
      <w:r>
        <w:rPr/>
        <w:t>年对该经济开发区范围进行了调整，规划总用地调整为 </w:t>
      </w:r>
      <w:r>
        <w:rPr>
          <w:rFonts w:ascii="Times New Roman" w:eastAsia="Times New Roman"/>
        </w:rPr>
        <w:t>14.49km</w:t>
      </w:r>
      <w:r>
        <w:rPr>
          <w:rFonts w:ascii="Times New Roman" w:eastAsia="Times New Roman"/>
          <w:position w:val="9"/>
          <w:sz w:val="16"/>
        </w:rPr>
        <w:t>2</w:t>
      </w:r>
      <w:r>
        <w:rPr>
          <w:spacing w:val="-1"/>
        </w:rPr>
        <w:t>，调整后开发区环评报告书由原山东省环境保护局以鲁环审</w:t>
      </w:r>
      <w:r>
        <w:rPr>
          <w:rFonts w:ascii="Times New Roman" w:eastAsia="Times New Roman"/>
          <w:spacing w:val="-1"/>
        </w:rPr>
        <w:t>[2008]223 </w:t>
      </w:r>
      <w:r>
        <w:rPr>
          <w:spacing w:val="-8"/>
        </w:rPr>
        <w:t>号文件审查通过。莒南经济开发区规划的产业发展定位：生物工程、精细化工、冶金机械、工艺品制造。开发区在优先发展产业定位的行业同时，还可以吸收符合国家产业政策、能耗低、污染少、科技含量高的其它行业进驻园区。</w:t>
      </w:r>
    </w:p>
    <w:p>
      <w:pPr>
        <w:pStyle w:val="BodyText"/>
        <w:spacing w:line="220" w:lineRule="auto"/>
        <w:ind w:left="578" w:right="876" w:firstLine="482"/>
        <w:jc w:val="both"/>
      </w:pPr>
      <w:r>
        <w:rPr/>
        <w:t>本项目生产类型为机械类项目，属于允许类，且项目生产过程中污染物排放量较少，环境影响较小，符合开发区准入条件。</w:t>
      </w:r>
    </w:p>
    <w:p>
      <w:pPr>
        <w:pStyle w:val="BodyText"/>
        <w:spacing w:line="220" w:lineRule="auto"/>
        <w:ind w:left="578" w:right="874" w:firstLine="482"/>
        <w:jc w:val="both"/>
      </w:pPr>
      <w:r>
        <w:rPr>
          <w:spacing w:val="-3"/>
        </w:rPr>
        <w:t>根据莒南县城市总体规划</w:t>
      </w:r>
      <w:r>
        <w:rPr>
          <w:spacing w:val="-1"/>
        </w:rPr>
        <w:t>（</w:t>
      </w:r>
      <w:r>
        <w:rPr>
          <w:rFonts w:ascii="Times New Roman" w:eastAsia="Times New Roman"/>
          <w:spacing w:val="-1"/>
        </w:rPr>
        <w:t>2010-2030</w:t>
      </w:r>
      <w:r>
        <w:rPr>
          <w:spacing w:val="-1"/>
        </w:rPr>
        <w:t>）</w:t>
      </w:r>
      <w:r>
        <w:rPr>
          <w:spacing w:val="-3"/>
        </w:rPr>
        <w:t>及项目土地证，本项目用地性质为工业用地，选址符合用土地利用规划要求。项目与莒南县城市总体规划关系详</w:t>
      </w:r>
      <w:r>
        <w:rPr>
          <w:spacing w:val="-1"/>
        </w:rPr>
        <w:t>见附图 </w:t>
      </w:r>
      <w:r>
        <w:rPr>
          <w:rFonts w:ascii="Times New Roman" w:eastAsia="Times New Roman"/>
        </w:rPr>
        <w:t>5.2-1</w:t>
      </w:r>
      <w:r>
        <w:rPr/>
        <w:t>。</w:t>
      </w:r>
    </w:p>
    <w:p>
      <w:pPr>
        <w:pStyle w:val="BodyText"/>
        <w:spacing w:line="220" w:lineRule="auto"/>
        <w:ind w:left="1060" w:right="905"/>
      </w:pPr>
      <w:r>
        <w:rPr/>
        <w:t>综合以上分析，该项目开发建设基本符合莒南经济开发区总体规划要求。二、基础设施配套情况</w:t>
      </w:r>
    </w:p>
    <w:p>
      <w:pPr>
        <w:pStyle w:val="BodyText"/>
        <w:spacing w:line="220" w:lineRule="auto"/>
        <w:ind w:left="578" w:right="874" w:firstLine="482"/>
        <w:jc w:val="both"/>
      </w:pPr>
      <w:r>
        <w:rPr/>
        <w:t>污水处理：莒南卓澳水质净化有限公司，处理县城西部及开发区产生的工业废水与生活污水，处理能力为 </w:t>
      </w:r>
      <w:r>
        <w:rPr>
          <w:rFonts w:ascii="Times New Roman" w:eastAsia="Times New Roman"/>
        </w:rPr>
        <w:t>6.0 </w:t>
      </w:r>
      <w:r>
        <w:rPr/>
        <w:t>万 </w:t>
      </w:r>
      <w:r>
        <w:rPr>
          <w:rFonts w:ascii="Times New Roman" w:eastAsia="Times New Roman"/>
        </w:rPr>
        <w:t>m</w:t>
      </w:r>
      <w:r>
        <w:rPr>
          <w:rFonts w:ascii="Times New Roman" w:eastAsia="Times New Roman"/>
          <w:position w:val="9"/>
          <w:sz w:val="16"/>
        </w:rPr>
        <w:t>3</w:t>
      </w:r>
      <w:r>
        <w:rPr>
          <w:rFonts w:ascii="Times New Roman" w:eastAsia="Times New Roman"/>
        </w:rPr>
        <w:t>/d</w:t>
      </w:r>
      <w:r>
        <w:rPr/>
        <w:t>。莒南卓澳水质净化有限公司采用流动床生物膜技术，目前，该污水处理厂运行正常。本项目生产及生活废水经厂区污水处理站处理后经污水管网进入莒南卓澳水质净化有限公司处理。</w:t>
      </w:r>
    </w:p>
    <w:p>
      <w:pPr>
        <w:spacing w:after="0" w:line="220" w:lineRule="auto"/>
        <w:jc w:val="both"/>
        <w:sectPr>
          <w:pgSz w:w="11910" w:h="16840"/>
          <w:pgMar w:header="877" w:footer="973" w:top="1340" w:bottom="1160" w:left="1220" w:right="1040"/>
        </w:sectPr>
      </w:pPr>
    </w:p>
    <w:p>
      <w:pPr>
        <w:pStyle w:val="BodyText"/>
        <w:spacing w:before="18"/>
        <w:rPr>
          <w:sz w:val="5"/>
        </w:rPr>
      </w:pPr>
    </w:p>
    <w:p>
      <w:pPr>
        <w:pStyle w:val="Heading3"/>
        <w:numPr>
          <w:ilvl w:val="1"/>
          <w:numId w:val="5"/>
        </w:numPr>
        <w:tabs>
          <w:tab w:pos="1140" w:val="left" w:leader="none"/>
        </w:tabs>
        <w:spacing w:line="586" w:lineRule="exact" w:before="0" w:after="0"/>
        <w:ind w:left="1139" w:right="0" w:hanging="561"/>
        <w:jc w:val="left"/>
        <w:rPr>
          <w:rFonts w:ascii="Times New Roman" w:eastAsia="Times New Roman"/>
        </w:rPr>
      </w:pPr>
      <w:r>
        <w:rPr>
          <w:rFonts w:ascii="Noto Sans CJK JP Regular" w:eastAsia="Noto Sans CJK JP Regular" w:hint="eastAsia"/>
        </w:rPr>
        <w:t>环境质量概况</w:t>
      </w:r>
    </w:p>
    <w:p>
      <w:pPr>
        <w:pStyle w:val="Heading5"/>
        <w:numPr>
          <w:ilvl w:val="2"/>
          <w:numId w:val="5"/>
        </w:numPr>
        <w:tabs>
          <w:tab w:pos="1279" w:val="left" w:leader="none"/>
        </w:tabs>
        <w:spacing w:line="588" w:lineRule="exact" w:before="0" w:after="0"/>
        <w:ind w:left="1278" w:right="0" w:hanging="700"/>
        <w:jc w:val="left"/>
        <w:rPr>
          <w:rFonts w:ascii="Times New Roman" w:eastAsia="Times New Roman"/>
        </w:rPr>
      </w:pPr>
      <w:r>
        <w:rPr/>
        <w:t>环境功能区划</w:t>
      </w:r>
    </w:p>
    <w:p>
      <w:pPr>
        <w:pStyle w:val="BodyText"/>
        <w:spacing w:line="220" w:lineRule="auto" w:before="26"/>
        <w:ind w:left="578" w:right="873" w:firstLine="482"/>
        <w:jc w:val="both"/>
      </w:pPr>
      <w:r>
        <w:rPr>
          <w:spacing w:val="-4"/>
        </w:rPr>
        <w:t>项目区环境空气为《环境空气质量标准》</w:t>
      </w:r>
      <w:r>
        <w:rPr>
          <w:rFonts w:ascii="Times New Roman" w:hAnsi="Times New Roman" w:eastAsia="Times New Roman"/>
        </w:rPr>
        <w:t>(GB3095-2012)</w:t>
      </w:r>
      <w:r>
        <w:rPr>
          <w:spacing w:val="-4"/>
        </w:rPr>
        <w:t>二类功能区，地表</w:t>
      </w:r>
      <w:r>
        <w:rPr>
          <w:spacing w:val="-13"/>
        </w:rPr>
        <w:t>水为《地表水环境质量标准》</w:t>
      </w:r>
      <w:r>
        <w:rPr/>
        <w:t>（</w:t>
      </w:r>
      <w:r>
        <w:rPr>
          <w:rFonts w:ascii="Times New Roman" w:hAnsi="Times New Roman" w:eastAsia="Times New Roman"/>
        </w:rPr>
        <w:t>GB3838</w:t>
      </w:r>
      <w:r>
        <w:rPr/>
        <w:t>－</w:t>
      </w:r>
      <w:r>
        <w:rPr>
          <w:rFonts w:ascii="Times New Roman" w:hAnsi="Times New Roman" w:eastAsia="Times New Roman"/>
        </w:rPr>
        <w:t>2002</w:t>
      </w:r>
      <w:r>
        <w:rPr/>
        <w:t>）Ⅳ类，地下水为《地下水环境</w:t>
      </w:r>
      <w:r>
        <w:rPr>
          <w:spacing w:val="-26"/>
        </w:rPr>
        <w:t>质量标准》</w:t>
      </w:r>
      <w:r>
        <w:rPr/>
        <w:t>（</w:t>
      </w:r>
      <w:r>
        <w:rPr>
          <w:rFonts w:ascii="Times New Roman" w:hAnsi="Times New Roman" w:eastAsia="Times New Roman"/>
        </w:rPr>
        <w:t>GB/T14848-93</w:t>
      </w:r>
      <w:r>
        <w:rPr/>
        <w:t>）</w:t>
      </w:r>
      <w:r>
        <w:rPr>
          <w:spacing w:val="-13"/>
        </w:rPr>
        <w:t>Ⅲ类区，《声环境质量标准》</w:t>
      </w:r>
      <w:r>
        <w:rPr>
          <w:rFonts w:ascii="Times New Roman" w:hAnsi="Times New Roman" w:eastAsia="Times New Roman"/>
        </w:rPr>
        <w:t>(GB3096-2008)</w:t>
      </w:r>
      <w:r>
        <w:rPr>
          <w:spacing w:val="-2"/>
        </w:rPr>
        <w:t>中的 </w:t>
      </w:r>
      <w:r>
        <w:rPr>
          <w:rFonts w:ascii="Times New Roman" w:hAnsi="Times New Roman" w:eastAsia="Times New Roman"/>
        </w:rPr>
        <w:t>2 </w:t>
      </w:r>
      <w:r>
        <w:rPr/>
        <w:t>类功能区。</w:t>
      </w:r>
    </w:p>
    <w:p>
      <w:pPr>
        <w:pStyle w:val="Heading5"/>
        <w:numPr>
          <w:ilvl w:val="2"/>
          <w:numId w:val="5"/>
        </w:numPr>
        <w:tabs>
          <w:tab w:pos="1279" w:val="left" w:leader="none"/>
        </w:tabs>
        <w:spacing w:line="552" w:lineRule="exact" w:before="6" w:after="0"/>
        <w:ind w:left="1278" w:right="0" w:hanging="700"/>
        <w:jc w:val="left"/>
        <w:rPr>
          <w:rFonts w:ascii="Times New Roman" w:eastAsia="Times New Roman"/>
        </w:rPr>
      </w:pPr>
      <w:r>
        <w:rPr/>
        <w:t>环境空气</w:t>
      </w:r>
    </w:p>
    <w:p>
      <w:pPr>
        <w:pStyle w:val="BodyText"/>
        <w:spacing w:line="220" w:lineRule="auto"/>
        <w:ind w:left="578" w:right="672" w:firstLine="479"/>
      </w:pPr>
      <w:r>
        <w:rPr/>
        <w:t>本项目所在区域属于莒南县经济开发区，确定评价区环境空气质量为二类功</w:t>
      </w:r>
      <w:r>
        <w:rPr>
          <w:position w:val="2"/>
        </w:rPr>
        <w:t>能区。</w:t>
      </w:r>
      <w:r>
        <w:rPr>
          <w:rFonts w:ascii="Times New Roman" w:eastAsia="Times New Roman"/>
          <w:position w:val="2"/>
        </w:rPr>
        <w:t>2018 </w:t>
      </w:r>
      <w:r>
        <w:rPr>
          <w:position w:val="2"/>
        </w:rPr>
        <w:t>年莒南县开发区例行监测结果可知：评价区内 </w:t>
      </w:r>
      <w:r>
        <w:rPr>
          <w:rFonts w:ascii="Times New Roman" w:eastAsia="Times New Roman"/>
          <w:position w:val="2"/>
        </w:rPr>
        <w:t>SO</w:t>
      </w:r>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2</w:t>
      </w:r>
      <w:r>
        <w:rPr>
          <w:position w:val="2"/>
        </w:rPr>
        <w:t>、</w:t>
      </w:r>
      <w:r>
        <w:rPr>
          <w:rFonts w:ascii="Times New Roman" w:eastAsia="Times New Roman"/>
          <w:position w:val="2"/>
        </w:rPr>
        <w:t>PM</w:t>
      </w:r>
      <w:r>
        <w:rPr>
          <w:rFonts w:ascii="Times New Roman" w:eastAsia="Times New Roman"/>
          <w:sz w:val="16"/>
        </w:rPr>
        <w:t>10 </w:t>
      </w:r>
      <w:r>
        <w:rPr>
          <w:position w:val="2"/>
        </w:rPr>
        <w:t>和</w:t>
      </w:r>
    </w:p>
    <w:p>
      <w:pPr>
        <w:pStyle w:val="BodyText"/>
        <w:spacing w:line="220" w:lineRule="auto"/>
        <w:ind w:left="578" w:right="635"/>
        <w:jc w:val="both"/>
      </w:pPr>
      <w:r>
        <w:rPr>
          <w:rFonts w:ascii="Times New Roman" w:eastAsia="Times New Roman"/>
          <w:position w:val="2"/>
        </w:rPr>
        <w:t>PM</w:t>
      </w:r>
      <w:r>
        <w:rPr>
          <w:rFonts w:ascii="Times New Roman" w:eastAsia="Times New Roman"/>
          <w:sz w:val="16"/>
        </w:rPr>
        <w:t>2.5 </w:t>
      </w:r>
      <w:r>
        <w:rPr>
          <w:spacing w:val="-1"/>
          <w:position w:val="2"/>
        </w:rPr>
        <w:t>年均排放浓度分别为 </w:t>
      </w:r>
      <w:r>
        <w:rPr>
          <w:rFonts w:ascii="Times New Roman" w:eastAsia="Times New Roman"/>
          <w:position w:val="2"/>
        </w:rPr>
        <w:t>0.027mg/m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0.04mg/m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0.109mg/m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0.057mg/m</w:t>
      </w:r>
      <w:r>
        <w:rPr>
          <w:rFonts w:ascii="Times New Roman" w:eastAsia="Times New Roman"/>
          <w:position w:val="2"/>
          <w:vertAlign w:val="superscript"/>
        </w:rPr>
        <w:t>3</w:t>
      </w:r>
      <w:r>
        <w:rPr>
          <w:position w:val="2"/>
          <w:vertAlign w:val="baseline"/>
        </w:rPr>
        <w:t>， 年均值 </w:t>
      </w:r>
      <w:r>
        <w:rPr>
          <w:rFonts w:ascii="Times New Roman" w:eastAsia="Times New Roman"/>
          <w:position w:val="2"/>
          <w:vertAlign w:val="baseline"/>
        </w:rPr>
        <w:t>PM</w:t>
      </w:r>
      <w:r>
        <w:rPr>
          <w:rFonts w:ascii="Times New Roman" w:eastAsia="Times New Roman"/>
          <w:sz w:val="16"/>
          <w:vertAlign w:val="baseline"/>
        </w:rPr>
        <w:t>2.5 </w:t>
      </w:r>
      <w:r>
        <w:rPr>
          <w:spacing w:val="-1"/>
          <w:position w:val="2"/>
          <w:vertAlign w:val="baseline"/>
        </w:rPr>
        <w:t>和 </w:t>
      </w:r>
      <w:r>
        <w:rPr>
          <w:rFonts w:ascii="Times New Roman" w:eastAsia="Times New Roman"/>
          <w:position w:val="2"/>
          <w:vertAlign w:val="baseline"/>
        </w:rPr>
        <w:t>PM</w:t>
      </w:r>
      <w:r>
        <w:rPr>
          <w:rFonts w:ascii="Times New Roman" w:eastAsia="Times New Roman"/>
          <w:sz w:val="16"/>
          <w:vertAlign w:val="baseline"/>
        </w:rPr>
        <w:t>10 </w:t>
      </w:r>
      <w:r>
        <w:rPr>
          <w:spacing w:val="-8"/>
          <w:position w:val="2"/>
          <w:vertAlign w:val="baseline"/>
        </w:rPr>
        <w:t>不符合《环境空气质量标准》</w:t>
      </w:r>
      <w:r>
        <w:rPr>
          <w:position w:val="2"/>
          <w:vertAlign w:val="baseline"/>
        </w:rPr>
        <w:t>（</w:t>
      </w:r>
      <w:r>
        <w:rPr>
          <w:rFonts w:ascii="Times New Roman" w:eastAsia="Times New Roman"/>
          <w:position w:val="2"/>
          <w:vertAlign w:val="baseline"/>
        </w:rPr>
        <w:t>GB3095-2012</w:t>
      </w:r>
      <w:r>
        <w:rPr>
          <w:position w:val="2"/>
          <w:vertAlign w:val="baseline"/>
        </w:rPr>
        <w:t>）中的二级标</w:t>
      </w:r>
      <w:r>
        <w:rPr>
          <w:spacing w:val="-15"/>
          <w:vertAlign w:val="baseline"/>
        </w:rPr>
        <w:t>准要求。超标原因与区域内建筑扬尘、汽车尾气、北方气候干燥、风起扬尘有关， 另外区域内工业污染源密集排放也是超标的重要因素之一，影响因素比较复杂， </w:t>
      </w:r>
      <w:r>
        <w:rPr>
          <w:spacing w:val="-17"/>
          <w:vertAlign w:val="baseline"/>
        </w:rPr>
        <w:t>建议评价区域采取以下措施：区域集中供热；植树选林、绿化环境；改善能源结构，提高能源有效利用率；全面规划，合理布局，逐步改善环境空气质量。</w:t>
      </w:r>
    </w:p>
    <w:p>
      <w:pPr>
        <w:pStyle w:val="Heading5"/>
        <w:numPr>
          <w:ilvl w:val="2"/>
          <w:numId w:val="5"/>
        </w:numPr>
        <w:tabs>
          <w:tab w:pos="1279" w:val="left" w:leader="none"/>
        </w:tabs>
        <w:spacing w:line="240" w:lineRule="auto" w:before="62" w:after="0"/>
        <w:ind w:left="1278" w:right="0" w:hanging="700"/>
        <w:jc w:val="left"/>
        <w:rPr>
          <w:rFonts w:ascii="Times New Roman" w:eastAsia="Times New Roman"/>
        </w:rPr>
      </w:pPr>
      <w:r>
        <w:rPr/>
        <w:t>地表水</w:t>
      </w:r>
    </w:p>
    <w:p>
      <w:pPr>
        <w:pStyle w:val="BodyText"/>
        <w:spacing w:line="220" w:lineRule="auto" w:before="181"/>
        <w:ind w:left="578" w:right="871" w:firstLine="479"/>
        <w:jc w:val="both"/>
      </w:pPr>
      <w:r>
        <w:rPr/>
        <w:t>本项目所在区域属于莒南县经济开发区，确定评价区内地表水环境功能为</w:t>
      </w:r>
      <w:r>
        <w:rPr>
          <w:spacing w:val="-2"/>
        </w:rPr>
        <w:t>地表水Ⅳ类水体。</w:t>
      </w:r>
      <w:r>
        <w:rPr>
          <w:rFonts w:ascii="Times New Roman" w:hAnsi="Times New Roman" w:eastAsia="Times New Roman"/>
        </w:rPr>
        <w:t>2018 </w:t>
      </w:r>
      <w:r>
        <w:rPr>
          <w:spacing w:val="-1"/>
        </w:rPr>
        <w:t>年莒南县内例行监测断面监测结果可知：莒南县境内沭河鸡龙河大白尝断面 </w:t>
      </w:r>
      <w:r>
        <w:rPr>
          <w:rFonts w:ascii="Times New Roman" w:hAnsi="Times New Roman" w:eastAsia="Times New Roman"/>
        </w:rPr>
        <w:t>COD </w:t>
      </w:r>
      <w:r>
        <w:rPr/>
        <w:t>浓度标准（</w:t>
      </w:r>
      <w:r>
        <w:rPr>
          <w:rFonts w:ascii="Times New Roman" w:hAnsi="Times New Roman" w:eastAsia="Times New Roman"/>
        </w:rPr>
        <w:t>30 mg/L</w:t>
      </w:r>
      <w:r>
        <w:rPr/>
        <w:t>）</w:t>
      </w:r>
      <w:r>
        <w:rPr>
          <w:spacing w:val="1"/>
        </w:rPr>
        <w:t>以下有 </w:t>
      </w:r>
      <w:r>
        <w:rPr>
          <w:rFonts w:ascii="Times New Roman" w:hAnsi="Times New Roman" w:eastAsia="Times New Roman"/>
        </w:rPr>
        <w:t>4 </w:t>
      </w:r>
      <w:r>
        <w:rPr/>
        <w:t>个月份，氨氮浓度标准（</w:t>
      </w:r>
      <w:r>
        <w:rPr>
          <w:rFonts w:ascii="Times New Roman" w:hAnsi="Times New Roman" w:eastAsia="Times New Roman"/>
        </w:rPr>
        <w:t>30 mg/L</w:t>
      </w:r>
      <w:r>
        <w:rPr/>
        <w:t>）</w:t>
      </w:r>
      <w:r>
        <w:rPr>
          <w:spacing w:val="2"/>
        </w:rPr>
        <w:t>以下有 </w:t>
      </w:r>
      <w:r>
        <w:rPr>
          <w:rFonts w:ascii="Times New Roman" w:hAnsi="Times New Roman" w:eastAsia="Times New Roman"/>
        </w:rPr>
        <w:t>8 </w:t>
      </w:r>
      <w:r>
        <w:rPr/>
        <w:t>个月份，总磷浓度标准（</w:t>
      </w:r>
      <w:r>
        <w:rPr>
          <w:rFonts w:ascii="Times New Roman" w:hAnsi="Times New Roman" w:eastAsia="Times New Roman"/>
        </w:rPr>
        <w:t>30 mg/L</w:t>
      </w:r>
      <w:r>
        <w:rPr/>
        <w:t>）</w:t>
      </w:r>
      <w:r>
        <w:rPr>
          <w:spacing w:val="2"/>
        </w:rPr>
        <w:t>以下有 </w:t>
      </w:r>
      <w:r>
        <w:rPr>
          <w:rFonts w:ascii="Times New Roman" w:hAnsi="Times New Roman" w:eastAsia="Times New Roman"/>
        </w:rPr>
        <w:t>6 </w:t>
      </w:r>
      <w:r>
        <w:rPr/>
        <w:t>个月份， 由此可见莒南县境内沭河鸡龙河大白尝断面水质不能够稳定达到《地表水环境</w:t>
      </w:r>
      <w:r>
        <w:rPr>
          <w:spacing w:val="-24"/>
        </w:rPr>
        <w:t>质量标准》</w:t>
      </w:r>
      <w:r>
        <w:rPr/>
        <w:t>（</w:t>
      </w:r>
      <w:r>
        <w:rPr>
          <w:rFonts w:ascii="Times New Roman" w:hAnsi="Times New Roman" w:eastAsia="Times New Roman"/>
        </w:rPr>
        <w:t>GB3838-2002</w:t>
      </w:r>
      <w:r>
        <w:rPr/>
        <w:t>）Ⅳ类标准要求。</w:t>
      </w:r>
    </w:p>
    <w:p>
      <w:pPr>
        <w:pStyle w:val="BodyText"/>
        <w:spacing w:line="220" w:lineRule="auto"/>
        <w:ind w:left="578" w:right="873" w:firstLine="479"/>
        <w:jc w:val="both"/>
      </w:pPr>
      <w:r>
        <w:rPr/>
        <w:t>为满足《地表水环境质量标准》（</w:t>
      </w:r>
      <w:r>
        <w:rPr>
          <w:rFonts w:ascii="Times New Roman" w:hAnsi="Times New Roman" w:eastAsia="Times New Roman"/>
        </w:rPr>
        <w:t>GB3838-2002</w:t>
      </w:r>
      <w:r>
        <w:rPr/>
        <w:t>）Ⅳ类标准要求，为保护当地水体，严禁企业废水未经处理达标排入附近地表水，并加强各废水污染源监督管理，确保其达到国家排放标准和总量控制指标要求。</w:t>
      </w:r>
    </w:p>
    <w:p>
      <w:pPr>
        <w:pStyle w:val="Heading5"/>
        <w:numPr>
          <w:ilvl w:val="2"/>
          <w:numId w:val="5"/>
        </w:numPr>
        <w:tabs>
          <w:tab w:pos="1279" w:val="left" w:leader="none"/>
        </w:tabs>
        <w:spacing w:line="592" w:lineRule="exact" w:before="5" w:after="0"/>
        <w:ind w:left="1278" w:right="0" w:hanging="700"/>
        <w:jc w:val="left"/>
        <w:rPr>
          <w:rFonts w:ascii="Times New Roman" w:eastAsia="Times New Roman"/>
        </w:rPr>
      </w:pPr>
      <w:r>
        <w:rPr/>
        <w:t>地下水</w:t>
      </w:r>
    </w:p>
    <w:p>
      <w:pPr>
        <w:pStyle w:val="BodyText"/>
        <w:spacing w:line="220" w:lineRule="auto" w:before="27"/>
        <w:ind w:left="578" w:right="871" w:firstLine="479"/>
        <w:jc w:val="both"/>
      </w:pPr>
      <w:r>
        <w:rPr/>
        <w:t>本项目所在区域属于莒南县经济开发区，评价区域属于工业和农业用水区</w:t>
      </w:r>
      <w:r>
        <w:rPr>
          <w:spacing w:val="-10"/>
        </w:rPr>
        <w:t>域，确定地下水质量功能为Ⅲ类，由 </w:t>
      </w:r>
      <w:r>
        <w:rPr>
          <w:rFonts w:ascii="Times New Roman" w:hAnsi="Times New Roman" w:eastAsia="Times New Roman"/>
        </w:rPr>
        <w:t>2019 </w:t>
      </w:r>
      <w:r>
        <w:rPr>
          <w:spacing w:val="4"/>
        </w:rPr>
        <w:t>年 </w:t>
      </w:r>
      <w:r>
        <w:rPr>
          <w:rFonts w:ascii="Times New Roman" w:hAnsi="Times New Roman" w:eastAsia="Times New Roman"/>
        </w:rPr>
        <w:t>4 </w:t>
      </w:r>
      <w:r>
        <w:rPr/>
        <w:t>月青岛衡立检测有限公司和山东</w:t>
      </w:r>
    </w:p>
    <w:p>
      <w:pPr>
        <w:spacing w:after="0" w:line="220" w:lineRule="auto"/>
        <w:jc w:val="both"/>
        <w:sectPr>
          <w:pgSz w:w="11910" w:h="16840"/>
          <w:pgMar w:header="877" w:footer="973" w:top="1340" w:bottom="1160" w:left="1220" w:right="1040"/>
        </w:sectPr>
      </w:pPr>
    </w:p>
    <w:p>
      <w:pPr>
        <w:pStyle w:val="BodyText"/>
        <w:spacing w:line="220" w:lineRule="auto" w:before="77"/>
        <w:ind w:left="578" w:right="878"/>
      </w:pPr>
      <w:r>
        <w:rPr/>
        <w:t>城控检测技术有限公司对本项目地下水检测数据可知，本项目区域地下水环境质量较好。</w:t>
      </w:r>
    </w:p>
    <w:p>
      <w:pPr>
        <w:pStyle w:val="BodyText"/>
        <w:spacing w:line="220" w:lineRule="auto"/>
        <w:ind w:left="578" w:right="880" w:firstLine="479"/>
        <w:jc w:val="both"/>
      </w:pPr>
      <w:r>
        <w:rPr/>
        <w:t>采取措施：大力推进绿色农业，推行测土配方施肥和增施有机肥。优化农业种植结构，扩大耐旱节水型作物种植面积，科学合理地制定节水灌溉定额， 通过科普宣传、技术指导、加强管理等综合措施，全面普及节水灌溉技术，减少化肥和农业流失；待经济开发区规划对村民生活垃圾、生活污水进行集中处置，避免生活垃圾和生活污水的随意排放。</w:t>
      </w:r>
    </w:p>
    <w:p>
      <w:pPr>
        <w:pStyle w:val="Heading5"/>
        <w:numPr>
          <w:ilvl w:val="2"/>
          <w:numId w:val="5"/>
        </w:numPr>
        <w:tabs>
          <w:tab w:pos="1279" w:val="left" w:leader="none"/>
        </w:tabs>
        <w:spacing w:line="592" w:lineRule="exact" w:before="6" w:after="0"/>
        <w:ind w:left="1278" w:right="0" w:hanging="700"/>
        <w:jc w:val="left"/>
        <w:rPr>
          <w:rFonts w:ascii="Times New Roman" w:eastAsia="Times New Roman"/>
        </w:rPr>
      </w:pPr>
      <w:r>
        <w:rPr/>
        <w:t>声环境</w:t>
      </w:r>
    </w:p>
    <w:p>
      <w:pPr>
        <w:pStyle w:val="BodyText"/>
        <w:spacing w:line="220" w:lineRule="auto" w:before="26"/>
        <w:ind w:left="578" w:right="874" w:firstLine="479"/>
        <w:jc w:val="both"/>
        <w:rPr>
          <w:rFonts w:ascii="Times New Roman" w:eastAsia="Times New Roman"/>
        </w:rPr>
      </w:pPr>
      <w:r>
        <w:rPr/>
        <w:t>本项目所在区域属于莒南县经济开发区，评价区域属于居住、商业和工业混杂区域，确定声环境功能为 </w:t>
      </w:r>
      <w:r>
        <w:rPr>
          <w:rFonts w:ascii="Times New Roman" w:eastAsia="Times New Roman"/>
        </w:rPr>
        <w:t>2 </w:t>
      </w:r>
      <w:r>
        <w:rPr/>
        <w:t>类功能区域，莒南县区域昼间噪声值为 </w:t>
      </w:r>
      <w:r>
        <w:rPr>
          <w:rFonts w:ascii="Times New Roman" w:eastAsia="Times New Roman"/>
        </w:rPr>
        <w:t>54.4dB</w:t>
      </w:r>
    </w:p>
    <w:p>
      <w:pPr>
        <w:pStyle w:val="BodyText"/>
        <w:spacing w:line="480" w:lineRule="exact"/>
        <w:ind w:left="458"/>
      </w:pPr>
      <w:r>
        <w:rPr/>
        <w:t>（</w:t>
      </w:r>
      <w:r>
        <w:rPr>
          <w:rFonts w:ascii="Times New Roman" w:eastAsia="Times New Roman"/>
        </w:rPr>
        <w:t>A</w:t>
      </w:r>
      <w:r>
        <w:rPr/>
        <w:t>），满足《声环境质量标准》（</w:t>
      </w:r>
      <w:r>
        <w:rPr>
          <w:rFonts w:ascii="Times New Roman" w:eastAsia="Times New Roman"/>
        </w:rPr>
        <w:t>GB3096-2008</w:t>
      </w:r>
      <w:r>
        <w:rPr/>
        <w:t>）</w:t>
      </w:r>
      <w:r>
        <w:rPr>
          <w:rFonts w:ascii="Times New Roman" w:eastAsia="Times New Roman"/>
        </w:rPr>
        <w:t>2 </w:t>
      </w:r>
      <w:r>
        <w:rPr/>
        <w:t>类功能区标准要求。</w:t>
      </w:r>
    </w:p>
    <w:p>
      <w:pPr>
        <w:pStyle w:val="Heading2"/>
        <w:numPr>
          <w:ilvl w:val="1"/>
          <w:numId w:val="5"/>
        </w:numPr>
        <w:tabs>
          <w:tab w:pos="1210" w:val="left" w:leader="none"/>
        </w:tabs>
        <w:spacing w:line="240" w:lineRule="auto" w:before="122" w:after="0"/>
        <w:ind w:left="1209" w:right="0" w:hanging="631"/>
        <w:jc w:val="left"/>
        <w:rPr>
          <w:rFonts w:ascii="Times New Roman" w:eastAsia="Times New Roman"/>
        </w:rPr>
      </w:pPr>
      <w:r>
        <w:rPr/>
        <w:t>环境质量现状调查与评价</w:t>
      </w:r>
    </w:p>
    <w:p>
      <w:pPr>
        <w:pStyle w:val="Heading3"/>
        <w:numPr>
          <w:ilvl w:val="2"/>
          <w:numId w:val="5"/>
        </w:numPr>
        <w:tabs>
          <w:tab w:pos="1378" w:val="left" w:leader="none"/>
        </w:tabs>
        <w:spacing w:line="240" w:lineRule="auto" w:before="134" w:after="0"/>
        <w:ind w:left="1377" w:right="0" w:hanging="799"/>
        <w:jc w:val="left"/>
        <w:rPr>
          <w:rFonts w:ascii="Times New Roman" w:eastAsia="Times New Roman"/>
        </w:rPr>
      </w:pPr>
      <w:r>
        <w:rPr/>
        <w:t>大气环境质量现状调查与评价内容</w:t>
      </w:r>
    </w:p>
    <w:p>
      <w:pPr>
        <w:pStyle w:val="ListParagraph"/>
        <w:numPr>
          <w:ilvl w:val="3"/>
          <w:numId w:val="5"/>
        </w:numPr>
        <w:tabs>
          <w:tab w:pos="1469" w:val="left" w:leader="none"/>
        </w:tabs>
        <w:spacing w:line="240" w:lineRule="auto" w:before="108" w:after="0"/>
        <w:ind w:left="1468" w:right="0" w:hanging="890"/>
        <w:jc w:val="left"/>
        <w:rPr>
          <w:rFonts w:ascii="Times New Roman" w:eastAsia="Times New Roman"/>
          <w:sz w:val="28"/>
        </w:rPr>
      </w:pPr>
      <w:r>
        <w:rPr>
          <w:sz w:val="24"/>
        </w:rPr>
        <w:t>项目所在区域达标判断</w:t>
      </w:r>
    </w:p>
    <w:p>
      <w:pPr>
        <w:pStyle w:val="BodyText"/>
        <w:spacing w:line="220" w:lineRule="auto" w:before="72"/>
        <w:ind w:left="578" w:right="755" w:firstLine="479"/>
        <w:jc w:val="both"/>
      </w:pPr>
      <w:r>
        <w:rPr>
          <w:spacing w:val="-7"/>
        </w:rPr>
        <w:t>根据《环境影响评价技术导则 大气环境》</w:t>
      </w:r>
      <w:r>
        <w:rPr/>
        <w:t>（</w:t>
      </w:r>
      <w:r>
        <w:rPr>
          <w:rFonts w:ascii="Times New Roman" w:eastAsia="Times New Roman"/>
        </w:rPr>
        <w:t>HJ2.2-2018</w:t>
      </w:r>
      <w:r>
        <w:rPr/>
        <w:t>）要求优先采用国家或地方生态环境主管部门公开发布的评价基准年环境质量公告或环境质量报</w:t>
      </w:r>
      <w:r>
        <w:rPr>
          <w:spacing w:val="-9"/>
        </w:rPr>
        <w:t>告中的数据或结论，采用生态环境主管部门公开发布的环境空气质量现状数据， </w:t>
      </w:r>
      <w:r>
        <w:rPr>
          <w:spacing w:val="-8"/>
          <w:position w:val="2"/>
        </w:rPr>
        <w:t>城市环境空气质量达标情况评价指标为 </w:t>
      </w:r>
      <w:r>
        <w:rPr>
          <w:rFonts w:ascii="Times New Roman" w:eastAsia="Times New Roman"/>
          <w:position w:val="2"/>
        </w:rPr>
        <w:t>SO</w:t>
      </w:r>
      <w:r>
        <w:rPr>
          <w:rFonts w:ascii="Times New Roman" w:eastAsia="Times New Roman"/>
          <w:sz w:val="16"/>
        </w:rPr>
        <w:t>2</w:t>
      </w:r>
      <w:r>
        <w:rPr>
          <w:spacing w:val="-3"/>
          <w:position w:val="2"/>
        </w:rPr>
        <w:t>、</w:t>
      </w:r>
      <w:r>
        <w:rPr>
          <w:rFonts w:ascii="Times New Roman" w:eastAsia="Times New Roman"/>
          <w:position w:val="2"/>
        </w:rPr>
        <w:t>NO</w:t>
      </w:r>
      <w:r>
        <w:rPr>
          <w:rFonts w:ascii="Times New Roman" w:eastAsia="Times New Roman"/>
          <w:sz w:val="16"/>
        </w:rPr>
        <w:t>2</w:t>
      </w:r>
      <w:r>
        <w:rPr>
          <w:position w:val="2"/>
        </w:rPr>
        <w:t>、</w:t>
      </w:r>
      <w:r>
        <w:rPr>
          <w:rFonts w:ascii="Times New Roman" w:eastAsia="Times New Roman"/>
          <w:position w:val="2"/>
        </w:rPr>
        <w:t>PM</w:t>
      </w:r>
      <w:r>
        <w:rPr>
          <w:rFonts w:ascii="Times New Roman" w:eastAsia="Times New Roman"/>
          <w:sz w:val="16"/>
        </w:rPr>
        <w:t>10</w:t>
      </w:r>
      <w:r>
        <w:rPr>
          <w:position w:val="2"/>
        </w:rPr>
        <w:t>、</w:t>
      </w:r>
      <w:r>
        <w:rPr>
          <w:rFonts w:ascii="Times New Roman" w:eastAsia="Times New Roman"/>
          <w:position w:val="2"/>
        </w:rPr>
        <w:t>PM</w:t>
      </w:r>
      <w:r>
        <w:rPr>
          <w:rFonts w:ascii="Times New Roman" w:eastAsia="Times New Roman"/>
          <w:sz w:val="16"/>
        </w:rPr>
        <w:t>2.5</w:t>
      </w:r>
      <w:r>
        <w:rPr>
          <w:position w:val="2"/>
        </w:rPr>
        <w:t>、</w:t>
      </w:r>
      <w:r>
        <w:rPr>
          <w:rFonts w:ascii="Times New Roman" w:eastAsia="Times New Roman"/>
          <w:position w:val="2"/>
        </w:rPr>
        <w:t>CO </w:t>
      </w:r>
      <w:r>
        <w:rPr>
          <w:spacing w:val="8"/>
          <w:position w:val="2"/>
        </w:rPr>
        <w:t>和 </w:t>
      </w:r>
      <w:r>
        <w:rPr>
          <w:rFonts w:ascii="Times New Roman" w:eastAsia="Times New Roman"/>
          <w:position w:val="2"/>
        </w:rPr>
        <w:t>O</w:t>
      </w:r>
      <w:r>
        <w:rPr>
          <w:rFonts w:ascii="Times New Roman" w:eastAsia="Times New Roman"/>
          <w:sz w:val="16"/>
        </w:rPr>
        <w:t>3</w:t>
      </w:r>
      <w:r>
        <w:rPr>
          <w:position w:val="2"/>
        </w:rPr>
        <w:t>， </w:t>
      </w:r>
      <w:r>
        <w:rPr/>
        <w:t>六项污染物全部达标即为城市环境空气质量达标。</w:t>
      </w:r>
    </w:p>
    <w:p>
      <w:pPr>
        <w:tabs>
          <w:tab w:pos="3864" w:val="left" w:leader="none"/>
        </w:tabs>
        <w:spacing w:before="163" w:after="24"/>
        <w:ind w:left="2952" w:right="0" w:firstLine="0"/>
        <w:jc w:val="left"/>
        <w:rPr>
          <w:sz w:val="21"/>
        </w:rPr>
      </w:pPr>
      <w:r>
        <w:rPr>
          <w:sz w:val="21"/>
        </w:rPr>
        <w:t>表</w:t>
      </w:r>
      <w:r>
        <w:rPr>
          <w:spacing w:val="7"/>
          <w:sz w:val="21"/>
        </w:rPr>
        <w:t> </w:t>
      </w:r>
      <w:r>
        <w:rPr>
          <w:rFonts w:ascii="Times New Roman" w:eastAsia="Times New Roman"/>
          <w:b/>
          <w:sz w:val="21"/>
        </w:rPr>
        <w:t>5.4-1</w:t>
        <w:tab/>
      </w:r>
      <w:r>
        <w:rPr>
          <w:sz w:val="21"/>
        </w:rPr>
        <w:t>莒南县空气质</w:t>
      </w:r>
      <w:r>
        <w:rPr>
          <w:spacing w:val="-3"/>
          <w:sz w:val="21"/>
        </w:rPr>
        <w:t>量</w:t>
      </w:r>
      <w:r>
        <w:rPr>
          <w:sz w:val="21"/>
        </w:rPr>
        <w:t>现状评价表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6"/>
        <w:gridCol w:w="1884"/>
        <w:gridCol w:w="1259"/>
        <w:gridCol w:w="1442"/>
        <w:gridCol w:w="1440"/>
        <w:gridCol w:w="1394"/>
      </w:tblGrid>
      <w:tr>
        <w:trPr>
          <w:trHeight w:val="623" w:hRule="atLeast"/>
        </w:trPr>
        <w:tc>
          <w:tcPr>
            <w:tcW w:w="1106" w:type="dxa"/>
            <w:tcBorders>
              <w:bottom w:val="single" w:sz="6" w:space="0" w:color="000000"/>
              <w:right w:val="single" w:sz="6" w:space="0" w:color="000000"/>
            </w:tcBorders>
          </w:tcPr>
          <w:p>
            <w:pPr>
              <w:pStyle w:val="TableParagraph"/>
              <w:spacing w:before="77"/>
              <w:ind w:left="218" w:right="194"/>
              <w:rPr>
                <w:sz w:val="21"/>
              </w:rPr>
            </w:pPr>
            <w:r>
              <w:rPr>
                <w:sz w:val="21"/>
              </w:rPr>
              <w:t>污染物</w:t>
            </w:r>
          </w:p>
        </w:tc>
        <w:tc>
          <w:tcPr>
            <w:tcW w:w="1884" w:type="dxa"/>
            <w:tcBorders>
              <w:left w:val="single" w:sz="6" w:space="0" w:color="000000"/>
              <w:bottom w:val="single" w:sz="6" w:space="0" w:color="000000"/>
              <w:right w:val="single" w:sz="6" w:space="0" w:color="000000"/>
            </w:tcBorders>
          </w:tcPr>
          <w:p>
            <w:pPr>
              <w:pStyle w:val="TableParagraph"/>
              <w:spacing w:before="77"/>
              <w:ind w:left="422"/>
              <w:jc w:val="left"/>
              <w:rPr>
                <w:sz w:val="21"/>
              </w:rPr>
            </w:pPr>
            <w:r>
              <w:rPr>
                <w:sz w:val="21"/>
              </w:rPr>
              <w:t>年评价指标</w:t>
            </w:r>
          </w:p>
        </w:tc>
        <w:tc>
          <w:tcPr>
            <w:tcW w:w="1259" w:type="dxa"/>
            <w:tcBorders>
              <w:left w:val="single" w:sz="6" w:space="0" w:color="000000"/>
              <w:bottom w:val="single" w:sz="6" w:space="0" w:color="000000"/>
              <w:right w:val="single" w:sz="4" w:space="0" w:color="000000"/>
            </w:tcBorders>
          </w:tcPr>
          <w:p>
            <w:pPr>
              <w:pStyle w:val="TableParagraph"/>
              <w:spacing w:line="300" w:lineRule="exact"/>
              <w:ind w:left="216"/>
              <w:jc w:val="left"/>
              <w:rPr>
                <w:sz w:val="21"/>
              </w:rPr>
            </w:pPr>
            <w:r>
              <w:rPr>
                <w:sz w:val="21"/>
              </w:rPr>
              <w:t>现状浓度</w:t>
            </w:r>
          </w:p>
          <w:p>
            <w:pPr>
              <w:pStyle w:val="TableParagraph"/>
              <w:spacing w:line="303" w:lineRule="exact"/>
              <w:ind w:left="173"/>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4"/>
              </w:rPr>
              <w:t>3</w:t>
            </w:r>
            <w:r>
              <w:rPr>
                <w:sz w:val="21"/>
              </w:rPr>
              <w:t>）</w:t>
            </w:r>
          </w:p>
        </w:tc>
        <w:tc>
          <w:tcPr>
            <w:tcW w:w="1442" w:type="dxa"/>
            <w:tcBorders>
              <w:left w:val="single" w:sz="4" w:space="0" w:color="000000"/>
              <w:bottom w:val="single" w:sz="6" w:space="0" w:color="000000"/>
              <w:right w:val="single" w:sz="6" w:space="0" w:color="000000"/>
            </w:tcBorders>
          </w:tcPr>
          <w:p>
            <w:pPr>
              <w:pStyle w:val="TableParagraph"/>
              <w:spacing w:line="300" w:lineRule="exact"/>
              <w:ind w:left="245" w:right="212"/>
              <w:rPr>
                <w:sz w:val="21"/>
              </w:rPr>
            </w:pPr>
            <w:r>
              <w:rPr>
                <w:sz w:val="21"/>
              </w:rPr>
              <w:t>标准值</w:t>
            </w:r>
          </w:p>
          <w:p>
            <w:pPr>
              <w:pStyle w:val="TableParagraph"/>
              <w:spacing w:line="303" w:lineRule="exact"/>
              <w:ind w:left="245" w:right="214"/>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4"/>
              </w:rPr>
              <w:t>3</w:t>
            </w:r>
            <w:r>
              <w:rPr>
                <w:sz w:val="21"/>
              </w:rPr>
              <w:t>）</w:t>
            </w:r>
          </w:p>
        </w:tc>
        <w:tc>
          <w:tcPr>
            <w:tcW w:w="1440" w:type="dxa"/>
            <w:tcBorders>
              <w:left w:val="single" w:sz="6" w:space="0" w:color="000000"/>
              <w:bottom w:val="single" w:sz="6" w:space="0" w:color="000000"/>
              <w:right w:val="single" w:sz="4" w:space="0" w:color="000000"/>
            </w:tcBorders>
          </w:tcPr>
          <w:p>
            <w:pPr>
              <w:pStyle w:val="TableParagraph"/>
              <w:spacing w:before="77"/>
              <w:ind w:left="304" w:right="277"/>
              <w:rPr>
                <w:rFonts w:ascii="Times New Roman" w:eastAsia="Times New Roman"/>
                <w:sz w:val="21"/>
              </w:rPr>
            </w:pPr>
            <w:r>
              <w:rPr>
                <w:sz w:val="21"/>
              </w:rPr>
              <w:t>占标率</w:t>
            </w:r>
            <w:r>
              <w:rPr>
                <w:rFonts w:ascii="Times New Roman" w:eastAsia="Times New Roman"/>
                <w:sz w:val="21"/>
              </w:rPr>
              <w:t>%</w:t>
            </w:r>
          </w:p>
        </w:tc>
        <w:tc>
          <w:tcPr>
            <w:tcW w:w="1394" w:type="dxa"/>
            <w:tcBorders>
              <w:left w:val="single" w:sz="4" w:space="0" w:color="000000"/>
              <w:bottom w:val="single" w:sz="6" w:space="0" w:color="000000"/>
            </w:tcBorders>
          </w:tcPr>
          <w:p>
            <w:pPr>
              <w:pStyle w:val="TableParagraph"/>
              <w:spacing w:before="77"/>
              <w:ind w:left="269" w:right="224"/>
              <w:rPr>
                <w:sz w:val="21"/>
              </w:rPr>
            </w:pPr>
            <w:r>
              <w:rPr>
                <w:sz w:val="21"/>
              </w:rPr>
              <w:t>达标情况</w:t>
            </w:r>
          </w:p>
        </w:tc>
      </w:tr>
      <w:tr>
        <w:trPr>
          <w:trHeight w:val="340" w:hRule="atLeast"/>
        </w:trPr>
        <w:tc>
          <w:tcPr>
            <w:tcW w:w="1106" w:type="dxa"/>
            <w:tcBorders>
              <w:top w:val="single" w:sz="6" w:space="0" w:color="000000"/>
              <w:bottom w:val="single" w:sz="6" w:space="0" w:color="000000"/>
              <w:right w:val="single" w:sz="6" w:space="0" w:color="000000"/>
            </w:tcBorders>
          </w:tcPr>
          <w:p>
            <w:pPr>
              <w:pStyle w:val="TableParagraph"/>
              <w:spacing w:before="47"/>
              <w:ind w:left="217" w:right="194"/>
              <w:rPr>
                <w:rFonts w:ascii="Times New Roman"/>
                <w:sz w:val="14"/>
              </w:rPr>
            </w:pPr>
            <w:r>
              <w:rPr>
                <w:rFonts w:ascii="Times New Roman"/>
                <w:position w:val="2"/>
                <w:sz w:val="21"/>
              </w:rPr>
              <w:t>PM</w:t>
            </w:r>
            <w:r>
              <w:rPr>
                <w:rFonts w:ascii="Times New Roman"/>
                <w:sz w:val="14"/>
              </w:rPr>
              <w:t>2.5</w:t>
            </w:r>
          </w:p>
        </w:tc>
        <w:tc>
          <w:tcPr>
            <w:tcW w:w="18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spacing w:line="168" w:lineRule="auto"/>
              <w:ind w:left="633" w:right="155" w:hanging="447"/>
              <w:jc w:val="left"/>
              <w:rPr>
                <w:sz w:val="21"/>
              </w:rPr>
            </w:pPr>
            <w:r>
              <w:rPr>
                <w:rFonts w:ascii="Times New Roman" w:eastAsia="Times New Roman"/>
                <w:sz w:val="21"/>
              </w:rPr>
              <w:t>2018 </w:t>
            </w:r>
            <w:r>
              <w:rPr>
                <w:sz w:val="21"/>
              </w:rPr>
              <w:t>年度平均质量浓度</w:t>
            </w:r>
          </w:p>
        </w:tc>
        <w:tc>
          <w:tcPr>
            <w:tcW w:w="1259" w:type="dxa"/>
            <w:tcBorders>
              <w:top w:val="single" w:sz="6" w:space="0" w:color="000000"/>
              <w:left w:val="single" w:sz="6" w:space="0" w:color="000000"/>
              <w:bottom w:val="single" w:sz="6" w:space="0" w:color="000000"/>
              <w:right w:val="single" w:sz="4" w:space="0" w:color="000000"/>
            </w:tcBorders>
          </w:tcPr>
          <w:p>
            <w:pPr>
              <w:pStyle w:val="TableParagraph"/>
              <w:spacing w:before="48"/>
              <w:ind w:right="502"/>
              <w:jc w:val="right"/>
              <w:rPr>
                <w:rFonts w:ascii="Times New Roman"/>
                <w:sz w:val="21"/>
              </w:rPr>
            </w:pPr>
            <w:r>
              <w:rPr>
                <w:rFonts w:ascii="Times New Roman"/>
                <w:sz w:val="21"/>
              </w:rPr>
              <w:t>54</w:t>
            </w:r>
          </w:p>
        </w:tc>
        <w:tc>
          <w:tcPr>
            <w:tcW w:w="1442" w:type="dxa"/>
            <w:tcBorders>
              <w:top w:val="single" w:sz="6" w:space="0" w:color="000000"/>
              <w:left w:val="single" w:sz="4" w:space="0" w:color="000000"/>
              <w:bottom w:val="single" w:sz="6" w:space="0" w:color="000000"/>
              <w:right w:val="single" w:sz="6" w:space="0" w:color="000000"/>
            </w:tcBorders>
          </w:tcPr>
          <w:p>
            <w:pPr>
              <w:pStyle w:val="TableParagraph"/>
              <w:spacing w:before="48"/>
              <w:ind w:left="245" w:right="212"/>
              <w:rPr>
                <w:rFonts w:ascii="Times New Roman"/>
                <w:sz w:val="21"/>
              </w:rPr>
            </w:pPr>
            <w:r>
              <w:rPr>
                <w:rFonts w:ascii="Times New Roman"/>
                <w:sz w:val="21"/>
              </w:rPr>
              <w:t>35</w:t>
            </w:r>
          </w:p>
        </w:tc>
        <w:tc>
          <w:tcPr>
            <w:tcW w:w="1440" w:type="dxa"/>
            <w:tcBorders>
              <w:top w:val="single" w:sz="6" w:space="0" w:color="000000"/>
              <w:left w:val="single" w:sz="6" w:space="0" w:color="000000"/>
              <w:bottom w:val="single" w:sz="6" w:space="0" w:color="000000"/>
              <w:right w:val="single" w:sz="4" w:space="0" w:color="000000"/>
            </w:tcBorders>
          </w:tcPr>
          <w:p>
            <w:pPr>
              <w:pStyle w:val="TableParagraph"/>
              <w:spacing w:before="48"/>
              <w:ind w:left="303" w:right="277"/>
              <w:rPr>
                <w:rFonts w:ascii="Times New Roman"/>
                <w:sz w:val="21"/>
              </w:rPr>
            </w:pPr>
            <w:r>
              <w:rPr>
                <w:rFonts w:ascii="Times New Roman"/>
                <w:sz w:val="21"/>
              </w:rPr>
              <w:t>154.3</w:t>
            </w:r>
          </w:p>
        </w:tc>
        <w:tc>
          <w:tcPr>
            <w:tcW w:w="1394" w:type="dxa"/>
            <w:tcBorders>
              <w:top w:val="single" w:sz="6" w:space="0" w:color="000000"/>
              <w:left w:val="single" w:sz="4" w:space="0" w:color="000000"/>
              <w:bottom w:val="single" w:sz="6" w:space="0" w:color="000000"/>
            </w:tcBorders>
          </w:tcPr>
          <w:p>
            <w:pPr>
              <w:pStyle w:val="TableParagraph"/>
              <w:spacing w:line="320" w:lineRule="exact"/>
              <w:ind w:left="269" w:right="221"/>
              <w:rPr>
                <w:sz w:val="21"/>
              </w:rPr>
            </w:pPr>
            <w:r>
              <w:rPr>
                <w:sz w:val="21"/>
              </w:rPr>
              <w:t>不达标</w:t>
            </w:r>
          </w:p>
        </w:tc>
      </w:tr>
      <w:tr>
        <w:trPr>
          <w:trHeight w:val="340" w:hRule="atLeast"/>
        </w:trPr>
        <w:tc>
          <w:tcPr>
            <w:tcW w:w="1106" w:type="dxa"/>
            <w:tcBorders>
              <w:top w:val="single" w:sz="6" w:space="0" w:color="000000"/>
              <w:bottom w:val="single" w:sz="6" w:space="0" w:color="000000"/>
              <w:right w:val="single" w:sz="6" w:space="0" w:color="000000"/>
            </w:tcBorders>
          </w:tcPr>
          <w:p>
            <w:pPr>
              <w:pStyle w:val="TableParagraph"/>
              <w:spacing w:before="47"/>
              <w:ind w:left="215" w:right="194"/>
              <w:rPr>
                <w:rFonts w:ascii="Times New Roman"/>
                <w:sz w:val="14"/>
              </w:rPr>
            </w:pPr>
            <w:r>
              <w:rPr>
                <w:rFonts w:ascii="Times New Roman"/>
                <w:position w:val="2"/>
                <w:sz w:val="21"/>
              </w:rPr>
              <w:t>PM</w:t>
            </w:r>
            <w:r>
              <w:rPr>
                <w:rFonts w:ascii="Times New Roman"/>
                <w:sz w:val="14"/>
              </w:rPr>
              <w:t>10</w:t>
            </w:r>
          </w:p>
        </w:tc>
        <w:tc>
          <w:tcPr>
            <w:tcW w:w="1884" w:type="dxa"/>
            <w:vMerge/>
            <w:tcBorders>
              <w:top w:val="nil"/>
              <w:left w:val="single" w:sz="6" w:space="0" w:color="000000"/>
              <w:bottom w:val="single" w:sz="6" w:space="0" w:color="000000"/>
              <w:right w:val="single" w:sz="6" w:space="0" w:color="000000"/>
            </w:tcBorders>
          </w:tcPr>
          <w:p>
            <w:pPr>
              <w:rPr>
                <w:sz w:val="2"/>
                <w:szCs w:val="2"/>
              </w:rPr>
            </w:pPr>
          </w:p>
        </w:tc>
        <w:tc>
          <w:tcPr>
            <w:tcW w:w="1259" w:type="dxa"/>
            <w:tcBorders>
              <w:top w:val="single" w:sz="6" w:space="0" w:color="000000"/>
              <w:left w:val="single" w:sz="6" w:space="0" w:color="000000"/>
              <w:bottom w:val="single" w:sz="6" w:space="0" w:color="000000"/>
              <w:right w:val="single" w:sz="4" w:space="0" w:color="000000"/>
            </w:tcBorders>
          </w:tcPr>
          <w:p>
            <w:pPr>
              <w:pStyle w:val="TableParagraph"/>
              <w:spacing w:before="48"/>
              <w:ind w:right="502"/>
              <w:jc w:val="right"/>
              <w:rPr>
                <w:rFonts w:ascii="Times New Roman"/>
                <w:sz w:val="21"/>
              </w:rPr>
            </w:pPr>
            <w:r>
              <w:rPr>
                <w:rFonts w:ascii="Times New Roman"/>
                <w:sz w:val="21"/>
              </w:rPr>
              <w:t>98</w:t>
            </w:r>
          </w:p>
        </w:tc>
        <w:tc>
          <w:tcPr>
            <w:tcW w:w="1442" w:type="dxa"/>
            <w:tcBorders>
              <w:top w:val="single" w:sz="6" w:space="0" w:color="000000"/>
              <w:left w:val="single" w:sz="4" w:space="0" w:color="000000"/>
              <w:bottom w:val="single" w:sz="6" w:space="0" w:color="000000"/>
              <w:right w:val="single" w:sz="6" w:space="0" w:color="000000"/>
            </w:tcBorders>
          </w:tcPr>
          <w:p>
            <w:pPr>
              <w:pStyle w:val="TableParagraph"/>
              <w:spacing w:before="48"/>
              <w:ind w:left="245" w:right="212"/>
              <w:rPr>
                <w:rFonts w:ascii="Times New Roman"/>
                <w:sz w:val="21"/>
              </w:rPr>
            </w:pPr>
            <w:r>
              <w:rPr>
                <w:rFonts w:ascii="Times New Roman"/>
                <w:sz w:val="21"/>
              </w:rPr>
              <w:t>70</w:t>
            </w:r>
          </w:p>
        </w:tc>
        <w:tc>
          <w:tcPr>
            <w:tcW w:w="1440" w:type="dxa"/>
            <w:tcBorders>
              <w:top w:val="single" w:sz="6" w:space="0" w:color="000000"/>
              <w:left w:val="single" w:sz="6" w:space="0" w:color="000000"/>
              <w:bottom w:val="single" w:sz="6" w:space="0" w:color="000000"/>
              <w:right w:val="single" w:sz="4" w:space="0" w:color="000000"/>
            </w:tcBorders>
          </w:tcPr>
          <w:p>
            <w:pPr>
              <w:pStyle w:val="TableParagraph"/>
              <w:spacing w:before="48"/>
              <w:ind w:left="303" w:right="277"/>
              <w:rPr>
                <w:rFonts w:ascii="Times New Roman"/>
                <w:sz w:val="21"/>
              </w:rPr>
            </w:pPr>
            <w:r>
              <w:rPr>
                <w:rFonts w:ascii="Times New Roman"/>
                <w:sz w:val="21"/>
              </w:rPr>
              <w:t>140</w:t>
            </w:r>
          </w:p>
        </w:tc>
        <w:tc>
          <w:tcPr>
            <w:tcW w:w="1394" w:type="dxa"/>
            <w:tcBorders>
              <w:top w:val="single" w:sz="6" w:space="0" w:color="000000"/>
              <w:left w:val="single" w:sz="4" w:space="0" w:color="000000"/>
              <w:bottom w:val="single" w:sz="6" w:space="0" w:color="000000"/>
            </w:tcBorders>
          </w:tcPr>
          <w:p>
            <w:pPr>
              <w:pStyle w:val="TableParagraph"/>
              <w:spacing w:line="320" w:lineRule="exact"/>
              <w:ind w:left="269" w:right="221"/>
              <w:rPr>
                <w:sz w:val="21"/>
              </w:rPr>
            </w:pPr>
            <w:r>
              <w:rPr>
                <w:sz w:val="21"/>
              </w:rPr>
              <w:t>不达标</w:t>
            </w:r>
          </w:p>
        </w:tc>
      </w:tr>
      <w:tr>
        <w:trPr>
          <w:trHeight w:val="340" w:hRule="atLeast"/>
        </w:trPr>
        <w:tc>
          <w:tcPr>
            <w:tcW w:w="1106" w:type="dxa"/>
            <w:tcBorders>
              <w:top w:val="single" w:sz="6" w:space="0" w:color="000000"/>
              <w:bottom w:val="single" w:sz="6" w:space="0" w:color="000000"/>
              <w:right w:val="single" w:sz="6" w:space="0" w:color="000000"/>
            </w:tcBorders>
          </w:tcPr>
          <w:p>
            <w:pPr>
              <w:pStyle w:val="TableParagraph"/>
              <w:spacing w:before="47"/>
              <w:ind w:left="217" w:right="194"/>
              <w:rPr>
                <w:rFonts w:ascii="Times New Roman"/>
                <w:sz w:val="14"/>
              </w:rPr>
            </w:pPr>
            <w:r>
              <w:rPr>
                <w:rFonts w:ascii="Times New Roman"/>
                <w:position w:val="2"/>
                <w:sz w:val="21"/>
              </w:rPr>
              <w:t>SO</w:t>
            </w:r>
            <w:r>
              <w:rPr>
                <w:rFonts w:ascii="Times New Roman"/>
                <w:sz w:val="14"/>
              </w:rPr>
              <w:t>2</w:t>
            </w:r>
          </w:p>
        </w:tc>
        <w:tc>
          <w:tcPr>
            <w:tcW w:w="1884" w:type="dxa"/>
            <w:vMerge/>
            <w:tcBorders>
              <w:top w:val="nil"/>
              <w:left w:val="single" w:sz="6" w:space="0" w:color="000000"/>
              <w:bottom w:val="single" w:sz="6" w:space="0" w:color="000000"/>
              <w:right w:val="single" w:sz="6" w:space="0" w:color="000000"/>
            </w:tcBorders>
          </w:tcPr>
          <w:p>
            <w:pPr>
              <w:rPr>
                <w:sz w:val="2"/>
                <w:szCs w:val="2"/>
              </w:rPr>
            </w:pPr>
          </w:p>
        </w:tc>
        <w:tc>
          <w:tcPr>
            <w:tcW w:w="1259" w:type="dxa"/>
            <w:tcBorders>
              <w:top w:val="single" w:sz="6" w:space="0" w:color="000000"/>
              <w:left w:val="single" w:sz="6" w:space="0" w:color="000000"/>
              <w:bottom w:val="single" w:sz="6" w:space="0" w:color="000000"/>
              <w:right w:val="single" w:sz="4" w:space="0" w:color="000000"/>
            </w:tcBorders>
          </w:tcPr>
          <w:p>
            <w:pPr>
              <w:pStyle w:val="TableParagraph"/>
              <w:spacing w:before="48"/>
              <w:ind w:right="502"/>
              <w:jc w:val="right"/>
              <w:rPr>
                <w:rFonts w:ascii="Times New Roman"/>
                <w:sz w:val="21"/>
              </w:rPr>
            </w:pPr>
            <w:r>
              <w:rPr>
                <w:rFonts w:ascii="Times New Roman"/>
                <w:sz w:val="21"/>
              </w:rPr>
              <w:t>23</w:t>
            </w:r>
          </w:p>
        </w:tc>
        <w:tc>
          <w:tcPr>
            <w:tcW w:w="1442" w:type="dxa"/>
            <w:tcBorders>
              <w:top w:val="single" w:sz="6" w:space="0" w:color="000000"/>
              <w:left w:val="single" w:sz="4" w:space="0" w:color="000000"/>
              <w:bottom w:val="single" w:sz="6" w:space="0" w:color="000000"/>
              <w:right w:val="single" w:sz="6" w:space="0" w:color="000000"/>
            </w:tcBorders>
          </w:tcPr>
          <w:p>
            <w:pPr>
              <w:pStyle w:val="TableParagraph"/>
              <w:spacing w:before="48"/>
              <w:ind w:left="245" w:right="212"/>
              <w:rPr>
                <w:rFonts w:ascii="Times New Roman"/>
                <w:sz w:val="21"/>
              </w:rPr>
            </w:pPr>
            <w:r>
              <w:rPr>
                <w:rFonts w:ascii="Times New Roman"/>
                <w:sz w:val="21"/>
              </w:rPr>
              <w:t>60</w:t>
            </w:r>
          </w:p>
        </w:tc>
        <w:tc>
          <w:tcPr>
            <w:tcW w:w="1440" w:type="dxa"/>
            <w:tcBorders>
              <w:top w:val="single" w:sz="6" w:space="0" w:color="000000"/>
              <w:left w:val="single" w:sz="6" w:space="0" w:color="000000"/>
              <w:bottom w:val="single" w:sz="6" w:space="0" w:color="000000"/>
              <w:right w:val="single" w:sz="4" w:space="0" w:color="000000"/>
            </w:tcBorders>
          </w:tcPr>
          <w:p>
            <w:pPr>
              <w:pStyle w:val="TableParagraph"/>
              <w:spacing w:before="48"/>
              <w:ind w:left="303" w:right="277"/>
              <w:rPr>
                <w:rFonts w:ascii="Times New Roman"/>
                <w:sz w:val="21"/>
              </w:rPr>
            </w:pPr>
            <w:r>
              <w:rPr>
                <w:rFonts w:ascii="Times New Roman"/>
                <w:sz w:val="21"/>
              </w:rPr>
              <w:t>38.3</w:t>
            </w:r>
          </w:p>
        </w:tc>
        <w:tc>
          <w:tcPr>
            <w:tcW w:w="1394" w:type="dxa"/>
            <w:tcBorders>
              <w:top w:val="single" w:sz="6" w:space="0" w:color="000000"/>
              <w:left w:val="single" w:sz="4" w:space="0" w:color="000000"/>
              <w:bottom w:val="single" w:sz="6" w:space="0" w:color="000000"/>
            </w:tcBorders>
          </w:tcPr>
          <w:p>
            <w:pPr>
              <w:pStyle w:val="TableParagraph"/>
              <w:spacing w:line="320" w:lineRule="exact"/>
              <w:ind w:left="269" w:right="221"/>
              <w:rPr>
                <w:sz w:val="21"/>
              </w:rPr>
            </w:pPr>
            <w:r>
              <w:rPr>
                <w:sz w:val="21"/>
              </w:rPr>
              <w:t>达标</w:t>
            </w:r>
          </w:p>
        </w:tc>
      </w:tr>
      <w:tr>
        <w:trPr>
          <w:trHeight w:val="340" w:hRule="atLeast"/>
        </w:trPr>
        <w:tc>
          <w:tcPr>
            <w:tcW w:w="1106" w:type="dxa"/>
            <w:tcBorders>
              <w:top w:val="single" w:sz="6" w:space="0" w:color="000000"/>
              <w:bottom w:val="single" w:sz="6" w:space="0" w:color="000000"/>
              <w:right w:val="single" w:sz="6" w:space="0" w:color="000000"/>
            </w:tcBorders>
          </w:tcPr>
          <w:p>
            <w:pPr>
              <w:pStyle w:val="TableParagraph"/>
              <w:spacing w:before="47"/>
              <w:ind w:left="213" w:right="194"/>
              <w:rPr>
                <w:rFonts w:ascii="Times New Roman"/>
                <w:sz w:val="14"/>
              </w:rPr>
            </w:pPr>
            <w:r>
              <w:rPr>
                <w:rFonts w:ascii="Times New Roman"/>
                <w:position w:val="2"/>
                <w:sz w:val="21"/>
              </w:rPr>
              <w:t>NO</w:t>
            </w:r>
            <w:r>
              <w:rPr>
                <w:rFonts w:ascii="Times New Roman"/>
                <w:sz w:val="14"/>
              </w:rPr>
              <w:t>2</w:t>
            </w:r>
          </w:p>
        </w:tc>
        <w:tc>
          <w:tcPr>
            <w:tcW w:w="1884" w:type="dxa"/>
            <w:vMerge/>
            <w:tcBorders>
              <w:top w:val="nil"/>
              <w:left w:val="single" w:sz="6" w:space="0" w:color="000000"/>
              <w:bottom w:val="single" w:sz="6" w:space="0" w:color="000000"/>
              <w:right w:val="single" w:sz="6" w:space="0" w:color="000000"/>
            </w:tcBorders>
          </w:tcPr>
          <w:p>
            <w:pPr>
              <w:rPr>
                <w:sz w:val="2"/>
                <w:szCs w:val="2"/>
              </w:rPr>
            </w:pPr>
          </w:p>
        </w:tc>
        <w:tc>
          <w:tcPr>
            <w:tcW w:w="1259" w:type="dxa"/>
            <w:tcBorders>
              <w:top w:val="single" w:sz="6" w:space="0" w:color="000000"/>
              <w:left w:val="single" w:sz="6" w:space="0" w:color="000000"/>
              <w:bottom w:val="single" w:sz="6" w:space="0" w:color="000000"/>
              <w:right w:val="single" w:sz="4" w:space="0" w:color="000000"/>
            </w:tcBorders>
          </w:tcPr>
          <w:p>
            <w:pPr>
              <w:pStyle w:val="TableParagraph"/>
              <w:spacing w:before="48"/>
              <w:ind w:right="502"/>
              <w:jc w:val="right"/>
              <w:rPr>
                <w:rFonts w:ascii="Times New Roman"/>
                <w:sz w:val="21"/>
              </w:rPr>
            </w:pPr>
            <w:r>
              <w:rPr>
                <w:rFonts w:ascii="Times New Roman"/>
                <w:sz w:val="21"/>
              </w:rPr>
              <w:t>35</w:t>
            </w:r>
          </w:p>
        </w:tc>
        <w:tc>
          <w:tcPr>
            <w:tcW w:w="1442" w:type="dxa"/>
            <w:tcBorders>
              <w:top w:val="single" w:sz="6" w:space="0" w:color="000000"/>
              <w:left w:val="single" w:sz="4" w:space="0" w:color="000000"/>
              <w:bottom w:val="single" w:sz="6" w:space="0" w:color="000000"/>
              <w:right w:val="single" w:sz="6" w:space="0" w:color="000000"/>
            </w:tcBorders>
          </w:tcPr>
          <w:p>
            <w:pPr>
              <w:pStyle w:val="TableParagraph"/>
              <w:spacing w:before="48"/>
              <w:ind w:left="245" w:right="212"/>
              <w:rPr>
                <w:rFonts w:ascii="Times New Roman"/>
                <w:sz w:val="21"/>
              </w:rPr>
            </w:pPr>
            <w:r>
              <w:rPr>
                <w:rFonts w:ascii="Times New Roman"/>
                <w:sz w:val="21"/>
              </w:rPr>
              <w:t>40</w:t>
            </w:r>
          </w:p>
        </w:tc>
        <w:tc>
          <w:tcPr>
            <w:tcW w:w="1440" w:type="dxa"/>
            <w:tcBorders>
              <w:top w:val="single" w:sz="6" w:space="0" w:color="000000"/>
              <w:left w:val="single" w:sz="6" w:space="0" w:color="000000"/>
              <w:bottom w:val="single" w:sz="6" w:space="0" w:color="000000"/>
              <w:right w:val="single" w:sz="4" w:space="0" w:color="000000"/>
            </w:tcBorders>
          </w:tcPr>
          <w:p>
            <w:pPr>
              <w:pStyle w:val="TableParagraph"/>
              <w:spacing w:before="48"/>
              <w:ind w:left="303" w:right="277"/>
              <w:rPr>
                <w:rFonts w:ascii="Times New Roman"/>
                <w:sz w:val="21"/>
              </w:rPr>
            </w:pPr>
            <w:r>
              <w:rPr>
                <w:rFonts w:ascii="Times New Roman"/>
                <w:sz w:val="21"/>
              </w:rPr>
              <w:t>87.5</w:t>
            </w:r>
          </w:p>
        </w:tc>
        <w:tc>
          <w:tcPr>
            <w:tcW w:w="1394" w:type="dxa"/>
            <w:tcBorders>
              <w:top w:val="single" w:sz="6" w:space="0" w:color="000000"/>
              <w:left w:val="single" w:sz="4" w:space="0" w:color="000000"/>
              <w:bottom w:val="single" w:sz="6" w:space="0" w:color="000000"/>
            </w:tcBorders>
          </w:tcPr>
          <w:p>
            <w:pPr>
              <w:pStyle w:val="TableParagraph"/>
              <w:spacing w:line="320" w:lineRule="exact"/>
              <w:ind w:left="269" w:right="221"/>
              <w:rPr>
                <w:sz w:val="21"/>
              </w:rPr>
            </w:pPr>
            <w:r>
              <w:rPr>
                <w:sz w:val="21"/>
              </w:rPr>
              <w:t>达标</w:t>
            </w:r>
          </w:p>
        </w:tc>
      </w:tr>
      <w:tr>
        <w:trPr>
          <w:trHeight w:val="623" w:hRule="atLeast"/>
        </w:trPr>
        <w:tc>
          <w:tcPr>
            <w:tcW w:w="1106" w:type="dxa"/>
            <w:tcBorders>
              <w:top w:val="single" w:sz="6" w:space="0" w:color="000000"/>
              <w:bottom w:val="single" w:sz="6" w:space="0" w:color="000000"/>
              <w:right w:val="single" w:sz="6" w:space="0" w:color="000000"/>
            </w:tcBorders>
          </w:tcPr>
          <w:p>
            <w:pPr>
              <w:pStyle w:val="TableParagraph"/>
              <w:spacing w:before="190"/>
              <w:ind w:left="215" w:right="194"/>
              <w:rPr>
                <w:rFonts w:ascii="Times New Roman"/>
                <w:sz w:val="21"/>
              </w:rPr>
            </w:pPr>
            <w:r>
              <w:rPr>
                <w:rFonts w:ascii="Times New Roman"/>
                <w:sz w:val="21"/>
              </w:rPr>
              <w:t>CO</w:t>
            </w:r>
          </w:p>
        </w:tc>
        <w:tc>
          <w:tcPr>
            <w:tcW w:w="1884"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43" w:right="116"/>
              <w:rPr>
                <w:sz w:val="21"/>
              </w:rPr>
            </w:pPr>
            <w:r>
              <w:rPr>
                <w:sz w:val="21"/>
              </w:rPr>
              <w:t>日平均第 </w:t>
            </w:r>
            <w:r>
              <w:rPr>
                <w:rFonts w:ascii="Times New Roman" w:eastAsia="Times New Roman"/>
                <w:sz w:val="21"/>
              </w:rPr>
              <w:t>95 </w:t>
            </w:r>
            <w:r>
              <w:rPr>
                <w:sz w:val="21"/>
              </w:rPr>
              <w:t>百分</w:t>
            </w:r>
          </w:p>
          <w:p>
            <w:pPr>
              <w:pStyle w:val="TableParagraph"/>
              <w:spacing w:line="303" w:lineRule="exact"/>
              <w:ind w:left="143" w:right="112"/>
              <w:rPr>
                <w:sz w:val="21"/>
              </w:rPr>
            </w:pPr>
            <w:r>
              <w:rPr>
                <w:sz w:val="21"/>
              </w:rPr>
              <w:t>位数</w:t>
            </w:r>
          </w:p>
        </w:tc>
        <w:tc>
          <w:tcPr>
            <w:tcW w:w="1259" w:type="dxa"/>
            <w:tcBorders>
              <w:top w:val="single" w:sz="6" w:space="0" w:color="000000"/>
              <w:left w:val="single" w:sz="6" w:space="0" w:color="000000"/>
              <w:bottom w:val="single" w:sz="6" w:space="0" w:color="000000"/>
              <w:right w:val="single" w:sz="4" w:space="0" w:color="000000"/>
            </w:tcBorders>
          </w:tcPr>
          <w:p>
            <w:pPr>
              <w:pStyle w:val="TableParagraph"/>
              <w:spacing w:before="190"/>
              <w:ind w:right="473"/>
              <w:jc w:val="right"/>
              <w:rPr>
                <w:rFonts w:ascii="Times New Roman"/>
                <w:sz w:val="21"/>
              </w:rPr>
            </w:pPr>
            <w:r>
              <w:rPr>
                <w:rFonts w:ascii="Times New Roman"/>
                <w:sz w:val="21"/>
              </w:rPr>
              <w:t>2.0</w:t>
            </w:r>
          </w:p>
        </w:tc>
        <w:tc>
          <w:tcPr>
            <w:tcW w:w="1442" w:type="dxa"/>
            <w:tcBorders>
              <w:top w:val="single" w:sz="6" w:space="0" w:color="000000"/>
              <w:left w:val="single" w:sz="4" w:space="0" w:color="000000"/>
              <w:bottom w:val="single" w:sz="6" w:space="0" w:color="000000"/>
              <w:right w:val="single" w:sz="6" w:space="0" w:color="000000"/>
            </w:tcBorders>
          </w:tcPr>
          <w:p>
            <w:pPr>
              <w:pStyle w:val="TableParagraph"/>
              <w:spacing w:before="190"/>
              <w:ind w:left="33"/>
              <w:rPr>
                <w:rFonts w:ascii="Times New Roman"/>
                <w:sz w:val="21"/>
              </w:rPr>
            </w:pPr>
            <w:r>
              <w:rPr>
                <w:rFonts w:ascii="Times New Roman"/>
                <w:w w:val="100"/>
                <w:sz w:val="21"/>
              </w:rPr>
              <w:t>4</w:t>
            </w:r>
          </w:p>
        </w:tc>
        <w:tc>
          <w:tcPr>
            <w:tcW w:w="1440" w:type="dxa"/>
            <w:tcBorders>
              <w:top w:val="single" w:sz="6" w:space="0" w:color="000000"/>
              <w:left w:val="single" w:sz="6" w:space="0" w:color="000000"/>
              <w:bottom w:val="single" w:sz="6" w:space="0" w:color="000000"/>
              <w:right w:val="single" w:sz="4" w:space="0" w:color="000000"/>
            </w:tcBorders>
          </w:tcPr>
          <w:p>
            <w:pPr>
              <w:pStyle w:val="TableParagraph"/>
              <w:spacing w:before="190"/>
              <w:ind w:left="303" w:right="277"/>
              <w:rPr>
                <w:rFonts w:ascii="Times New Roman"/>
                <w:sz w:val="21"/>
              </w:rPr>
            </w:pPr>
            <w:r>
              <w:rPr>
                <w:rFonts w:ascii="Times New Roman"/>
                <w:sz w:val="21"/>
              </w:rPr>
              <w:t>50</w:t>
            </w:r>
          </w:p>
        </w:tc>
        <w:tc>
          <w:tcPr>
            <w:tcW w:w="1394" w:type="dxa"/>
            <w:tcBorders>
              <w:top w:val="single" w:sz="6" w:space="0" w:color="000000"/>
              <w:left w:val="single" w:sz="4" w:space="0" w:color="000000"/>
              <w:bottom w:val="single" w:sz="6" w:space="0" w:color="000000"/>
            </w:tcBorders>
          </w:tcPr>
          <w:p>
            <w:pPr>
              <w:pStyle w:val="TableParagraph"/>
              <w:spacing w:before="77"/>
              <w:ind w:left="269" w:right="221"/>
              <w:rPr>
                <w:sz w:val="21"/>
              </w:rPr>
            </w:pPr>
            <w:r>
              <w:rPr>
                <w:sz w:val="21"/>
              </w:rPr>
              <w:t>达标</w:t>
            </w:r>
          </w:p>
        </w:tc>
      </w:tr>
      <w:tr>
        <w:trPr>
          <w:trHeight w:val="625" w:hRule="atLeast"/>
        </w:trPr>
        <w:tc>
          <w:tcPr>
            <w:tcW w:w="1106" w:type="dxa"/>
            <w:tcBorders>
              <w:top w:val="single" w:sz="6" w:space="0" w:color="000000"/>
              <w:right w:val="single" w:sz="6" w:space="0" w:color="000000"/>
            </w:tcBorders>
          </w:tcPr>
          <w:p>
            <w:pPr>
              <w:pStyle w:val="TableParagraph"/>
              <w:spacing w:before="192"/>
              <w:ind w:left="215" w:right="194"/>
              <w:rPr>
                <w:rFonts w:ascii="Times New Roman"/>
                <w:sz w:val="14"/>
              </w:rPr>
            </w:pPr>
            <w:r>
              <w:rPr>
                <w:rFonts w:ascii="Times New Roman"/>
                <w:position w:val="2"/>
                <w:sz w:val="21"/>
              </w:rPr>
              <w:t>O</w:t>
            </w:r>
            <w:r>
              <w:rPr>
                <w:rFonts w:ascii="Times New Roman"/>
                <w:sz w:val="14"/>
              </w:rPr>
              <w:t>3</w:t>
            </w:r>
          </w:p>
        </w:tc>
        <w:tc>
          <w:tcPr>
            <w:tcW w:w="1884" w:type="dxa"/>
            <w:tcBorders>
              <w:top w:val="single" w:sz="6" w:space="0" w:color="000000"/>
              <w:left w:val="single" w:sz="6" w:space="0" w:color="000000"/>
              <w:right w:val="single" w:sz="6" w:space="0" w:color="000000"/>
            </w:tcBorders>
          </w:tcPr>
          <w:p>
            <w:pPr>
              <w:pStyle w:val="TableParagraph"/>
              <w:spacing w:line="303" w:lineRule="exact"/>
              <w:ind w:left="115"/>
              <w:jc w:val="left"/>
              <w:rPr>
                <w:sz w:val="21"/>
              </w:rPr>
            </w:pPr>
            <w:r>
              <w:rPr>
                <w:sz w:val="21"/>
              </w:rPr>
              <w:t>日最大 </w:t>
            </w:r>
            <w:r>
              <w:rPr>
                <w:rFonts w:ascii="Times New Roman" w:eastAsia="Times New Roman"/>
                <w:sz w:val="21"/>
              </w:rPr>
              <w:t>8 </w:t>
            </w:r>
            <w:r>
              <w:rPr>
                <w:sz w:val="21"/>
              </w:rPr>
              <w:t>小时平均</w:t>
            </w:r>
          </w:p>
          <w:p>
            <w:pPr>
              <w:pStyle w:val="TableParagraph"/>
              <w:spacing w:line="303" w:lineRule="exact"/>
              <w:ind w:left="160"/>
              <w:jc w:val="left"/>
              <w:rPr>
                <w:sz w:val="21"/>
              </w:rPr>
            </w:pPr>
            <w:r>
              <w:rPr>
                <w:sz w:val="21"/>
              </w:rPr>
              <w:t>值第 </w:t>
            </w:r>
            <w:r>
              <w:rPr>
                <w:rFonts w:ascii="Times New Roman" w:eastAsia="Times New Roman"/>
                <w:sz w:val="21"/>
              </w:rPr>
              <w:t>90 </w:t>
            </w:r>
            <w:r>
              <w:rPr>
                <w:sz w:val="21"/>
              </w:rPr>
              <w:t>百分位数</w:t>
            </w:r>
          </w:p>
        </w:tc>
        <w:tc>
          <w:tcPr>
            <w:tcW w:w="1259" w:type="dxa"/>
            <w:tcBorders>
              <w:top w:val="single" w:sz="6" w:space="0" w:color="000000"/>
              <w:left w:val="single" w:sz="6" w:space="0" w:color="000000"/>
              <w:right w:val="single" w:sz="4" w:space="0" w:color="000000"/>
            </w:tcBorders>
          </w:tcPr>
          <w:p>
            <w:pPr>
              <w:pStyle w:val="TableParagraph"/>
              <w:spacing w:before="193"/>
              <w:ind w:right="447"/>
              <w:jc w:val="right"/>
              <w:rPr>
                <w:rFonts w:ascii="Times New Roman"/>
                <w:sz w:val="21"/>
              </w:rPr>
            </w:pPr>
            <w:r>
              <w:rPr>
                <w:rFonts w:ascii="Times New Roman"/>
                <w:sz w:val="21"/>
              </w:rPr>
              <w:t>184</w:t>
            </w:r>
          </w:p>
        </w:tc>
        <w:tc>
          <w:tcPr>
            <w:tcW w:w="1442" w:type="dxa"/>
            <w:tcBorders>
              <w:top w:val="single" w:sz="6" w:space="0" w:color="000000"/>
              <w:left w:val="single" w:sz="4" w:space="0" w:color="000000"/>
              <w:right w:val="single" w:sz="6" w:space="0" w:color="000000"/>
            </w:tcBorders>
          </w:tcPr>
          <w:p>
            <w:pPr>
              <w:pStyle w:val="TableParagraph"/>
              <w:spacing w:before="193"/>
              <w:ind w:left="245" w:right="212"/>
              <w:rPr>
                <w:rFonts w:ascii="Times New Roman"/>
                <w:sz w:val="21"/>
              </w:rPr>
            </w:pPr>
            <w:r>
              <w:rPr>
                <w:rFonts w:ascii="Times New Roman"/>
                <w:sz w:val="21"/>
              </w:rPr>
              <w:t>160</w:t>
            </w:r>
          </w:p>
        </w:tc>
        <w:tc>
          <w:tcPr>
            <w:tcW w:w="1440" w:type="dxa"/>
            <w:tcBorders>
              <w:top w:val="single" w:sz="6" w:space="0" w:color="000000"/>
              <w:left w:val="single" w:sz="6" w:space="0" w:color="000000"/>
              <w:right w:val="single" w:sz="4" w:space="0" w:color="000000"/>
            </w:tcBorders>
          </w:tcPr>
          <w:p>
            <w:pPr>
              <w:pStyle w:val="TableParagraph"/>
              <w:spacing w:before="193"/>
              <w:ind w:left="304" w:right="275"/>
              <w:rPr>
                <w:rFonts w:ascii="Times New Roman"/>
                <w:sz w:val="21"/>
              </w:rPr>
            </w:pPr>
            <w:r>
              <w:rPr>
                <w:rFonts w:ascii="Times New Roman"/>
                <w:sz w:val="21"/>
              </w:rPr>
              <w:t>115</w:t>
            </w:r>
          </w:p>
        </w:tc>
        <w:tc>
          <w:tcPr>
            <w:tcW w:w="1394" w:type="dxa"/>
            <w:tcBorders>
              <w:top w:val="single" w:sz="6" w:space="0" w:color="000000"/>
              <w:left w:val="single" w:sz="4" w:space="0" w:color="000000"/>
            </w:tcBorders>
          </w:tcPr>
          <w:p>
            <w:pPr>
              <w:pStyle w:val="TableParagraph"/>
              <w:spacing w:before="80"/>
              <w:ind w:left="269" w:right="221"/>
              <w:rPr>
                <w:sz w:val="21"/>
              </w:rPr>
            </w:pPr>
            <w:r>
              <w:rPr>
                <w:sz w:val="21"/>
              </w:rPr>
              <w:t>不达标</w:t>
            </w:r>
          </w:p>
        </w:tc>
      </w:tr>
    </w:tbl>
    <w:p>
      <w:pPr>
        <w:spacing w:after="0"/>
        <w:rPr>
          <w:sz w:val="21"/>
        </w:rPr>
        <w:sectPr>
          <w:pgSz w:w="11910" w:h="16840"/>
          <w:pgMar w:header="877" w:footer="973" w:top="1340" w:bottom="1160" w:left="1220" w:right="1040"/>
        </w:sectPr>
      </w:pPr>
    </w:p>
    <w:p>
      <w:pPr>
        <w:pStyle w:val="BodyText"/>
        <w:spacing w:line="488" w:lineRule="exact" w:before="48"/>
        <w:ind w:left="1058"/>
        <w:rPr>
          <w:rFonts w:ascii="Times New Roman" w:eastAsia="Times New Roman"/>
        </w:rPr>
      </w:pPr>
      <w:r>
        <w:rPr>
          <w:spacing w:val="1"/>
        </w:rPr>
        <w:t>根据导则要求本项目采用临沂市环境空气质量情况第 </w:t>
      </w:r>
      <w:r>
        <w:rPr>
          <w:rFonts w:ascii="Times New Roman" w:eastAsia="Times New Roman"/>
        </w:rPr>
        <w:t>32</w:t>
      </w:r>
      <w:r>
        <w:rPr>
          <w:rFonts w:ascii="Times New Roman" w:eastAsia="Times New Roman"/>
          <w:spacing w:val="31"/>
        </w:rPr>
        <w:t> </w:t>
      </w:r>
      <w:r>
        <w:rPr>
          <w:spacing w:val="5"/>
        </w:rPr>
        <w:t>期《临沂市 </w:t>
      </w:r>
      <w:r>
        <w:rPr>
          <w:rFonts w:ascii="Times New Roman" w:eastAsia="Times New Roman"/>
        </w:rPr>
        <w:t>2018</w:t>
      </w:r>
    </w:p>
    <w:p>
      <w:pPr>
        <w:pStyle w:val="BodyText"/>
        <w:spacing w:line="468" w:lineRule="exact"/>
        <w:ind w:left="578"/>
      </w:pPr>
      <w:r>
        <w:rPr/>
        <w:t>年大气环境质量状况》项目所在莒南县各项指标情况数据，根据数据统计显示</w:t>
      </w:r>
    </w:p>
    <w:p>
      <w:pPr>
        <w:pStyle w:val="BodyText"/>
        <w:spacing w:line="220" w:lineRule="auto" w:before="9"/>
        <w:ind w:left="578" w:right="897"/>
      </w:pPr>
      <w:r>
        <w:rPr>
          <w:rFonts w:ascii="Times New Roman" w:eastAsia="Times New Roman"/>
          <w:spacing w:val="-1"/>
          <w:position w:val="2"/>
        </w:rPr>
        <w:t>PM</w:t>
      </w:r>
      <w:r>
        <w:rPr>
          <w:rFonts w:ascii="Times New Roman" w:eastAsia="Times New Roman"/>
          <w:spacing w:val="-1"/>
          <w:sz w:val="16"/>
        </w:rPr>
        <w:t>10</w:t>
      </w:r>
      <w:r>
        <w:rPr>
          <w:spacing w:val="-24"/>
          <w:position w:val="2"/>
        </w:rPr>
        <w:t>、</w:t>
      </w:r>
      <w:r>
        <w:rPr>
          <w:rFonts w:ascii="Times New Roman" w:eastAsia="Times New Roman"/>
          <w:spacing w:val="-1"/>
          <w:position w:val="2"/>
        </w:rPr>
        <w:t>PM</w:t>
      </w:r>
      <w:r>
        <w:rPr>
          <w:rFonts w:ascii="Times New Roman" w:eastAsia="Times New Roman"/>
          <w:spacing w:val="-1"/>
          <w:sz w:val="16"/>
        </w:rPr>
        <w:t>2.5</w:t>
      </w:r>
      <w:r>
        <w:rPr>
          <w:spacing w:val="-8"/>
          <w:position w:val="2"/>
        </w:rPr>
        <w:t>、臭氧年评价指标均不能满足《环境空气质量</w:t>
      </w:r>
      <w:r>
        <w:rPr>
          <w:spacing w:val="-144"/>
          <w:position w:val="2"/>
        </w:rPr>
        <w:t>》</w:t>
      </w:r>
      <w:r>
        <w:rPr>
          <w:position w:val="2"/>
        </w:rPr>
        <w:t>（</w:t>
      </w:r>
      <w:r>
        <w:rPr>
          <w:rFonts w:ascii="Times New Roman" w:eastAsia="Times New Roman"/>
          <w:position w:val="2"/>
        </w:rPr>
        <w:t>GB3095-2012</w:t>
      </w:r>
      <w:r>
        <w:rPr>
          <w:position w:val="2"/>
        </w:rPr>
        <w:t>）</w:t>
      </w:r>
      <w:r>
        <w:rPr>
          <w:spacing w:val="-24"/>
          <w:position w:val="2"/>
        </w:rPr>
        <w:t>的</w:t>
      </w:r>
      <w:r>
        <w:rPr/>
        <w:t>二级标准限值要求。</w:t>
      </w:r>
    </w:p>
    <w:p>
      <w:pPr>
        <w:pStyle w:val="BodyText"/>
        <w:spacing w:line="479" w:lineRule="exact"/>
        <w:ind w:left="1058"/>
      </w:pPr>
      <w:r>
        <w:rPr/>
        <w:t>根据中国环境影响评价网，对该区域的判定情况判断如下：</w:t>
      </w:r>
    </w:p>
    <w:p>
      <w:pPr>
        <w:pStyle w:val="BodyText"/>
        <w:spacing w:before="13"/>
        <w:rPr>
          <w:sz w:val="18"/>
        </w:rPr>
      </w:pPr>
      <w:r>
        <w:rPr/>
        <w:drawing>
          <wp:anchor distT="0" distB="0" distL="0" distR="0" allowOverlap="1" layoutInCell="1" locked="0" behindDoc="1" simplePos="0" relativeHeight="268434503">
            <wp:simplePos x="0" y="0"/>
            <wp:positionH relativeFrom="page">
              <wp:posOffset>1141730</wp:posOffset>
            </wp:positionH>
            <wp:positionV relativeFrom="paragraph">
              <wp:posOffset>275745</wp:posOffset>
            </wp:positionV>
            <wp:extent cx="5259874" cy="2506884"/>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28" cstate="print"/>
                    <a:stretch>
                      <a:fillRect/>
                    </a:stretch>
                  </pic:blipFill>
                  <pic:spPr>
                    <a:xfrm>
                      <a:off x="0" y="0"/>
                      <a:ext cx="5259874" cy="2506884"/>
                    </a:xfrm>
                    <a:prstGeom prst="rect">
                      <a:avLst/>
                    </a:prstGeom>
                  </pic:spPr>
                </pic:pic>
              </a:graphicData>
            </a:graphic>
          </wp:anchor>
        </w:drawing>
      </w:r>
    </w:p>
    <w:p>
      <w:pPr>
        <w:pStyle w:val="BodyText"/>
        <w:spacing w:before="3"/>
        <w:rPr>
          <w:sz w:val="13"/>
        </w:rPr>
      </w:pPr>
    </w:p>
    <w:p>
      <w:pPr>
        <w:pStyle w:val="BodyText"/>
        <w:spacing w:line="457" w:lineRule="exact"/>
        <w:ind w:left="1058"/>
      </w:pPr>
      <w:r>
        <w:rPr/>
        <w:t>因此判定项目所在区域为不达标区。</w:t>
      </w:r>
    </w:p>
    <w:p>
      <w:pPr>
        <w:pStyle w:val="Heading5"/>
        <w:numPr>
          <w:ilvl w:val="3"/>
          <w:numId w:val="5"/>
        </w:numPr>
        <w:tabs>
          <w:tab w:pos="1490" w:val="left" w:leader="none"/>
        </w:tabs>
        <w:spacing w:line="588" w:lineRule="exact" w:before="0" w:after="0"/>
        <w:ind w:left="1490" w:right="0" w:hanging="912"/>
        <w:jc w:val="left"/>
        <w:rPr>
          <w:rFonts w:ascii="Times New Roman" w:eastAsia="Times New Roman"/>
        </w:rPr>
      </w:pPr>
      <w:r>
        <w:rPr/>
        <w:t>基本污染物环境质量现状评价</w:t>
      </w:r>
    </w:p>
    <w:p>
      <w:pPr>
        <w:pStyle w:val="BodyText"/>
        <w:spacing w:line="220" w:lineRule="auto" w:before="26"/>
        <w:ind w:left="578" w:right="717" w:firstLine="479"/>
        <w:jc w:val="both"/>
      </w:pPr>
      <w:r>
        <w:rPr>
          <w:spacing w:val="4"/>
        </w:rPr>
        <w:t>根据莒南县环境监测站提供的</w:t>
      </w:r>
      <w:r>
        <w:rPr>
          <w:rFonts w:ascii="Times New Roman" w:eastAsia="Times New Roman"/>
        </w:rPr>
        <w:t>2018</w:t>
      </w:r>
      <w:r>
        <w:rPr>
          <w:spacing w:val="7"/>
        </w:rPr>
        <w:t>年</w:t>
      </w:r>
      <w:r>
        <w:rPr>
          <w:rFonts w:ascii="Times New Roman" w:eastAsia="Times New Roman"/>
        </w:rPr>
        <w:t>1-12</w:t>
      </w:r>
      <w:r>
        <w:rPr>
          <w:spacing w:val="3"/>
        </w:rPr>
        <w:t>月份莒南县经济开发区环境空气</w:t>
      </w:r>
      <w:r>
        <w:rPr>
          <w:spacing w:val="3"/>
          <w:position w:val="2"/>
        </w:rPr>
        <w:t>质量每月现状数据，统计可得基本污染物</w:t>
      </w:r>
      <w:r>
        <w:rPr>
          <w:rFonts w:ascii="Times New Roman" w:eastAsia="Times New Roman"/>
          <w:spacing w:val="3"/>
          <w:position w:val="2"/>
        </w:rPr>
        <w:t>SO</w:t>
      </w:r>
      <w:r>
        <w:rPr>
          <w:rFonts w:ascii="Times New Roman" w:eastAsia="Times New Roman"/>
          <w:spacing w:val="3"/>
          <w:sz w:val="16"/>
        </w:rPr>
        <w:t>2</w:t>
      </w:r>
      <w:r>
        <w:rPr>
          <w:spacing w:val="3"/>
          <w:position w:val="2"/>
        </w:rPr>
        <w:t>、</w:t>
      </w:r>
      <w:r>
        <w:rPr>
          <w:rFonts w:ascii="Times New Roman" w:eastAsia="Times New Roman"/>
          <w:spacing w:val="3"/>
          <w:position w:val="2"/>
        </w:rPr>
        <w:t>NO</w:t>
      </w:r>
      <w:r>
        <w:rPr>
          <w:rFonts w:ascii="Times New Roman" w:eastAsia="Times New Roman"/>
          <w:spacing w:val="3"/>
          <w:sz w:val="16"/>
        </w:rPr>
        <w:t>2</w:t>
      </w:r>
      <w:r>
        <w:rPr>
          <w:spacing w:val="3"/>
          <w:position w:val="2"/>
        </w:rPr>
        <w:t>、</w:t>
      </w:r>
      <w:r>
        <w:rPr>
          <w:rFonts w:ascii="Times New Roman" w:eastAsia="Times New Roman"/>
          <w:spacing w:val="3"/>
          <w:position w:val="2"/>
        </w:rPr>
        <w:t>PM</w:t>
      </w:r>
      <w:r>
        <w:rPr>
          <w:rFonts w:ascii="Times New Roman" w:eastAsia="Times New Roman"/>
          <w:spacing w:val="3"/>
          <w:sz w:val="16"/>
        </w:rPr>
        <w:t>2.5</w:t>
      </w:r>
      <w:r>
        <w:rPr>
          <w:spacing w:val="-3"/>
          <w:position w:val="2"/>
        </w:rPr>
        <w:t>、</w:t>
      </w:r>
      <w:r>
        <w:rPr>
          <w:rFonts w:ascii="Times New Roman" w:eastAsia="Times New Roman"/>
          <w:position w:val="2"/>
        </w:rPr>
        <w:t>PM</w:t>
      </w:r>
      <w:r>
        <w:rPr>
          <w:rFonts w:ascii="Times New Roman" w:eastAsia="Times New Roman"/>
          <w:sz w:val="16"/>
        </w:rPr>
        <w:t>10</w:t>
      </w:r>
      <w:r>
        <w:rPr>
          <w:spacing w:val="-2"/>
          <w:position w:val="2"/>
        </w:rPr>
        <w:t>年平均浓度， 评价结果表明：莒南县经济开发区</w:t>
      </w:r>
      <w:r>
        <w:rPr>
          <w:rFonts w:ascii="Times New Roman" w:eastAsia="Times New Roman"/>
          <w:spacing w:val="-2"/>
          <w:position w:val="2"/>
        </w:rPr>
        <w:t>SO</w:t>
      </w:r>
      <w:r>
        <w:rPr>
          <w:rFonts w:ascii="Times New Roman" w:eastAsia="Times New Roman"/>
          <w:spacing w:val="-2"/>
          <w:sz w:val="16"/>
        </w:rPr>
        <w:t>2</w:t>
      </w:r>
      <w:r>
        <w:rPr>
          <w:spacing w:val="-2"/>
          <w:position w:val="2"/>
        </w:rPr>
        <w:t>、</w:t>
      </w:r>
      <w:r>
        <w:rPr>
          <w:rFonts w:ascii="Times New Roman" w:eastAsia="Times New Roman"/>
          <w:spacing w:val="-2"/>
          <w:position w:val="2"/>
        </w:rPr>
        <w:t>NO</w:t>
      </w:r>
      <w:r>
        <w:rPr>
          <w:rFonts w:ascii="Times New Roman" w:eastAsia="Times New Roman"/>
          <w:spacing w:val="-2"/>
          <w:sz w:val="16"/>
        </w:rPr>
        <w:t>2</w:t>
      </w:r>
      <w:r>
        <w:rPr>
          <w:spacing w:val="-2"/>
          <w:position w:val="2"/>
        </w:rPr>
        <w:t>年评价指标可满足《环境空气质量</w:t>
      </w:r>
      <w:r>
        <w:rPr>
          <w:spacing w:val="-42"/>
          <w:position w:val="2"/>
        </w:rPr>
        <w:t>标准》</w:t>
      </w:r>
      <w:r>
        <w:rPr>
          <w:position w:val="2"/>
        </w:rPr>
        <w:t>（</w:t>
      </w:r>
      <w:r>
        <w:rPr>
          <w:rFonts w:ascii="Times New Roman" w:eastAsia="Times New Roman"/>
          <w:position w:val="2"/>
        </w:rPr>
        <w:t>GB3095-2012</w:t>
      </w:r>
      <w:r>
        <w:rPr>
          <w:position w:val="2"/>
        </w:rPr>
        <w:t>）的二级标准限值要求，</w:t>
      </w:r>
      <w:r>
        <w:rPr>
          <w:rFonts w:ascii="Times New Roman" w:eastAsia="Times New Roman"/>
          <w:position w:val="2"/>
        </w:rPr>
        <w:t>PM</w:t>
      </w:r>
      <w:r>
        <w:rPr>
          <w:rFonts w:ascii="Times New Roman" w:eastAsia="Times New Roman"/>
          <w:sz w:val="16"/>
        </w:rPr>
        <w:t>2.5</w:t>
      </w:r>
      <w:r>
        <w:rPr>
          <w:position w:val="2"/>
        </w:rPr>
        <w:t>、</w:t>
      </w:r>
      <w:r>
        <w:rPr>
          <w:rFonts w:ascii="Times New Roman" w:eastAsia="Times New Roman"/>
          <w:position w:val="2"/>
        </w:rPr>
        <w:t>PM</w:t>
      </w:r>
      <w:r>
        <w:rPr>
          <w:rFonts w:ascii="Times New Roman" w:eastAsia="Times New Roman"/>
          <w:sz w:val="16"/>
        </w:rPr>
        <w:t>10</w:t>
      </w:r>
      <w:r>
        <w:rPr>
          <w:position w:val="2"/>
        </w:rPr>
        <w:t>超出现不同程度超标</w:t>
      </w:r>
      <w:r>
        <w:rPr/>
        <w:t>现象。</w:t>
      </w:r>
    </w:p>
    <w:p>
      <w:pPr>
        <w:tabs>
          <w:tab w:pos="2092" w:val="left" w:leader="none"/>
        </w:tabs>
        <w:spacing w:before="163" w:after="24"/>
        <w:ind w:left="1178" w:right="0" w:firstLine="0"/>
        <w:jc w:val="left"/>
        <w:rPr>
          <w:rFonts w:ascii="Times New Roman" w:eastAsia="Times New Roman"/>
          <w:b/>
          <w:sz w:val="14"/>
        </w:rPr>
      </w:pPr>
      <w:r>
        <w:rPr/>
        <w:pict>
          <v:line style="position:absolute;mso-position-horizontal-relative:page;mso-position-vertical-relative:paragraph;z-index:-1114192" from="85.223999pt,33.170002pt" to="169.339999pt,64.250002pt" stroked="true" strokeweight=".48pt" strokecolor="#000000">
            <v:stroke dashstyle="solid"/>
            <w10:wrap type="none"/>
          </v:line>
        </w:pict>
      </w:r>
      <w:r>
        <w:rPr>
          <w:sz w:val="21"/>
        </w:rPr>
        <w:t>表</w:t>
      </w:r>
      <w:r>
        <w:rPr>
          <w:spacing w:val="7"/>
          <w:sz w:val="21"/>
        </w:rPr>
        <w:t> </w:t>
      </w:r>
      <w:r>
        <w:rPr>
          <w:rFonts w:ascii="Times New Roman" w:eastAsia="Times New Roman"/>
          <w:b/>
          <w:sz w:val="21"/>
        </w:rPr>
        <w:t>5.4-2</w:t>
        <w:tab/>
        <w:t>2018</w:t>
      </w:r>
      <w:r>
        <w:rPr>
          <w:rFonts w:ascii="Times New Roman" w:eastAsia="Times New Roman"/>
          <w:b/>
          <w:spacing w:val="-1"/>
          <w:sz w:val="21"/>
        </w:rPr>
        <w:t> </w:t>
      </w:r>
      <w:r>
        <w:rPr>
          <w:sz w:val="21"/>
        </w:rPr>
        <w:t>年</w:t>
      </w:r>
      <w:r>
        <w:rPr>
          <w:spacing w:val="6"/>
          <w:sz w:val="21"/>
        </w:rPr>
        <w:t> </w:t>
      </w:r>
      <w:r>
        <w:rPr>
          <w:rFonts w:ascii="Times New Roman" w:eastAsia="Times New Roman"/>
          <w:b/>
          <w:sz w:val="21"/>
        </w:rPr>
        <w:t>1-12</w:t>
      </w:r>
      <w:r>
        <w:rPr>
          <w:rFonts w:ascii="Times New Roman" w:eastAsia="Times New Roman"/>
          <w:b/>
          <w:spacing w:val="-3"/>
          <w:sz w:val="21"/>
        </w:rPr>
        <w:t> </w:t>
      </w:r>
      <w:r>
        <w:rPr>
          <w:sz w:val="21"/>
        </w:rPr>
        <w:t>月环境空气监测数据</w:t>
      </w:r>
      <w:r>
        <w:rPr>
          <w:spacing w:val="-3"/>
          <w:sz w:val="21"/>
        </w:rPr>
        <w:t>统</w:t>
      </w:r>
      <w:r>
        <w:rPr>
          <w:sz w:val="21"/>
        </w:rPr>
        <w:t>计</w:t>
      </w:r>
      <w:r>
        <w:rPr>
          <w:spacing w:val="-3"/>
          <w:sz w:val="21"/>
        </w:rPr>
        <w:t>表</w:t>
      </w:r>
      <w:r>
        <w:rPr>
          <w:sz w:val="21"/>
        </w:rPr>
        <w:t>（月均值）</w:t>
      </w:r>
      <w:r>
        <w:rPr>
          <w:spacing w:val="11"/>
          <w:sz w:val="21"/>
        </w:rPr>
        <w:t> </w:t>
      </w:r>
      <w:r>
        <w:rPr>
          <w:sz w:val="21"/>
        </w:rPr>
        <w:t>单位：</w:t>
      </w:r>
      <w:r>
        <w:rPr>
          <w:rFonts w:ascii="Times New Roman" w:eastAsia="Times New Roman"/>
          <w:b/>
          <w:sz w:val="21"/>
        </w:rPr>
        <w:t>mg/m</w:t>
      </w:r>
      <w:r>
        <w:rPr>
          <w:rFonts w:ascii="Times New Roman" w:eastAsia="Times New Roman"/>
          <w:b/>
          <w:position w:val="7"/>
          <w:sz w:val="14"/>
        </w:rPr>
        <w:t>3</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4"/>
        <w:gridCol w:w="1707"/>
        <w:gridCol w:w="1707"/>
        <w:gridCol w:w="1707"/>
        <w:gridCol w:w="1704"/>
      </w:tblGrid>
      <w:tr>
        <w:trPr>
          <w:trHeight w:val="623" w:hRule="atLeast"/>
        </w:trPr>
        <w:tc>
          <w:tcPr>
            <w:tcW w:w="1704" w:type="dxa"/>
            <w:tcBorders>
              <w:bottom w:val="single" w:sz="6" w:space="0" w:color="000000"/>
              <w:right w:val="single" w:sz="6" w:space="0" w:color="000000"/>
            </w:tcBorders>
          </w:tcPr>
          <w:p>
            <w:pPr>
              <w:pStyle w:val="TableParagraph"/>
              <w:spacing w:line="300" w:lineRule="exact"/>
              <w:ind w:left="904"/>
              <w:jc w:val="left"/>
              <w:rPr>
                <w:sz w:val="21"/>
              </w:rPr>
            </w:pPr>
            <w:r>
              <w:rPr>
                <w:sz w:val="21"/>
              </w:rPr>
              <w:t>污染物</w:t>
            </w:r>
          </w:p>
          <w:p>
            <w:pPr>
              <w:pStyle w:val="TableParagraph"/>
              <w:spacing w:line="303" w:lineRule="exact"/>
              <w:ind w:left="107"/>
              <w:jc w:val="left"/>
              <w:rPr>
                <w:sz w:val="21"/>
              </w:rPr>
            </w:pPr>
            <w:r>
              <w:rPr>
                <w:sz w:val="21"/>
              </w:rPr>
              <w:t>时间</w:t>
            </w:r>
          </w:p>
        </w:tc>
        <w:tc>
          <w:tcPr>
            <w:tcW w:w="1707" w:type="dxa"/>
            <w:tcBorders>
              <w:left w:val="single" w:sz="6" w:space="0" w:color="000000"/>
              <w:bottom w:val="single" w:sz="6" w:space="0" w:color="000000"/>
              <w:right w:val="single" w:sz="6" w:space="0" w:color="000000"/>
            </w:tcBorders>
          </w:tcPr>
          <w:p>
            <w:pPr>
              <w:pStyle w:val="TableParagraph"/>
              <w:spacing w:before="189"/>
              <w:ind w:left="601" w:right="575"/>
              <w:rPr>
                <w:rFonts w:ascii="Times New Roman"/>
                <w:sz w:val="14"/>
              </w:rPr>
            </w:pPr>
            <w:r>
              <w:rPr>
                <w:rFonts w:ascii="Times New Roman"/>
                <w:position w:val="2"/>
                <w:sz w:val="21"/>
              </w:rPr>
              <w:t>SO</w:t>
            </w:r>
            <w:r>
              <w:rPr>
                <w:rFonts w:ascii="Times New Roman"/>
                <w:sz w:val="14"/>
              </w:rPr>
              <w:t>2</w:t>
            </w:r>
          </w:p>
        </w:tc>
        <w:tc>
          <w:tcPr>
            <w:tcW w:w="1707" w:type="dxa"/>
            <w:tcBorders>
              <w:left w:val="single" w:sz="6" w:space="0" w:color="000000"/>
              <w:bottom w:val="single" w:sz="6" w:space="0" w:color="000000"/>
              <w:right w:val="single" w:sz="6" w:space="0" w:color="000000"/>
            </w:tcBorders>
          </w:tcPr>
          <w:p>
            <w:pPr>
              <w:pStyle w:val="TableParagraph"/>
              <w:spacing w:before="189"/>
              <w:ind w:right="643"/>
              <w:jc w:val="right"/>
              <w:rPr>
                <w:rFonts w:ascii="Times New Roman"/>
                <w:sz w:val="14"/>
              </w:rPr>
            </w:pPr>
            <w:r>
              <w:rPr>
                <w:rFonts w:ascii="Times New Roman"/>
                <w:position w:val="2"/>
                <w:sz w:val="21"/>
              </w:rPr>
              <w:t>NO</w:t>
            </w:r>
            <w:r>
              <w:rPr>
                <w:rFonts w:ascii="Times New Roman"/>
                <w:sz w:val="14"/>
              </w:rPr>
              <w:t>2</w:t>
            </w:r>
          </w:p>
        </w:tc>
        <w:tc>
          <w:tcPr>
            <w:tcW w:w="1707" w:type="dxa"/>
            <w:tcBorders>
              <w:left w:val="single" w:sz="6" w:space="0" w:color="000000"/>
              <w:bottom w:val="single" w:sz="6" w:space="0" w:color="000000"/>
              <w:right w:val="single" w:sz="6" w:space="0" w:color="000000"/>
            </w:tcBorders>
          </w:tcPr>
          <w:p>
            <w:pPr>
              <w:pStyle w:val="TableParagraph"/>
              <w:spacing w:before="189"/>
              <w:ind w:right="610"/>
              <w:jc w:val="right"/>
              <w:rPr>
                <w:rFonts w:ascii="Times New Roman"/>
                <w:sz w:val="14"/>
              </w:rPr>
            </w:pPr>
            <w:r>
              <w:rPr>
                <w:rFonts w:ascii="Times New Roman"/>
                <w:position w:val="2"/>
                <w:sz w:val="21"/>
              </w:rPr>
              <w:t>PM</w:t>
            </w:r>
            <w:r>
              <w:rPr>
                <w:rFonts w:ascii="Times New Roman"/>
                <w:sz w:val="14"/>
              </w:rPr>
              <w:t>10</w:t>
            </w:r>
          </w:p>
        </w:tc>
        <w:tc>
          <w:tcPr>
            <w:tcW w:w="1704" w:type="dxa"/>
            <w:tcBorders>
              <w:left w:val="single" w:sz="6" w:space="0" w:color="000000"/>
              <w:bottom w:val="single" w:sz="6" w:space="0" w:color="000000"/>
            </w:tcBorders>
          </w:tcPr>
          <w:p>
            <w:pPr>
              <w:pStyle w:val="TableParagraph"/>
              <w:spacing w:before="189"/>
              <w:ind w:left="516" w:right="481"/>
              <w:rPr>
                <w:rFonts w:ascii="Times New Roman"/>
                <w:sz w:val="14"/>
              </w:rPr>
            </w:pPr>
            <w:r>
              <w:rPr>
                <w:rFonts w:ascii="Times New Roman"/>
                <w:position w:val="2"/>
                <w:sz w:val="21"/>
              </w:rPr>
              <w:t>PM</w:t>
            </w:r>
            <w:r>
              <w:rPr>
                <w:rFonts w:ascii="Times New Roman"/>
                <w:sz w:val="14"/>
              </w:rPr>
              <w:t>2.5</w:t>
            </w:r>
          </w:p>
        </w:tc>
      </w:tr>
      <w:tr>
        <w:trPr>
          <w:trHeight w:val="313" w:hRule="atLeast"/>
        </w:trPr>
        <w:tc>
          <w:tcPr>
            <w:tcW w:w="1704" w:type="dxa"/>
            <w:tcBorders>
              <w:top w:val="single" w:sz="6" w:space="0" w:color="000000"/>
              <w:bottom w:val="single" w:sz="6" w:space="0" w:color="000000"/>
              <w:right w:val="single" w:sz="6" w:space="0" w:color="000000"/>
            </w:tcBorders>
          </w:tcPr>
          <w:p>
            <w:pPr>
              <w:pStyle w:val="TableParagraph"/>
              <w:spacing w:line="294" w:lineRule="exact"/>
              <w:ind w:left="516" w:right="495"/>
              <w:rPr>
                <w:sz w:val="21"/>
              </w:rPr>
            </w:pPr>
            <w:r>
              <w:rPr>
                <w:sz w:val="21"/>
              </w:rPr>
              <w:t>一月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left="601" w:right="575"/>
              <w:rPr>
                <w:rFonts w:ascii="Times New Roman"/>
                <w:sz w:val="21"/>
              </w:rPr>
            </w:pPr>
            <w:r>
              <w:rPr>
                <w:rFonts w:ascii="Times New Roman"/>
                <w:sz w:val="21"/>
              </w:rPr>
              <w:t>0.028</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right="591"/>
              <w:jc w:val="right"/>
              <w:rPr>
                <w:rFonts w:ascii="Times New Roman"/>
                <w:sz w:val="21"/>
              </w:rPr>
            </w:pPr>
            <w:r>
              <w:rPr>
                <w:rFonts w:ascii="Times New Roman"/>
                <w:sz w:val="21"/>
              </w:rPr>
              <w:t>0.056</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right="593"/>
              <w:jc w:val="right"/>
              <w:rPr>
                <w:rFonts w:ascii="Times New Roman"/>
                <w:sz w:val="21"/>
              </w:rPr>
            </w:pPr>
            <w:r>
              <w:rPr>
                <w:rFonts w:ascii="Times New Roman"/>
                <w:sz w:val="21"/>
              </w:rPr>
              <w:t>0.157</w:t>
            </w:r>
          </w:p>
        </w:tc>
        <w:tc>
          <w:tcPr>
            <w:tcW w:w="1704" w:type="dxa"/>
            <w:tcBorders>
              <w:top w:val="single" w:sz="6" w:space="0" w:color="000000"/>
              <w:left w:val="single" w:sz="6" w:space="0" w:color="000000"/>
              <w:bottom w:val="single" w:sz="6" w:space="0" w:color="000000"/>
            </w:tcBorders>
          </w:tcPr>
          <w:p>
            <w:pPr>
              <w:pStyle w:val="TableParagraph"/>
              <w:spacing w:before="36"/>
              <w:ind w:left="516" w:right="481"/>
              <w:rPr>
                <w:rFonts w:ascii="Times New Roman"/>
                <w:sz w:val="21"/>
              </w:rPr>
            </w:pPr>
            <w:r>
              <w:rPr>
                <w:rFonts w:ascii="Times New Roman"/>
                <w:sz w:val="21"/>
              </w:rPr>
              <w:t>0.100</w:t>
            </w:r>
          </w:p>
        </w:tc>
      </w:tr>
      <w:tr>
        <w:trPr>
          <w:trHeight w:val="311" w:hRule="atLeast"/>
        </w:trPr>
        <w:tc>
          <w:tcPr>
            <w:tcW w:w="1704" w:type="dxa"/>
            <w:tcBorders>
              <w:top w:val="single" w:sz="6" w:space="0" w:color="000000"/>
              <w:bottom w:val="single" w:sz="6" w:space="0" w:color="000000"/>
              <w:right w:val="single" w:sz="6" w:space="0" w:color="000000"/>
            </w:tcBorders>
          </w:tcPr>
          <w:p>
            <w:pPr>
              <w:pStyle w:val="TableParagraph"/>
              <w:spacing w:line="291" w:lineRule="exact"/>
              <w:ind w:left="516" w:right="495"/>
              <w:rPr>
                <w:sz w:val="21"/>
              </w:rPr>
            </w:pPr>
            <w:r>
              <w:rPr>
                <w:sz w:val="21"/>
              </w:rPr>
              <w:t>二月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0.030</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1"/>
              <w:jc w:val="right"/>
              <w:rPr>
                <w:rFonts w:ascii="Times New Roman"/>
                <w:sz w:val="21"/>
              </w:rPr>
            </w:pPr>
            <w:r>
              <w:rPr>
                <w:rFonts w:ascii="Times New Roman"/>
                <w:sz w:val="21"/>
              </w:rPr>
              <w:t>0.040</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8"/>
              <w:jc w:val="right"/>
              <w:rPr>
                <w:rFonts w:ascii="Times New Roman"/>
                <w:sz w:val="21"/>
              </w:rPr>
            </w:pPr>
            <w:r>
              <w:rPr>
                <w:rFonts w:ascii="Times New Roman"/>
                <w:sz w:val="21"/>
              </w:rPr>
              <w:t>0.118</w:t>
            </w:r>
          </w:p>
        </w:tc>
        <w:tc>
          <w:tcPr>
            <w:tcW w:w="1704" w:type="dxa"/>
            <w:tcBorders>
              <w:top w:val="single" w:sz="6" w:space="0" w:color="000000"/>
              <w:left w:val="single" w:sz="6" w:space="0" w:color="000000"/>
              <w:bottom w:val="single" w:sz="6" w:space="0" w:color="000000"/>
            </w:tcBorders>
          </w:tcPr>
          <w:p>
            <w:pPr>
              <w:pStyle w:val="TableParagraph"/>
              <w:spacing w:before="34"/>
              <w:ind w:left="516" w:right="481"/>
              <w:rPr>
                <w:rFonts w:ascii="Times New Roman"/>
                <w:sz w:val="21"/>
              </w:rPr>
            </w:pPr>
            <w:r>
              <w:rPr>
                <w:rFonts w:ascii="Times New Roman"/>
                <w:sz w:val="21"/>
              </w:rPr>
              <w:t>0.065</w:t>
            </w:r>
          </w:p>
        </w:tc>
      </w:tr>
      <w:tr>
        <w:trPr>
          <w:trHeight w:val="311" w:hRule="atLeast"/>
        </w:trPr>
        <w:tc>
          <w:tcPr>
            <w:tcW w:w="1704" w:type="dxa"/>
            <w:tcBorders>
              <w:top w:val="single" w:sz="6" w:space="0" w:color="000000"/>
              <w:bottom w:val="single" w:sz="6" w:space="0" w:color="000000"/>
              <w:right w:val="single" w:sz="6" w:space="0" w:color="000000"/>
            </w:tcBorders>
          </w:tcPr>
          <w:p>
            <w:pPr>
              <w:pStyle w:val="TableParagraph"/>
              <w:spacing w:line="291" w:lineRule="exact"/>
              <w:ind w:left="516" w:right="495"/>
              <w:rPr>
                <w:sz w:val="21"/>
              </w:rPr>
            </w:pPr>
            <w:r>
              <w:rPr>
                <w:sz w:val="21"/>
              </w:rPr>
              <w:t>三月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0.053</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1"/>
              <w:jc w:val="right"/>
              <w:rPr>
                <w:rFonts w:ascii="Times New Roman"/>
                <w:sz w:val="21"/>
              </w:rPr>
            </w:pPr>
            <w:r>
              <w:rPr>
                <w:rFonts w:ascii="Times New Roman"/>
                <w:sz w:val="21"/>
              </w:rPr>
              <w:t>0.043</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3"/>
              <w:jc w:val="right"/>
              <w:rPr>
                <w:rFonts w:ascii="Times New Roman"/>
                <w:sz w:val="21"/>
              </w:rPr>
            </w:pPr>
            <w:r>
              <w:rPr>
                <w:rFonts w:ascii="Times New Roman"/>
                <w:sz w:val="21"/>
              </w:rPr>
              <w:t>0.121</w:t>
            </w:r>
          </w:p>
        </w:tc>
        <w:tc>
          <w:tcPr>
            <w:tcW w:w="1704" w:type="dxa"/>
            <w:tcBorders>
              <w:top w:val="single" w:sz="6" w:space="0" w:color="000000"/>
              <w:left w:val="single" w:sz="6" w:space="0" w:color="000000"/>
              <w:bottom w:val="single" w:sz="6" w:space="0" w:color="000000"/>
            </w:tcBorders>
          </w:tcPr>
          <w:p>
            <w:pPr>
              <w:pStyle w:val="TableParagraph"/>
              <w:spacing w:before="34"/>
              <w:ind w:left="516" w:right="481"/>
              <w:rPr>
                <w:rFonts w:ascii="Times New Roman"/>
                <w:sz w:val="21"/>
              </w:rPr>
            </w:pPr>
            <w:r>
              <w:rPr>
                <w:rFonts w:ascii="Times New Roman"/>
                <w:sz w:val="21"/>
              </w:rPr>
              <w:t>0.053</w:t>
            </w:r>
          </w:p>
        </w:tc>
      </w:tr>
      <w:tr>
        <w:trPr>
          <w:trHeight w:val="311" w:hRule="atLeast"/>
        </w:trPr>
        <w:tc>
          <w:tcPr>
            <w:tcW w:w="1704" w:type="dxa"/>
            <w:tcBorders>
              <w:top w:val="single" w:sz="6" w:space="0" w:color="000000"/>
              <w:bottom w:val="single" w:sz="6" w:space="0" w:color="000000"/>
              <w:right w:val="single" w:sz="6" w:space="0" w:color="000000"/>
            </w:tcBorders>
          </w:tcPr>
          <w:p>
            <w:pPr>
              <w:pStyle w:val="TableParagraph"/>
              <w:spacing w:line="291" w:lineRule="exact"/>
              <w:ind w:left="516" w:right="495"/>
              <w:rPr>
                <w:sz w:val="21"/>
              </w:rPr>
            </w:pPr>
            <w:r>
              <w:rPr>
                <w:sz w:val="21"/>
              </w:rPr>
              <w:t>四月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0.034</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0"/>
              <w:jc w:val="right"/>
              <w:rPr>
                <w:rFonts w:ascii="Times New Roman"/>
                <w:sz w:val="21"/>
              </w:rPr>
            </w:pPr>
            <w:r>
              <w:rPr>
                <w:rFonts w:ascii="Times New Roman"/>
                <w:sz w:val="21"/>
              </w:rPr>
              <w:t>0.042</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3"/>
              <w:jc w:val="right"/>
              <w:rPr>
                <w:rFonts w:ascii="Times New Roman"/>
                <w:sz w:val="21"/>
              </w:rPr>
            </w:pPr>
            <w:r>
              <w:rPr>
                <w:rFonts w:ascii="Times New Roman"/>
                <w:sz w:val="21"/>
              </w:rPr>
              <w:t>0.147</w:t>
            </w:r>
          </w:p>
        </w:tc>
        <w:tc>
          <w:tcPr>
            <w:tcW w:w="1704" w:type="dxa"/>
            <w:tcBorders>
              <w:top w:val="single" w:sz="6" w:space="0" w:color="000000"/>
              <w:left w:val="single" w:sz="6" w:space="0" w:color="000000"/>
              <w:bottom w:val="single" w:sz="6" w:space="0" w:color="000000"/>
            </w:tcBorders>
          </w:tcPr>
          <w:p>
            <w:pPr>
              <w:pStyle w:val="TableParagraph"/>
              <w:spacing w:before="34"/>
              <w:ind w:left="516" w:right="481"/>
              <w:rPr>
                <w:rFonts w:ascii="Times New Roman"/>
                <w:sz w:val="21"/>
              </w:rPr>
            </w:pPr>
            <w:r>
              <w:rPr>
                <w:rFonts w:ascii="Times New Roman"/>
                <w:sz w:val="21"/>
              </w:rPr>
              <w:t>0.057</w:t>
            </w:r>
          </w:p>
        </w:tc>
      </w:tr>
      <w:tr>
        <w:trPr>
          <w:trHeight w:val="313" w:hRule="atLeast"/>
        </w:trPr>
        <w:tc>
          <w:tcPr>
            <w:tcW w:w="1704" w:type="dxa"/>
            <w:tcBorders>
              <w:top w:val="single" w:sz="6" w:space="0" w:color="000000"/>
              <w:bottom w:val="single" w:sz="6" w:space="0" w:color="000000"/>
              <w:right w:val="single" w:sz="6" w:space="0" w:color="000000"/>
            </w:tcBorders>
          </w:tcPr>
          <w:p>
            <w:pPr>
              <w:pStyle w:val="TableParagraph"/>
              <w:spacing w:line="294" w:lineRule="exact"/>
              <w:ind w:left="516" w:right="495"/>
              <w:rPr>
                <w:sz w:val="21"/>
              </w:rPr>
            </w:pPr>
            <w:r>
              <w:rPr>
                <w:sz w:val="21"/>
              </w:rPr>
              <w:t>五月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left="601" w:right="575"/>
              <w:rPr>
                <w:rFonts w:ascii="Times New Roman"/>
                <w:sz w:val="21"/>
              </w:rPr>
            </w:pPr>
            <w:r>
              <w:rPr>
                <w:rFonts w:ascii="Times New Roman"/>
                <w:sz w:val="21"/>
              </w:rPr>
              <w:t>0.046</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right="591"/>
              <w:jc w:val="right"/>
              <w:rPr>
                <w:rFonts w:ascii="Times New Roman"/>
                <w:sz w:val="21"/>
              </w:rPr>
            </w:pPr>
            <w:r>
              <w:rPr>
                <w:rFonts w:ascii="Times New Roman"/>
                <w:sz w:val="21"/>
              </w:rPr>
              <w:t>0.039</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right="593"/>
              <w:jc w:val="right"/>
              <w:rPr>
                <w:rFonts w:ascii="Times New Roman"/>
                <w:sz w:val="21"/>
              </w:rPr>
            </w:pPr>
            <w:r>
              <w:rPr>
                <w:rFonts w:ascii="Times New Roman"/>
                <w:sz w:val="21"/>
              </w:rPr>
              <w:t>0.105</w:t>
            </w:r>
          </w:p>
        </w:tc>
        <w:tc>
          <w:tcPr>
            <w:tcW w:w="1704" w:type="dxa"/>
            <w:tcBorders>
              <w:top w:val="single" w:sz="6" w:space="0" w:color="000000"/>
              <w:left w:val="single" w:sz="6" w:space="0" w:color="000000"/>
              <w:bottom w:val="single" w:sz="6" w:space="0" w:color="000000"/>
            </w:tcBorders>
          </w:tcPr>
          <w:p>
            <w:pPr>
              <w:pStyle w:val="TableParagraph"/>
              <w:spacing w:before="36"/>
              <w:ind w:left="516" w:right="481"/>
              <w:rPr>
                <w:rFonts w:ascii="Times New Roman"/>
                <w:sz w:val="21"/>
              </w:rPr>
            </w:pPr>
            <w:r>
              <w:rPr>
                <w:rFonts w:ascii="Times New Roman"/>
                <w:sz w:val="21"/>
              </w:rPr>
              <w:t>0.056</w:t>
            </w:r>
          </w:p>
        </w:tc>
      </w:tr>
      <w:tr>
        <w:trPr>
          <w:trHeight w:val="311" w:hRule="atLeast"/>
        </w:trPr>
        <w:tc>
          <w:tcPr>
            <w:tcW w:w="1704" w:type="dxa"/>
            <w:tcBorders>
              <w:top w:val="single" w:sz="6" w:space="0" w:color="000000"/>
              <w:right w:val="single" w:sz="6" w:space="0" w:color="000000"/>
            </w:tcBorders>
          </w:tcPr>
          <w:p>
            <w:pPr>
              <w:pStyle w:val="TableParagraph"/>
              <w:spacing w:line="291" w:lineRule="exact"/>
              <w:ind w:left="516" w:right="495"/>
              <w:rPr>
                <w:sz w:val="21"/>
              </w:rPr>
            </w:pPr>
            <w:r>
              <w:rPr>
                <w:sz w:val="21"/>
              </w:rPr>
              <w:t>六月</w:t>
            </w:r>
          </w:p>
        </w:tc>
        <w:tc>
          <w:tcPr>
            <w:tcW w:w="1707" w:type="dxa"/>
            <w:tcBorders>
              <w:top w:val="single" w:sz="6" w:space="0" w:color="000000"/>
              <w:left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0.029</w:t>
            </w:r>
          </w:p>
        </w:tc>
        <w:tc>
          <w:tcPr>
            <w:tcW w:w="1707" w:type="dxa"/>
            <w:tcBorders>
              <w:top w:val="single" w:sz="6" w:space="0" w:color="000000"/>
              <w:left w:val="single" w:sz="6" w:space="0" w:color="000000"/>
              <w:right w:val="single" w:sz="6" w:space="0" w:color="000000"/>
            </w:tcBorders>
          </w:tcPr>
          <w:p>
            <w:pPr>
              <w:pStyle w:val="TableParagraph"/>
              <w:spacing w:before="34"/>
              <w:ind w:right="591"/>
              <w:jc w:val="right"/>
              <w:rPr>
                <w:rFonts w:ascii="Times New Roman"/>
                <w:sz w:val="21"/>
              </w:rPr>
            </w:pPr>
            <w:r>
              <w:rPr>
                <w:rFonts w:ascii="Times New Roman"/>
                <w:sz w:val="21"/>
              </w:rPr>
              <w:t>0.034</w:t>
            </w:r>
          </w:p>
        </w:tc>
        <w:tc>
          <w:tcPr>
            <w:tcW w:w="1707" w:type="dxa"/>
            <w:tcBorders>
              <w:top w:val="single" w:sz="6" w:space="0" w:color="000000"/>
              <w:left w:val="single" w:sz="6" w:space="0" w:color="000000"/>
              <w:right w:val="single" w:sz="6" w:space="0" w:color="000000"/>
            </w:tcBorders>
          </w:tcPr>
          <w:p>
            <w:pPr>
              <w:pStyle w:val="TableParagraph"/>
              <w:spacing w:before="34"/>
              <w:ind w:right="593"/>
              <w:jc w:val="right"/>
              <w:rPr>
                <w:rFonts w:ascii="Times New Roman"/>
                <w:sz w:val="21"/>
              </w:rPr>
            </w:pPr>
            <w:r>
              <w:rPr>
                <w:rFonts w:ascii="Times New Roman"/>
                <w:sz w:val="21"/>
              </w:rPr>
              <w:t>0.082</w:t>
            </w:r>
          </w:p>
        </w:tc>
        <w:tc>
          <w:tcPr>
            <w:tcW w:w="1704" w:type="dxa"/>
            <w:tcBorders>
              <w:top w:val="single" w:sz="6" w:space="0" w:color="000000"/>
              <w:left w:val="single" w:sz="6" w:space="0" w:color="000000"/>
            </w:tcBorders>
          </w:tcPr>
          <w:p>
            <w:pPr>
              <w:pStyle w:val="TableParagraph"/>
              <w:spacing w:before="34"/>
              <w:ind w:left="516" w:right="481"/>
              <w:rPr>
                <w:rFonts w:ascii="Times New Roman"/>
                <w:sz w:val="21"/>
              </w:rPr>
            </w:pPr>
            <w:r>
              <w:rPr>
                <w:rFonts w:ascii="Times New Roman"/>
                <w:sz w:val="21"/>
              </w:rPr>
              <w:t>0.046</w:t>
            </w:r>
          </w:p>
        </w:tc>
      </w:tr>
    </w:tbl>
    <w:p>
      <w:pPr>
        <w:spacing w:after="0"/>
        <w:rPr>
          <w:rFonts w:ascii="Times New Roman"/>
          <w:sz w:val="21"/>
        </w:rPr>
        <w:sectPr>
          <w:pgSz w:w="11910" w:h="16840"/>
          <w:pgMar w:header="877" w:footer="973" w:top="1340" w:bottom="1160" w:left="1220" w:right="1040"/>
        </w:sectPr>
      </w:pPr>
    </w:p>
    <w:p>
      <w:pPr>
        <w:pStyle w:val="BodyText"/>
        <w:spacing w:before="3"/>
        <w:rPr>
          <w:rFonts w:ascii="Times New Roman"/>
          <w:b/>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4"/>
        <w:gridCol w:w="1707"/>
        <w:gridCol w:w="1707"/>
        <w:gridCol w:w="1707"/>
        <w:gridCol w:w="1704"/>
      </w:tblGrid>
      <w:tr>
        <w:trPr>
          <w:trHeight w:val="311" w:hRule="atLeast"/>
        </w:trPr>
        <w:tc>
          <w:tcPr>
            <w:tcW w:w="1704" w:type="dxa"/>
            <w:tcBorders>
              <w:bottom w:val="single" w:sz="6" w:space="0" w:color="000000"/>
              <w:right w:val="single" w:sz="6" w:space="0" w:color="000000"/>
            </w:tcBorders>
          </w:tcPr>
          <w:p>
            <w:pPr>
              <w:pStyle w:val="TableParagraph"/>
              <w:spacing w:line="292" w:lineRule="exact"/>
              <w:ind w:left="516" w:right="495"/>
              <w:rPr>
                <w:sz w:val="21"/>
              </w:rPr>
            </w:pPr>
            <w:r>
              <w:rPr>
                <w:sz w:val="21"/>
              </w:rPr>
              <w:t>七月</w:t>
            </w:r>
          </w:p>
        </w:tc>
        <w:tc>
          <w:tcPr>
            <w:tcW w:w="1707" w:type="dxa"/>
            <w:tcBorders>
              <w:left w:val="single" w:sz="6" w:space="0" w:color="000000"/>
              <w:bottom w:val="single" w:sz="6" w:space="0" w:color="000000"/>
              <w:right w:val="single" w:sz="6" w:space="0" w:color="000000"/>
            </w:tcBorders>
          </w:tcPr>
          <w:p>
            <w:pPr>
              <w:pStyle w:val="TableParagraph"/>
              <w:spacing w:before="36"/>
              <w:ind w:left="601" w:right="575"/>
              <w:rPr>
                <w:rFonts w:ascii="Times New Roman"/>
                <w:sz w:val="21"/>
              </w:rPr>
            </w:pPr>
            <w:r>
              <w:rPr>
                <w:rFonts w:ascii="Times New Roman"/>
                <w:sz w:val="21"/>
              </w:rPr>
              <w:t>0.017</w:t>
            </w:r>
          </w:p>
        </w:tc>
        <w:tc>
          <w:tcPr>
            <w:tcW w:w="1707" w:type="dxa"/>
            <w:tcBorders>
              <w:left w:val="single" w:sz="6" w:space="0" w:color="000000"/>
              <w:bottom w:val="single" w:sz="6" w:space="0" w:color="000000"/>
              <w:right w:val="single" w:sz="6" w:space="0" w:color="000000"/>
            </w:tcBorders>
          </w:tcPr>
          <w:p>
            <w:pPr>
              <w:pStyle w:val="TableParagraph"/>
              <w:spacing w:before="36"/>
              <w:ind w:left="623"/>
              <w:jc w:val="left"/>
              <w:rPr>
                <w:rFonts w:ascii="Times New Roman"/>
                <w:sz w:val="21"/>
              </w:rPr>
            </w:pPr>
            <w:r>
              <w:rPr>
                <w:rFonts w:ascii="Times New Roman"/>
                <w:sz w:val="21"/>
              </w:rPr>
              <w:t>0.028</w:t>
            </w:r>
          </w:p>
        </w:tc>
        <w:tc>
          <w:tcPr>
            <w:tcW w:w="1707" w:type="dxa"/>
            <w:tcBorders>
              <w:left w:val="single" w:sz="6" w:space="0" w:color="000000"/>
              <w:bottom w:val="single" w:sz="6" w:space="0" w:color="000000"/>
              <w:right w:val="single" w:sz="6" w:space="0" w:color="000000"/>
            </w:tcBorders>
          </w:tcPr>
          <w:p>
            <w:pPr>
              <w:pStyle w:val="TableParagraph"/>
              <w:spacing w:before="36"/>
              <w:ind w:right="593"/>
              <w:jc w:val="right"/>
              <w:rPr>
                <w:rFonts w:ascii="Times New Roman"/>
                <w:sz w:val="21"/>
              </w:rPr>
            </w:pPr>
            <w:r>
              <w:rPr>
                <w:rFonts w:ascii="Times New Roman"/>
                <w:sz w:val="21"/>
              </w:rPr>
              <w:t>0.050</w:t>
            </w:r>
          </w:p>
        </w:tc>
        <w:tc>
          <w:tcPr>
            <w:tcW w:w="1704" w:type="dxa"/>
            <w:tcBorders>
              <w:left w:val="single" w:sz="6" w:space="0" w:color="000000"/>
              <w:bottom w:val="single" w:sz="6" w:space="0" w:color="000000"/>
            </w:tcBorders>
          </w:tcPr>
          <w:p>
            <w:pPr>
              <w:pStyle w:val="TableParagraph"/>
              <w:spacing w:before="36"/>
              <w:ind w:left="516" w:right="481"/>
              <w:rPr>
                <w:rFonts w:ascii="Times New Roman"/>
                <w:sz w:val="21"/>
              </w:rPr>
            </w:pPr>
            <w:r>
              <w:rPr>
                <w:rFonts w:ascii="Times New Roman"/>
                <w:sz w:val="21"/>
              </w:rPr>
              <w:t>0.027</w:t>
            </w:r>
          </w:p>
        </w:tc>
      </w:tr>
      <w:tr>
        <w:trPr>
          <w:trHeight w:val="313" w:hRule="atLeast"/>
        </w:trPr>
        <w:tc>
          <w:tcPr>
            <w:tcW w:w="1704" w:type="dxa"/>
            <w:tcBorders>
              <w:top w:val="single" w:sz="6" w:space="0" w:color="000000"/>
              <w:bottom w:val="single" w:sz="6" w:space="0" w:color="000000"/>
              <w:right w:val="single" w:sz="6" w:space="0" w:color="000000"/>
            </w:tcBorders>
          </w:tcPr>
          <w:p>
            <w:pPr>
              <w:pStyle w:val="TableParagraph"/>
              <w:spacing w:line="294" w:lineRule="exact"/>
              <w:ind w:left="516" w:right="495"/>
              <w:rPr>
                <w:sz w:val="21"/>
              </w:rPr>
            </w:pPr>
            <w:r>
              <w:rPr>
                <w:sz w:val="21"/>
              </w:rPr>
              <w:t>八月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left="602" w:right="573"/>
              <w:rPr>
                <w:rFonts w:ascii="Times New Roman"/>
                <w:sz w:val="21"/>
              </w:rPr>
            </w:pPr>
            <w:r>
              <w:rPr>
                <w:rFonts w:ascii="Times New Roman"/>
                <w:sz w:val="21"/>
              </w:rPr>
              <w:t>0.011</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left="623"/>
              <w:jc w:val="left"/>
              <w:rPr>
                <w:rFonts w:ascii="Times New Roman"/>
                <w:sz w:val="21"/>
              </w:rPr>
            </w:pPr>
            <w:r>
              <w:rPr>
                <w:rFonts w:ascii="Times New Roman"/>
                <w:sz w:val="21"/>
              </w:rPr>
              <w:t>0.027</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right="593"/>
              <w:jc w:val="right"/>
              <w:rPr>
                <w:rFonts w:ascii="Times New Roman"/>
                <w:sz w:val="21"/>
              </w:rPr>
            </w:pPr>
            <w:r>
              <w:rPr>
                <w:rFonts w:ascii="Times New Roman"/>
                <w:sz w:val="21"/>
              </w:rPr>
              <w:t>0.046</w:t>
            </w:r>
          </w:p>
        </w:tc>
        <w:tc>
          <w:tcPr>
            <w:tcW w:w="1704" w:type="dxa"/>
            <w:tcBorders>
              <w:top w:val="single" w:sz="6" w:space="0" w:color="000000"/>
              <w:left w:val="single" w:sz="6" w:space="0" w:color="000000"/>
              <w:bottom w:val="single" w:sz="6" w:space="0" w:color="000000"/>
            </w:tcBorders>
          </w:tcPr>
          <w:p>
            <w:pPr>
              <w:pStyle w:val="TableParagraph"/>
              <w:spacing w:before="36"/>
              <w:ind w:left="516" w:right="481"/>
              <w:rPr>
                <w:rFonts w:ascii="Times New Roman"/>
                <w:sz w:val="21"/>
              </w:rPr>
            </w:pPr>
            <w:r>
              <w:rPr>
                <w:rFonts w:ascii="Times New Roman"/>
                <w:sz w:val="21"/>
              </w:rPr>
              <w:t>0.023</w:t>
            </w:r>
          </w:p>
        </w:tc>
      </w:tr>
      <w:tr>
        <w:trPr>
          <w:trHeight w:val="311" w:hRule="atLeast"/>
        </w:trPr>
        <w:tc>
          <w:tcPr>
            <w:tcW w:w="1704" w:type="dxa"/>
            <w:tcBorders>
              <w:top w:val="single" w:sz="6" w:space="0" w:color="000000"/>
              <w:bottom w:val="single" w:sz="6" w:space="0" w:color="000000"/>
              <w:right w:val="single" w:sz="6" w:space="0" w:color="000000"/>
            </w:tcBorders>
          </w:tcPr>
          <w:p>
            <w:pPr>
              <w:pStyle w:val="TableParagraph"/>
              <w:spacing w:line="291" w:lineRule="exact"/>
              <w:ind w:left="516" w:right="495"/>
              <w:rPr>
                <w:sz w:val="21"/>
              </w:rPr>
            </w:pPr>
            <w:r>
              <w:rPr>
                <w:sz w:val="21"/>
              </w:rPr>
              <w:t>九月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0.015</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23"/>
              <w:jc w:val="left"/>
              <w:rPr>
                <w:rFonts w:ascii="Times New Roman"/>
                <w:sz w:val="21"/>
              </w:rPr>
            </w:pPr>
            <w:r>
              <w:rPr>
                <w:rFonts w:ascii="Times New Roman"/>
                <w:sz w:val="21"/>
              </w:rPr>
              <w:t>0.035</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3"/>
              <w:jc w:val="right"/>
              <w:rPr>
                <w:rFonts w:ascii="Times New Roman"/>
                <w:sz w:val="21"/>
              </w:rPr>
            </w:pPr>
            <w:r>
              <w:rPr>
                <w:rFonts w:ascii="Times New Roman"/>
                <w:sz w:val="21"/>
              </w:rPr>
              <w:t>0.076</w:t>
            </w:r>
          </w:p>
        </w:tc>
        <w:tc>
          <w:tcPr>
            <w:tcW w:w="1704" w:type="dxa"/>
            <w:tcBorders>
              <w:top w:val="single" w:sz="6" w:space="0" w:color="000000"/>
              <w:left w:val="single" w:sz="6" w:space="0" w:color="000000"/>
              <w:bottom w:val="single" w:sz="6" w:space="0" w:color="000000"/>
            </w:tcBorders>
          </w:tcPr>
          <w:p>
            <w:pPr>
              <w:pStyle w:val="TableParagraph"/>
              <w:spacing w:before="34"/>
              <w:ind w:left="516" w:right="481"/>
              <w:rPr>
                <w:rFonts w:ascii="Times New Roman"/>
                <w:sz w:val="21"/>
              </w:rPr>
            </w:pPr>
            <w:r>
              <w:rPr>
                <w:rFonts w:ascii="Times New Roman"/>
                <w:sz w:val="21"/>
              </w:rPr>
              <w:t>0.035</w:t>
            </w:r>
          </w:p>
        </w:tc>
      </w:tr>
      <w:tr>
        <w:trPr>
          <w:trHeight w:val="311" w:hRule="atLeast"/>
        </w:trPr>
        <w:tc>
          <w:tcPr>
            <w:tcW w:w="1704" w:type="dxa"/>
            <w:tcBorders>
              <w:top w:val="single" w:sz="6" w:space="0" w:color="000000"/>
              <w:bottom w:val="single" w:sz="6" w:space="0" w:color="000000"/>
              <w:right w:val="single" w:sz="6" w:space="0" w:color="000000"/>
            </w:tcBorders>
          </w:tcPr>
          <w:p>
            <w:pPr>
              <w:pStyle w:val="TableParagraph"/>
              <w:spacing w:line="291" w:lineRule="exact"/>
              <w:ind w:left="516" w:right="495"/>
              <w:rPr>
                <w:sz w:val="21"/>
              </w:rPr>
            </w:pPr>
            <w:r>
              <w:rPr>
                <w:sz w:val="21"/>
              </w:rPr>
              <w:t>十月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0.018</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23"/>
              <w:jc w:val="left"/>
              <w:rPr>
                <w:rFonts w:ascii="Times New Roman"/>
                <w:sz w:val="21"/>
              </w:rPr>
            </w:pPr>
            <w:r>
              <w:rPr>
                <w:rFonts w:ascii="Times New Roman"/>
                <w:sz w:val="21"/>
              </w:rPr>
              <w:t>0.044</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8"/>
              <w:jc w:val="right"/>
              <w:rPr>
                <w:rFonts w:ascii="Times New Roman"/>
                <w:sz w:val="21"/>
              </w:rPr>
            </w:pPr>
            <w:r>
              <w:rPr>
                <w:rFonts w:ascii="Times New Roman"/>
                <w:sz w:val="21"/>
              </w:rPr>
              <w:t>0.113</w:t>
            </w:r>
          </w:p>
        </w:tc>
        <w:tc>
          <w:tcPr>
            <w:tcW w:w="1704" w:type="dxa"/>
            <w:tcBorders>
              <w:top w:val="single" w:sz="6" w:space="0" w:color="000000"/>
              <w:left w:val="single" w:sz="6" w:space="0" w:color="000000"/>
              <w:bottom w:val="single" w:sz="6" w:space="0" w:color="000000"/>
            </w:tcBorders>
          </w:tcPr>
          <w:p>
            <w:pPr>
              <w:pStyle w:val="TableParagraph"/>
              <w:spacing w:before="34"/>
              <w:ind w:left="516" w:right="481"/>
              <w:rPr>
                <w:rFonts w:ascii="Times New Roman"/>
                <w:sz w:val="21"/>
              </w:rPr>
            </w:pPr>
            <w:r>
              <w:rPr>
                <w:rFonts w:ascii="Times New Roman"/>
                <w:sz w:val="21"/>
              </w:rPr>
              <w:t>0.058</w:t>
            </w:r>
          </w:p>
        </w:tc>
      </w:tr>
      <w:tr>
        <w:trPr>
          <w:trHeight w:val="311" w:hRule="atLeast"/>
        </w:trPr>
        <w:tc>
          <w:tcPr>
            <w:tcW w:w="1704" w:type="dxa"/>
            <w:tcBorders>
              <w:top w:val="single" w:sz="6" w:space="0" w:color="000000"/>
              <w:bottom w:val="single" w:sz="6" w:space="0" w:color="000000"/>
              <w:right w:val="single" w:sz="6" w:space="0" w:color="000000"/>
            </w:tcBorders>
          </w:tcPr>
          <w:p>
            <w:pPr>
              <w:pStyle w:val="TableParagraph"/>
              <w:spacing w:line="291" w:lineRule="exact"/>
              <w:ind w:left="516" w:right="495"/>
              <w:rPr>
                <w:sz w:val="21"/>
              </w:rPr>
            </w:pPr>
            <w:r>
              <w:rPr>
                <w:sz w:val="21"/>
              </w:rPr>
              <w:t>十一月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0.020</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left="623"/>
              <w:jc w:val="left"/>
              <w:rPr>
                <w:rFonts w:ascii="Times New Roman"/>
                <w:sz w:val="21"/>
              </w:rPr>
            </w:pPr>
            <w:r>
              <w:rPr>
                <w:rFonts w:ascii="Times New Roman"/>
                <w:sz w:val="21"/>
              </w:rPr>
              <w:t>0.044</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593"/>
              <w:jc w:val="right"/>
              <w:rPr>
                <w:rFonts w:ascii="Times New Roman"/>
                <w:sz w:val="21"/>
              </w:rPr>
            </w:pPr>
            <w:r>
              <w:rPr>
                <w:rFonts w:ascii="Times New Roman"/>
                <w:sz w:val="21"/>
              </w:rPr>
              <w:t>0.141</w:t>
            </w:r>
          </w:p>
        </w:tc>
        <w:tc>
          <w:tcPr>
            <w:tcW w:w="1704" w:type="dxa"/>
            <w:tcBorders>
              <w:top w:val="single" w:sz="6" w:space="0" w:color="000000"/>
              <w:left w:val="single" w:sz="6" w:space="0" w:color="000000"/>
              <w:bottom w:val="single" w:sz="6" w:space="0" w:color="000000"/>
            </w:tcBorders>
          </w:tcPr>
          <w:p>
            <w:pPr>
              <w:pStyle w:val="TableParagraph"/>
              <w:spacing w:before="34"/>
              <w:ind w:left="516" w:right="481"/>
              <w:rPr>
                <w:rFonts w:ascii="Times New Roman"/>
                <w:sz w:val="21"/>
              </w:rPr>
            </w:pPr>
            <w:r>
              <w:rPr>
                <w:rFonts w:ascii="Times New Roman"/>
                <w:sz w:val="21"/>
              </w:rPr>
              <w:t>0.082</w:t>
            </w:r>
          </w:p>
        </w:tc>
      </w:tr>
      <w:tr>
        <w:trPr>
          <w:trHeight w:val="313" w:hRule="atLeast"/>
        </w:trPr>
        <w:tc>
          <w:tcPr>
            <w:tcW w:w="1704" w:type="dxa"/>
            <w:tcBorders>
              <w:top w:val="single" w:sz="6" w:space="0" w:color="000000"/>
              <w:bottom w:val="single" w:sz="6" w:space="0" w:color="000000"/>
              <w:right w:val="single" w:sz="6" w:space="0" w:color="000000"/>
            </w:tcBorders>
          </w:tcPr>
          <w:p>
            <w:pPr>
              <w:pStyle w:val="TableParagraph"/>
              <w:spacing w:line="294" w:lineRule="exact"/>
              <w:ind w:left="516" w:right="495"/>
              <w:rPr>
                <w:sz w:val="21"/>
              </w:rPr>
            </w:pPr>
            <w:r>
              <w:rPr>
                <w:sz w:val="21"/>
              </w:rPr>
              <w:t>十二月</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left="601" w:right="575"/>
              <w:rPr>
                <w:rFonts w:ascii="Times New Roman"/>
                <w:sz w:val="21"/>
              </w:rPr>
            </w:pPr>
            <w:r>
              <w:rPr>
                <w:rFonts w:ascii="Times New Roman"/>
                <w:sz w:val="21"/>
              </w:rPr>
              <w:t>0.024</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left="623"/>
              <w:jc w:val="left"/>
              <w:rPr>
                <w:rFonts w:ascii="Times New Roman"/>
                <w:sz w:val="21"/>
              </w:rPr>
            </w:pPr>
            <w:r>
              <w:rPr>
                <w:rFonts w:ascii="Times New Roman"/>
                <w:sz w:val="21"/>
              </w:rPr>
              <w:t>0.052</w:t>
            </w:r>
          </w:p>
        </w:tc>
        <w:tc>
          <w:tcPr>
            <w:tcW w:w="1707" w:type="dxa"/>
            <w:tcBorders>
              <w:top w:val="single" w:sz="6" w:space="0" w:color="000000"/>
              <w:left w:val="single" w:sz="6" w:space="0" w:color="000000"/>
              <w:bottom w:val="single" w:sz="6" w:space="0" w:color="000000"/>
              <w:right w:val="single" w:sz="6" w:space="0" w:color="000000"/>
            </w:tcBorders>
          </w:tcPr>
          <w:p>
            <w:pPr>
              <w:pStyle w:val="TableParagraph"/>
              <w:spacing w:before="36"/>
              <w:ind w:right="593"/>
              <w:jc w:val="right"/>
              <w:rPr>
                <w:rFonts w:ascii="Times New Roman"/>
                <w:sz w:val="21"/>
              </w:rPr>
            </w:pPr>
            <w:r>
              <w:rPr>
                <w:rFonts w:ascii="Times New Roman"/>
                <w:sz w:val="21"/>
              </w:rPr>
              <w:t>0.158</w:t>
            </w:r>
          </w:p>
        </w:tc>
        <w:tc>
          <w:tcPr>
            <w:tcW w:w="1704" w:type="dxa"/>
            <w:tcBorders>
              <w:top w:val="single" w:sz="6" w:space="0" w:color="000000"/>
              <w:left w:val="single" w:sz="6" w:space="0" w:color="000000"/>
              <w:bottom w:val="single" w:sz="6" w:space="0" w:color="000000"/>
            </w:tcBorders>
          </w:tcPr>
          <w:p>
            <w:pPr>
              <w:pStyle w:val="TableParagraph"/>
              <w:spacing w:before="36"/>
              <w:ind w:left="516" w:right="481"/>
              <w:rPr>
                <w:rFonts w:ascii="Times New Roman"/>
                <w:sz w:val="21"/>
              </w:rPr>
            </w:pPr>
            <w:r>
              <w:rPr>
                <w:rFonts w:ascii="Times New Roman"/>
                <w:sz w:val="21"/>
              </w:rPr>
              <w:t>0.081</w:t>
            </w:r>
          </w:p>
        </w:tc>
      </w:tr>
      <w:tr>
        <w:trPr>
          <w:trHeight w:val="311" w:hRule="atLeast"/>
        </w:trPr>
        <w:tc>
          <w:tcPr>
            <w:tcW w:w="1704" w:type="dxa"/>
            <w:tcBorders>
              <w:top w:val="single" w:sz="6" w:space="0" w:color="000000"/>
              <w:right w:val="single" w:sz="6" w:space="0" w:color="000000"/>
            </w:tcBorders>
          </w:tcPr>
          <w:p>
            <w:pPr>
              <w:pStyle w:val="TableParagraph"/>
              <w:spacing w:line="291" w:lineRule="exact"/>
              <w:ind w:left="516" w:right="495"/>
              <w:rPr>
                <w:sz w:val="21"/>
              </w:rPr>
            </w:pPr>
            <w:r>
              <w:rPr>
                <w:sz w:val="21"/>
              </w:rPr>
              <w:t>平均值</w:t>
            </w:r>
          </w:p>
        </w:tc>
        <w:tc>
          <w:tcPr>
            <w:tcW w:w="1707" w:type="dxa"/>
            <w:tcBorders>
              <w:top w:val="single" w:sz="6" w:space="0" w:color="000000"/>
              <w:left w:val="single" w:sz="6" w:space="0" w:color="000000"/>
              <w:right w:val="single" w:sz="6" w:space="0" w:color="000000"/>
            </w:tcBorders>
          </w:tcPr>
          <w:p>
            <w:pPr>
              <w:pStyle w:val="TableParagraph"/>
              <w:spacing w:before="34"/>
              <w:ind w:left="601" w:right="575"/>
              <w:rPr>
                <w:rFonts w:ascii="Times New Roman"/>
                <w:sz w:val="21"/>
              </w:rPr>
            </w:pPr>
            <w:r>
              <w:rPr>
                <w:rFonts w:ascii="Times New Roman"/>
                <w:sz w:val="21"/>
              </w:rPr>
              <w:t>0.027</w:t>
            </w:r>
          </w:p>
        </w:tc>
        <w:tc>
          <w:tcPr>
            <w:tcW w:w="1707" w:type="dxa"/>
            <w:tcBorders>
              <w:top w:val="single" w:sz="6" w:space="0" w:color="000000"/>
              <w:left w:val="single" w:sz="6" w:space="0" w:color="000000"/>
              <w:right w:val="single" w:sz="6" w:space="0" w:color="000000"/>
            </w:tcBorders>
          </w:tcPr>
          <w:p>
            <w:pPr>
              <w:pStyle w:val="TableParagraph"/>
              <w:spacing w:before="34"/>
              <w:ind w:left="623"/>
              <w:jc w:val="left"/>
              <w:rPr>
                <w:rFonts w:ascii="Times New Roman"/>
                <w:sz w:val="21"/>
              </w:rPr>
            </w:pPr>
            <w:r>
              <w:rPr>
                <w:rFonts w:ascii="Times New Roman"/>
                <w:sz w:val="21"/>
              </w:rPr>
              <w:t>0.040</w:t>
            </w:r>
          </w:p>
        </w:tc>
        <w:tc>
          <w:tcPr>
            <w:tcW w:w="1707" w:type="dxa"/>
            <w:tcBorders>
              <w:top w:val="single" w:sz="6" w:space="0" w:color="000000"/>
              <w:left w:val="single" w:sz="6" w:space="0" w:color="000000"/>
              <w:right w:val="single" w:sz="6" w:space="0" w:color="000000"/>
            </w:tcBorders>
          </w:tcPr>
          <w:p>
            <w:pPr>
              <w:pStyle w:val="TableParagraph"/>
              <w:spacing w:before="34"/>
              <w:ind w:right="593"/>
              <w:jc w:val="right"/>
              <w:rPr>
                <w:rFonts w:ascii="Times New Roman"/>
                <w:sz w:val="21"/>
              </w:rPr>
            </w:pPr>
            <w:r>
              <w:rPr>
                <w:rFonts w:ascii="Times New Roman"/>
                <w:sz w:val="21"/>
              </w:rPr>
              <w:t>0.109</w:t>
            </w:r>
          </w:p>
        </w:tc>
        <w:tc>
          <w:tcPr>
            <w:tcW w:w="1704" w:type="dxa"/>
            <w:tcBorders>
              <w:top w:val="single" w:sz="6" w:space="0" w:color="000000"/>
              <w:left w:val="single" w:sz="6" w:space="0" w:color="000000"/>
            </w:tcBorders>
          </w:tcPr>
          <w:p>
            <w:pPr>
              <w:pStyle w:val="TableParagraph"/>
              <w:spacing w:before="34"/>
              <w:ind w:left="516" w:right="481"/>
              <w:rPr>
                <w:rFonts w:ascii="Times New Roman"/>
                <w:sz w:val="21"/>
              </w:rPr>
            </w:pPr>
            <w:r>
              <w:rPr>
                <w:rFonts w:ascii="Times New Roman"/>
                <w:sz w:val="21"/>
              </w:rPr>
              <w:t>0.057</w:t>
            </w:r>
          </w:p>
        </w:tc>
      </w:tr>
    </w:tbl>
    <w:p>
      <w:pPr>
        <w:pStyle w:val="BodyText"/>
        <w:spacing w:before="5"/>
        <w:rPr>
          <w:rFonts w:ascii="Times New Roman"/>
          <w:b/>
          <w:sz w:val="15"/>
        </w:rPr>
      </w:pPr>
    </w:p>
    <w:p>
      <w:pPr>
        <w:tabs>
          <w:tab w:pos="4075" w:val="left" w:leader="none"/>
        </w:tabs>
        <w:spacing w:line="423" w:lineRule="exact" w:before="0" w:after="24"/>
        <w:ind w:left="2952" w:right="0" w:firstLine="0"/>
        <w:jc w:val="left"/>
        <w:rPr>
          <w:sz w:val="21"/>
        </w:rPr>
      </w:pPr>
      <w:r>
        <w:rPr>
          <w:sz w:val="21"/>
        </w:rPr>
        <w:t>表</w:t>
      </w:r>
      <w:r>
        <w:rPr>
          <w:spacing w:val="7"/>
          <w:sz w:val="21"/>
        </w:rPr>
        <w:t> </w:t>
      </w:r>
      <w:r>
        <w:rPr>
          <w:rFonts w:ascii="Times New Roman" w:eastAsia="Times New Roman"/>
          <w:b/>
          <w:sz w:val="21"/>
        </w:rPr>
        <w:t>5.4-3</w:t>
        <w:tab/>
      </w:r>
      <w:r>
        <w:rPr>
          <w:sz w:val="21"/>
        </w:rPr>
        <w:t>基本污染物</w:t>
      </w:r>
      <w:r>
        <w:rPr>
          <w:spacing w:val="-3"/>
          <w:sz w:val="21"/>
        </w:rPr>
        <w:t>环</w:t>
      </w:r>
      <w:r>
        <w:rPr>
          <w:sz w:val="21"/>
        </w:rPr>
        <w:t>境质量现状</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4"/>
        <w:gridCol w:w="1345"/>
        <w:gridCol w:w="1356"/>
        <w:gridCol w:w="1836"/>
        <w:gridCol w:w="1185"/>
        <w:gridCol w:w="1942"/>
      </w:tblGrid>
      <w:tr>
        <w:trPr>
          <w:trHeight w:val="626" w:hRule="atLeast"/>
        </w:trPr>
        <w:tc>
          <w:tcPr>
            <w:tcW w:w="864" w:type="dxa"/>
            <w:tcBorders>
              <w:bottom w:val="single" w:sz="6" w:space="0" w:color="000000"/>
              <w:right w:val="single" w:sz="6" w:space="0" w:color="000000"/>
            </w:tcBorders>
          </w:tcPr>
          <w:p>
            <w:pPr>
              <w:pStyle w:val="TableParagraph"/>
              <w:spacing w:before="80"/>
              <w:ind w:left="220"/>
              <w:jc w:val="left"/>
              <w:rPr>
                <w:sz w:val="21"/>
              </w:rPr>
            </w:pPr>
            <w:r>
              <w:rPr>
                <w:sz w:val="21"/>
              </w:rPr>
              <w:t>位置</w:t>
            </w:r>
          </w:p>
        </w:tc>
        <w:tc>
          <w:tcPr>
            <w:tcW w:w="1345" w:type="dxa"/>
            <w:tcBorders>
              <w:left w:val="single" w:sz="6" w:space="0" w:color="000000"/>
              <w:bottom w:val="single" w:sz="6" w:space="0" w:color="000000"/>
              <w:right w:val="single" w:sz="6" w:space="0" w:color="000000"/>
            </w:tcBorders>
          </w:tcPr>
          <w:p>
            <w:pPr>
              <w:pStyle w:val="TableParagraph"/>
              <w:spacing w:before="80"/>
              <w:ind w:left="343" w:right="316"/>
              <w:rPr>
                <w:sz w:val="21"/>
              </w:rPr>
            </w:pPr>
            <w:r>
              <w:rPr>
                <w:sz w:val="21"/>
              </w:rPr>
              <w:t>污染物</w:t>
            </w:r>
          </w:p>
        </w:tc>
        <w:tc>
          <w:tcPr>
            <w:tcW w:w="1356" w:type="dxa"/>
            <w:tcBorders>
              <w:left w:val="single" w:sz="6" w:space="0" w:color="000000"/>
              <w:bottom w:val="single" w:sz="6" w:space="0" w:color="000000"/>
              <w:right w:val="single" w:sz="6" w:space="0" w:color="000000"/>
            </w:tcBorders>
          </w:tcPr>
          <w:p>
            <w:pPr>
              <w:pStyle w:val="TableParagraph"/>
              <w:spacing w:before="80"/>
              <w:ind w:left="263"/>
              <w:jc w:val="left"/>
              <w:rPr>
                <w:sz w:val="21"/>
              </w:rPr>
            </w:pPr>
            <w:r>
              <w:rPr>
                <w:sz w:val="21"/>
              </w:rPr>
              <w:t>评价指标</w:t>
            </w:r>
          </w:p>
        </w:tc>
        <w:tc>
          <w:tcPr>
            <w:tcW w:w="1836" w:type="dxa"/>
            <w:tcBorders>
              <w:left w:val="single" w:sz="6" w:space="0" w:color="000000"/>
              <w:bottom w:val="single" w:sz="6" w:space="0" w:color="000000"/>
              <w:right w:val="single" w:sz="6" w:space="0" w:color="000000"/>
            </w:tcBorders>
          </w:tcPr>
          <w:p>
            <w:pPr>
              <w:pStyle w:val="TableParagraph"/>
              <w:spacing w:before="80"/>
              <w:ind w:left="114" w:right="-29"/>
              <w:rPr>
                <w:sz w:val="21"/>
              </w:rPr>
            </w:pPr>
            <w:r>
              <w:rPr>
                <w:spacing w:val="-11"/>
                <w:sz w:val="21"/>
              </w:rPr>
              <w:t>现状浓度</w:t>
            </w:r>
            <w:r>
              <w:rPr>
                <w:spacing w:val="-1"/>
                <w:sz w:val="21"/>
              </w:rPr>
              <w:t>（</w:t>
            </w:r>
            <w:r>
              <w:rPr>
                <w:rFonts w:ascii="Times New Roman" w:eastAsia="Times New Roman"/>
                <w:spacing w:val="-1"/>
                <w:sz w:val="21"/>
              </w:rPr>
              <w:t>ug/m</w:t>
            </w:r>
            <w:r>
              <w:rPr>
                <w:rFonts w:ascii="Times New Roman" w:eastAsia="Times New Roman"/>
                <w:spacing w:val="-1"/>
                <w:position w:val="7"/>
                <w:sz w:val="14"/>
              </w:rPr>
              <w:t>3</w:t>
            </w:r>
            <w:r>
              <w:rPr>
                <w:spacing w:val="-1"/>
                <w:sz w:val="21"/>
              </w:rPr>
              <w:t>）</w:t>
            </w:r>
          </w:p>
        </w:tc>
        <w:tc>
          <w:tcPr>
            <w:tcW w:w="1185" w:type="dxa"/>
            <w:tcBorders>
              <w:left w:val="single" w:sz="6" w:space="0" w:color="000000"/>
              <w:bottom w:val="single" w:sz="6" w:space="0" w:color="000000"/>
              <w:right w:val="single" w:sz="6" w:space="0" w:color="000000"/>
            </w:tcBorders>
          </w:tcPr>
          <w:p>
            <w:pPr>
              <w:pStyle w:val="TableParagraph"/>
              <w:spacing w:before="80"/>
              <w:ind w:left="369" w:right="340"/>
              <w:rPr>
                <w:sz w:val="21"/>
              </w:rPr>
            </w:pPr>
            <w:r>
              <w:rPr>
                <w:sz w:val="21"/>
              </w:rPr>
              <w:t>标准</w:t>
            </w:r>
          </w:p>
        </w:tc>
        <w:tc>
          <w:tcPr>
            <w:tcW w:w="1942" w:type="dxa"/>
            <w:tcBorders>
              <w:left w:val="single" w:sz="6" w:space="0" w:color="000000"/>
              <w:bottom w:val="single" w:sz="6" w:space="0" w:color="000000"/>
            </w:tcBorders>
          </w:tcPr>
          <w:p>
            <w:pPr>
              <w:pStyle w:val="TableParagraph"/>
              <w:spacing w:before="80"/>
              <w:ind w:left="541" w:right="498"/>
              <w:rPr>
                <w:sz w:val="21"/>
              </w:rPr>
            </w:pPr>
            <w:r>
              <w:rPr>
                <w:sz w:val="21"/>
              </w:rPr>
              <w:t>超标倍数</w:t>
            </w:r>
          </w:p>
        </w:tc>
      </w:tr>
      <w:tr>
        <w:trPr>
          <w:trHeight w:val="615" w:hRule="atLeast"/>
        </w:trPr>
        <w:tc>
          <w:tcPr>
            <w:tcW w:w="864" w:type="dxa"/>
            <w:vMerge w:val="restart"/>
            <w:tcBorders>
              <w:top w:val="single" w:sz="6" w:space="0" w:color="000000"/>
              <w:right w:val="single" w:sz="6" w:space="0" w:color="000000"/>
            </w:tcBorders>
          </w:tcPr>
          <w:p>
            <w:pPr>
              <w:pStyle w:val="TableParagraph"/>
              <w:jc w:val="left"/>
              <w:rPr>
                <w:sz w:val="20"/>
              </w:rPr>
            </w:pPr>
          </w:p>
          <w:p>
            <w:pPr>
              <w:pStyle w:val="TableParagraph"/>
              <w:spacing w:before="13"/>
              <w:jc w:val="left"/>
              <w:rPr>
                <w:sz w:val="18"/>
              </w:rPr>
            </w:pPr>
          </w:p>
          <w:p>
            <w:pPr>
              <w:pStyle w:val="TableParagraph"/>
              <w:spacing w:line="168" w:lineRule="auto"/>
              <w:ind w:left="114" w:right="91"/>
              <w:jc w:val="both"/>
              <w:rPr>
                <w:sz w:val="21"/>
              </w:rPr>
            </w:pPr>
            <w:r>
              <w:rPr>
                <w:sz w:val="21"/>
              </w:rPr>
              <w:t>莒南县经济开发区</w:t>
            </w:r>
          </w:p>
        </w:tc>
        <w:tc>
          <w:tcPr>
            <w:tcW w:w="1345" w:type="dxa"/>
            <w:tcBorders>
              <w:top w:val="single" w:sz="6" w:space="0" w:color="000000"/>
              <w:left w:val="single" w:sz="6" w:space="0" w:color="000000"/>
              <w:bottom w:val="single" w:sz="6" w:space="0" w:color="000000"/>
              <w:right w:val="single" w:sz="6" w:space="0" w:color="000000"/>
            </w:tcBorders>
          </w:tcPr>
          <w:p>
            <w:pPr>
              <w:pStyle w:val="TableParagraph"/>
              <w:spacing w:before="189"/>
              <w:ind w:left="343" w:right="316"/>
              <w:rPr>
                <w:rFonts w:ascii="Times New Roman"/>
                <w:sz w:val="14"/>
              </w:rPr>
            </w:pPr>
            <w:r>
              <w:rPr>
                <w:rFonts w:ascii="Times New Roman"/>
                <w:position w:val="2"/>
                <w:sz w:val="21"/>
              </w:rPr>
              <w:t>SO</w:t>
            </w:r>
            <w:r>
              <w:rPr>
                <w:rFonts w:ascii="Times New Roman"/>
                <w:sz w:val="14"/>
              </w:rPr>
              <w:t>2</w:t>
            </w:r>
          </w:p>
        </w:tc>
        <w:tc>
          <w:tcPr>
            <w:tcW w:w="1356"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spacing w:before="20"/>
              <w:jc w:val="left"/>
              <w:rPr>
                <w:sz w:val="28"/>
              </w:rPr>
            </w:pPr>
          </w:p>
          <w:p>
            <w:pPr>
              <w:pStyle w:val="TableParagraph"/>
              <w:ind w:left="157"/>
              <w:jc w:val="left"/>
              <w:rPr>
                <w:sz w:val="21"/>
              </w:rPr>
            </w:pPr>
            <w:r>
              <w:rPr>
                <w:sz w:val="21"/>
              </w:rPr>
              <w:t>年平均浓度</w:t>
            </w: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190"/>
              <w:ind w:left="114" w:right="88"/>
              <w:rPr>
                <w:rFonts w:ascii="Times New Roman"/>
                <w:sz w:val="21"/>
              </w:rPr>
            </w:pPr>
            <w:r>
              <w:rPr>
                <w:rFonts w:ascii="Times New Roman"/>
                <w:sz w:val="21"/>
              </w:rPr>
              <w:t>27</w:t>
            </w:r>
          </w:p>
        </w:tc>
        <w:tc>
          <w:tcPr>
            <w:tcW w:w="1185" w:type="dxa"/>
            <w:tcBorders>
              <w:top w:val="single" w:sz="6" w:space="0" w:color="000000"/>
              <w:left w:val="single" w:sz="6" w:space="0" w:color="000000"/>
              <w:bottom w:val="single" w:sz="6" w:space="0" w:color="000000"/>
              <w:right w:val="single" w:sz="6" w:space="0" w:color="000000"/>
            </w:tcBorders>
          </w:tcPr>
          <w:p>
            <w:pPr>
              <w:pStyle w:val="TableParagraph"/>
              <w:spacing w:before="190"/>
              <w:ind w:left="364" w:right="340"/>
              <w:rPr>
                <w:rFonts w:ascii="Times New Roman"/>
                <w:sz w:val="21"/>
              </w:rPr>
            </w:pPr>
            <w:r>
              <w:rPr>
                <w:rFonts w:ascii="Times New Roman"/>
                <w:sz w:val="21"/>
              </w:rPr>
              <w:t>60</w:t>
            </w:r>
          </w:p>
        </w:tc>
        <w:tc>
          <w:tcPr>
            <w:tcW w:w="1942" w:type="dxa"/>
            <w:tcBorders>
              <w:top w:val="single" w:sz="6" w:space="0" w:color="000000"/>
              <w:left w:val="single" w:sz="6" w:space="0" w:color="000000"/>
              <w:bottom w:val="single" w:sz="6" w:space="0" w:color="000000"/>
            </w:tcBorders>
          </w:tcPr>
          <w:p>
            <w:pPr>
              <w:pStyle w:val="TableParagraph"/>
              <w:spacing w:before="190"/>
              <w:ind w:left="41"/>
              <w:rPr>
                <w:rFonts w:ascii="Times New Roman"/>
                <w:sz w:val="21"/>
              </w:rPr>
            </w:pPr>
            <w:r>
              <w:rPr>
                <w:rFonts w:ascii="Times New Roman"/>
                <w:w w:val="100"/>
                <w:sz w:val="21"/>
              </w:rPr>
              <w:t>/</w:t>
            </w:r>
          </w:p>
        </w:tc>
      </w:tr>
      <w:tr>
        <w:trPr>
          <w:trHeight w:val="608" w:hRule="atLeast"/>
        </w:trPr>
        <w:tc>
          <w:tcPr>
            <w:tcW w:w="864" w:type="dxa"/>
            <w:vMerge/>
            <w:tcBorders>
              <w:top w:val="nil"/>
              <w:right w:val="single" w:sz="6" w:space="0" w:color="000000"/>
            </w:tcBorders>
          </w:tcPr>
          <w:p>
            <w:pPr>
              <w:rPr>
                <w:sz w:val="2"/>
                <w:szCs w:val="2"/>
              </w:rPr>
            </w:pPr>
          </w:p>
        </w:tc>
        <w:tc>
          <w:tcPr>
            <w:tcW w:w="1345" w:type="dxa"/>
            <w:tcBorders>
              <w:top w:val="single" w:sz="6" w:space="0" w:color="000000"/>
              <w:left w:val="single" w:sz="6" w:space="0" w:color="000000"/>
              <w:bottom w:val="single" w:sz="6" w:space="0" w:color="000000"/>
              <w:right w:val="single" w:sz="6" w:space="0" w:color="000000"/>
            </w:tcBorders>
          </w:tcPr>
          <w:p>
            <w:pPr>
              <w:pStyle w:val="TableParagraph"/>
              <w:spacing w:before="181"/>
              <w:ind w:left="343" w:right="316"/>
              <w:rPr>
                <w:rFonts w:ascii="Times New Roman"/>
                <w:sz w:val="14"/>
              </w:rPr>
            </w:pPr>
            <w:r>
              <w:rPr>
                <w:rFonts w:ascii="Times New Roman"/>
                <w:position w:val="2"/>
                <w:sz w:val="21"/>
              </w:rPr>
              <w:t>NO</w:t>
            </w:r>
            <w:r>
              <w:rPr>
                <w:rFonts w:ascii="Times New Roman"/>
                <w:sz w:val="14"/>
              </w:rPr>
              <w:t>2</w:t>
            </w:r>
          </w:p>
        </w:tc>
        <w:tc>
          <w:tcPr>
            <w:tcW w:w="1356" w:type="dxa"/>
            <w:vMerge/>
            <w:tcBorders>
              <w:top w:val="nil"/>
              <w:left w:val="single" w:sz="6" w:space="0" w:color="000000"/>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182"/>
              <w:ind w:left="114" w:right="88"/>
              <w:rPr>
                <w:rFonts w:ascii="Times New Roman"/>
                <w:sz w:val="21"/>
              </w:rPr>
            </w:pPr>
            <w:r>
              <w:rPr>
                <w:rFonts w:ascii="Times New Roman"/>
                <w:sz w:val="21"/>
              </w:rPr>
              <w:t>40</w:t>
            </w:r>
          </w:p>
        </w:tc>
        <w:tc>
          <w:tcPr>
            <w:tcW w:w="1185" w:type="dxa"/>
            <w:tcBorders>
              <w:top w:val="single" w:sz="6" w:space="0" w:color="000000"/>
              <w:left w:val="single" w:sz="6" w:space="0" w:color="000000"/>
              <w:bottom w:val="single" w:sz="6" w:space="0" w:color="000000"/>
              <w:right w:val="single" w:sz="6" w:space="0" w:color="000000"/>
            </w:tcBorders>
          </w:tcPr>
          <w:p>
            <w:pPr>
              <w:pStyle w:val="TableParagraph"/>
              <w:spacing w:before="182"/>
              <w:ind w:left="364" w:right="340"/>
              <w:rPr>
                <w:rFonts w:ascii="Times New Roman"/>
                <w:sz w:val="21"/>
              </w:rPr>
            </w:pPr>
            <w:r>
              <w:rPr>
                <w:rFonts w:ascii="Times New Roman"/>
                <w:sz w:val="21"/>
              </w:rPr>
              <w:t>40</w:t>
            </w:r>
          </w:p>
        </w:tc>
        <w:tc>
          <w:tcPr>
            <w:tcW w:w="1942" w:type="dxa"/>
            <w:tcBorders>
              <w:top w:val="single" w:sz="6" w:space="0" w:color="000000"/>
              <w:left w:val="single" w:sz="6" w:space="0" w:color="000000"/>
              <w:bottom w:val="single" w:sz="6" w:space="0" w:color="000000"/>
            </w:tcBorders>
          </w:tcPr>
          <w:p>
            <w:pPr>
              <w:pStyle w:val="TableParagraph"/>
              <w:spacing w:before="182"/>
              <w:ind w:left="41"/>
              <w:rPr>
                <w:rFonts w:ascii="Times New Roman"/>
                <w:sz w:val="21"/>
              </w:rPr>
            </w:pPr>
            <w:r>
              <w:rPr>
                <w:rFonts w:ascii="Times New Roman"/>
                <w:w w:val="100"/>
                <w:sz w:val="21"/>
              </w:rPr>
              <w:t>/</w:t>
            </w:r>
          </w:p>
        </w:tc>
      </w:tr>
      <w:tr>
        <w:trPr>
          <w:trHeight w:val="610" w:hRule="atLeast"/>
        </w:trPr>
        <w:tc>
          <w:tcPr>
            <w:tcW w:w="864" w:type="dxa"/>
            <w:vMerge/>
            <w:tcBorders>
              <w:top w:val="nil"/>
              <w:right w:val="single" w:sz="6" w:space="0" w:color="000000"/>
            </w:tcBorders>
          </w:tcPr>
          <w:p>
            <w:pPr>
              <w:rPr>
                <w:sz w:val="2"/>
                <w:szCs w:val="2"/>
              </w:rPr>
            </w:pPr>
          </w:p>
        </w:tc>
        <w:tc>
          <w:tcPr>
            <w:tcW w:w="1345" w:type="dxa"/>
            <w:tcBorders>
              <w:top w:val="single" w:sz="6" w:space="0" w:color="000000"/>
              <w:left w:val="single" w:sz="6" w:space="0" w:color="000000"/>
              <w:bottom w:val="single" w:sz="6" w:space="0" w:color="000000"/>
              <w:right w:val="single" w:sz="6" w:space="0" w:color="000000"/>
            </w:tcBorders>
          </w:tcPr>
          <w:p>
            <w:pPr>
              <w:pStyle w:val="TableParagraph"/>
              <w:spacing w:before="184"/>
              <w:ind w:left="343" w:right="316"/>
              <w:rPr>
                <w:rFonts w:ascii="Times New Roman"/>
                <w:sz w:val="14"/>
              </w:rPr>
            </w:pPr>
            <w:r>
              <w:rPr>
                <w:rFonts w:ascii="Times New Roman"/>
                <w:position w:val="2"/>
                <w:sz w:val="21"/>
              </w:rPr>
              <w:t>PM</w:t>
            </w:r>
            <w:r>
              <w:rPr>
                <w:rFonts w:ascii="Times New Roman"/>
                <w:sz w:val="14"/>
              </w:rPr>
              <w:t>2.5</w:t>
            </w:r>
          </w:p>
        </w:tc>
        <w:tc>
          <w:tcPr>
            <w:tcW w:w="1356" w:type="dxa"/>
            <w:vMerge/>
            <w:tcBorders>
              <w:top w:val="nil"/>
              <w:left w:val="single" w:sz="6" w:space="0" w:color="000000"/>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185"/>
              <w:ind w:left="114" w:right="88"/>
              <w:rPr>
                <w:rFonts w:ascii="Times New Roman"/>
                <w:sz w:val="21"/>
              </w:rPr>
            </w:pPr>
            <w:r>
              <w:rPr>
                <w:rFonts w:ascii="Times New Roman"/>
                <w:sz w:val="21"/>
              </w:rPr>
              <w:t>57</w:t>
            </w:r>
          </w:p>
        </w:tc>
        <w:tc>
          <w:tcPr>
            <w:tcW w:w="1185" w:type="dxa"/>
            <w:tcBorders>
              <w:top w:val="single" w:sz="6" w:space="0" w:color="000000"/>
              <w:left w:val="single" w:sz="6" w:space="0" w:color="000000"/>
              <w:bottom w:val="single" w:sz="6" w:space="0" w:color="000000"/>
              <w:right w:val="single" w:sz="6" w:space="0" w:color="000000"/>
            </w:tcBorders>
          </w:tcPr>
          <w:p>
            <w:pPr>
              <w:pStyle w:val="TableParagraph"/>
              <w:spacing w:before="185"/>
              <w:ind w:left="364" w:right="340"/>
              <w:rPr>
                <w:rFonts w:ascii="Times New Roman"/>
                <w:sz w:val="21"/>
              </w:rPr>
            </w:pPr>
            <w:r>
              <w:rPr>
                <w:rFonts w:ascii="Times New Roman"/>
                <w:sz w:val="21"/>
              </w:rPr>
              <w:t>35</w:t>
            </w:r>
          </w:p>
        </w:tc>
        <w:tc>
          <w:tcPr>
            <w:tcW w:w="1942" w:type="dxa"/>
            <w:tcBorders>
              <w:top w:val="single" w:sz="6" w:space="0" w:color="000000"/>
              <w:left w:val="single" w:sz="6" w:space="0" w:color="000000"/>
              <w:bottom w:val="single" w:sz="6" w:space="0" w:color="000000"/>
            </w:tcBorders>
          </w:tcPr>
          <w:p>
            <w:pPr>
              <w:pStyle w:val="TableParagraph"/>
              <w:spacing w:before="185"/>
              <w:ind w:left="538" w:right="498"/>
              <w:rPr>
                <w:rFonts w:ascii="Times New Roman"/>
                <w:sz w:val="21"/>
              </w:rPr>
            </w:pPr>
            <w:r>
              <w:rPr>
                <w:rFonts w:ascii="Times New Roman"/>
                <w:sz w:val="21"/>
              </w:rPr>
              <w:t>0.63</w:t>
            </w:r>
          </w:p>
        </w:tc>
      </w:tr>
      <w:tr>
        <w:trPr>
          <w:trHeight w:val="613" w:hRule="atLeast"/>
        </w:trPr>
        <w:tc>
          <w:tcPr>
            <w:tcW w:w="864" w:type="dxa"/>
            <w:vMerge/>
            <w:tcBorders>
              <w:top w:val="nil"/>
              <w:right w:val="single" w:sz="6" w:space="0" w:color="000000"/>
            </w:tcBorders>
          </w:tcPr>
          <w:p>
            <w:pPr>
              <w:rPr>
                <w:sz w:val="2"/>
                <w:szCs w:val="2"/>
              </w:rPr>
            </w:pPr>
          </w:p>
        </w:tc>
        <w:tc>
          <w:tcPr>
            <w:tcW w:w="1345" w:type="dxa"/>
            <w:tcBorders>
              <w:top w:val="single" w:sz="6" w:space="0" w:color="000000"/>
              <w:left w:val="single" w:sz="6" w:space="0" w:color="000000"/>
              <w:right w:val="single" w:sz="6" w:space="0" w:color="000000"/>
            </w:tcBorders>
          </w:tcPr>
          <w:p>
            <w:pPr>
              <w:pStyle w:val="TableParagraph"/>
              <w:spacing w:before="181"/>
              <w:ind w:left="341" w:right="316"/>
              <w:rPr>
                <w:rFonts w:ascii="Times New Roman"/>
                <w:sz w:val="14"/>
              </w:rPr>
            </w:pPr>
            <w:r>
              <w:rPr>
                <w:rFonts w:ascii="Times New Roman"/>
                <w:position w:val="2"/>
                <w:sz w:val="21"/>
              </w:rPr>
              <w:t>PM</w:t>
            </w:r>
            <w:r>
              <w:rPr>
                <w:rFonts w:ascii="Times New Roman"/>
                <w:sz w:val="14"/>
              </w:rPr>
              <w:t>10</w:t>
            </w:r>
          </w:p>
        </w:tc>
        <w:tc>
          <w:tcPr>
            <w:tcW w:w="1356" w:type="dxa"/>
            <w:vMerge/>
            <w:tcBorders>
              <w:top w:val="nil"/>
              <w:left w:val="single" w:sz="6" w:space="0" w:color="000000"/>
              <w:right w:val="single" w:sz="6" w:space="0" w:color="000000"/>
            </w:tcBorders>
          </w:tcPr>
          <w:p>
            <w:pPr>
              <w:rPr>
                <w:sz w:val="2"/>
                <w:szCs w:val="2"/>
              </w:rPr>
            </w:pPr>
          </w:p>
        </w:tc>
        <w:tc>
          <w:tcPr>
            <w:tcW w:w="1836" w:type="dxa"/>
            <w:tcBorders>
              <w:top w:val="single" w:sz="6" w:space="0" w:color="000000"/>
              <w:left w:val="single" w:sz="6" w:space="0" w:color="000000"/>
              <w:right w:val="single" w:sz="6" w:space="0" w:color="000000"/>
            </w:tcBorders>
          </w:tcPr>
          <w:p>
            <w:pPr>
              <w:pStyle w:val="TableParagraph"/>
              <w:spacing w:before="182"/>
              <w:ind w:left="114" w:right="83"/>
              <w:rPr>
                <w:rFonts w:ascii="Times New Roman"/>
                <w:sz w:val="21"/>
              </w:rPr>
            </w:pPr>
            <w:r>
              <w:rPr>
                <w:rFonts w:ascii="Times New Roman"/>
                <w:sz w:val="21"/>
              </w:rPr>
              <w:t>109</w:t>
            </w:r>
          </w:p>
        </w:tc>
        <w:tc>
          <w:tcPr>
            <w:tcW w:w="1185" w:type="dxa"/>
            <w:tcBorders>
              <w:top w:val="single" w:sz="6" w:space="0" w:color="000000"/>
              <w:left w:val="single" w:sz="6" w:space="0" w:color="000000"/>
              <w:right w:val="single" w:sz="6" w:space="0" w:color="000000"/>
            </w:tcBorders>
          </w:tcPr>
          <w:p>
            <w:pPr>
              <w:pStyle w:val="TableParagraph"/>
              <w:spacing w:before="182"/>
              <w:ind w:left="364" w:right="340"/>
              <w:rPr>
                <w:rFonts w:ascii="Times New Roman"/>
                <w:sz w:val="21"/>
              </w:rPr>
            </w:pPr>
            <w:r>
              <w:rPr>
                <w:rFonts w:ascii="Times New Roman"/>
                <w:sz w:val="21"/>
              </w:rPr>
              <w:t>70</w:t>
            </w:r>
          </w:p>
        </w:tc>
        <w:tc>
          <w:tcPr>
            <w:tcW w:w="1942" w:type="dxa"/>
            <w:tcBorders>
              <w:top w:val="single" w:sz="6" w:space="0" w:color="000000"/>
              <w:left w:val="single" w:sz="6" w:space="0" w:color="000000"/>
            </w:tcBorders>
          </w:tcPr>
          <w:p>
            <w:pPr>
              <w:pStyle w:val="TableParagraph"/>
              <w:spacing w:before="182"/>
              <w:ind w:left="538" w:right="498"/>
              <w:rPr>
                <w:rFonts w:ascii="Times New Roman"/>
                <w:sz w:val="21"/>
              </w:rPr>
            </w:pPr>
            <w:r>
              <w:rPr>
                <w:rFonts w:ascii="Times New Roman"/>
                <w:sz w:val="21"/>
              </w:rPr>
              <w:t>0.56</w:t>
            </w:r>
          </w:p>
        </w:tc>
      </w:tr>
    </w:tbl>
    <w:p>
      <w:pPr>
        <w:pStyle w:val="Heading5"/>
        <w:numPr>
          <w:ilvl w:val="3"/>
          <w:numId w:val="5"/>
        </w:numPr>
        <w:tabs>
          <w:tab w:pos="1490" w:val="left" w:leader="none"/>
        </w:tabs>
        <w:spacing w:line="592" w:lineRule="exact" w:before="157" w:after="0"/>
        <w:ind w:left="1490" w:right="0" w:hanging="912"/>
        <w:jc w:val="left"/>
        <w:rPr>
          <w:rFonts w:ascii="Times New Roman" w:eastAsia="Times New Roman"/>
        </w:rPr>
      </w:pPr>
      <w:r>
        <w:rPr/>
        <w:t>其他污染物环境质量现状评价</w:t>
      </w:r>
    </w:p>
    <w:p>
      <w:pPr>
        <w:pStyle w:val="BodyText"/>
        <w:spacing w:line="486" w:lineRule="exact"/>
        <w:ind w:left="1058"/>
      </w:pPr>
      <w:r>
        <w:rPr>
          <w:rFonts w:ascii="Times New Roman" w:eastAsia="Times New Roman"/>
        </w:rPr>
        <w:t>1</w:t>
      </w:r>
      <w:r>
        <w:rPr/>
        <w:t>、监测点位</w:t>
      </w:r>
    </w:p>
    <w:p>
      <w:pPr>
        <w:pStyle w:val="BodyText"/>
        <w:spacing w:line="220" w:lineRule="auto" w:before="8"/>
        <w:ind w:left="578" w:right="758" w:firstLine="479"/>
        <w:jc w:val="both"/>
      </w:pPr>
      <w:r>
        <w:rPr>
          <w:spacing w:val="-8"/>
        </w:rPr>
        <w:t>根据《环境影响评价技术导则  大气环境》</w:t>
      </w:r>
      <w:r>
        <w:rPr/>
        <w:t>（</w:t>
      </w:r>
      <w:r>
        <w:rPr>
          <w:rFonts w:ascii="Times New Roman" w:eastAsia="Times New Roman"/>
          <w:w w:val="99"/>
        </w:rPr>
        <w:t>HJ2.</w:t>
      </w:r>
      <w:r>
        <w:rPr>
          <w:rFonts w:ascii="Times New Roman" w:eastAsia="Times New Roman"/>
          <w:spacing w:val="-1"/>
          <w:w w:val="99"/>
        </w:rPr>
        <w:t>2</w:t>
      </w:r>
      <w:r>
        <w:rPr>
          <w:rFonts w:ascii="Times New Roman" w:eastAsia="Times New Roman"/>
          <w:spacing w:val="-1"/>
          <w:w w:val="99"/>
        </w:rPr>
        <w:t>-</w:t>
      </w:r>
      <w:r>
        <w:rPr>
          <w:rFonts w:ascii="Times New Roman" w:eastAsia="Times New Roman"/>
          <w:w w:val="99"/>
        </w:rPr>
        <w:t>2018</w:t>
      </w:r>
      <w:r>
        <w:rPr>
          <w:spacing w:val="-120"/>
          <w:w w:val="99"/>
        </w:rPr>
        <w:t>）</w:t>
      </w:r>
      <w:r>
        <w:rPr>
          <w:spacing w:val="-2"/>
          <w:w w:val="99"/>
        </w:rPr>
        <w:t>，特征污染因子在</w:t>
      </w:r>
      <w:r>
        <w:rPr>
          <w:spacing w:val="-2"/>
        </w:rPr>
        <w:t>厂址及主导风向下风向 </w:t>
      </w:r>
      <w:r>
        <w:rPr>
          <w:rFonts w:ascii="Times New Roman" w:eastAsia="Times New Roman"/>
        </w:rPr>
        <w:t>5km </w:t>
      </w:r>
      <w:r>
        <w:rPr>
          <w:spacing w:val="1"/>
        </w:rPr>
        <w:t>范围内设置 </w:t>
      </w:r>
      <w:r>
        <w:rPr>
          <w:rFonts w:ascii="Times New Roman" w:eastAsia="Times New Roman"/>
        </w:rPr>
        <w:t>2 </w:t>
      </w:r>
      <w:r>
        <w:rPr/>
        <w:t>个监测点，补充监测点位见表 </w:t>
      </w:r>
      <w:r>
        <w:rPr>
          <w:rFonts w:ascii="Times New Roman" w:eastAsia="Times New Roman"/>
        </w:rPr>
        <w:t>5.4-4</w:t>
      </w:r>
      <w:r>
        <w:rPr/>
        <w:t>， </w:t>
      </w:r>
      <w:r>
        <w:rPr>
          <w:spacing w:val="3"/>
        </w:rPr>
        <w:t>图 </w:t>
      </w:r>
      <w:r>
        <w:rPr>
          <w:rFonts w:ascii="Times New Roman" w:eastAsia="Times New Roman"/>
        </w:rPr>
        <w:t>5.4-1</w:t>
      </w:r>
      <w:r>
        <w:rPr/>
        <w:t>。</w:t>
      </w:r>
    </w:p>
    <w:p>
      <w:pPr>
        <w:tabs>
          <w:tab w:pos="911" w:val="left" w:leader="none"/>
        </w:tabs>
        <w:spacing w:before="162" w:after="24"/>
        <w:ind w:left="0" w:right="295" w:firstLine="0"/>
        <w:jc w:val="center"/>
        <w:rPr>
          <w:sz w:val="21"/>
        </w:rPr>
      </w:pPr>
      <w:r>
        <w:rPr>
          <w:sz w:val="21"/>
        </w:rPr>
        <w:t>表</w:t>
      </w:r>
      <w:r>
        <w:rPr>
          <w:spacing w:val="7"/>
          <w:sz w:val="21"/>
        </w:rPr>
        <w:t> </w:t>
      </w:r>
      <w:r>
        <w:rPr>
          <w:rFonts w:ascii="Times New Roman" w:eastAsia="Times New Roman"/>
          <w:b/>
          <w:sz w:val="21"/>
        </w:rPr>
        <w:t>5.4-4</w:t>
        <w:tab/>
      </w:r>
      <w:r>
        <w:rPr>
          <w:sz w:val="21"/>
        </w:rPr>
        <w:t>监测点位的布</w:t>
      </w:r>
      <w:r>
        <w:rPr>
          <w:spacing w:val="-3"/>
          <w:sz w:val="21"/>
        </w:rPr>
        <w:t>设</w:t>
      </w:r>
      <w:r>
        <w:rPr>
          <w:sz w:val="21"/>
        </w:rPr>
        <w:t>情况</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558"/>
        <w:gridCol w:w="1560"/>
        <w:gridCol w:w="1416"/>
        <w:gridCol w:w="3317"/>
      </w:tblGrid>
      <w:tr>
        <w:trPr>
          <w:trHeight w:val="344" w:hRule="atLeast"/>
        </w:trPr>
        <w:tc>
          <w:tcPr>
            <w:tcW w:w="677" w:type="dxa"/>
            <w:tcBorders>
              <w:bottom w:val="single" w:sz="6" w:space="0" w:color="000000"/>
              <w:right w:val="single" w:sz="6" w:space="0" w:color="000000"/>
            </w:tcBorders>
          </w:tcPr>
          <w:p>
            <w:pPr>
              <w:pStyle w:val="TableParagraph"/>
              <w:spacing w:line="325" w:lineRule="exact"/>
              <w:ind w:left="107" w:right="86"/>
              <w:rPr>
                <w:sz w:val="21"/>
              </w:rPr>
            </w:pPr>
            <w:r>
              <w:rPr>
                <w:sz w:val="21"/>
              </w:rPr>
              <w:t>序号</w:t>
            </w:r>
          </w:p>
        </w:tc>
        <w:tc>
          <w:tcPr>
            <w:tcW w:w="1558" w:type="dxa"/>
            <w:tcBorders>
              <w:left w:val="single" w:sz="6" w:space="0" w:color="000000"/>
              <w:bottom w:val="single" w:sz="6" w:space="0" w:color="000000"/>
              <w:right w:val="single" w:sz="6" w:space="0" w:color="000000"/>
            </w:tcBorders>
          </w:tcPr>
          <w:p>
            <w:pPr>
              <w:pStyle w:val="TableParagraph"/>
              <w:spacing w:line="325" w:lineRule="exact"/>
              <w:ind w:left="343" w:right="318"/>
              <w:rPr>
                <w:sz w:val="21"/>
              </w:rPr>
            </w:pPr>
            <w:r>
              <w:rPr>
                <w:sz w:val="21"/>
              </w:rPr>
              <w:t>点位名称</w:t>
            </w:r>
          </w:p>
        </w:tc>
        <w:tc>
          <w:tcPr>
            <w:tcW w:w="1560" w:type="dxa"/>
            <w:tcBorders>
              <w:left w:val="single" w:sz="6" w:space="0" w:color="000000"/>
              <w:bottom w:val="single" w:sz="6" w:space="0" w:color="000000"/>
              <w:right w:val="single" w:sz="6" w:space="0" w:color="000000"/>
            </w:tcBorders>
          </w:tcPr>
          <w:p>
            <w:pPr>
              <w:pStyle w:val="TableParagraph"/>
              <w:spacing w:line="325" w:lineRule="exact"/>
              <w:ind w:left="115" w:right="87"/>
              <w:rPr>
                <w:sz w:val="21"/>
              </w:rPr>
            </w:pPr>
            <w:r>
              <w:rPr>
                <w:sz w:val="21"/>
              </w:rPr>
              <w:t>相对厂址方位</w:t>
            </w:r>
          </w:p>
        </w:tc>
        <w:tc>
          <w:tcPr>
            <w:tcW w:w="1416" w:type="dxa"/>
            <w:tcBorders>
              <w:left w:val="single" w:sz="6" w:space="0" w:color="000000"/>
              <w:bottom w:val="single" w:sz="6" w:space="0" w:color="000000"/>
              <w:right w:val="single" w:sz="6" w:space="0" w:color="000000"/>
            </w:tcBorders>
          </w:tcPr>
          <w:p>
            <w:pPr>
              <w:pStyle w:val="TableParagraph"/>
              <w:spacing w:line="325" w:lineRule="exact"/>
              <w:ind w:left="169" w:right="141"/>
              <w:rPr>
                <w:sz w:val="21"/>
              </w:rPr>
            </w:pPr>
            <w:r>
              <w:rPr>
                <w:sz w:val="21"/>
              </w:rPr>
              <w:t>距厂址距离</w:t>
            </w:r>
          </w:p>
        </w:tc>
        <w:tc>
          <w:tcPr>
            <w:tcW w:w="3317" w:type="dxa"/>
            <w:tcBorders>
              <w:left w:val="single" w:sz="6" w:space="0" w:color="000000"/>
              <w:bottom w:val="single" w:sz="6" w:space="0" w:color="000000"/>
            </w:tcBorders>
          </w:tcPr>
          <w:p>
            <w:pPr>
              <w:pStyle w:val="TableParagraph"/>
              <w:spacing w:line="325" w:lineRule="exact"/>
              <w:ind w:left="698" w:right="662"/>
              <w:rPr>
                <w:sz w:val="21"/>
              </w:rPr>
            </w:pPr>
            <w:r>
              <w:rPr>
                <w:sz w:val="21"/>
              </w:rPr>
              <w:t>功能意义</w:t>
            </w:r>
          </w:p>
        </w:tc>
      </w:tr>
      <w:tr>
        <w:trPr>
          <w:trHeight w:val="343" w:hRule="atLeast"/>
        </w:trPr>
        <w:tc>
          <w:tcPr>
            <w:tcW w:w="677" w:type="dxa"/>
            <w:tcBorders>
              <w:top w:val="single" w:sz="6" w:space="0" w:color="000000"/>
              <w:bottom w:val="single" w:sz="6" w:space="0" w:color="000000"/>
              <w:right w:val="single" w:sz="6" w:space="0" w:color="000000"/>
            </w:tcBorders>
          </w:tcPr>
          <w:p>
            <w:pPr>
              <w:pStyle w:val="TableParagraph"/>
              <w:spacing w:before="51"/>
              <w:ind w:left="107" w:right="86"/>
              <w:rPr>
                <w:rFonts w:ascii="Times New Roman"/>
                <w:sz w:val="21"/>
              </w:rPr>
            </w:pPr>
            <w:r>
              <w:rPr>
                <w:rFonts w:ascii="Times New Roman"/>
                <w:sz w:val="21"/>
              </w:rPr>
              <w:t>1#</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3" w:lineRule="exact"/>
              <w:ind w:left="343" w:right="318"/>
              <w:rPr>
                <w:sz w:val="21"/>
              </w:rPr>
            </w:pPr>
            <w:r>
              <w:rPr>
                <w:sz w:val="21"/>
              </w:rPr>
              <w:t>厂址处</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51"/>
              <w:ind w:left="115" w:right="87"/>
              <w:rPr>
                <w:rFonts w:ascii="Times New Roman"/>
                <w:sz w:val="21"/>
              </w:rPr>
            </w:pPr>
            <w:r>
              <w:rPr>
                <w:rFonts w:ascii="Times New Roman"/>
                <w:sz w:val="21"/>
              </w:rPr>
              <w:t>--</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51"/>
              <w:ind w:left="169" w:right="140"/>
              <w:rPr>
                <w:rFonts w:ascii="Times New Roman"/>
                <w:sz w:val="21"/>
              </w:rPr>
            </w:pPr>
            <w:r>
              <w:rPr>
                <w:rFonts w:ascii="Times New Roman"/>
                <w:sz w:val="21"/>
              </w:rPr>
              <w:t>--</w:t>
            </w:r>
          </w:p>
        </w:tc>
        <w:tc>
          <w:tcPr>
            <w:tcW w:w="3317" w:type="dxa"/>
            <w:tcBorders>
              <w:top w:val="single" w:sz="6" w:space="0" w:color="000000"/>
              <w:left w:val="single" w:sz="6" w:space="0" w:color="000000"/>
              <w:bottom w:val="single" w:sz="6" w:space="0" w:color="000000"/>
            </w:tcBorders>
          </w:tcPr>
          <w:p>
            <w:pPr>
              <w:pStyle w:val="TableParagraph"/>
              <w:spacing w:line="323" w:lineRule="exact"/>
              <w:ind w:left="698" w:right="662"/>
              <w:rPr>
                <w:sz w:val="21"/>
              </w:rPr>
            </w:pPr>
            <w:r>
              <w:rPr>
                <w:sz w:val="21"/>
              </w:rPr>
              <w:t>厂址处</w:t>
            </w:r>
          </w:p>
        </w:tc>
      </w:tr>
      <w:tr>
        <w:trPr>
          <w:trHeight w:val="342" w:hRule="atLeast"/>
        </w:trPr>
        <w:tc>
          <w:tcPr>
            <w:tcW w:w="677" w:type="dxa"/>
            <w:tcBorders>
              <w:top w:val="single" w:sz="6" w:space="0" w:color="000000"/>
              <w:right w:val="single" w:sz="6" w:space="0" w:color="000000"/>
            </w:tcBorders>
          </w:tcPr>
          <w:p>
            <w:pPr>
              <w:pStyle w:val="TableParagraph"/>
              <w:spacing w:before="51"/>
              <w:ind w:left="107" w:right="86"/>
              <w:rPr>
                <w:rFonts w:ascii="Times New Roman"/>
                <w:sz w:val="21"/>
              </w:rPr>
            </w:pPr>
            <w:r>
              <w:rPr>
                <w:rFonts w:ascii="Times New Roman"/>
                <w:sz w:val="21"/>
              </w:rPr>
              <w:t>2#</w:t>
            </w:r>
          </w:p>
        </w:tc>
        <w:tc>
          <w:tcPr>
            <w:tcW w:w="1558" w:type="dxa"/>
            <w:tcBorders>
              <w:top w:val="single" w:sz="6" w:space="0" w:color="000000"/>
              <w:left w:val="single" w:sz="6" w:space="0" w:color="000000"/>
              <w:right w:val="single" w:sz="6" w:space="0" w:color="000000"/>
            </w:tcBorders>
          </w:tcPr>
          <w:p>
            <w:pPr>
              <w:pStyle w:val="TableParagraph"/>
              <w:spacing w:line="322" w:lineRule="exact"/>
              <w:ind w:left="344" w:right="317"/>
              <w:rPr>
                <w:sz w:val="21"/>
              </w:rPr>
            </w:pPr>
            <w:r>
              <w:rPr>
                <w:sz w:val="21"/>
              </w:rPr>
              <w:t>后柴沟村</w:t>
            </w:r>
          </w:p>
        </w:tc>
        <w:tc>
          <w:tcPr>
            <w:tcW w:w="1560" w:type="dxa"/>
            <w:tcBorders>
              <w:top w:val="single" w:sz="6" w:space="0" w:color="000000"/>
              <w:left w:val="single" w:sz="6" w:space="0" w:color="000000"/>
              <w:right w:val="single" w:sz="6" w:space="0" w:color="000000"/>
            </w:tcBorders>
          </w:tcPr>
          <w:p>
            <w:pPr>
              <w:pStyle w:val="TableParagraph"/>
              <w:spacing w:before="51"/>
              <w:ind w:left="115" w:right="84"/>
              <w:rPr>
                <w:rFonts w:ascii="Times New Roman"/>
                <w:sz w:val="21"/>
              </w:rPr>
            </w:pPr>
            <w:r>
              <w:rPr>
                <w:rFonts w:ascii="Times New Roman"/>
                <w:sz w:val="21"/>
              </w:rPr>
              <w:t>WNW</w:t>
            </w:r>
          </w:p>
        </w:tc>
        <w:tc>
          <w:tcPr>
            <w:tcW w:w="1416" w:type="dxa"/>
            <w:tcBorders>
              <w:top w:val="single" w:sz="6" w:space="0" w:color="000000"/>
              <w:left w:val="single" w:sz="6" w:space="0" w:color="000000"/>
              <w:right w:val="single" w:sz="6" w:space="0" w:color="000000"/>
            </w:tcBorders>
          </w:tcPr>
          <w:p>
            <w:pPr>
              <w:pStyle w:val="TableParagraph"/>
              <w:spacing w:before="51"/>
              <w:ind w:left="169" w:right="138"/>
              <w:rPr>
                <w:rFonts w:ascii="Times New Roman"/>
                <w:sz w:val="21"/>
              </w:rPr>
            </w:pPr>
            <w:r>
              <w:rPr>
                <w:rFonts w:ascii="Times New Roman"/>
                <w:sz w:val="21"/>
              </w:rPr>
              <w:t>1150</w:t>
            </w:r>
          </w:p>
        </w:tc>
        <w:tc>
          <w:tcPr>
            <w:tcW w:w="3317" w:type="dxa"/>
            <w:tcBorders>
              <w:top w:val="single" w:sz="6" w:space="0" w:color="000000"/>
              <w:left w:val="single" w:sz="6" w:space="0" w:color="000000"/>
            </w:tcBorders>
          </w:tcPr>
          <w:p>
            <w:pPr>
              <w:pStyle w:val="TableParagraph"/>
              <w:spacing w:line="322" w:lineRule="exact"/>
              <w:ind w:left="701" w:right="662"/>
              <w:rPr>
                <w:sz w:val="21"/>
              </w:rPr>
            </w:pPr>
            <w:r>
              <w:rPr>
                <w:sz w:val="21"/>
              </w:rPr>
              <w:t>厂址下风向敏感目标</w:t>
            </w:r>
          </w:p>
        </w:tc>
      </w:tr>
    </w:tbl>
    <w:p>
      <w:pPr>
        <w:pStyle w:val="BodyText"/>
        <w:spacing w:line="488" w:lineRule="exact" w:before="122"/>
        <w:ind w:left="1058"/>
      </w:pPr>
      <w:r>
        <w:rPr>
          <w:rFonts w:ascii="Times New Roman" w:eastAsia="Times New Roman"/>
        </w:rPr>
        <w:t>2</w:t>
      </w:r>
      <w:r>
        <w:rPr/>
        <w:t>、监测因子</w:t>
      </w:r>
    </w:p>
    <w:p>
      <w:pPr>
        <w:pStyle w:val="BodyText"/>
        <w:spacing w:line="220" w:lineRule="auto" w:before="8"/>
        <w:ind w:left="578" w:right="755" w:firstLine="479"/>
      </w:pPr>
      <w:r>
        <w:rPr>
          <w:spacing w:val="-10"/>
        </w:rPr>
        <w:t>监测项目：氯化氢、甲醛、硫化氢、氨、臭气浓度、硫酸雾、甲苯、甲醇、吡啶、四氢呋喃、丙酮、氯苯类、环氧氯丙烷、苯及二甲苯。</w:t>
      </w:r>
    </w:p>
    <w:p>
      <w:pPr>
        <w:pStyle w:val="BodyText"/>
        <w:spacing w:line="220" w:lineRule="auto"/>
        <w:ind w:left="578" w:right="880" w:firstLine="479"/>
      </w:pPr>
      <w:r>
        <w:rPr/>
        <w:t>检测时同步进行气压、气温、风向、风速、总云量、低云量等气象要素的观测。</w:t>
      </w:r>
    </w:p>
    <w:p>
      <w:pPr>
        <w:pStyle w:val="BodyText"/>
        <w:spacing w:line="460" w:lineRule="exact"/>
        <w:ind w:left="1058"/>
      </w:pPr>
      <w:r>
        <w:rPr>
          <w:rFonts w:ascii="Times New Roman" w:eastAsia="Times New Roman"/>
        </w:rPr>
        <w:t>3</w:t>
      </w:r>
      <w:r>
        <w:rPr/>
        <w:t>、监测时间与频率</w:t>
      </w:r>
    </w:p>
    <w:p>
      <w:pPr>
        <w:pStyle w:val="BodyText"/>
        <w:spacing w:line="488" w:lineRule="exact"/>
        <w:ind w:left="1058"/>
      </w:pPr>
      <w:r>
        <w:rPr/>
        <w:t>监测时间：</w:t>
      </w:r>
      <w:r>
        <w:rPr>
          <w:rFonts w:ascii="Times New Roman" w:eastAsia="Times New Roman"/>
        </w:rPr>
        <w:t>2019 </w:t>
      </w:r>
      <w:r>
        <w:rPr/>
        <w:t>年 </w:t>
      </w:r>
      <w:r>
        <w:rPr>
          <w:rFonts w:ascii="Times New Roman" w:eastAsia="Times New Roman"/>
        </w:rPr>
        <w:t>4 </w:t>
      </w:r>
      <w:r>
        <w:rPr/>
        <w:t>月 </w:t>
      </w:r>
      <w:r>
        <w:rPr>
          <w:rFonts w:ascii="Times New Roman" w:eastAsia="Times New Roman"/>
        </w:rPr>
        <w:t>12 </w:t>
      </w:r>
      <w:r>
        <w:rPr/>
        <w:t>日</w:t>
      </w:r>
      <w:r>
        <w:rPr>
          <w:rFonts w:ascii="Times New Roman" w:eastAsia="Times New Roman"/>
        </w:rPr>
        <w:t>-2019 </w:t>
      </w:r>
      <w:r>
        <w:rPr/>
        <w:t>年 </w:t>
      </w:r>
      <w:r>
        <w:rPr>
          <w:rFonts w:ascii="Times New Roman" w:eastAsia="Times New Roman"/>
        </w:rPr>
        <w:t>4 </w:t>
      </w:r>
      <w:r>
        <w:rPr/>
        <w:t>月 </w:t>
      </w:r>
      <w:r>
        <w:rPr>
          <w:rFonts w:ascii="Times New Roman" w:eastAsia="Times New Roman"/>
        </w:rPr>
        <w:t>18 </w:t>
      </w:r>
      <w:r>
        <w:rPr/>
        <w:t>日由山东城控检测技术有限</w:t>
      </w:r>
    </w:p>
    <w:p>
      <w:pPr>
        <w:spacing w:after="0" w:line="488" w:lineRule="exact"/>
        <w:sectPr>
          <w:pgSz w:w="11910" w:h="16840"/>
          <w:pgMar w:header="877" w:footer="973" w:top="1340" w:bottom="1160" w:left="1220" w:right="1040"/>
        </w:sectPr>
      </w:pPr>
    </w:p>
    <w:p>
      <w:pPr>
        <w:pStyle w:val="BodyText"/>
        <w:spacing w:line="488" w:lineRule="exact" w:before="48"/>
        <w:ind w:left="578"/>
      </w:pPr>
      <w:r>
        <w:rPr/>
        <w:t>公司及青岛衡立检测服务有限公司进行监测；</w:t>
      </w:r>
    </w:p>
    <w:p>
      <w:pPr>
        <w:pStyle w:val="BodyText"/>
        <w:spacing w:line="468" w:lineRule="exact"/>
        <w:ind w:left="1058"/>
      </w:pPr>
      <w:r>
        <w:rPr/>
        <w:t>监测频率：监测 </w:t>
      </w:r>
      <w:r>
        <w:rPr>
          <w:rFonts w:ascii="Times New Roman" w:eastAsia="Times New Roman"/>
        </w:rPr>
        <w:t>7 </w:t>
      </w:r>
      <w:r>
        <w:rPr/>
        <w:t>天，测小时值，每天采样 </w:t>
      </w:r>
      <w:r>
        <w:rPr>
          <w:rFonts w:ascii="Times New Roman" w:eastAsia="Times New Roman"/>
        </w:rPr>
        <w:t>4 </w:t>
      </w:r>
      <w:r>
        <w:rPr/>
        <w:t>次，监测时段为北京时间 </w:t>
      </w:r>
      <w:r>
        <w:rPr>
          <w:rFonts w:ascii="Times New Roman" w:eastAsia="Times New Roman"/>
        </w:rPr>
        <w:t>02</w:t>
      </w:r>
      <w:r>
        <w:rPr/>
        <w:t>：</w:t>
      </w:r>
    </w:p>
    <w:p>
      <w:pPr>
        <w:pStyle w:val="BodyText"/>
        <w:spacing w:line="468" w:lineRule="exact"/>
        <w:ind w:left="578"/>
      </w:pPr>
      <w:r>
        <w:rPr>
          <w:rFonts w:ascii="Times New Roman" w:eastAsia="Times New Roman"/>
        </w:rPr>
        <w:t>00</w:t>
      </w:r>
      <w:r>
        <w:rPr/>
        <w:t>、</w:t>
      </w:r>
      <w:r>
        <w:rPr>
          <w:rFonts w:ascii="Times New Roman" w:eastAsia="Times New Roman"/>
        </w:rPr>
        <w:t>08:00</w:t>
      </w:r>
      <w:r>
        <w:rPr/>
        <w:t>、</w:t>
      </w:r>
      <w:r>
        <w:rPr>
          <w:rFonts w:ascii="Times New Roman" w:eastAsia="Times New Roman"/>
        </w:rPr>
        <w:t>14:00</w:t>
      </w:r>
      <w:r>
        <w:rPr/>
        <w:t>、</w:t>
      </w:r>
      <w:r>
        <w:rPr>
          <w:rFonts w:ascii="Times New Roman" w:eastAsia="Times New Roman"/>
        </w:rPr>
        <w:t>20:00 </w:t>
      </w:r>
      <w:r>
        <w:rPr/>
        <w:t>时，每次采样不少于 </w:t>
      </w:r>
      <w:r>
        <w:rPr>
          <w:rFonts w:ascii="Times New Roman" w:eastAsia="Times New Roman"/>
        </w:rPr>
        <w:t>45 </w:t>
      </w:r>
      <w:r>
        <w:rPr/>
        <w:t>分钟。</w:t>
      </w:r>
    </w:p>
    <w:p>
      <w:pPr>
        <w:pStyle w:val="BodyText"/>
        <w:spacing w:line="468" w:lineRule="exact"/>
        <w:ind w:left="1058"/>
      </w:pPr>
      <w:r>
        <w:rPr>
          <w:rFonts w:ascii="Times New Roman" w:eastAsia="Times New Roman"/>
        </w:rPr>
        <w:t>4</w:t>
      </w:r>
      <w:r>
        <w:rPr/>
        <w:t>、监测分析方法</w:t>
      </w:r>
    </w:p>
    <w:p>
      <w:pPr>
        <w:pStyle w:val="BodyText"/>
        <w:spacing w:line="220" w:lineRule="auto" w:before="8"/>
        <w:ind w:left="578" w:right="872" w:firstLine="479"/>
        <w:jc w:val="both"/>
      </w:pPr>
      <w:r>
        <w:rPr>
          <w:spacing w:val="-1"/>
        </w:rPr>
        <w:t>按照国家环保局颁发的《环境空气质量标准</w:t>
      </w:r>
      <w:r>
        <w:rPr>
          <w:spacing w:val="-128"/>
        </w:rPr>
        <w:t>》</w:t>
      </w:r>
      <w:r>
        <w:rPr>
          <w:spacing w:val="1"/>
        </w:rPr>
        <w:t>（</w:t>
      </w:r>
      <w:r>
        <w:rPr>
          <w:rFonts w:ascii="Times New Roman" w:eastAsia="Times New Roman"/>
          <w:w w:val="99"/>
        </w:rPr>
        <w:t>G</w:t>
      </w:r>
      <w:r>
        <w:rPr>
          <w:rFonts w:ascii="Times New Roman" w:eastAsia="Times New Roman"/>
          <w:spacing w:val="-3"/>
          <w:w w:val="99"/>
        </w:rPr>
        <w:t>B</w:t>
      </w:r>
      <w:r>
        <w:rPr>
          <w:rFonts w:ascii="Times New Roman" w:eastAsia="Times New Roman"/>
        </w:rPr>
        <w:t>3095</w:t>
      </w:r>
      <w:r>
        <w:rPr>
          <w:rFonts w:ascii="Times New Roman" w:eastAsia="Times New Roman"/>
          <w:spacing w:val="-1"/>
        </w:rPr>
        <w:t>-</w:t>
      </w:r>
      <w:r>
        <w:rPr>
          <w:rFonts w:ascii="Times New Roman" w:eastAsia="Times New Roman"/>
        </w:rPr>
        <w:t>2012</w:t>
      </w:r>
      <w:r>
        <w:rPr>
          <w:spacing w:val="-120"/>
        </w:rPr>
        <w:t>）</w:t>
      </w:r>
      <w:r>
        <w:rPr>
          <w:spacing w:val="-22"/>
        </w:rPr>
        <w:t>、《空气和废</w:t>
      </w:r>
      <w:r>
        <w:rPr>
          <w:spacing w:val="-37"/>
        </w:rPr>
        <w:t>气监测分析方法》</w:t>
      </w:r>
      <w:r>
        <w:rPr/>
        <w:t>（第四版</w:t>
      </w:r>
      <w:r>
        <w:rPr>
          <w:spacing w:val="-17"/>
        </w:rPr>
        <w:t>）</w:t>
      </w:r>
      <w:r>
        <w:rPr>
          <w:spacing w:val="-7"/>
        </w:rPr>
        <w:t>和《环境监测技术规范》中的有关规定执行，项目</w:t>
      </w:r>
      <w:r>
        <w:rPr>
          <w:spacing w:val="-6"/>
        </w:rPr>
        <w:t>分析方法见表 </w:t>
      </w:r>
      <w:r>
        <w:rPr>
          <w:rFonts w:ascii="Times New Roman" w:eastAsia="Times New Roman"/>
        </w:rPr>
        <w:t>5.4-5</w:t>
      </w:r>
      <w:r>
        <w:rPr/>
        <w:t>。</w:t>
      </w:r>
    </w:p>
    <w:p>
      <w:pPr>
        <w:tabs>
          <w:tab w:pos="3864" w:val="left" w:leader="none"/>
        </w:tabs>
        <w:spacing w:before="163" w:after="24"/>
        <w:ind w:left="2952" w:right="0" w:firstLine="0"/>
        <w:jc w:val="left"/>
        <w:rPr>
          <w:sz w:val="21"/>
        </w:rPr>
      </w:pPr>
      <w:r>
        <w:rPr>
          <w:sz w:val="21"/>
        </w:rPr>
        <w:t>表</w:t>
      </w:r>
      <w:r>
        <w:rPr>
          <w:spacing w:val="7"/>
          <w:sz w:val="21"/>
        </w:rPr>
        <w:t> </w:t>
      </w:r>
      <w:r>
        <w:rPr>
          <w:rFonts w:ascii="Times New Roman" w:eastAsia="Times New Roman"/>
          <w:b/>
          <w:sz w:val="21"/>
        </w:rPr>
        <w:t>5.4-5</w:t>
        <w:tab/>
      </w:r>
      <w:r>
        <w:rPr>
          <w:sz w:val="21"/>
        </w:rPr>
        <w:t>环境空气质量</w:t>
      </w:r>
      <w:r>
        <w:rPr>
          <w:spacing w:val="-3"/>
          <w:sz w:val="21"/>
        </w:rPr>
        <w:t>监</w:t>
      </w:r>
      <w:r>
        <w:rPr>
          <w:sz w:val="21"/>
        </w:rPr>
        <w:t>测分析方法</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83"/>
        <w:gridCol w:w="5082"/>
        <w:gridCol w:w="1663"/>
      </w:tblGrid>
      <w:tr>
        <w:trPr>
          <w:trHeight w:val="339" w:hRule="atLeast"/>
        </w:trPr>
        <w:tc>
          <w:tcPr>
            <w:tcW w:w="1783" w:type="dxa"/>
            <w:tcBorders>
              <w:bottom w:val="single" w:sz="6" w:space="0" w:color="000000"/>
              <w:right w:val="single" w:sz="6" w:space="0" w:color="000000"/>
            </w:tcBorders>
          </w:tcPr>
          <w:p>
            <w:pPr>
              <w:pStyle w:val="TableParagraph"/>
              <w:spacing w:line="320" w:lineRule="exact"/>
              <w:ind w:left="269" w:right="246"/>
              <w:rPr>
                <w:sz w:val="21"/>
              </w:rPr>
            </w:pPr>
            <w:r>
              <w:rPr>
                <w:sz w:val="21"/>
              </w:rPr>
              <w:t>检测项目</w:t>
            </w:r>
          </w:p>
        </w:tc>
        <w:tc>
          <w:tcPr>
            <w:tcW w:w="5082" w:type="dxa"/>
            <w:tcBorders>
              <w:left w:val="single" w:sz="6" w:space="0" w:color="000000"/>
              <w:bottom w:val="single" w:sz="6" w:space="0" w:color="000000"/>
              <w:right w:val="single" w:sz="6" w:space="0" w:color="000000"/>
            </w:tcBorders>
          </w:tcPr>
          <w:p>
            <w:pPr>
              <w:pStyle w:val="TableParagraph"/>
              <w:spacing w:line="320" w:lineRule="exact"/>
              <w:ind w:left="100" w:right="69"/>
              <w:rPr>
                <w:sz w:val="21"/>
              </w:rPr>
            </w:pPr>
            <w:r>
              <w:rPr>
                <w:sz w:val="21"/>
              </w:rPr>
              <w:t>检测方法</w:t>
            </w:r>
            <w:r>
              <w:rPr>
                <w:rFonts w:ascii="Times New Roman" w:eastAsia="Times New Roman"/>
                <w:b/>
                <w:sz w:val="21"/>
              </w:rPr>
              <w:t>/</w:t>
            </w:r>
            <w:r>
              <w:rPr>
                <w:sz w:val="21"/>
              </w:rPr>
              <w:t>方法依据</w:t>
            </w:r>
          </w:p>
        </w:tc>
        <w:tc>
          <w:tcPr>
            <w:tcW w:w="1663" w:type="dxa"/>
            <w:tcBorders>
              <w:left w:val="single" w:sz="6" w:space="0" w:color="000000"/>
              <w:bottom w:val="single" w:sz="6" w:space="0" w:color="000000"/>
            </w:tcBorders>
          </w:tcPr>
          <w:p>
            <w:pPr>
              <w:pStyle w:val="TableParagraph"/>
              <w:spacing w:line="320" w:lineRule="exact"/>
              <w:ind w:left="62" w:right="27"/>
              <w:rPr>
                <w:sz w:val="21"/>
              </w:rPr>
            </w:pPr>
            <w:r>
              <w:rPr>
                <w:sz w:val="21"/>
              </w:rPr>
              <w:t>检出限</w:t>
            </w:r>
          </w:p>
        </w:tc>
      </w:tr>
      <w:tr>
        <w:trPr>
          <w:trHeight w:val="340" w:hRule="atLeast"/>
        </w:trPr>
        <w:tc>
          <w:tcPr>
            <w:tcW w:w="1783" w:type="dxa"/>
            <w:tcBorders>
              <w:top w:val="single" w:sz="6" w:space="0" w:color="000000"/>
              <w:bottom w:val="single" w:sz="6" w:space="0" w:color="000000"/>
              <w:right w:val="single" w:sz="6" w:space="0" w:color="000000"/>
            </w:tcBorders>
          </w:tcPr>
          <w:p>
            <w:pPr>
              <w:pStyle w:val="TableParagraph"/>
              <w:spacing w:line="320" w:lineRule="exact"/>
              <w:ind w:left="269" w:right="246"/>
              <w:rPr>
                <w:sz w:val="21"/>
              </w:rPr>
            </w:pPr>
            <w:r>
              <w:rPr>
                <w:sz w:val="21"/>
              </w:rPr>
              <w:t>氯化氢</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1"/>
              <w:rPr>
                <w:rFonts w:ascii="Times New Roman" w:eastAsia="Times New Roman"/>
                <w:sz w:val="21"/>
              </w:rPr>
            </w:pPr>
            <w:r>
              <w:rPr>
                <w:sz w:val="21"/>
              </w:rPr>
              <w:t>离子色谱法 </w:t>
            </w:r>
            <w:r>
              <w:rPr>
                <w:rFonts w:ascii="Times New Roman" w:eastAsia="Times New Roman"/>
                <w:sz w:val="21"/>
              </w:rPr>
              <w:t>HJ 549-2016</w:t>
            </w:r>
          </w:p>
        </w:tc>
        <w:tc>
          <w:tcPr>
            <w:tcW w:w="1663" w:type="dxa"/>
            <w:tcBorders>
              <w:top w:val="single" w:sz="6" w:space="0" w:color="000000"/>
              <w:left w:val="single" w:sz="6" w:space="0" w:color="000000"/>
              <w:bottom w:val="single" w:sz="6" w:space="0" w:color="000000"/>
            </w:tcBorders>
          </w:tcPr>
          <w:p>
            <w:pPr>
              <w:pStyle w:val="TableParagraph"/>
              <w:spacing w:before="39"/>
              <w:ind w:left="59" w:right="29"/>
              <w:rPr>
                <w:rFonts w:ascii="Times New Roman"/>
                <w:sz w:val="14"/>
              </w:rPr>
            </w:pPr>
            <w:r>
              <w:rPr>
                <w:rFonts w:ascii="Times New Roman"/>
                <w:sz w:val="21"/>
              </w:rPr>
              <w:t>0.02mg/m</w:t>
            </w:r>
            <w:r>
              <w:rPr>
                <w:rFonts w:ascii="Times New Roman"/>
                <w:position w:val="7"/>
                <w:sz w:val="14"/>
              </w:rPr>
              <w:t>3</w:t>
            </w:r>
          </w:p>
        </w:tc>
      </w:tr>
      <w:tr>
        <w:trPr>
          <w:trHeight w:val="340" w:hRule="atLeast"/>
        </w:trPr>
        <w:tc>
          <w:tcPr>
            <w:tcW w:w="1783" w:type="dxa"/>
            <w:tcBorders>
              <w:top w:val="single" w:sz="6" w:space="0" w:color="000000"/>
              <w:bottom w:val="single" w:sz="6" w:space="0" w:color="000000"/>
              <w:right w:val="single" w:sz="6" w:space="0" w:color="000000"/>
            </w:tcBorders>
          </w:tcPr>
          <w:p>
            <w:pPr>
              <w:pStyle w:val="TableParagraph"/>
              <w:spacing w:line="320" w:lineRule="exact"/>
              <w:ind w:left="269" w:right="246"/>
              <w:rPr>
                <w:sz w:val="21"/>
              </w:rPr>
            </w:pPr>
            <w:r>
              <w:rPr>
                <w:sz w:val="21"/>
              </w:rPr>
              <w:t>甲醛</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1"/>
              <w:rPr>
                <w:rFonts w:ascii="Times New Roman" w:eastAsia="Times New Roman"/>
                <w:sz w:val="21"/>
              </w:rPr>
            </w:pPr>
            <w:r>
              <w:rPr>
                <w:sz w:val="21"/>
              </w:rPr>
              <w:t>乙酰丙酮分光光度法 </w:t>
            </w:r>
            <w:r>
              <w:rPr>
                <w:rFonts w:ascii="Times New Roman" w:eastAsia="Times New Roman"/>
                <w:sz w:val="21"/>
              </w:rPr>
              <w:t>GB/T 15516-1995</w:t>
            </w:r>
          </w:p>
        </w:tc>
        <w:tc>
          <w:tcPr>
            <w:tcW w:w="1663" w:type="dxa"/>
            <w:tcBorders>
              <w:top w:val="single" w:sz="6" w:space="0" w:color="000000"/>
              <w:left w:val="single" w:sz="6" w:space="0" w:color="000000"/>
              <w:bottom w:val="single" w:sz="6" w:space="0" w:color="000000"/>
            </w:tcBorders>
          </w:tcPr>
          <w:p>
            <w:pPr>
              <w:pStyle w:val="TableParagraph"/>
              <w:spacing w:before="39"/>
              <w:ind w:left="61" w:right="29"/>
              <w:rPr>
                <w:rFonts w:ascii="Times New Roman"/>
                <w:sz w:val="14"/>
              </w:rPr>
            </w:pPr>
            <w:r>
              <w:rPr>
                <w:rFonts w:ascii="Times New Roman"/>
                <w:sz w:val="21"/>
              </w:rPr>
              <w:t>0.125mg/m</w:t>
            </w:r>
            <w:r>
              <w:rPr>
                <w:rFonts w:ascii="Times New Roman"/>
                <w:position w:val="7"/>
                <w:sz w:val="14"/>
              </w:rPr>
              <w:t>3</w:t>
            </w:r>
          </w:p>
        </w:tc>
      </w:tr>
      <w:tr>
        <w:trPr>
          <w:trHeight w:val="817" w:hRule="atLeast"/>
        </w:trPr>
        <w:tc>
          <w:tcPr>
            <w:tcW w:w="1783" w:type="dxa"/>
            <w:tcBorders>
              <w:top w:val="single" w:sz="6" w:space="0" w:color="000000"/>
              <w:bottom w:val="single" w:sz="6" w:space="0" w:color="000000"/>
              <w:right w:val="single" w:sz="6" w:space="0" w:color="000000"/>
            </w:tcBorders>
          </w:tcPr>
          <w:p>
            <w:pPr>
              <w:pStyle w:val="TableParagraph"/>
              <w:spacing w:before="173"/>
              <w:ind w:left="269" w:right="246"/>
              <w:rPr>
                <w:sz w:val="21"/>
              </w:rPr>
            </w:pPr>
            <w:r>
              <w:rPr>
                <w:sz w:val="21"/>
              </w:rPr>
              <w:t>硫化氢</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00" w:right="71"/>
              <w:rPr>
                <w:sz w:val="21"/>
              </w:rPr>
            </w:pPr>
            <w:r>
              <w:rPr>
                <w:sz w:val="21"/>
              </w:rPr>
              <w:t>亚甲基蓝分光光度法</w:t>
            </w:r>
          </w:p>
          <w:p>
            <w:pPr>
              <w:pStyle w:val="TableParagraph"/>
              <w:spacing w:line="272" w:lineRule="exact"/>
              <w:ind w:left="100" w:right="71"/>
              <w:rPr>
                <w:sz w:val="21"/>
              </w:rPr>
            </w:pPr>
            <w:r>
              <w:rPr>
                <w:sz w:val="21"/>
              </w:rPr>
              <w:t>《空气和废气监测分析方法》国家环境保护总局</w:t>
            </w:r>
          </w:p>
          <w:p>
            <w:pPr>
              <w:pStyle w:val="TableParagraph"/>
              <w:spacing w:line="266" w:lineRule="exact"/>
              <w:ind w:left="100" w:right="69"/>
              <w:rPr>
                <w:sz w:val="21"/>
              </w:rPr>
            </w:pPr>
            <w:r>
              <w:rPr>
                <w:sz w:val="21"/>
              </w:rPr>
              <w:t>（</w:t>
            </w:r>
            <w:r>
              <w:rPr>
                <w:rFonts w:ascii="Times New Roman" w:eastAsia="Times New Roman"/>
                <w:sz w:val="21"/>
              </w:rPr>
              <w:t>2003</w:t>
            </w:r>
            <w:r>
              <w:rPr>
                <w:sz w:val="21"/>
              </w:rPr>
              <w:t>）第四版增补版</w:t>
            </w:r>
          </w:p>
        </w:tc>
        <w:tc>
          <w:tcPr>
            <w:tcW w:w="1663" w:type="dxa"/>
            <w:tcBorders>
              <w:top w:val="single" w:sz="6" w:space="0" w:color="000000"/>
              <w:left w:val="single" w:sz="6" w:space="0" w:color="000000"/>
              <w:bottom w:val="single" w:sz="6" w:space="0" w:color="000000"/>
            </w:tcBorders>
          </w:tcPr>
          <w:p>
            <w:pPr>
              <w:pStyle w:val="TableParagraph"/>
              <w:spacing w:before="1"/>
              <w:jc w:val="left"/>
              <w:rPr>
                <w:sz w:val="13"/>
              </w:rPr>
            </w:pPr>
          </w:p>
          <w:p>
            <w:pPr>
              <w:pStyle w:val="TableParagraph"/>
              <w:ind w:left="61" w:right="29"/>
              <w:rPr>
                <w:rFonts w:ascii="Times New Roman"/>
                <w:sz w:val="14"/>
              </w:rPr>
            </w:pPr>
            <w:r>
              <w:rPr>
                <w:rFonts w:ascii="Times New Roman"/>
                <w:sz w:val="21"/>
              </w:rPr>
              <w:t>0.001mg/m</w:t>
            </w:r>
            <w:r>
              <w:rPr>
                <w:rFonts w:ascii="Times New Roman"/>
                <w:position w:val="7"/>
                <w:sz w:val="14"/>
              </w:rPr>
              <w:t>3</w:t>
            </w:r>
          </w:p>
        </w:tc>
      </w:tr>
      <w:tr>
        <w:trPr>
          <w:trHeight w:val="340" w:hRule="atLeast"/>
        </w:trPr>
        <w:tc>
          <w:tcPr>
            <w:tcW w:w="1783" w:type="dxa"/>
            <w:tcBorders>
              <w:top w:val="single" w:sz="6" w:space="0" w:color="000000"/>
              <w:bottom w:val="single" w:sz="6" w:space="0" w:color="000000"/>
              <w:right w:val="single" w:sz="6" w:space="0" w:color="000000"/>
            </w:tcBorders>
          </w:tcPr>
          <w:p>
            <w:pPr>
              <w:pStyle w:val="TableParagraph"/>
              <w:spacing w:line="320" w:lineRule="exact"/>
              <w:ind w:left="18"/>
              <w:rPr>
                <w:sz w:val="21"/>
              </w:rPr>
            </w:pPr>
            <w:r>
              <w:rPr>
                <w:w w:val="100"/>
                <w:sz w:val="21"/>
              </w:rPr>
              <w:t>氨</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1"/>
              <w:rPr>
                <w:rFonts w:ascii="Times New Roman" w:eastAsia="Times New Roman"/>
                <w:sz w:val="21"/>
              </w:rPr>
            </w:pPr>
            <w:r>
              <w:rPr>
                <w:sz w:val="21"/>
              </w:rPr>
              <w:t>纳氏试剂分光光度法 </w:t>
            </w:r>
            <w:r>
              <w:rPr>
                <w:rFonts w:ascii="Times New Roman" w:eastAsia="Times New Roman"/>
                <w:sz w:val="21"/>
              </w:rPr>
              <w:t>HJ535-2009</w:t>
            </w:r>
          </w:p>
        </w:tc>
        <w:tc>
          <w:tcPr>
            <w:tcW w:w="1663" w:type="dxa"/>
            <w:tcBorders>
              <w:top w:val="single" w:sz="6" w:space="0" w:color="000000"/>
              <w:left w:val="single" w:sz="6" w:space="0" w:color="000000"/>
              <w:bottom w:val="single" w:sz="6" w:space="0" w:color="000000"/>
            </w:tcBorders>
          </w:tcPr>
          <w:p>
            <w:pPr>
              <w:pStyle w:val="TableParagraph"/>
              <w:spacing w:before="36"/>
              <w:ind w:left="59" w:right="29"/>
              <w:rPr>
                <w:rFonts w:ascii="Times New Roman"/>
                <w:sz w:val="14"/>
              </w:rPr>
            </w:pPr>
            <w:r>
              <w:rPr>
                <w:rFonts w:ascii="Times New Roman"/>
                <w:sz w:val="21"/>
              </w:rPr>
              <w:t>0.02mg/m</w:t>
            </w:r>
            <w:r>
              <w:rPr>
                <w:rFonts w:ascii="Times New Roman"/>
                <w:position w:val="7"/>
                <w:sz w:val="14"/>
              </w:rPr>
              <w:t>3</w:t>
            </w:r>
          </w:p>
        </w:tc>
      </w:tr>
      <w:tr>
        <w:trPr>
          <w:trHeight w:val="337" w:hRule="atLeast"/>
        </w:trPr>
        <w:tc>
          <w:tcPr>
            <w:tcW w:w="1783" w:type="dxa"/>
            <w:tcBorders>
              <w:top w:val="single" w:sz="6" w:space="0" w:color="000000"/>
              <w:bottom w:val="single" w:sz="6" w:space="0" w:color="000000"/>
              <w:right w:val="single" w:sz="6" w:space="0" w:color="000000"/>
            </w:tcBorders>
          </w:tcPr>
          <w:p>
            <w:pPr>
              <w:pStyle w:val="TableParagraph"/>
              <w:spacing w:line="318" w:lineRule="exact"/>
              <w:ind w:left="269" w:right="248"/>
              <w:rPr>
                <w:sz w:val="21"/>
              </w:rPr>
            </w:pPr>
            <w:r>
              <w:rPr>
                <w:sz w:val="21"/>
              </w:rPr>
              <w:t>臭气浓度</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0" w:right="71"/>
              <w:rPr>
                <w:rFonts w:ascii="Times New Roman" w:eastAsia="Times New Roman"/>
                <w:sz w:val="21"/>
              </w:rPr>
            </w:pPr>
            <w:r>
              <w:rPr>
                <w:sz w:val="21"/>
              </w:rPr>
              <w:t>三点比较式臭袋法 </w:t>
            </w:r>
            <w:r>
              <w:rPr>
                <w:rFonts w:ascii="Times New Roman" w:eastAsia="Times New Roman"/>
                <w:sz w:val="21"/>
              </w:rPr>
              <w:t>GB/T 14675-1993</w:t>
            </w:r>
          </w:p>
        </w:tc>
        <w:tc>
          <w:tcPr>
            <w:tcW w:w="1663" w:type="dxa"/>
            <w:tcBorders>
              <w:top w:val="single" w:sz="6" w:space="0" w:color="000000"/>
              <w:left w:val="single" w:sz="6" w:space="0" w:color="000000"/>
              <w:bottom w:val="single" w:sz="6" w:space="0" w:color="000000"/>
            </w:tcBorders>
          </w:tcPr>
          <w:p>
            <w:pPr>
              <w:pStyle w:val="TableParagraph"/>
              <w:spacing w:before="41"/>
              <w:ind w:left="62" w:right="27"/>
              <w:rPr>
                <w:rFonts w:ascii="Times New Roman" w:hAnsi="Times New Roman"/>
                <w:sz w:val="21"/>
              </w:rPr>
            </w:pPr>
            <w:r>
              <w:rPr>
                <w:rFonts w:ascii="Times New Roman" w:hAnsi="Times New Roman"/>
                <w:sz w:val="21"/>
              </w:rPr>
              <w:t>——</w:t>
            </w:r>
          </w:p>
        </w:tc>
      </w:tr>
      <w:tr>
        <w:trPr>
          <w:trHeight w:val="626" w:hRule="atLeast"/>
        </w:trPr>
        <w:tc>
          <w:tcPr>
            <w:tcW w:w="1783" w:type="dxa"/>
            <w:tcBorders>
              <w:top w:val="single" w:sz="6" w:space="0" w:color="000000"/>
              <w:bottom w:val="single" w:sz="6" w:space="0" w:color="000000"/>
              <w:right w:val="single" w:sz="6" w:space="0" w:color="000000"/>
            </w:tcBorders>
          </w:tcPr>
          <w:p>
            <w:pPr>
              <w:pStyle w:val="TableParagraph"/>
              <w:spacing w:before="43"/>
              <w:ind w:left="268" w:right="250"/>
              <w:rPr>
                <w:sz w:val="24"/>
              </w:rPr>
            </w:pPr>
            <w:r>
              <w:rPr>
                <w:sz w:val="24"/>
              </w:rPr>
              <w:t>甲醇</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98" w:lineRule="exact"/>
              <w:ind w:left="100" w:right="71"/>
              <w:rPr>
                <w:sz w:val="24"/>
              </w:rPr>
            </w:pPr>
            <w:r>
              <w:rPr>
                <w:rFonts w:ascii="Times New Roman" w:eastAsia="Times New Roman"/>
                <w:position w:val="1"/>
                <w:sz w:val="24"/>
              </w:rPr>
              <w:t>HJ/T 33-1999  </w:t>
            </w:r>
            <w:r>
              <w:rPr>
                <w:sz w:val="24"/>
              </w:rPr>
              <w:t>固定污染源排气中甲醇的测定</w:t>
            </w:r>
          </w:p>
          <w:p>
            <w:pPr>
              <w:pStyle w:val="TableParagraph"/>
              <w:spacing w:line="308" w:lineRule="exact"/>
              <w:ind w:left="97" w:right="71"/>
              <w:rPr>
                <w:sz w:val="24"/>
              </w:rPr>
            </w:pPr>
            <w:r>
              <w:rPr>
                <w:sz w:val="24"/>
              </w:rPr>
              <w:t>气相色谱法</w:t>
            </w:r>
          </w:p>
        </w:tc>
        <w:tc>
          <w:tcPr>
            <w:tcW w:w="1663" w:type="dxa"/>
            <w:tcBorders>
              <w:top w:val="single" w:sz="6" w:space="0" w:color="000000"/>
              <w:left w:val="single" w:sz="6" w:space="0" w:color="000000"/>
              <w:bottom w:val="single" w:sz="6" w:space="0" w:color="000000"/>
            </w:tcBorders>
          </w:tcPr>
          <w:p>
            <w:pPr>
              <w:pStyle w:val="TableParagraph"/>
              <w:spacing w:before="159"/>
              <w:ind w:left="60" w:right="29"/>
              <w:rPr>
                <w:rFonts w:ascii="Times New Roman"/>
                <w:sz w:val="16"/>
              </w:rPr>
            </w:pPr>
            <w:r>
              <w:rPr>
                <w:rFonts w:ascii="Times New Roman"/>
                <w:sz w:val="24"/>
              </w:rPr>
              <w:t>2mg/m</w:t>
            </w:r>
            <w:r>
              <w:rPr>
                <w:rFonts w:ascii="Times New Roman"/>
                <w:position w:val="9"/>
                <w:sz w:val="16"/>
              </w:rPr>
              <w:t>3</w:t>
            </w:r>
          </w:p>
        </w:tc>
      </w:tr>
      <w:tr>
        <w:trPr>
          <w:trHeight w:val="623" w:hRule="atLeast"/>
        </w:trPr>
        <w:tc>
          <w:tcPr>
            <w:tcW w:w="1783" w:type="dxa"/>
            <w:tcBorders>
              <w:top w:val="single" w:sz="6" w:space="0" w:color="000000"/>
              <w:bottom w:val="single" w:sz="6" w:space="0" w:color="000000"/>
              <w:right w:val="single" w:sz="6" w:space="0" w:color="000000"/>
            </w:tcBorders>
          </w:tcPr>
          <w:p>
            <w:pPr>
              <w:pStyle w:val="TableParagraph"/>
              <w:spacing w:before="40"/>
              <w:ind w:left="268" w:right="250"/>
              <w:rPr>
                <w:sz w:val="24"/>
              </w:rPr>
            </w:pPr>
            <w:r>
              <w:rPr>
                <w:sz w:val="24"/>
              </w:rPr>
              <w:t>吡啶</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97" w:right="71"/>
              <w:rPr>
                <w:sz w:val="24"/>
              </w:rPr>
            </w:pPr>
            <w:r>
              <w:rPr>
                <w:rFonts w:ascii="Times New Roman" w:eastAsia="Times New Roman"/>
                <w:position w:val="1"/>
                <w:sz w:val="24"/>
              </w:rPr>
              <w:t>GBZ/T 160.75-2004</w:t>
            </w:r>
            <w:r>
              <w:rPr>
                <w:rFonts w:ascii="Times New Roman" w:eastAsia="Times New Roman"/>
                <w:spacing w:val="59"/>
                <w:position w:val="1"/>
                <w:sz w:val="24"/>
              </w:rPr>
              <w:t> </w:t>
            </w:r>
            <w:r>
              <w:rPr>
                <w:sz w:val="24"/>
              </w:rPr>
              <w:t>工作场所空气中杂环化合</w:t>
            </w:r>
          </w:p>
          <w:p>
            <w:pPr>
              <w:pStyle w:val="TableParagraph"/>
              <w:spacing w:line="308" w:lineRule="exact"/>
              <w:ind w:left="97" w:right="71"/>
              <w:rPr>
                <w:sz w:val="24"/>
              </w:rPr>
            </w:pPr>
            <w:r>
              <w:rPr>
                <w:sz w:val="24"/>
              </w:rPr>
              <w:t>物的测定方法</w:t>
            </w:r>
          </w:p>
        </w:tc>
        <w:tc>
          <w:tcPr>
            <w:tcW w:w="1663" w:type="dxa"/>
            <w:tcBorders>
              <w:top w:val="single" w:sz="6" w:space="0" w:color="000000"/>
              <w:left w:val="single" w:sz="6" w:space="0" w:color="000000"/>
              <w:bottom w:val="single" w:sz="6" w:space="0" w:color="000000"/>
            </w:tcBorders>
          </w:tcPr>
          <w:p>
            <w:pPr>
              <w:pStyle w:val="TableParagraph"/>
              <w:spacing w:before="156"/>
              <w:ind w:left="62" w:right="29"/>
              <w:rPr>
                <w:rFonts w:ascii="Times New Roman"/>
                <w:sz w:val="16"/>
              </w:rPr>
            </w:pPr>
            <w:r>
              <w:rPr>
                <w:rFonts w:ascii="Times New Roman"/>
                <w:sz w:val="24"/>
              </w:rPr>
              <w:t>0.3mg/m</w:t>
            </w:r>
            <w:r>
              <w:rPr>
                <w:rFonts w:ascii="Times New Roman"/>
                <w:position w:val="9"/>
                <w:sz w:val="16"/>
              </w:rPr>
              <w:t>3</w:t>
            </w:r>
          </w:p>
        </w:tc>
      </w:tr>
      <w:tr>
        <w:trPr>
          <w:trHeight w:val="623" w:hRule="atLeast"/>
        </w:trPr>
        <w:tc>
          <w:tcPr>
            <w:tcW w:w="1783" w:type="dxa"/>
            <w:tcBorders>
              <w:top w:val="single" w:sz="6" w:space="0" w:color="000000"/>
              <w:bottom w:val="single" w:sz="6" w:space="0" w:color="000000"/>
              <w:right w:val="single" w:sz="6" w:space="0" w:color="000000"/>
            </w:tcBorders>
          </w:tcPr>
          <w:p>
            <w:pPr>
              <w:pStyle w:val="TableParagraph"/>
              <w:spacing w:before="40"/>
              <w:ind w:left="268" w:right="250"/>
              <w:rPr>
                <w:sz w:val="24"/>
              </w:rPr>
            </w:pPr>
            <w:r>
              <w:rPr>
                <w:sz w:val="24"/>
              </w:rPr>
              <w:t>四氢呋喃</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97" w:right="71"/>
              <w:rPr>
                <w:sz w:val="24"/>
              </w:rPr>
            </w:pPr>
            <w:r>
              <w:rPr>
                <w:rFonts w:ascii="Times New Roman" w:eastAsia="Times New Roman"/>
                <w:position w:val="1"/>
                <w:sz w:val="24"/>
              </w:rPr>
              <w:t>GBZ/T 160.75-2004</w:t>
            </w:r>
            <w:r>
              <w:rPr>
                <w:rFonts w:ascii="Times New Roman" w:eastAsia="Times New Roman"/>
                <w:spacing w:val="59"/>
                <w:position w:val="1"/>
                <w:sz w:val="24"/>
              </w:rPr>
              <w:t> </w:t>
            </w:r>
            <w:r>
              <w:rPr>
                <w:sz w:val="24"/>
              </w:rPr>
              <w:t>工作场所空气中杂环化合</w:t>
            </w:r>
          </w:p>
          <w:p>
            <w:pPr>
              <w:pStyle w:val="TableParagraph"/>
              <w:spacing w:line="309" w:lineRule="exact"/>
              <w:ind w:left="97" w:right="71"/>
              <w:rPr>
                <w:sz w:val="24"/>
              </w:rPr>
            </w:pPr>
            <w:r>
              <w:rPr>
                <w:sz w:val="24"/>
              </w:rPr>
              <w:t>物的测定方法</w:t>
            </w:r>
          </w:p>
        </w:tc>
        <w:tc>
          <w:tcPr>
            <w:tcW w:w="1663" w:type="dxa"/>
            <w:tcBorders>
              <w:top w:val="single" w:sz="6" w:space="0" w:color="000000"/>
              <w:left w:val="single" w:sz="6" w:space="0" w:color="000000"/>
              <w:bottom w:val="single" w:sz="6" w:space="0" w:color="000000"/>
            </w:tcBorders>
          </w:tcPr>
          <w:p>
            <w:pPr>
              <w:pStyle w:val="TableParagraph"/>
              <w:spacing w:before="156"/>
              <w:ind w:left="62" w:right="29"/>
              <w:rPr>
                <w:rFonts w:ascii="Times New Roman"/>
                <w:sz w:val="16"/>
              </w:rPr>
            </w:pPr>
            <w:r>
              <w:rPr>
                <w:rFonts w:ascii="Times New Roman"/>
                <w:sz w:val="24"/>
              </w:rPr>
              <w:t>0.3mg/m</w:t>
            </w:r>
            <w:r>
              <w:rPr>
                <w:rFonts w:ascii="Times New Roman"/>
                <w:position w:val="9"/>
                <w:sz w:val="16"/>
              </w:rPr>
              <w:t>3</w:t>
            </w:r>
          </w:p>
        </w:tc>
      </w:tr>
      <w:tr>
        <w:trPr>
          <w:trHeight w:val="623" w:hRule="atLeast"/>
        </w:trPr>
        <w:tc>
          <w:tcPr>
            <w:tcW w:w="1783" w:type="dxa"/>
            <w:tcBorders>
              <w:top w:val="single" w:sz="6" w:space="0" w:color="000000"/>
              <w:bottom w:val="single" w:sz="6" w:space="0" w:color="000000"/>
              <w:right w:val="single" w:sz="6" w:space="0" w:color="000000"/>
            </w:tcBorders>
          </w:tcPr>
          <w:p>
            <w:pPr>
              <w:pStyle w:val="TableParagraph"/>
              <w:spacing w:before="40"/>
              <w:ind w:left="268" w:right="250"/>
              <w:rPr>
                <w:sz w:val="24"/>
              </w:rPr>
            </w:pPr>
            <w:r>
              <w:rPr>
                <w:sz w:val="24"/>
              </w:rPr>
              <w:t>丙酮</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98" w:right="71"/>
              <w:rPr>
                <w:sz w:val="24"/>
              </w:rPr>
            </w:pPr>
            <w:r>
              <w:rPr>
                <w:rFonts w:ascii="Times New Roman" w:eastAsia="Times New Roman"/>
                <w:position w:val="1"/>
                <w:sz w:val="24"/>
              </w:rPr>
              <w:t>HJ 734-2014  </w:t>
            </w:r>
            <w:r>
              <w:rPr>
                <w:sz w:val="24"/>
              </w:rPr>
              <w:t>固定污染源废气 挥发性有机物的</w:t>
            </w:r>
          </w:p>
          <w:p>
            <w:pPr>
              <w:pStyle w:val="TableParagraph"/>
              <w:spacing w:line="308" w:lineRule="exact"/>
              <w:ind w:left="98" w:right="71"/>
              <w:rPr>
                <w:sz w:val="24"/>
              </w:rPr>
            </w:pPr>
            <w:r>
              <w:rPr>
                <w:sz w:val="24"/>
              </w:rPr>
              <w:t>测定 固相吸附</w:t>
            </w:r>
            <w:r>
              <w:rPr>
                <w:rFonts w:ascii="Times New Roman" w:eastAsia="Times New Roman"/>
                <w:position w:val="1"/>
                <w:sz w:val="24"/>
              </w:rPr>
              <w:t>-</w:t>
            </w:r>
            <w:r>
              <w:rPr>
                <w:sz w:val="24"/>
              </w:rPr>
              <w:t>热脱附</w:t>
            </w:r>
            <w:r>
              <w:rPr>
                <w:rFonts w:ascii="Times New Roman" w:eastAsia="Times New Roman"/>
                <w:position w:val="1"/>
                <w:sz w:val="24"/>
              </w:rPr>
              <w:t>/</w:t>
            </w:r>
            <w:r>
              <w:rPr>
                <w:sz w:val="24"/>
              </w:rPr>
              <w:t>气相色谱</w:t>
            </w:r>
            <w:r>
              <w:rPr>
                <w:rFonts w:ascii="Times New Roman" w:eastAsia="Times New Roman"/>
                <w:position w:val="1"/>
                <w:sz w:val="24"/>
              </w:rPr>
              <w:t>- </w:t>
            </w:r>
            <w:r>
              <w:rPr>
                <w:sz w:val="24"/>
              </w:rPr>
              <w:t>质谱法</w:t>
            </w:r>
          </w:p>
        </w:tc>
        <w:tc>
          <w:tcPr>
            <w:tcW w:w="1663" w:type="dxa"/>
            <w:tcBorders>
              <w:top w:val="single" w:sz="6" w:space="0" w:color="000000"/>
              <w:left w:val="single" w:sz="6" w:space="0" w:color="000000"/>
              <w:bottom w:val="single" w:sz="6" w:space="0" w:color="000000"/>
            </w:tcBorders>
          </w:tcPr>
          <w:p>
            <w:pPr>
              <w:pStyle w:val="TableParagraph"/>
              <w:spacing w:before="156"/>
              <w:ind w:left="62" w:right="29"/>
              <w:rPr>
                <w:rFonts w:ascii="Times New Roman"/>
                <w:sz w:val="16"/>
              </w:rPr>
            </w:pPr>
            <w:r>
              <w:rPr>
                <w:rFonts w:ascii="Times New Roman"/>
                <w:sz w:val="24"/>
              </w:rPr>
              <w:t>0.01mg/m</w:t>
            </w:r>
            <w:r>
              <w:rPr>
                <w:rFonts w:ascii="Times New Roman"/>
                <w:position w:val="9"/>
                <w:sz w:val="16"/>
              </w:rPr>
              <w:t>3</w:t>
            </w:r>
          </w:p>
        </w:tc>
      </w:tr>
      <w:tr>
        <w:trPr>
          <w:trHeight w:val="625" w:hRule="atLeast"/>
        </w:trPr>
        <w:tc>
          <w:tcPr>
            <w:tcW w:w="1783" w:type="dxa"/>
            <w:tcBorders>
              <w:top w:val="single" w:sz="6" w:space="0" w:color="000000"/>
              <w:bottom w:val="single" w:sz="6" w:space="0" w:color="000000"/>
              <w:right w:val="single" w:sz="6" w:space="0" w:color="000000"/>
            </w:tcBorders>
          </w:tcPr>
          <w:p>
            <w:pPr>
              <w:pStyle w:val="TableParagraph"/>
              <w:spacing w:before="43"/>
              <w:ind w:left="268" w:right="250"/>
              <w:rPr>
                <w:sz w:val="24"/>
              </w:rPr>
            </w:pPr>
            <w:r>
              <w:rPr>
                <w:sz w:val="24"/>
              </w:rPr>
              <w:t>氯苯类</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97" w:lineRule="exact"/>
              <w:ind w:left="100" w:right="71"/>
              <w:rPr>
                <w:sz w:val="24"/>
              </w:rPr>
            </w:pPr>
            <w:r>
              <w:rPr>
                <w:rFonts w:ascii="Times New Roman" w:eastAsia="Times New Roman"/>
                <w:position w:val="1"/>
                <w:sz w:val="24"/>
              </w:rPr>
              <w:t>HJ/T 66-2001</w:t>
            </w:r>
            <w:r>
              <w:rPr>
                <w:rFonts w:ascii="Times New Roman" w:eastAsia="Times New Roman"/>
                <w:spacing w:val="59"/>
                <w:position w:val="1"/>
                <w:sz w:val="24"/>
              </w:rPr>
              <w:t> </w:t>
            </w:r>
            <w:r>
              <w:rPr>
                <w:sz w:val="24"/>
              </w:rPr>
              <w:t>大气固定污染源 氯苯类化合物</w:t>
            </w:r>
          </w:p>
          <w:p>
            <w:pPr>
              <w:pStyle w:val="TableParagraph"/>
              <w:spacing w:line="309" w:lineRule="exact"/>
              <w:ind w:left="97" w:right="71"/>
              <w:rPr>
                <w:sz w:val="24"/>
              </w:rPr>
            </w:pPr>
            <w:r>
              <w:rPr>
                <w:sz w:val="24"/>
              </w:rPr>
              <w:t>的测定 气相色谱法</w:t>
            </w:r>
          </w:p>
        </w:tc>
        <w:tc>
          <w:tcPr>
            <w:tcW w:w="1663" w:type="dxa"/>
            <w:tcBorders>
              <w:top w:val="single" w:sz="6" w:space="0" w:color="000000"/>
              <w:left w:val="single" w:sz="6" w:space="0" w:color="000000"/>
              <w:bottom w:val="single" w:sz="6" w:space="0" w:color="000000"/>
            </w:tcBorders>
          </w:tcPr>
          <w:p>
            <w:pPr>
              <w:pStyle w:val="TableParagraph"/>
              <w:spacing w:before="158"/>
              <w:ind w:left="62" w:right="29"/>
              <w:rPr>
                <w:rFonts w:ascii="Times New Roman" w:hAnsi="Times New Roman"/>
                <w:sz w:val="16"/>
              </w:rPr>
            </w:pPr>
            <w:r>
              <w:rPr>
                <w:rFonts w:ascii="Times New Roman" w:hAnsi="Times New Roman"/>
                <w:sz w:val="24"/>
              </w:rPr>
              <w:t>0.7μg/m</w:t>
            </w:r>
            <w:r>
              <w:rPr>
                <w:rFonts w:ascii="Times New Roman" w:hAnsi="Times New Roman"/>
                <w:position w:val="9"/>
                <w:sz w:val="16"/>
              </w:rPr>
              <w:t>3</w:t>
            </w:r>
          </w:p>
        </w:tc>
      </w:tr>
      <w:tr>
        <w:trPr>
          <w:trHeight w:val="623" w:hRule="atLeast"/>
        </w:trPr>
        <w:tc>
          <w:tcPr>
            <w:tcW w:w="1783" w:type="dxa"/>
            <w:tcBorders>
              <w:top w:val="single" w:sz="6" w:space="0" w:color="000000"/>
              <w:bottom w:val="single" w:sz="6" w:space="0" w:color="000000"/>
              <w:right w:val="single" w:sz="6" w:space="0" w:color="000000"/>
            </w:tcBorders>
          </w:tcPr>
          <w:p>
            <w:pPr>
              <w:pStyle w:val="TableParagraph"/>
              <w:spacing w:before="41"/>
              <w:ind w:left="268" w:right="250"/>
              <w:rPr>
                <w:sz w:val="24"/>
              </w:rPr>
            </w:pPr>
            <w:r>
              <w:rPr>
                <w:sz w:val="24"/>
              </w:rPr>
              <w:t>硫酸雾</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98" w:right="71"/>
              <w:rPr>
                <w:sz w:val="24"/>
              </w:rPr>
            </w:pPr>
            <w:r>
              <w:rPr>
                <w:rFonts w:ascii="Times New Roman" w:eastAsia="Times New Roman"/>
                <w:position w:val="1"/>
                <w:sz w:val="24"/>
              </w:rPr>
              <w:t>HJ 644-2013  </w:t>
            </w:r>
            <w:r>
              <w:rPr>
                <w:sz w:val="24"/>
              </w:rPr>
              <w:t>环境空气 挥发性有机物的测定</w:t>
            </w:r>
          </w:p>
          <w:p>
            <w:pPr>
              <w:pStyle w:val="TableParagraph"/>
              <w:spacing w:line="309" w:lineRule="exact"/>
              <w:ind w:left="98" w:right="71"/>
              <w:rPr>
                <w:sz w:val="24"/>
              </w:rPr>
            </w:pPr>
            <w:r>
              <w:rPr>
                <w:sz w:val="24"/>
              </w:rPr>
              <w:t>吸附管采样</w:t>
            </w:r>
            <w:r>
              <w:rPr>
                <w:rFonts w:ascii="Times New Roman" w:eastAsia="Times New Roman"/>
                <w:position w:val="1"/>
                <w:sz w:val="24"/>
              </w:rPr>
              <w:t>-</w:t>
            </w:r>
            <w:r>
              <w:rPr>
                <w:sz w:val="24"/>
              </w:rPr>
              <w:t>热脱附</w:t>
            </w:r>
            <w:r>
              <w:rPr>
                <w:rFonts w:ascii="Times New Roman" w:eastAsia="Times New Roman"/>
                <w:position w:val="1"/>
                <w:sz w:val="24"/>
              </w:rPr>
              <w:t>/</w:t>
            </w:r>
            <w:r>
              <w:rPr>
                <w:sz w:val="24"/>
              </w:rPr>
              <w:t>气相色谱</w:t>
            </w:r>
            <w:r>
              <w:rPr>
                <w:rFonts w:ascii="Times New Roman" w:eastAsia="Times New Roman"/>
                <w:position w:val="1"/>
                <w:sz w:val="24"/>
              </w:rPr>
              <w:t>-</w:t>
            </w:r>
            <w:r>
              <w:rPr>
                <w:sz w:val="24"/>
              </w:rPr>
              <w:t>质谱法</w:t>
            </w:r>
          </w:p>
        </w:tc>
        <w:tc>
          <w:tcPr>
            <w:tcW w:w="1663" w:type="dxa"/>
            <w:tcBorders>
              <w:top w:val="single" w:sz="6" w:space="0" w:color="000000"/>
              <w:left w:val="single" w:sz="6" w:space="0" w:color="000000"/>
              <w:bottom w:val="single" w:sz="6" w:space="0" w:color="000000"/>
            </w:tcBorders>
          </w:tcPr>
          <w:p>
            <w:pPr>
              <w:pStyle w:val="TableParagraph"/>
              <w:spacing w:before="157"/>
              <w:ind w:left="62" w:right="29"/>
              <w:rPr>
                <w:rFonts w:ascii="Times New Roman"/>
                <w:sz w:val="16"/>
              </w:rPr>
            </w:pPr>
            <w:r>
              <w:rPr>
                <w:rFonts w:ascii="Times New Roman"/>
                <w:sz w:val="24"/>
              </w:rPr>
              <w:t>0.005mg/m</w:t>
            </w:r>
            <w:r>
              <w:rPr>
                <w:rFonts w:ascii="Times New Roman"/>
                <w:position w:val="9"/>
                <w:sz w:val="16"/>
              </w:rPr>
              <w:t>3</w:t>
            </w:r>
          </w:p>
        </w:tc>
      </w:tr>
      <w:tr>
        <w:trPr>
          <w:trHeight w:val="623" w:hRule="atLeast"/>
        </w:trPr>
        <w:tc>
          <w:tcPr>
            <w:tcW w:w="1783" w:type="dxa"/>
            <w:tcBorders>
              <w:top w:val="single" w:sz="6" w:space="0" w:color="000000"/>
              <w:bottom w:val="single" w:sz="6" w:space="0" w:color="000000"/>
              <w:right w:val="single" w:sz="6" w:space="0" w:color="000000"/>
            </w:tcBorders>
          </w:tcPr>
          <w:p>
            <w:pPr>
              <w:pStyle w:val="TableParagraph"/>
              <w:spacing w:before="40"/>
              <w:ind w:left="269" w:right="250"/>
              <w:rPr>
                <w:sz w:val="24"/>
              </w:rPr>
            </w:pPr>
            <w:r>
              <w:rPr>
                <w:sz w:val="24"/>
              </w:rPr>
              <w:t>环氧氯丙烷</w:t>
            </w:r>
          </w:p>
        </w:tc>
        <w:tc>
          <w:tcPr>
            <w:tcW w:w="5082"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100" w:right="71"/>
              <w:rPr>
                <w:sz w:val="24"/>
              </w:rPr>
            </w:pPr>
            <w:r>
              <w:rPr>
                <w:spacing w:val="-4"/>
                <w:sz w:val="24"/>
              </w:rPr>
              <w:t>国家环保总局</w:t>
            </w:r>
            <w:r>
              <w:rPr>
                <w:sz w:val="24"/>
              </w:rPr>
              <w:t>（第四版增补版</w:t>
            </w:r>
            <w:r>
              <w:rPr>
                <w:spacing w:val="-140"/>
                <w:sz w:val="24"/>
              </w:rPr>
              <w:t>）</w:t>
            </w:r>
            <w:r>
              <w:rPr>
                <w:sz w:val="24"/>
              </w:rPr>
              <w:t>（</w:t>
            </w:r>
            <w:r>
              <w:rPr>
                <w:rFonts w:ascii="Times New Roman" w:eastAsia="Times New Roman"/>
                <w:position w:val="1"/>
                <w:sz w:val="24"/>
              </w:rPr>
              <w:t>2003</w:t>
            </w:r>
            <w:r>
              <w:rPr>
                <w:spacing w:val="-20"/>
                <w:sz w:val="24"/>
              </w:rPr>
              <w:t>）</w:t>
            </w:r>
            <w:r>
              <w:rPr>
                <w:sz w:val="24"/>
              </w:rPr>
              <w:t>空气和</w:t>
            </w:r>
          </w:p>
          <w:p>
            <w:pPr>
              <w:pStyle w:val="TableParagraph"/>
              <w:spacing w:line="308" w:lineRule="exact"/>
              <w:ind w:left="98" w:right="71"/>
              <w:rPr>
                <w:sz w:val="24"/>
              </w:rPr>
            </w:pPr>
            <w:r>
              <w:rPr>
                <w:sz w:val="24"/>
              </w:rPr>
              <w:t>废气监测分析方法 气相色谱法</w:t>
            </w:r>
          </w:p>
        </w:tc>
        <w:tc>
          <w:tcPr>
            <w:tcW w:w="1663" w:type="dxa"/>
            <w:tcBorders>
              <w:top w:val="single" w:sz="6" w:space="0" w:color="000000"/>
              <w:left w:val="single" w:sz="6" w:space="0" w:color="000000"/>
              <w:bottom w:val="single" w:sz="6" w:space="0" w:color="000000"/>
            </w:tcBorders>
          </w:tcPr>
          <w:p>
            <w:pPr>
              <w:pStyle w:val="TableParagraph"/>
              <w:spacing w:before="156"/>
              <w:ind w:left="62" w:right="29"/>
              <w:rPr>
                <w:rFonts w:ascii="Times New Roman"/>
                <w:sz w:val="16"/>
              </w:rPr>
            </w:pPr>
            <w:r>
              <w:rPr>
                <w:rFonts w:ascii="Times New Roman"/>
                <w:sz w:val="24"/>
              </w:rPr>
              <w:t>0.1mg/m</w:t>
            </w:r>
            <w:r>
              <w:rPr>
                <w:rFonts w:ascii="Times New Roman"/>
                <w:position w:val="9"/>
                <w:sz w:val="16"/>
              </w:rPr>
              <w:t>3</w:t>
            </w:r>
          </w:p>
        </w:tc>
      </w:tr>
      <w:tr>
        <w:trPr>
          <w:trHeight w:val="1247" w:hRule="atLeast"/>
        </w:trPr>
        <w:tc>
          <w:tcPr>
            <w:tcW w:w="1783" w:type="dxa"/>
            <w:tcBorders>
              <w:top w:val="single" w:sz="6" w:space="0" w:color="000000"/>
              <w:right w:val="single" w:sz="6" w:space="0" w:color="000000"/>
            </w:tcBorders>
          </w:tcPr>
          <w:p>
            <w:pPr>
              <w:pStyle w:val="TableParagraph"/>
              <w:spacing w:line="146" w:lineRule="auto" w:before="23"/>
              <w:ind w:left="107" w:right="-29" w:firstLine="2"/>
              <w:jc w:val="both"/>
              <w:rPr>
                <w:sz w:val="24"/>
              </w:rPr>
            </w:pPr>
            <w:r>
              <w:rPr>
                <w:w w:val="105"/>
                <w:sz w:val="24"/>
              </w:rPr>
              <w:t>苯、甲苯、间/ </w:t>
            </w:r>
            <w:r>
              <w:rPr>
                <w:sz w:val="24"/>
              </w:rPr>
              <w:t>对二甲苯、邻二甲苯、异丙苯、</w:t>
            </w:r>
          </w:p>
          <w:p>
            <w:pPr>
              <w:pStyle w:val="TableParagraph"/>
              <w:spacing w:line="273" w:lineRule="exact"/>
              <w:ind w:left="529"/>
              <w:jc w:val="left"/>
              <w:rPr>
                <w:sz w:val="24"/>
              </w:rPr>
            </w:pPr>
            <w:r>
              <w:rPr>
                <w:sz w:val="24"/>
              </w:rPr>
              <w:t>苯乙烯</w:t>
            </w:r>
          </w:p>
        </w:tc>
        <w:tc>
          <w:tcPr>
            <w:tcW w:w="5082" w:type="dxa"/>
            <w:tcBorders>
              <w:top w:val="single" w:sz="6" w:space="0" w:color="000000"/>
              <w:left w:val="single" w:sz="6" w:space="0" w:color="000000"/>
              <w:right w:val="single" w:sz="6" w:space="0" w:color="000000"/>
            </w:tcBorders>
          </w:tcPr>
          <w:p>
            <w:pPr>
              <w:pStyle w:val="TableParagraph"/>
              <w:spacing w:before="17"/>
              <w:jc w:val="left"/>
              <w:rPr>
                <w:sz w:val="15"/>
              </w:rPr>
            </w:pPr>
          </w:p>
          <w:p>
            <w:pPr>
              <w:pStyle w:val="TableParagraph"/>
              <w:tabs>
                <w:tab w:pos="1641" w:val="left" w:leader="none"/>
              </w:tabs>
              <w:spacing w:line="146" w:lineRule="auto"/>
              <w:ind w:left="914" w:right="122" w:hanging="761"/>
              <w:jc w:val="left"/>
              <w:rPr>
                <w:sz w:val="24"/>
              </w:rPr>
            </w:pPr>
            <w:r>
              <w:rPr>
                <w:rFonts w:ascii="Times New Roman" w:eastAsia="Times New Roman"/>
                <w:position w:val="1"/>
                <w:sz w:val="24"/>
              </w:rPr>
              <w:t>HJ 584-2010</w:t>
              <w:tab/>
            </w:r>
            <w:r>
              <w:rPr>
                <w:sz w:val="24"/>
              </w:rPr>
              <w:t>环境空气 苯系物的测定 活性炭吸附</w:t>
            </w:r>
            <w:r>
              <w:rPr>
                <w:rFonts w:ascii="Times New Roman" w:eastAsia="Times New Roman"/>
                <w:position w:val="1"/>
                <w:sz w:val="24"/>
              </w:rPr>
              <w:t>/</w:t>
            </w:r>
            <w:r>
              <w:rPr>
                <w:sz w:val="24"/>
              </w:rPr>
              <w:t>二硫化碳解吸</w:t>
            </w:r>
            <w:r>
              <w:rPr>
                <w:rFonts w:ascii="Times New Roman" w:eastAsia="Times New Roman"/>
                <w:position w:val="1"/>
                <w:sz w:val="24"/>
              </w:rPr>
              <w:t>-</w:t>
            </w:r>
            <w:r>
              <w:rPr>
                <w:sz w:val="24"/>
              </w:rPr>
              <w:t>气相色谱法</w:t>
            </w:r>
          </w:p>
        </w:tc>
        <w:tc>
          <w:tcPr>
            <w:tcW w:w="1663" w:type="dxa"/>
            <w:tcBorders>
              <w:top w:val="single" w:sz="6" w:space="0" w:color="000000"/>
              <w:left w:val="single" w:sz="6" w:space="0" w:color="000000"/>
            </w:tcBorders>
          </w:tcPr>
          <w:p>
            <w:pPr>
              <w:pStyle w:val="TableParagraph"/>
              <w:spacing w:before="1"/>
              <w:jc w:val="left"/>
              <w:rPr>
                <w:sz w:val="22"/>
              </w:rPr>
            </w:pPr>
          </w:p>
          <w:p>
            <w:pPr>
              <w:pStyle w:val="TableParagraph"/>
              <w:spacing w:before="1"/>
              <w:ind w:left="62" w:right="29"/>
              <w:rPr>
                <w:rFonts w:ascii="Times New Roman" w:hAnsi="Times New Roman"/>
                <w:sz w:val="16"/>
              </w:rPr>
            </w:pPr>
            <w:r>
              <w:rPr>
                <w:rFonts w:ascii="Times New Roman" w:hAnsi="Times New Roman"/>
                <w:sz w:val="24"/>
              </w:rPr>
              <w:t>1.5×10 </w:t>
            </w:r>
            <w:r>
              <w:rPr>
                <w:rFonts w:ascii="Times New Roman" w:hAnsi="Times New Roman"/>
                <w:position w:val="9"/>
                <w:sz w:val="16"/>
              </w:rPr>
              <w:t>-3</w:t>
            </w:r>
            <w:r>
              <w:rPr>
                <w:rFonts w:ascii="Times New Roman" w:hAnsi="Times New Roman"/>
                <w:sz w:val="24"/>
              </w:rPr>
              <w:t>mg/m</w:t>
            </w:r>
            <w:r>
              <w:rPr>
                <w:rFonts w:ascii="Times New Roman" w:hAnsi="Times New Roman"/>
                <w:position w:val="9"/>
                <w:sz w:val="16"/>
              </w:rPr>
              <w:t>3</w:t>
            </w:r>
          </w:p>
        </w:tc>
      </w:tr>
    </w:tbl>
    <w:p>
      <w:pPr>
        <w:pStyle w:val="BodyText"/>
        <w:spacing w:before="122"/>
        <w:ind w:left="1058"/>
      </w:pPr>
      <w:r>
        <w:rPr>
          <w:rFonts w:ascii="Times New Roman" w:eastAsia="Times New Roman"/>
        </w:rPr>
        <w:t>5</w:t>
      </w:r>
      <w:r>
        <w:rPr/>
        <w:t>、监测期间气象条件观测结果</w:t>
      </w:r>
    </w:p>
    <w:p>
      <w:pPr>
        <w:pStyle w:val="BodyText"/>
        <w:spacing w:before="116"/>
        <w:ind w:left="1058"/>
      </w:pPr>
      <w:r>
        <w:rPr/>
        <w:t>监测期间（</w:t>
      </w:r>
      <w:r>
        <w:rPr>
          <w:rFonts w:ascii="Times New Roman" w:eastAsia="Times New Roman"/>
        </w:rPr>
        <w:t>2019 </w:t>
      </w:r>
      <w:r>
        <w:rPr/>
        <w:t>年 </w:t>
      </w:r>
      <w:r>
        <w:rPr>
          <w:rFonts w:ascii="Times New Roman" w:eastAsia="Times New Roman"/>
        </w:rPr>
        <w:t>4 </w:t>
      </w:r>
      <w:r>
        <w:rPr/>
        <w:t>月 </w:t>
      </w:r>
      <w:r>
        <w:rPr>
          <w:rFonts w:ascii="Times New Roman" w:eastAsia="Times New Roman"/>
        </w:rPr>
        <w:t>12 </w:t>
      </w:r>
      <w:r>
        <w:rPr/>
        <w:t>日至 </w:t>
      </w:r>
      <w:r>
        <w:rPr>
          <w:rFonts w:ascii="Times New Roman" w:eastAsia="Times New Roman"/>
        </w:rPr>
        <w:t>2019 </w:t>
      </w:r>
      <w:r>
        <w:rPr/>
        <w:t>年 </w:t>
      </w:r>
      <w:r>
        <w:rPr>
          <w:rFonts w:ascii="Times New Roman" w:eastAsia="Times New Roman"/>
        </w:rPr>
        <w:t>4 </w:t>
      </w:r>
      <w:r>
        <w:rPr/>
        <w:t>月 </w:t>
      </w:r>
      <w:r>
        <w:rPr>
          <w:rFonts w:ascii="Times New Roman" w:eastAsia="Times New Roman"/>
        </w:rPr>
        <w:t>18 </w:t>
      </w:r>
      <w:r>
        <w:rPr/>
        <w:t>日）气象参数见表 </w:t>
      </w:r>
      <w:r>
        <w:rPr>
          <w:rFonts w:ascii="Times New Roman" w:eastAsia="Times New Roman"/>
        </w:rPr>
        <w:t>5.4-6</w:t>
      </w:r>
      <w:r>
        <w:rPr/>
        <w:t>。</w:t>
      </w:r>
    </w:p>
    <w:p>
      <w:pPr>
        <w:spacing w:after="0"/>
        <w:sectPr>
          <w:pgSz w:w="11910" w:h="16840"/>
          <w:pgMar w:header="877" w:footer="973" w:top="1340" w:bottom="1160" w:left="1220" w:right="1040"/>
        </w:sectPr>
      </w:pPr>
    </w:p>
    <w:p>
      <w:pPr>
        <w:pStyle w:val="BodyText"/>
        <w:spacing w:before="21"/>
        <w:rPr>
          <w:sz w:val="4"/>
        </w:rPr>
      </w:pPr>
    </w:p>
    <w:p>
      <w:pPr>
        <w:tabs>
          <w:tab w:pos="911" w:val="left" w:leader="none"/>
        </w:tabs>
        <w:spacing w:line="423" w:lineRule="exact" w:before="0" w:after="10"/>
        <w:ind w:left="0" w:right="295" w:firstLine="0"/>
        <w:jc w:val="center"/>
        <w:rPr>
          <w:sz w:val="21"/>
        </w:rPr>
      </w:pPr>
      <w:r>
        <w:rPr>
          <w:sz w:val="21"/>
        </w:rPr>
        <w:t>表</w:t>
      </w:r>
      <w:r>
        <w:rPr>
          <w:spacing w:val="7"/>
          <w:sz w:val="21"/>
        </w:rPr>
        <w:t> </w:t>
      </w:r>
      <w:r>
        <w:rPr>
          <w:rFonts w:ascii="Times New Roman" w:eastAsia="Times New Roman"/>
          <w:b/>
          <w:sz w:val="21"/>
        </w:rPr>
        <w:t>5.4-6</w:t>
        <w:tab/>
      </w:r>
      <w:r>
        <w:rPr>
          <w:sz w:val="21"/>
        </w:rPr>
        <w:t>现状监测期间</w:t>
      </w:r>
      <w:r>
        <w:rPr>
          <w:spacing w:val="-3"/>
          <w:sz w:val="21"/>
        </w:rPr>
        <w:t>气</w:t>
      </w:r>
      <w:r>
        <w:rPr>
          <w:sz w:val="21"/>
        </w:rPr>
        <w:t>象参数一览表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62"/>
        <w:gridCol w:w="1043"/>
        <w:gridCol w:w="1266"/>
        <w:gridCol w:w="1269"/>
        <w:gridCol w:w="1266"/>
        <w:gridCol w:w="1269"/>
        <w:gridCol w:w="1261"/>
      </w:tblGrid>
      <w:tr>
        <w:trPr>
          <w:trHeight w:val="623" w:hRule="atLeast"/>
        </w:trPr>
        <w:tc>
          <w:tcPr>
            <w:tcW w:w="1162" w:type="dxa"/>
            <w:tcBorders>
              <w:bottom w:val="single" w:sz="6" w:space="0" w:color="000000"/>
              <w:right w:val="single" w:sz="6" w:space="0" w:color="000000"/>
            </w:tcBorders>
          </w:tcPr>
          <w:p>
            <w:pPr>
              <w:pStyle w:val="TableParagraph"/>
              <w:spacing w:before="91"/>
              <w:ind w:left="160"/>
              <w:jc w:val="left"/>
              <w:rPr>
                <w:sz w:val="21"/>
              </w:rPr>
            </w:pPr>
            <w:r>
              <w:rPr>
                <w:sz w:val="21"/>
              </w:rPr>
              <w:t>检测日期</w:t>
            </w:r>
          </w:p>
        </w:tc>
        <w:tc>
          <w:tcPr>
            <w:tcW w:w="1043" w:type="dxa"/>
            <w:tcBorders>
              <w:left w:val="single" w:sz="6" w:space="0" w:color="000000"/>
              <w:bottom w:val="single" w:sz="6" w:space="0" w:color="000000"/>
              <w:right w:val="single" w:sz="6" w:space="0" w:color="000000"/>
            </w:tcBorders>
          </w:tcPr>
          <w:p>
            <w:pPr>
              <w:pStyle w:val="TableParagraph"/>
              <w:spacing w:line="314" w:lineRule="exact"/>
              <w:ind w:left="109" w:right="83"/>
              <w:rPr>
                <w:sz w:val="21"/>
              </w:rPr>
            </w:pPr>
            <w:r>
              <w:rPr>
                <w:sz w:val="21"/>
              </w:rPr>
              <w:t>检测时</w:t>
            </w:r>
          </w:p>
          <w:p>
            <w:pPr>
              <w:pStyle w:val="TableParagraph"/>
              <w:spacing w:line="289" w:lineRule="exact"/>
              <w:ind w:left="26"/>
              <w:rPr>
                <w:sz w:val="21"/>
              </w:rPr>
            </w:pPr>
            <w:r>
              <w:rPr>
                <w:w w:val="100"/>
                <w:sz w:val="21"/>
              </w:rPr>
              <w:t>间</w:t>
            </w:r>
          </w:p>
        </w:tc>
        <w:tc>
          <w:tcPr>
            <w:tcW w:w="1266" w:type="dxa"/>
            <w:tcBorders>
              <w:left w:val="single" w:sz="6" w:space="0" w:color="000000"/>
              <w:bottom w:val="single" w:sz="6" w:space="0" w:color="000000"/>
              <w:right w:val="single" w:sz="6" w:space="0" w:color="000000"/>
            </w:tcBorders>
          </w:tcPr>
          <w:p>
            <w:pPr>
              <w:pStyle w:val="TableParagraph"/>
              <w:spacing w:before="91"/>
              <w:ind w:left="165" w:right="143"/>
              <w:rPr>
                <w:sz w:val="21"/>
              </w:rPr>
            </w:pPr>
            <w:r>
              <w:rPr>
                <w:sz w:val="21"/>
              </w:rPr>
              <w:t>风向</w:t>
            </w:r>
          </w:p>
        </w:tc>
        <w:tc>
          <w:tcPr>
            <w:tcW w:w="1269" w:type="dxa"/>
            <w:tcBorders>
              <w:left w:val="single" w:sz="6" w:space="0" w:color="000000"/>
              <w:bottom w:val="single" w:sz="6" w:space="0" w:color="000000"/>
              <w:right w:val="single" w:sz="6" w:space="0" w:color="000000"/>
            </w:tcBorders>
          </w:tcPr>
          <w:p>
            <w:pPr>
              <w:pStyle w:val="TableParagraph"/>
              <w:spacing w:before="91"/>
              <w:ind w:left="112" w:right="-15"/>
              <w:rPr>
                <w:sz w:val="21"/>
              </w:rPr>
            </w:pPr>
            <w:r>
              <w:rPr>
                <w:spacing w:val="-1"/>
                <w:sz w:val="21"/>
              </w:rPr>
              <w:t>风速（</w:t>
            </w:r>
            <w:r>
              <w:rPr>
                <w:rFonts w:ascii="Times New Roman" w:eastAsia="Times New Roman"/>
                <w:spacing w:val="-1"/>
                <w:sz w:val="21"/>
              </w:rPr>
              <w:t>m/s</w:t>
            </w:r>
            <w:r>
              <w:rPr>
                <w:spacing w:val="-1"/>
                <w:sz w:val="21"/>
              </w:rPr>
              <w:t>）</w:t>
            </w:r>
          </w:p>
        </w:tc>
        <w:tc>
          <w:tcPr>
            <w:tcW w:w="1266" w:type="dxa"/>
            <w:tcBorders>
              <w:left w:val="single" w:sz="6" w:space="0" w:color="000000"/>
              <w:bottom w:val="single" w:sz="6" w:space="0" w:color="000000"/>
              <w:right w:val="single" w:sz="6" w:space="0" w:color="000000"/>
            </w:tcBorders>
          </w:tcPr>
          <w:p>
            <w:pPr>
              <w:pStyle w:val="TableParagraph"/>
              <w:spacing w:before="91"/>
              <w:ind w:left="165" w:right="146"/>
              <w:rPr>
                <w:sz w:val="21"/>
              </w:rPr>
            </w:pPr>
            <w:r>
              <w:rPr>
                <w:sz w:val="21"/>
              </w:rPr>
              <w:t>低</w:t>
            </w:r>
            <w:r>
              <w:rPr>
                <w:rFonts w:ascii="Times New Roman" w:eastAsia="Times New Roman"/>
                <w:sz w:val="21"/>
              </w:rPr>
              <w:t>/</w:t>
            </w:r>
            <w:r>
              <w:rPr>
                <w:sz w:val="21"/>
              </w:rPr>
              <w:t>总云量</w:t>
            </w:r>
          </w:p>
        </w:tc>
        <w:tc>
          <w:tcPr>
            <w:tcW w:w="1269" w:type="dxa"/>
            <w:tcBorders>
              <w:left w:val="single" w:sz="6" w:space="0" w:color="000000"/>
              <w:bottom w:val="single" w:sz="6" w:space="0" w:color="000000"/>
              <w:right w:val="single" w:sz="6" w:space="0" w:color="000000"/>
            </w:tcBorders>
          </w:tcPr>
          <w:p>
            <w:pPr>
              <w:pStyle w:val="TableParagraph"/>
              <w:spacing w:before="91"/>
              <w:ind w:left="91" w:right="72"/>
              <w:rPr>
                <w:sz w:val="21"/>
              </w:rPr>
            </w:pPr>
            <w:r>
              <w:rPr>
                <w:sz w:val="21"/>
              </w:rPr>
              <w:t>气温（℃）</w:t>
            </w:r>
          </w:p>
        </w:tc>
        <w:tc>
          <w:tcPr>
            <w:tcW w:w="1261" w:type="dxa"/>
            <w:tcBorders>
              <w:left w:val="single" w:sz="6" w:space="0" w:color="000000"/>
              <w:bottom w:val="single" w:sz="6" w:space="0" w:color="000000"/>
            </w:tcBorders>
          </w:tcPr>
          <w:p>
            <w:pPr>
              <w:pStyle w:val="TableParagraph"/>
              <w:spacing w:line="314" w:lineRule="exact"/>
              <w:ind w:left="312"/>
              <w:jc w:val="left"/>
              <w:rPr>
                <w:sz w:val="21"/>
              </w:rPr>
            </w:pPr>
            <w:r>
              <w:rPr>
                <w:sz w:val="21"/>
              </w:rPr>
              <w:t>大气压</w:t>
            </w:r>
          </w:p>
          <w:p>
            <w:pPr>
              <w:pStyle w:val="TableParagraph"/>
              <w:spacing w:line="289" w:lineRule="exact"/>
              <w:ind w:left="262"/>
              <w:jc w:val="left"/>
              <w:rPr>
                <w:sz w:val="21"/>
              </w:rPr>
            </w:pPr>
            <w:r>
              <w:rPr>
                <w:sz w:val="21"/>
              </w:rPr>
              <w:t>（</w:t>
            </w:r>
            <w:r>
              <w:rPr>
                <w:rFonts w:ascii="Times New Roman" w:eastAsia="Times New Roman"/>
                <w:sz w:val="21"/>
              </w:rPr>
              <w:t>kPa</w:t>
            </w:r>
            <w:r>
              <w:rPr>
                <w:sz w:val="21"/>
              </w:rPr>
              <w:t>）</w:t>
            </w:r>
          </w:p>
        </w:tc>
      </w:tr>
      <w:tr>
        <w:trPr>
          <w:trHeight w:val="397" w:hRule="atLeast"/>
        </w:trPr>
        <w:tc>
          <w:tcPr>
            <w:tcW w:w="1162" w:type="dxa"/>
            <w:vMerge w:val="restart"/>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10"/>
              <w:jc w:val="left"/>
              <w:rPr>
                <w:sz w:val="11"/>
              </w:rPr>
            </w:pPr>
          </w:p>
          <w:p>
            <w:pPr>
              <w:pStyle w:val="TableParagraph"/>
              <w:ind w:left="107"/>
              <w:jc w:val="left"/>
              <w:rPr>
                <w:rFonts w:ascii="Times New Roman"/>
                <w:sz w:val="21"/>
              </w:rPr>
            </w:pPr>
            <w:r>
              <w:rPr>
                <w:rFonts w:ascii="Times New Roman"/>
                <w:sz w:val="21"/>
              </w:rPr>
              <w:t>2019.04.12</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2:00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1.1</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2/4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5.6</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101.1</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8:00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1.8</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2/4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1" w:right="72"/>
              <w:rPr>
                <w:rFonts w:ascii="Times New Roman"/>
                <w:sz w:val="21"/>
              </w:rPr>
            </w:pPr>
            <w:r>
              <w:rPr>
                <w:rFonts w:ascii="Times New Roman"/>
                <w:sz w:val="21"/>
              </w:rPr>
              <w:t>11.7</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100.9</w:t>
            </w:r>
          </w:p>
        </w:tc>
      </w:tr>
      <w:tr>
        <w:trPr>
          <w:trHeight w:val="395"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14:00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2.2</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1/3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17.8</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100.7</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20:00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20"/>
              <w:rPr>
                <w:rFonts w:ascii="Times New Roman"/>
                <w:sz w:val="21"/>
              </w:rPr>
            </w:pPr>
            <w:r>
              <w:rPr>
                <w:rFonts w:ascii="Times New Roman"/>
                <w:w w:val="100"/>
                <w:sz w:val="21"/>
              </w:rPr>
              <w:t>S</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0.8</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2/4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12.6</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100.9</w:t>
            </w:r>
          </w:p>
        </w:tc>
      </w:tr>
      <w:tr>
        <w:trPr>
          <w:trHeight w:val="397" w:hRule="atLeast"/>
        </w:trPr>
        <w:tc>
          <w:tcPr>
            <w:tcW w:w="1162" w:type="dxa"/>
            <w:vMerge w:val="restart"/>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11"/>
              <w:jc w:val="left"/>
              <w:rPr>
                <w:sz w:val="11"/>
              </w:rPr>
            </w:pPr>
          </w:p>
          <w:p>
            <w:pPr>
              <w:pStyle w:val="TableParagraph"/>
              <w:ind w:left="107"/>
              <w:jc w:val="left"/>
              <w:rPr>
                <w:rFonts w:ascii="Times New Roman"/>
                <w:sz w:val="21"/>
              </w:rPr>
            </w:pPr>
            <w:r>
              <w:rPr>
                <w:rFonts w:ascii="Times New Roman"/>
                <w:sz w:val="21"/>
              </w:rPr>
              <w:t>2019.04.13</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2:00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1.1</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2/4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6.3</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100.9</w:t>
            </w:r>
          </w:p>
        </w:tc>
      </w:tr>
      <w:tr>
        <w:trPr>
          <w:trHeight w:val="395"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8:00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1.5</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1/4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10.2</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100.6</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14:00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1.4</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1/4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17.7</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100.3</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20:00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1.2</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3/5</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12.6</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100.5</w:t>
            </w:r>
          </w:p>
        </w:tc>
      </w:tr>
      <w:tr>
        <w:trPr>
          <w:trHeight w:val="397" w:hRule="atLeast"/>
        </w:trPr>
        <w:tc>
          <w:tcPr>
            <w:tcW w:w="1162" w:type="dxa"/>
            <w:vMerge w:val="restart"/>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8"/>
              <w:jc w:val="left"/>
              <w:rPr>
                <w:sz w:val="11"/>
              </w:rPr>
            </w:pPr>
          </w:p>
          <w:p>
            <w:pPr>
              <w:pStyle w:val="TableParagraph"/>
              <w:ind w:left="107"/>
              <w:jc w:val="left"/>
              <w:rPr>
                <w:rFonts w:ascii="Times New Roman"/>
                <w:sz w:val="21"/>
              </w:rPr>
            </w:pPr>
            <w:r>
              <w:rPr>
                <w:rFonts w:ascii="Times New Roman"/>
                <w:sz w:val="21"/>
              </w:rPr>
              <w:t>2019.04.14</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2:00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2"/>
              <w:rPr>
                <w:rFonts w:ascii="Times New Roman"/>
                <w:sz w:val="21"/>
              </w:rPr>
            </w:pPr>
            <w:r>
              <w:rPr>
                <w:rFonts w:ascii="Times New Roman"/>
                <w:sz w:val="21"/>
              </w:rPr>
              <w:t>NE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1.2</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2/4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5.5</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100.9</w:t>
            </w:r>
          </w:p>
        </w:tc>
      </w:tr>
      <w:tr>
        <w:trPr>
          <w:trHeight w:val="395"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8"/>
              <w:ind w:left="340"/>
              <w:jc w:val="left"/>
              <w:rPr>
                <w:rFonts w:ascii="Times New Roman"/>
                <w:sz w:val="21"/>
              </w:rPr>
            </w:pPr>
            <w:r>
              <w:rPr>
                <w:rFonts w:ascii="Times New Roman"/>
                <w:sz w:val="21"/>
              </w:rPr>
              <w:t>8:00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5" w:right="142"/>
              <w:rPr>
                <w:rFonts w:ascii="Times New Roman"/>
                <w:sz w:val="21"/>
              </w:rPr>
            </w:pPr>
            <w:r>
              <w:rPr>
                <w:rFonts w:ascii="Times New Roman"/>
                <w:sz w:val="21"/>
              </w:rPr>
              <w:t>NE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94" w:right="72"/>
              <w:rPr>
                <w:rFonts w:ascii="Times New Roman"/>
                <w:sz w:val="21"/>
              </w:rPr>
            </w:pPr>
            <w:r>
              <w:rPr>
                <w:rFonts w:ascii="Times New Roman"/>
                <w:sz w:val="21"/>
              </w:rPr>
              <w:t>2.6</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3" w:right="146"/>
              <w:rPr>
                <w:rFonts w:ascii="Times New Roman"/>
                <w:sz w:val="21"/>
              </w:rPr>
            </w:pPr>
            <w:r>
              <w:rPr>
                <w:rFonts w:ascii="Times New Roman"/>
                <w:sz w:val="21"/>
              </w:rPr>
              <w:t>2/3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88" w:right="72"/>
              <w:rPr>
                <w:rFonts w:ascii="Times New Roman"/>
                <w:sz w:val="21"/>
              </w:rPr>
            </w:pPr>
            <w:r>
              <w:rPr>
                <w:rFonts w:ascii="Times New Roman"/>
                <w:sz w:val="21"/>
              </w:rPr>
              <w:t>9.8</w:t>
            </w:r>
          </w:p>
        </w:tc>
        <w:tc>
          <w:tcPr>
            <w:tcW w:w="1261" w:type="dxa"/>
            <w:tcBorders>
              <w:top w:val="single" w:sz="6" w:space="0" w:color="000000"/>
              <w:left w:val="single" w:sz="6" w:space="0" w:color="000000"/>
              <w:bottom w:val="single" w:sz="6" w:space="0" w:color="000000"/>
            </w:tcBorders>
          </w:tcPr>
          <w:p>
            <w:pPr>
              <w:pStyle w:val="TableParagraph"/>
              <w:spacing w:before="88"/>
              <w:ind w:left="373" w:right="353"/>
              <w:rPr>
                <w:rFonts w:ascii="Times New Roman"/>
                <w:sz w:val="21"/>
              </w:rPr>
            </w:pPr>
            <w:r>
              <w:rPr>
                <w:rFonts w:ascii="Times New Roman"/>
                <w:sz w:val="21"/>
              </w:rPr>
              <w:t>100.7</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14:00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2"/>
              <w:rPr>
                <w:rFonts w:ascii="Times New Roman"/>
                <w:sz w:val="21"/>
              </w:rPr>
            </w:pPr>
            <w:r>
              <w:rPr>
                <w:rFonts w:ascii="Times New Roman"/>
                <w:sz w:val="21"/>
              </w:rPr>
              <w:t>NE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2.2</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1/3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16.3</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100.6</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20:00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2"/>
              <w:rPr>
                <w:rFonts w:ascii="Times New Roman"/>
                <w:sz w:val="21"/>
              </w:rPr>
            </w:pPr>
            <w:r>
              <w:rPr>
                <w:rFonts w:ascii="Times New Roman"/>
                <w:sz w:val="21"/>
              </w:rPr>
              <w:t>NE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1.6</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1/3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10.7</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100.7</w:t>
            </w:r>
          </w:p>
        </w:tc>
      </w:tr>
      <w:tr>
        <w:trPr>
          <w:trHeight w:val="395" w:hRule="atLeast"/>
        </w:trPr>
        <w:tc>
          <w:tcPr>
            <w:tcW w:w="1162" w:type="dxa"/>
            <w:vMerge w:val="restart"/>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8"/>
              <w:jc w:val="left"/>
              <w:rPr>
                <w:sz w:val="11"/>
              </w:rPr>
            </w:pPr>
          </w:p>
          <w:p>
            <w:pPr>
              <w:pStyle w:val="TableParagraph"/>
              <w:ind w:left="107"/>
              <w:jc w:val="left"/>
              <w:rPr>
                <w:rFonts w:ascii="Times New Roman"/>
                <w:sz w:val="21"/>
              </w:rPr>
            </w:pPr>
            <w:r>
              <w:rPr>
                <w:rFonts w:ascii="Times New Roman"/>
                <w:sz w:val="21"/>
              </w:rPr>
              <w:t>2019.04.15</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8"/>
              <w:ind w:left="340"/>
              <w:jc w:val="left"/>
              <w:rPr>
                <w:rFonts w:ascii="Times New Roman"/>
                <w:sz w:val="21"/>
              </w:rPr>
            </w:pPr>
            <w:r>
              <w:rPr>
                <w:rFonts w:ascii="Times New Roman"/>
                <w:sz w:val="21"/>
              </w:rPr>
              <w:t>2:00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94" w:right="72"/>
              <w:rPr>
                <w:rFonts w:ascii="Times New Roman"/>
                <w:sz w:val="21"/>
              </w:rPr>
            </w:pPr>
            <w:r>
              <w:rPr>
                <w:rFonts w:ascii="Times New Roman"/>
                <w:sz w:val="21"/>
              </w:rPr>
              <w:t>0.7</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3" w:right="146"/>
              <w:rPr>
                <w:rFonts w:ascii="Times New Roman"/>
                <w:sz w:val="21"/>
              </w:rPr>
            </w:pPr>
            <w:r>
              <w:rPr>
                <w:rFonts w:ascii="Times New Roman"/>
                <w:sz w:val="21"/>
              </w:rPr>
              <w:t>3/4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88" w:right="72"/>
              <w:rPr>
                <w:rFonts w:ascii="Times New Roman"/>
                <w:sz w:val="21"/>
              </w:rPr>
            </w:pPr>
            <w:r>
              <w:rPr>
                <w:rFonts w:ascii="Times New Roman"/>
                <w:sz w:val="21"/>
              </w:rPr>
              <w:t>7.2</w:t>
            </w:r>
          </w:p>
        </w:tc>
        <w:tc>
          <w:tcPr>
            <w:tcW w:w="1261" w:type="dxa"/>
            <w:tcBorders>
              <w:top w:val="single" w:sz="6" w:space="0" w:color="000000"/>
              <w:left w:val="single" w:sz="6" w:space="0" w:color="000000"/>
              <w:bottom w:val="single" w:sz="6" w:space="0" w:color="000000"/>
            </w:tcBorders>
          </w:tcPr>
          <w:p>
            <w:pPr>
              <w:pStyle w:val="TableParagraph"/>
              <w:spacing w:before="88"/>
              <w:ind w:left="373" w:right="353"/>
              <w:rPr>
                <w:rFonts w:ascii="Times New Roman"/>
                <w:sz w:val="21"/>
              </w:rPr>
            </w:pPr>
            <w:r>
              <w:rPr>
                <w:rFonts w:ascii="Times New Roman"/>
                <w:sz w:val="21"/>
              </w:rPr>
              <w:t>100.8</w:t>
            </w:r>
          </w:p>
        </w:tc>
      </w:tr>
      <w:tr>
        <w:trPr>
          <w:trHeight w:val="398"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8:00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2.6</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3/4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13.5</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100.6</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14:00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20"/>
              <w:rPr>
                <w:rFonts w:ascii="Times New Roman"/>
                <w:sz w:val="21"/>
              </w:rPr>
            </w:pPr>
            <w:r>
              <w:rPr>
                <w:rFonts w:ascii="Times New Roman"/>
                <w:w w:val="100"/>
                <w:sz w:val="21"/>
              </w:rPr>
              <w:t>S</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2.1</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3/4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18.9</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100.3</w:t>
            </w:r>
          </w:p>
        </w:tc>
      </w:tr>
      <w:tr>
        <w:trPr>
          <w:trHeight w:val="395"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8"/>
              <w:ind w:left="287"/>
              <w:jc w:val="left"/>
              <w:rPr>
                <w:rFonts w:ascii="Times New Roman"/>
                <w:sz w:val="21"/>
              </w:rPr>
            </w:pPr>
            <w:r>
              <w:rPr>
                <w:rFonts w:ascii="Times New Roman"/>
                <w:sz w:val="21"/>
              </w:rPr>
              <w:t>20:00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94" w:right="72"/>
              <w:rPr>
                <w:rFonts w:ascii="Times New Roman"/>
                <w:sz w:val="21"/>
              </w:rPr>
            </w:pPr>
            <w:r>
              <w:rPr>
                <w:rFonts w:ascii="Times New Roman"/>
                <w:sz w:val="21"/>
              </w:rPr>
              <w:t>2.0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3" w:right="146"/>
              <w:rPr>
                <w:rFonts w:ascii="Times New Roman"/>
                <w:sz w:val="21"/>
              </w:rPr>
            </w:pPr>
            <w:r>
              <w:rPr>
                <w:rFonts w:ascii="Times New Roman"/>
                <w:sz w:val="21"/>
              </w:rPr>
              <w:t>4/5</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88" w:right="72"/>
              <w:rPr>
                <w:rFonts w:ascii="Times New Roman"/>
                <w:sz w:val="21"/>
              </w:rPr>
            </w:pPr>
            <w:r>
              <w:rPr>
                <w:rFonts w:ascii="Times New Roman"/>
                <w:sz w:val="21"/>
              </w:rPr>
              <w:t>12.6</w:t>
            </w:r>
          </w:p>
        </w:tc>
        <w:tc>
          <w:tcPr>
            <w:tcW w:w="1261" w:type="dxa"/>
            <w:tcBorders>
              <w:top w:val="single" w:sz="6" w:space="0" w:color="000000"/>
              <w:left w:val="single" w:sz="6" w:space="0" w:color="000000"/>
              <w:bottom w:val="single" w:sz="6" w:space="0" w:color="000000"/>
            </w:tcBorders>
          </w:tcPr>
          <w:p>
            <w:pPr>
              <w:pStyle w:val="TableParagraph"/>
              <w:spacing w:before="88"/>
              <w:ind w:left="373" w:right="353"/>
              <w:rPr>
                <w:rFonts w:ascii="Times New Roman"/>
                <w:sz w:val="21"/>
              </w:rPr>
            </w:pPr>
            <w:r>
              <w:rPr>
                <w:rFonts w:ascii="Times New Roman"/>
                <w:sz w:val="21"/>
              </w:rPr>
              <w:t>100.5</w:t>
            </w:r>
          </w:p>
        </w:tc>
      </w:tr>
      <w:tr>
        <w:trPr>
          <w:trHeight w:val="397" w:hRule="atLeast"/>
        </w:trPr>
        <w:tc>
          <w:tcPr>
            <w:tcW w:w="1162" w:type="dxa"/>
            <w:vMerge w:val="restart"/>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10"/>
              <w:jc w:val="left"/>
              <w:rPr>
                <w:sz w:val="11"/>
              </w:rPr>
            </w:pPr>
          </w:p>
          <w:p>
            <w:pPr>
              <w:pStyle w:val="TableParagraph"/>
              <w:ind w:left="107"/>
              <w:jc w:val="left"/>
              <w:rPr>
                <w:rFonts w:ascii="Times New Roman"/>
                <w:sz w:val="21"/>
              </w:rPr>
            </w:pPr>
            <w:r>
              <w:rPr>
                <w:rFonts w:ascii="Times New Roman"/>
                <w:sz w:val="21"/>
              </w:rPr>
              <w:t>2019.04.16</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2:00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0.8</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3/6</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3.2</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101.0</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8:00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2.2</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3/5</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8.9</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100.7</w:t>
            </w:r>
          </w:p>
        </w:tc>
      </w:tr>
      <w:tr>
        <w:trPr>
          <w:trHeight w:val="395"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8"/>
              <w:ind w:left="287"/>
              <w:jc w:val="left"/>
              <w:rPr>
                <w:rFonts w:ascii="Times New Roman"/>
                <w:sz w:val="21"/>
              </w:rPr>
            </w:pPr>
            <w:r>
              <w:rPr>
                <w:rFonts w:ascii="Times New Roman"/>
                <w:sz w:val="21"/>
              </w:rPr>
              <w:t>14:00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94" w:right="72"/>
              <w:rPr>
                <w:rFonts w:ascii="Times New Roman"/>
                <w:sz w:val="21"/>
              </w:rPr>
            </w:pPr>
            <w:r>
              <w:rPr>
                <w:rFonts w:ascii="Times New Roman"/>
                <w:sz w:val="21"/>
              </w:rPr>
              <w:t>2.7</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3" w:right="146"/>
              <w:rPr>
                <w:rFonts w:ascii="Times New Roman"/>
                <w:sz w:val="21"/>
              </w:rPr>
            </w:pPr>
            <w:r>
              <w:rPr>
                <w:rFonts w:ascii="Times New Roman"/>
                <w:sz w:val="21"/>
              </w:rPr>
              <w:t>3/5</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88" w:right="72"/>
              <w:rPr>
                <w:rFonts w:ascii="Times New Roman"/>
                <w:sz w:val="21"/>
              </w:rPr>
            </w:pPr>
            <w:r>
              <w:rPr>
                <w:rFonts w:ascii="Times New Roman"/>
                <w:sz w:val="21"/>
              </w:rPr>
              <w:t>15.3</w:t>
            </w:r>
          </w:p>
        </w:tc>
        <w:tc>
          <w:tcPr>
            <w:tcW w:w="1261" w:type="dxa"/>
            <w:tcBorders>
              <w:top w:val="single" w:sz="6" w:space="0" w:color="000000"/>
              <w:left w:val="single" w:sz="6" w:space="0" w:color="000000"/>
              <w:bottom w:val="single" w:sz="6" w:space="0" w:color="000000"/>
            </w:tcBorders>
          </w:tcPr>
          <w:p>
            <w:pPr>
              <w:pStyle w:val="TableParagraph"/>
              <w:spacing w:before="88"/>
              <w:ind w:left="373" w:right="353"/>
              <w:rPr>
                <w:rFonts w:ascii="Times New Roman"/>
                <w:sz w:val="21"/>
              </w:rPr>
            </w:pPr>
            <w:r>
              <w:rPr>
                <w:rFonts w:ascii="Times New Roman"/>
                <w:sz w:val="21"/>
              </w:rPr>
              <w:t>100.5</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20:00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1.3</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2/4</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10.2</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100.8</w:t>
            </w:r>
          </w:p>
        </w:tc>
      </w:tr>
      <w:tr>
        <w:trPr>
          <w:trHeight w:val="397" w:hRule="atLeast"/>
        </w:trPr>
        <w:tc>
          <w:tcPr>
            <w:tcW w:w="1162" w:type="dxa"/>
            <w:vMerge w:val="restart"/>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8"/>
              <w:jc w:val="left"/>
              <w:rPr>
                <w:sz w:val="11"/>
              </w:rPr>
            </w:pPr>
          </w:p>
          <w:p>
            <w:pPr>
              <w:pStyle w:val="TableParagraph"/>
              <w:ind w:left="107"/>
              <w:jc w:val="left"/>
              <w:rPr>
                <w:rFonts w:ascii="Times New Roman"/>
                <w:sz w:val="21"/>
              </w:rPr>
            </w:pPr>
            <w:r>
              <w:rPr>
                <w:rFonts w:ascii="Times New Roman"/>
                <w:sz w:val="21"/>
              </w:rPr>
              <w:t>2019.04.17</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340"/>
              <w:jc w:val="left"/>
              <w:rPr>
                <w:rFonts w:ascii="Times New Roman"/>
                <w:sz w:val="21"/>
              </w:rPr>
            </w:pPr>
            <w:r>
              <w:rPr>
                <w:rFonts w:ascii="Times New Roman"/>
                <w:sz w:val="21"/>
              </w:rPr>
              <w:t>2:00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20"/>
              <w:rPr>
                <w:rFonts w:ascii="Times New Roman"/>
                <w:sz w:val="21"/>
              </w:rPr>
            </w:pPr>
            <w:r>
              <w:rPr>
                <w:rFonts w:ascii="Times New Roman"/>
                <w:w w:val="100"/>
                <w:sz w:val="21"/>
              </w:rPr>
              <w:t>S</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0.6</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2/3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10.2</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100.9</w:t>
            </w:r>
          </w:p>
        </w:tc>
      </w:tr>
      <w:tr>
        <w:trPr>
          <w:trHeight w:val="395"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9"/>
              <w:ind w:left="340"/>
              <w:jc w:val="left"/>
              <w:rPr>
                <w:rFonts w:ascii="Times New Roman"/>
                <w:sz w:val="21"/>
              </w:rPr>
            </w:pPr>
            <w:r>
              <w:rPr>
                <w:rFonts w:ascii="Times New Roman"/>
                <w:sz w:val="21"/>
              </w:rPr>
              <w:t>8:00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9"/>
              <w:ind w:left="20"/>
              <w:rPr>
                <w:rFonts w:ascii="Times New Roman"/>
                <w:sz w:val="21"/>
              </w:rPr>
            </w:pPr>
            <w:r>
              <w:rPr>
                <w:rFonts w:ascii="Times New Roman"/>
                <w:w w:val="100"/>
                <w:sz w:val="21"/>
              </w:rPr>
              <w:t>S</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9"/>
              <w:ind w:left="94" w:right="72"/>
              <w:rPr>
                <w:rFonts w:ascii="Times New Roman"/>
                <w:sz w:val="21"/>
              </w:rPr>
            </w:pPr>
            <w:r>
              <w:rPr>
                <w:rFonts w:ascii="Times New Roman"/>
                <w:sz w:val="21"/>
              </w:rPr>
              <w:t>0.7</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9"/>
              <w:ind w:left="163" w:right="146"/>
              <w:rPr>
                <w:rFonts w:ascii="Times New Roman"/>
                <w:sz w:val="21"/>
              </w:rPr>
            </w:pPr>
            <w:r>
              <w:rPr>
                <w:rFonts w:ascii="Times New Roman"/>
                <w:sz w:val="21"/>
              </w:rPr>
              <w:t>1/3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9"/>
              <w:ind w:left="88" w:right="72"/>
              <w:rPr>
                <w:rFonts w:ascii="Times New Roman"/>
                <w:sz w:val="21"/>
              </w:rPr>
            </w:pPr>
            <w:r>
              <w:rPr>
                <w:rFonts w:ascii="Times New Roman"/>
                <w:sz w:val="21"/>
              </w:rPr>
              <w:t>14.6</w:t>
            </w:r>
          </w:p>
        </w:tc>
        <w:tc>
          <w:tcPr>
            <w:tcW w:w="1261" w:type="dxa"/>
            <w:tcBorders>
              <w:top w:val="single" w:sz="6" w:space="0" w:color="000000"/>
              <w:left w:val="single" w:sz="6" w:space="0" w:color="000000"/>
              <w:bottom w:val="single" w:sz="6" w:space="0" w:color="000000"/>
            </w:tcBorders>
          </w:tcPr>
          <w:p>
            <w:pPr>
              <w:pStyle w:val="TableParagraph"/>
              <w:spacing w:before="89"/>
              <w:ind w:left="373" w:right="353"/>
              <w:rPr>
                <w:rFonts w:ascii="Times New Roman"/>
                <w:sz w:val="21"/>
              </w:rPr>
            </w:pPr>
            <w:r>
              <w:rPr>
                <w:rFonts w:ascii="Times New Roman"/>
                <w:sz w:val="21"/>
              </w:rPr>
              <w:t>100.6</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14:00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1.6</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1/3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21.3</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100.3</w:t>
            </w:r>
          </w:p>
        </w:tc>
      </w:tr>
      <w:tr>
        <w:trPr>
          <w:trHeight w:val="397" w:hRule="atLeast"/>
        </w:trPr>
        <w:tc>
          <w:tcPr>
            <w:tcW w:w="1162" w:type="dxa"/>
            <w:vMerge/>
            <w:tcBorders>
              <w:top w:val="nil"/>
              <w:bottom w:val="single" w:sz="6" w:space="0" w:color="000000"/>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91"/>
              <w:ind w:left="287"/>
              <w:jc w:val="left"/>
              <w:rPr>
                <w:rFonts w:ascii="Times New Roman"/>
                <w:sz w:val="21"/>
              </w:rPr>
            </w:pPr>
            <w:r>
              <w:rPr>
                <w:rFonts w:ascii="Times New Roman"/>
                <w:sz w:val="21"/>
              </w:rPr>
              <w:t>20:00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5" w:right="143"/>
              <w:rPr>
                <w:rFonts w:ascii="Times New Roman"/>
                <w:sz w:val="21"/>
              </w:rPr>
            </w:pPr>
            <w:r>
              <w:rPr>
                <w:rFonts w:ascii="Times New Roman"/>
                <w:sz w:val="21"/>
              </w:rPr>
              <w:t>SW</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94" w:right="72"/>
              <w:rPr>
                <w:rFonts w:ascii="Times New Roman"/>
                <w:sz w:val="21"/>
              </w:rPr>
            </w:pPr>
            <w:r>
              <w:rPr>
                <w:rFonts w:ascii="Times New Roman"/>
                <w:sz w:val="21"/>
              </w:rPr>
              <w:t>1.1</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91"/>
              <w:ind w:left="163" w:right="146"/>
              <w:rPr>
                <w:rFonts w:ascii="Times New Roman"/>
                <w:sz w:val="21"/>
              </w:rPr>
            </w:pPr>
            <w:r>
              <w:rPr>
                <w:rFonts w:ascii="Times New Roman"/>
                <w:sz w:val="21"/>
              </w:rPr>
              <w:t>1/3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91"/>
              <w:ind w:left="88" w:right="72"/>
              <w:rPr>
                <w:rFonts w:ascii="Times New Roman"/>
                <w:sz w:val="21"/>
              </w:rPr>
            </w:pPr>
            <w:r>
              <w:rPr>
                <w:rFonts w:ascii="Times New Roman"/>
                <w:sz w:val="21"/>
              </w:rPr>
              <w:t>12.9</w:t>
            </w:r>
          </w:p>
        </w:tc>
        <w:tc>
          <w:tcPr>
            <w:tcW w:w="1261" w:type="dxa"/>
            <w:tcBorders>
              <w:top w:val="single" w:sz="6" w:space="0" w:color="000000"/>
              <w:left w:val="single" w:sz="6" w:space="0" w:color="000000"/>
              <w:bottom w:val="single" w:sz="6" w:space="0" w:color="000000"/>
            </w:tcBorders>
          </w:tcPr>
          <w:p>
            <w:pPr>
              <w:pStyle w:val="TableParagraph"/>
              <w:spacing w:before="91"/>
              <w:ind w:left="373" w:right="353"/>
              <w:rPr>
                <w:rFonts w:ascii="Times New Roman"/>
                <w:sz w:val="21"/>
              </w:rPr>
            </w:pPr>
            <w:r>
              <w:rPr>
                <w:rFonts w:ascii="Times New Roman"/>
                <w:sz w:val="21"/>
              </w:rPr>
              <w:t>100.7</w:t>
            </w:r>
          </w:p>
        </w:tc>
      </w:tr>
      <w:tr>
        <w:trPr>
          <w:trHeight w:val="387" w:hRule="atLeast"/>
        </w:trPr>
        <w:tc>
          <w:tcPr>
            <w:tcW w:w="1162" w:type="dxa"/>
            <w:vMerge w:val="restart"/>
            <w:tcBorders>
              <w:top w:val="single" w:sz="6" w:space="0" w:color="000000"/>
              <w:right w:val="single" w:sz="6" w:space="0" w:color="000000"/>
            </w:tcBorders>
          </w:tcPr>
          <w:p>
            <w:pPr>
              <w:pStyle w:val="TableParagraph"/>
              <w:jc w:val="left"/>
              <w:rPr>
                <w:sz w:val="22"/>
              </w:rPr>
            </w:pPr>
          </w:p>
          <w:p>
            <w:pPr>
              <w:pStyle w:val="TableParagraph"/>
              <w:spacing w:before="8"/>
              <w:jc w:val="left"/>
              <w:rPr>
                <w:sz w:val="11"/>
              </w:rPr>
            </w:pPr>
          </w:p>
          <w:p>
            <w:pPr>
              <w:pStyle w:val="TableParagraph"/>
              <w:ind w:left="107"/>
              <w:jc w:val="left"/>
              <w:rPr>
                <w:rFonts w:ascii="Times New Roman"/>
                <w:sz w:val="21"/>
              </w:rPr>
            </w:pPr>
            <w:r>
              <w:rPr>
                <w:rFonts w:ascii="Times New Roman"/>
                <w:sz w:val="21"/>
              </w:rPr>
              <w:t>2019.04.18</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8"/>
              <w:ind w:left="340"/>
              <w:jc w:val="left"/>
              <w:rPr>
                <w:rFonts w:ascii="Times New Roman"/>
                <w:sz w:val="21"/>
              </w:rPr>
            </w:pPr>
            <w:r>
              <w:rPr>
                <w:rFonts w:ascii="Times New Roman"/>
                <w:sz w:val="21"/>
              </w:rPr>
              <w:t>2:00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94" w:right="72"/>
              <w:rPr>
                <w:rFonts w:ascii="Times New Roman"/>
                <w:sz w:val="21"/>
              </w:rPr>
            </w:pPr>
            <w:r>
              <w:rPr>
                <w:rFonts w:ascii="Times New Roman"/>
                <w:sz w:val="21"/>
              </w:rPr>
              <w:t>1.4</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8"/>
              <w:ind w:left="163" w:right="146"/>
              <w:rPr>
                <w:rFonts w:ascii="Times New Roman"/>
                <w:sz w:val="21"/>
              </w:rPr>
            </w:pPr>
            <w:r>
              <w:rPr>
                <w:rFonts w:ascii="Times New Roman"/>
                <w:sz w:val="21"/>
              </w:rPr>
              <w:t>1/3</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8"/>
              <w:ind w:left="88" w:right="72"/>
              <w:rPr>
                <w:rFonts w:ascii="Times New Roman"/>
                <w:sz w:val="21"/>
              </w:rPr>
            </w:pPr>
            <w:r>
              <w:rPr>
                <w:rFonts w:ascii="Times New Roman"/>
                <w:sz w:val="21"/>
              </w:rPr>
              <w:t>10.9</w:t>
            </w:r>
          </w:p>
        </w:tc>
        <w:tc>
          <w:tcPr>
            <w:tcW w:w="1261" w:type="dxa"/>
            <w:tcBorders>
              <w:top w:val="single" w:sz="6" w:space="0" w:color="000000"/>
              <w:left w:val="single" w:sz="6" w:space="0" w:color="000000"/>
              <w:bottom w:val="single" w:sz="6" w:space="0" w:color="000000"/>
            </w:tcBorders>
          </w:tcPr>
          <w:p>
            <w:pPr>
              <w:pStyle w:val="TableParagraph"/>
              <w:spacing w:before="88"/>
              <w:ind w:left="373" w:right="353"/>
              <w:rPr>
                <w:rFonts w:ascii="Times New Roman"/>
                <w:sz w:val="21"/>
              </w:rPr>
            </w:pPr>
            <w:r>
              <w:rPr>
                <w:rFonts w:ascii="Times New Roman"/>
                <w:sz w:val="21"/>
              </w:rPr>
              <w:t>100.8</w:t>
            </w:r>
          </w:p>
        </w:tc>
      </w:tr>
      <w:tr>
        <w:trPr>
          <w:trHeight w:val="382" w:hRule="atLeast"/>
        </w:trPr>
        <w:tc>
          <w:tcPr>
            <w:tcW w:w="1162" w:type="dxa"/>
            <w:vMerge/>
            <w:tcBorders>
              <w:top w:val="nil"/>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3"/>
              <w:ind w:left="340"/>
              <w:jc w:val="left"/>
              <w:rPr>
                <w:rFonts w:ascii="Times New Roman"/>
                <w:sz w:val="21"/>
              </w:rPr>
            </w:pPr>
            <w:r>
              <w:rPr>
                <w:rFonts w:ascii="Times New Roman"/>
                <w:sz w:val="21"/>
              </w:rPr>
              <w:t>8:00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3"/>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3"/>
              <w:ind w:left="94" w:right="72"/>
              <w:rPr>
                <w:rFonts w:ascii="Times New Roman"/>
                <w:sz w:val="21"/>
              </w:rPr>
            </w:pPr>
            <w:r>
              <w:rPr>
                <w:rFonts w:ascii="Times New Roman"/>
                <w:sz w:val="21"/>
              </w:rPr>
              <w:t>2.0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3"/>
              <w:ind w:left="163" w:right="146"/>
              <w:rPr>
                <w:rFonts w:ascii="Times New Roman"/>
                <w:sz w:val="21"/>
              </w:rPr>
            </w:pPr>
            <w:r>
              <w:rPr>
                <w:rFonts w:ascii="Times New Roman"/>
                <w:sz w:val="21"/>
              </w:rPr>
              <w:t>1/2</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3"/>
              <w:ind w:left="88" w:right="72"/>
              <w:rPr>
                <w:rFonts w:ascii="Times New Roman"/>
                <w:sz w:val="21"/>
              </w:rPr>
            </w:pPr>
            <w:r>
              <w:rPr>
                <w:rFonts w:ascii="Times New Roman"/>
                <w:sz w:val="21"/>
              </w:rPr>
              <w:t>16.1</w:t>
            </w:r>
          </w:p>
        </w:tc>
        <w:tc>
          <w:tcPr>
            <w:tcW w:w="1261" w:type="dxa"/>
            <w:tcBorders>
              <w:top w:val="single" w:sz="6" w:space="0" w:color="000000"/>
              <w:left w:val="single" w:sz="6" w:space="0" w:color="000000"/>
              <w:bottom w:val="single" w:sz="6" w:space="0" w:color="000000"/>
            </w:tcBorders>
          </w:tcPr>
          <w:p>
            <w:pPr>
              <w:pStyle w:val="TableParagraph"/>
              <w:spacing w:before="83"/>
              <w:ind w:left="373" w:right="353"/>
              <w:rPr>
                <w:rFonts w:ascii="Times New Roman"/>
                <w:sz w:val="21"/>
              </w:rPr>
            </w:pPr>
            <w:r>
              <w:rPr>
                <w:rFonts w:ascii="Times New Roman"/>
                <w:sz w:val="21"/>
              </w:rPr>
              <w:t>100.5</w:t>
            </w:r>
          </w:p>
        </w:tc>
      </w:tr>
      <w:tr>
        <w:trPr>
          <w:trHeight w:val="382" w:hRule="atLeast"/>
        </w:trPr>
        <w:tc>
          <w:tcPr>
            <w:tcW w:w="1162" w:type="dxa"/>
            <w:vMerge/>
            <w:tcBorders>
              <w:top w:val="nil"/>
              <w:right w:val="single" w:sz="6" w:space="0" w:color="000000"/>
            </w:tcBorders>
          </w:tcPr>
          <w:p>
            <w:pPr>
              <w:rPr>
                <w:sz w:val="2"/>
                <w:szCs w:val="2"/>
              </w:rPr>
            </w:pP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83"/>
              <w:ind w:left="287"/>
              <w:jc w:val="left"/>
              <w:rPr>
                <w:rFonts w:ascii="Times New Roman"/>
                <w:sz w:val="21"/>
              </w:rPr>
            </w:pPr>
            <w:r>
              <w:rPr>
                <w:rFonts w:ascii="Times New Roman"/>
                <w:sz w:val="21"/>
              </w:rPr>
              <w:t>14:00</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3"/>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3"/>
              <w:ind w:left="94" w:right="72"/>
              <w:rPr>
                <w:rFonts w:ascii="Times New Roman"/>
                <w:sz w:val="21"/>
              </w:rPr>
            </w:pPr>
            <w:r>
              <w:rPr>
                <w:rFonts w:ascii="Times New Roman"/>
                <w:sz w:val="21"/>
              </w:rPr>
              <w:t>3.3</w:t>
            </w:r>
          </w:p>
        </w:tc>
        <w:tc>
          <w:tcPr>
            <w:tcW w:w="1266" w:type="dxa"/>
            <w:tcBorders>
              <w:top w:val="single" w:sz="6" w:space="0" w:color="000000"/>
              <w:left w:val="single" w:sz="6" w:space="0" w:color="000000"/>
              <w:bottom w:val="single" w:sz="6" w:space="0" w:color="000000"/>
              <w:right w:val="single" w:sz="6" w:space="0" w:color="000000"/>
            </w:tcBorders>
          </w:tcPr>
          <w:p>
            <w:pPr>
              <w:pStyle w:val="TableParagraph"/>
              <w:spacing w:before="83"/>
              <w:ind w:left="163" w:right="146"/>
              <w:rPr>
                <w:rFonts w:ascii="Times New Roman"/>
                <w:sz w:val="21"/>
              </w:rPr>
            </w:pPr>
            <w:r>
              <w:rPr>
                <w:rFonts w:ascii="Times New Roman"/>
                <w:sz w:val="21"/>
              </w:rPr>
              <w:t>1/2</w:t>
            </w:r>
          </w:p>
        </w:tc>
        <w:tc>
          <w:tcPr>
            <w:tcW w:w="1269" w:type="dxa"/>
            <w:tcBorders>
              <w:top w:val="single" w:sz="6" w:space="0" w:color="000000"/>
              <w:left w:val="single" w:sz="6" w:space="0" w:color="000000"/>
              <w:bottom w:val="single" w:sz="6" w:space="0" w:color="000000"/>
              <w:right w:val="single" w:sz="6" w:space="0" w:color="000000"/>
            </w:tcBorders>
          </w:tcPr>
          <w:p>
            <w:pPr>
              <w:pStyle w:val="TableParagraph"/>
              <w:spacing w:before="83"/>
              <w:ind w:left="88" w:right="72"/>
              <w:rPr>
                <w:rFonts w:ascii="Times New Roman"/>
                <w:sz w:val="21"/>
              </w:rPr>
            </w:pPr>
            <w:r>
              <w:rPr>
                <w:rFonts w:ascii="Times New Roman"/>
                <w:sz w:val="21"/>
              </w:rPr>
              <w:t>26.2</w:t>
            </w:r>
          </w:p>
        </w:tc>
        <w:tc>
          <w:tcPr>
            <w:tcW w:w="1261" w:type="dxa"/>
            <w:tcBorders>
              <w:top w:val="single" w:sz="6" w:space="0" w:color="000000"/>
              <w:left w:val="single" w:sz="6" w:space="0" w:color="000000"/>
              <w:bottom w:val="single" w:sz="6" w:space="0" w:color="000000"/>
            </w:tcBorders>
          </w:tcPr>
          <w:p>
            <w:pPr>
              <w:pStyle w:val="TableParagraph"/>
              <w:spacing w:before="83"/>
              <w:ind w:left="373" w:right="353"/>
              <w:rPr>
                <w:rFonts w:ascii="Times New Roman"/>
                <w:sz w:val="21"/>
              </w:rPr>
            </w:pPr>
            <w:r>
              <w:rPr>
                <w:rFonts w:ascii="Times New Roman"/>
                <w:sz w:val="21"/>
              </w:rPr>
              <w:t>100.2</w:t>
            </w:r>
          </w:p>
        </w:tc>
      </w:tr>
      <w:tr>
        <w:trPr>
          <w:trHeight w:val="387" w:hRule="atLeast"/>
        </w:trPr>
        <w:tc>
          <w:tcPr>
            <w:tcW w:w="1162" w:type="dxa"/>
            <w:vMerge/>
            <w:tcBorders>
              <w:top w:val="nil"/>
              <w:right w:val="single" w:sz="6" w:space="0" w:color="000000"/>
            </w:tcBorders>
          </w:tcPr>
          <w:p>
            <w:pPr>
              <w:rPr>
                <w:sz w:val="2"/>
                <w:szCs w:val="2"/>
              </w:rPr>
            </w:pPr>
          </w:p>
        </w:tc>
        <w:tc>
          <w:tcPr>
            <w:tcW w:w="1043" w:type="dxa"/>
            <w:tcBorders>
              <w:top w:val="single" w:sz="6" w:space="0" w:color="000000"/>
              <w:left w:val="single" w:sz="6" w:space="0" w:color="000000"/>
              <w:right w:val="single" w:sz="6" w:space="0" w:color="000000"/>
            </w:tcBorders>
          </w:tcPr>
          <w:p>
            <w:pPr>
              <w:pStyle w:val="TableParagraph"/>
              <w:spacing w:before="81"/>
              <w:ind w:left="287"/>
              <w:jc w:val="left"/>
              <w:rPr>
                <w:rFonts w:ascii="Times New Roman"/>
                <w:sz w:val="21"/>
              </w:rPr>
            </w:pPr>
            <w:r>
              <w:rPr>
                <w:rFonts w:ascii="Times New Roman"/>
                <w:sz w:val="21"/>
              </w:rPr>
              <w:t>20:00</w:t>
            </w:r>
          </w:p>
        </w:tc>
        <w:tc>
          <w:tcPr>
            <w:tcW w:w="1266" w:type="dxa"/>
            <w:tcBorders>
              <w:top w:val="single" w:sz="6" w:space="0" w:color="000000"/>
              <w:left w:val="single" w:sz="6" w:space="0" w:color="000000"/>
              <w:right w:val="single" w:sz="6" w:space="0" w:color="000000"/>
            </w:tcBorders>
          </w:tcPr>
          <w:p>
            <w:pPr>
              <w:pStyle w:val="TableParagraph"/>
              <w:spacing w:before="81"/>
              <w:ind w:left="165" w:right="141"/>
              <w:rPr>
                <w:rFonts w:ascii="Times New Roman"/>
                <w:sz w:val="21"/>
              </w:rPr>
            </w:pPr>
            <w:r>
              <w:rPr>
                <w:rFonts w:ascii="Times New Roman"/>
                <w:sz w:val="21"/>
              </w:rPr>
              <w:t>SE</w:t>
            </w:r>
          </w:p>
        </w:tc>
        <w:tc>
          <w:tcPr>
            <w:tcW w:w="1269" w:type="dxa"/>
            <w:tcBorders>
              <w:top w:val="single" w:sz="6" w:space="0" w:color="000000"/>
              <w:left w:val="single" w:sz="6" w:space="0" w:color="000000"/>
              <w:right w:val="single" w:sz="6" w:space="0" w:color="000000"/>
            </w:tcBorders>
          </w:tcPr>
          <w:p>
            <w:pPr>
              <w:pStyle w:val="TableParagraph"/>
              <w:spacing w:before="81"/>
              <w:ind w:left="94" w:right="72"/>
              <w:rPr>
                <w:rFonts w:ascii="Times New Roman"/>
                <w:sz w:val="21"/>
              </w:rPr>
            </w:pPr>
            <w:r>
              <w:rPr>
                <w:rFonts w:ascii="Times New Roman"/>
                <w:sz w:val="21"/>
              </w:rPr>
              <w:t>2.7</w:t>
            </w:r>
          </w:p>
        </w:tc>
        <w:tc>
          <w:tcPr>
            <w:tcW w:w="1266" w:type="dxa"/>
            <w:tcBorders>
              <w:top w:val="single" w:sz="6" w:space="0" w:color="000000"/>
              <w:left w:val="single" w:sz="6" w:space="0" w:color="000000"/>
              <w:right w:val="single" w:sz="6" w:space="0" w:color="000000"/>
            </w:tcBorders>
          </w:tcPr>
          <w:p>
            <w:pPr>
              <w:pStyle w:val="TableParagraph"/>
              <w:spacing w:before="81"/>
              <w:ind w:left="163" w:right="146"/>
              <w:rPr>
                <w:rFonts w:ascii="Times New Roman"/>
                <w:sz w:val="21"/>
              </w:rPr>
            </w:pPr>
            <w:r>
              <w:rPr>
                <w:rFonts w:ascii="Times New Roman"/>
                <w:sz w:val="21"/>
              </w:rPr>
              <w:t>1/2</w:t>
            </w:r>
          </w:p>
        </w:tc>
        <w:tc>
          <w:tcPr>
            <w:tcW w:w="1269" w:type="dxa"/>
            <w:tcBorders>
              <w:top w:val="single" w:sz="6" w:space="0" w:color="000000"/>
              <w:left w:val="single" w:sz="6" w:space="0" w:color="000000"/>
              <w:right w:val="single" w:sz="6" w:space="0" w:color="000000"/>
            </w:tcBorders>
          </w:tcPr>
          <w:p>
            <w:pPr>
              <w:pStyle w:val="TableParagraph"/>
              <w:spacing w:before="81"/>
              <w:ind w:left="88" w:right="72"/>
              <w:rPr>
                <w:rFonts w:ascii="Times New Roman"/>
                <w:sz w:val="21"/>
              </w:rPr>
            </w:pPr>
            <w:r>
              <w:rPr>
                <w:rFonts w:ascii="Times New Roman"/>
                <w:sz w:val="21"/>
              </w:rPr>
              <w:t>15.8</w:t>
            </w:r>
          </w:p>
        </w:tc>
        <w:tc>
          <w:tcPr>
            <w:tcW w:w="1261" w:type="dxa"/>
            <w:tcBorders>
              <w:top w:val="single" w:sz="6" w:space="0" w:color="000000"/>
              <w:left w:val="single" w:sz="6" w:space="0" w:color="000000"/>
            </w:tcBorders>
          </w:tcPr>
          <w:p>
            <w:pPr>
              <w:pStyle w:val="TableParagraph"/>
              <w:spacing w:before="81"/>
              <w:ind w:left="373" w:right="353"/>
              <w:rPr>
                <w:rFonts w:ascii="Times New Roman"/>
                <w:sz w:val="21"/>
              </w:rPr>
            </w:pPr>
            <w:r>
              <w:rPr>
                <w:rFonts w:ascii="Times New Roman"/>
                <w:sz w:val="21"/>
              </w:rPr>
              <w:t>100.5</w:t>
            </w:r>
          </w:p>
        </w:tc>
      </w:tr>
    </w:tbl>
    <w:p>
      <w:pPr>
        <w:pStyle w:val="BodyText"/>
        <w:ind w:left="1058"/>
      </w:pPr>
      <w:r>
        <w:rPr>
          <w:rFonts w:ascii="Times New Roman" w:eastAsia="Times New Roman"/>
        </w:rPr>
        <w:t>6</w:t>
      </w:r>
      <w:r>
        <w:rPr/>
        <w:t>、监测结果</w:t>
      </w:r>
    </w:p>
    <w:p>
      <w:pPr>
        <w:tabs>
          <w:tab w:pos="911" w:val="left" w:leader="none"/>
        </w:tabs>
        <w:spacing w:before="150"/>
        <w:ind w:left="0" w:right="300" w:firstLine="0"/>
        <w:jc w:val="center"/>
        <w:rPr>
          <w:sz w:val="21"/>
        </w:rPr>
      </w:pPr>
      <w:r>
        <w:rPr>
          <w:sz w:val="21"/>
        </w:rPr>
        <w:t>表</w:t>
      </w:r>
      <w:r>
        <w:rPr>
          <w:spacing w:val="7"/>
          <w:sz w:val="21"/>
        </w:rPr>
        <w:t> </w:t>
      </w:r>
      <w:r>
        <w:rPr>
          <w:rFonts w:ascii="Times New Roman" w:eastAsia="Times New Roman"/>
          <w:b/>
          <w:sz w:val="21"/>
        </w:rPr>
        <w:t>5.4-7</w:t>
        <w:tab/>
      </w:r>
      <w:r>
        <w:rPr>
          <w:sz w:val="21"/>
        </w:rPr>
        <w:t>特征因子补充</w:t>
      </w:r>
      <w:r>
        <w:rPr>
          <w:spacing w:val="-3"/>
          <w:sz w:val="21"/>
        </w:rPr>
        <w:t>监</w:t>
      </w:r>
      <w:r>
        <w:rPr>
          <w:sz w:val="21"/>
        </w:rPr>
        <w:t>测结果一览表（除</w:t>
      </w:r>
      <w:r>
        <w:rPr>
          <w:spacing w:val="-3"/>
          <w:sz w:val="21"/>
        </w:rPr>
        <w:t>臭</w:t>
      </w:r>
      <w:r>
        <w:rPr>
          <w:sz w:val="21"/>
        </w:rPr>
        <w:t>气</w:t>
      </w:r>
      <w:r>
        <w:rPr>
          <w:spacing w:val="-3"/>
          <w:sz w:val="21"/>
        </w:rPr>
        <w:t>浓</w:t>
      </w:r>
      <w:r>
        <w:rPr>
          <w:sz w:val="21"/>
        </w:rPr>
        <w:t>度无量纲外，其他</w:t>
      </w:r>
      <w:r>
        <w:rPr>
          <w:spacing w:val="-3"/>
          <w:sz w:val="21"/>
        </w:rPr>
        <w:t>单</w:t>
      </w:r>
      <w:r>
        <w:rPr>
          <w:sz w:val="21"/>
        </w:rPr>
        <w:t>位：</w:t>
      </w:r>
      <w:r>
        <w:rPr>
          <w:rFonts w:ascii="Times New Roman" w:eastAsia="Times New Roman"/>
          <w:sz w:val="21"/>
        </w:rPr>
        <w:t>mg/m</w:t>
      </w:r>
      <w:r>
        <w:rPr>
          <w:rFonts w:ascii="Times New Roman" w:eastAsia="Times New Roman"/>
          <w:position w:val="7"/>
          <w:sz w:val="14"/>
        </w:rPr>
        <w:t>3</w:t>
      </w:r>
      <w:r>
        <w:rPr>
          <w:rFonts w:ascii="Times New Roman" w:eastAsia="Times New Roman"/>
          <w:spacing w:val="4"/>
          <w:position w:val="7"/>
          <w:sz w:val="14"/>
        </w:rPr>
        <w:t> </w:t>
      </w:r>
      <w:r>
        <w:rPr>
          <w:sz w:val="21"/>
        </w:rPr>
        <w:t>）</w:t>
      </w:r>
    </w:p>
    <w:p>
      <w:pPr>
        <w:spacing w:after="0"/>
        <w:jc w:val="center"/>
        <w:rPr>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5"/>
        <w:gridCol w:w="843"/>
        <w:gridCol w:w="1243"/>
        <w:gridCol w:w="149"/>
        <w:gridCol w:w="473"/>
        <w:gridCol w:w="154"/>
        <w:gridCol w:w="178"/>
        <w:gridCol w:w="474"/>
        <w:gridCol w:w="185"/>
        <w:gridCol w:w="838"/>
        <w:gridCol w:w="838"/>
        <w:gridCol w:w="661"/>
        <w:gridCol w:w="689"/>
        <w:gridCol w:w="797"/>
      </w:tblGrid>
      <w:tr>
        <w:trPr>
          <w:trHeight w:val="357" w:hRule="atLeast"/>
        </w:trPr>
        <w:tc>
          <w:tcPr>
            <w:tcW w:w="1195" w:type="dxa"/>
            <w:vMerge w:val="restart"/>
            <w:tcBorders>
              <w:bottom w:val="single" w:sz="6" w:space="0" w:color="000000"/>
              <w:right w:val="single" w:sz="6" w:space="0" w:color="000000"/>
            </w:tcBorders>
          </w:tcPr>
          <w:p>
            <w:pPr>
              <w:pStyle w:val="TableParagraph"/>
              <w:jc w:val="left"/>
              <w:rPr>
                <w:rFonts w:ascii="Times New Roman"/>
                <w:sz w:val="23"/>
              </w:rPr>
            </w:pPr>
          </w:p>
          <w:p>
            <w:pPr>
              <w:pStyle w:val="TableParagraph"/>
              <w:ind w:left="174"/>
              <w:jc w:val="left"/>
              <w:rPr>
                <w:sz w:val="21"/>
              </w:rPr>
            </w:pPr>
            <w:r>
              <w:rPr>
                <w:sz w:val="21"/>
              </w:rPr>
              <w:t>采样日期</w:t>
            </w:r>
          </w:p>
        </w:tc>
        <w:tc>
          <w:tcPr>
            <w:tcW w:w="843"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7"/>
              </w:rPr>
            </w:pPr>
          </w:p>
          <w:p>
            <w:pPr>
              <w:pStyle w:val="TableParagraph"/>
              <w:spacing w:line="168" w:lineRule="auto"/>
              <w:ind w:left="218" w:right="185"/>
              <w:jc w:val="left"/>
              <w:rPr>
                <w:sz w:val="21"/>
              </w:rPr>
            </w:pPr>
            <w:r>
              <w:rPr>
                <w:sz w:val="21"/>
              </w:rPr>
              <w:t>检测点位</w:t>
            </w:r>
          </w:p>
        </w:tc>
        <w:tc>
          <w:tcPr>
            <w:tcW w:w="1243"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3"/>
              </w:rPr>
            </w:pPr>
          </w:p>
          <w:p>
            <w:pPr>
              <w:pStyle w:val="TableParagraph"/>
              <w:ind w:left="208"/>
              <w:jc w:val="left"/>
              <w:rPr>
                <w:sz w:val="21"/>
              </w:rPr>
            </w:pPr>
            <w:r>
              <w:rPr>
                <w:sz w:val="21"/>
              </w:rPr>
              <w:t>采样时间</w:t>
            </w:r>
          </w:p>
        </w:tc>
        <w:tc>
          <w:tcPr>
            <w:tcW w:w="5436" w:type="dxa"/>
            <w:gridSpan w:val="11"/>
            <w:tcBorders>
              <w:left w:val="single" w:sz="6" w:space="0" w:color="000000"/>
              <w:bottom w:val="single" w:sz="6" w:space="0" w:color="000000"/>
            </w:tcBorders>
          </w:tcPr>
          <w:p>
            <w:pPr>
              <w:pStyle w:val="TableParagraph"/>
              <w:spacing w:line="337" w:lineRule="exact"/>
              <w:ind w:left="2283" w:right="2250"/>
              <w:rPr>
                <w:sz w:val="21"/>
              </w:rPr>
            </w:pPr>
            <w:r>
              <w:rPr>
                <w:sz w:val="21"/>
              </w:rPr>
              <w:t>检测项目</w:t>
            </w:r>
          </w:p>
        </w:tc>
      </w:tr>
      <w:tr>
        <w:trPr>
          <w:trHeight w:val="623"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vMerge/>
            <w:tcBorders>
              <w:top w:val="nil"/>
              <w:left w:val="single" w:sz="6" w:space="0" w:color="000000"/>
              <w:bottom w:val="single" w:sz="6" w:space="0" w:color="000000"/>
              <w:right w:val="single" w:sz="6" w:space="0" w:color="000000"/>
            </w:tcBorders>
          </w:tcPr>
          <w:p>
            <w:pPr>
              <w:rPr>
                <w:sz w:val="2"/>
                <w:szCs w:val="2"/>
              </w:rPr>
            </w:pP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95" w:right="69"/>
              <w:rPr>
                <w:sz w:val="21"/>
              </w:rPr>
            </w:pPr>
            <w:r>
              <w:rPr>
                <w:sz w:val="21"/>
              </w:rPr>
              <w:t>氯化</w:t>
            </w:r>
          </w:p>
          <w:p>
            <w:pPr>
              <w:pStyle w:val="TableParagraph"/>
              <w:spacing w:line="302" w:lineRule="exact"/>
              <w:ind w:left="26"/>
              <w:rPr>
                <w:sz w:val="21"/>
              </w:rPr>
            </w:pPr>
            <w:r>
              <w:rPr>
                <w:w w:val="100"/>
                <w:sz w:val="21"/>
              </w:rPr>
              <w:t>氢</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77"/>
              <w:ind w:left="210"/>
              <w:jc w:val="left"/>
              <w:rPr>
                <w:sz w:val="21"/>
              </w:rPr>
            </w:pPr>
            <w:r>
              <w:rPr>
                <w:sz w:val="21"/>
              </w:rPr>
              <w:t>甲醛</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08" w:right="81"/>
              <w:rPr>
                <w:sz w:val="21"/>
              </w:rPr>
            </w:pPr>
            <w:r>
              <w:rPr>
                <w:sz w:val="21"/>
              </w:rPr>
              <w:t>硫化</w:t>
            </w:r>
          </w:p>
          <w:p>
            <w:pPr>
              <w:pStyle w:val="TableParagraph"/>
              <w:spacing w:line="302" w:lineRule="exact"/>
              <w:ind w:left="22"/>
              <w:rPr>
                <w:sz w:val="21"/>
              </w:rPr>
            </w:pPr>
            <w:r>
              <w:rPr>
                <w:w w:val="100"/>
                <w:sz w:val="21"/>
              </w:rPr>
              <w:t>氢</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77"/>
              <w:ind w:left="21"/>
              <w:rPr>
                <w:sz w:val="21"/>
              </w:rPr>
            </w:pPr>
            <w:r>
              <w:rPr>
                <w:w w:val="100"/>
                <w:sz w:val="21"/>
              </w:rPr>
              <w:t>氨</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24"/>
              <w:jc w:val="left"/>
              <w:rPr>
                <w:sz w:val="21"/>
              </w:rPr>
            </w:pPr>
            <w:r>
              <w:rPr>
                <w:sz w:val="21"/>
              </w:rPr>
              <w:t>臭气</w:t>
            </w:r>
          </w:p>
          <w:p>
            <w:pPr>
              <w:pStyle w:val="TableParagraph"/>
              <w:spacing w:line="302" w:lineRule="exact"/>
              <w:ind w:left="124"/>
              <w:jc w:val="left"/>
              <w:rPr>
                <w:sz w:val="21"/>
              </w:rPr>
            </w:pPr>
            <w:r>
              <w:rPr>
                <w:sz w:val="21"/>
              </w:rPr>
              <w:t>浓度</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19" w:right="95"/>
              <w:rPr>
                <w:sz w:val="21"/>
              </w:rPr>
            </w:pPr>
            <w:r>
              <w:rPr>
                <w:sz w:val="21"/>
              </w:rPr>
              <w:t>硫酸</w:t>
            </w:r>
          </w:p>
          <w:p>
            <w:pPr>
              <w:pStyle w:val="TableParagraph"/>
              <w:spacing w:line="302" w:lineRule="exact"/>
              <w:ind w:left="20"/>
              <w:rPr>
                <w:sz w:val="21"/>
              </w:rPr>
            </w:pPr>
            <w:r>
              <w:rPr>
                <w:w w:val="100"/>
                <w:sz w:val="21"/>
              </w:rPr>
              <w:t>雾</w:t>
            </w:r>
          </w:p>
        </w:tc>
        <w:tc>
          <w:tcPr>
            <w:tcW w:w="797" w:type="dxa"/>
            <w:tcBorders>
              <w:top w:val="single" w:sz="6" w:space="0" w:color="000000"/>
              <w:left w:val="single" w:sz="6" w:space="0" w:color="000000"/>
              <w:bottom w:val="single" w:sz="6" w:space="0" w:color="000000"/>
            </w:tcBorders>
          </w:tcPr>
          <w:p>
            <w:pPr>
              <w:pStyle w:val="TableParagraph"/>
              <w:spacing w:before="77"/>
              <w:ind w:left="93" w:right="64"/>
              <w:rPr>
                <w:sz w:val="21"/>
              </w:rPr>
            </w:pPr>
            <w:r>
              <w:rPr>
                <w:sz w:val="21"/>
              </w:rPr>
              <w:t>甲苯</w:t>
            </w:r>
          </w:p>
        </w:tc>
      </w:tr>
      <w:tr>
        <w:trPr>
          <w:trHeight w:val="357" w:hRule="atLeast"/>
        </w:trPr>
        <w:tc>
          <w:tcPr>
            <w:tcW w:w="1195"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4"/>
              <w:jc w:val="left"/>
              <w:rPr>
                <w:rFonts w:ascii="Times New Roman"/>
                <w:sz w:val="30"/>
              </w:rPr>
            </w:pPr>
          </w:p>
          <w:p>
            <w:pPr>
              <w:pStyle w:val="TableParagraph"/>
              <w:ind w:left="105"/>
              <w:jc w:val="left"/>
              <w:rPr>
                <w:rFonts w:ascii="Times New Roman"/>
                <w:sz w:val="21"/>
              </w:rPr>
            </w:pPr>
            <w:r>
              <w:rPr>
                <w:rFonts w:ascii="Times New Roman"/>
                <w:sz w:val="21"/>
              </w:rPr>
              <w:t>2019-04-12</w:t>
            </w: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8"/>
              </w:rPr>
            </w:pPr>
          </w:p>
          <w:p>
            <w:pPr>
              <w:pStyle w:val="TableParagraph"/>
              <w:spacing w:line="168" w:lineRule="auto"/>
              <w:ind w:left="321" w:right="185" w:hanging="104"/>
              <w:jc w:val="left"/>
              <w:rPr>
                <w:sz w:val="21"/>
              </w:rPr>
            </w:pPr>
            <w:r>
              <w:rPr>
                <w:rFonts w:ascii="Times New Roman" w:eastAsia="Times New Roman"/>
                <w:sz w:val="21"/>
              </w:rPr>
              <w:t>1#</w:t>
            </w:r>
            <w:r>
              <w:rPr>
                <w:sz w:val="21"/>
              </w:rPr>
              <w:t>厂址</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8"/>
              <w:ind w:right="83"/>
              <w:jc w:val="right"/>
              <w:rPr>
                <w:rFonts w:ascii="Times New Roman"/>
                <w:sz w:val="21"/>
              </w:rPr>
            </w:pPr>
            <w:r>
              <w:rPr>
                <w:rFonts w:ascii="Times New Roman"/>
                <w:sz w:val="21"/>
              </w:rPr>
              <w:t>02:00-03:00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8"/>
              <w:ind w:left="160"/>
              <w:jc w:val="left"/>
              <w:rPr>
                <w:rFonts w:ascii="Times New Roman"/>
                <w:sz w:val="21"/>
              </w:rPr>
            </w:pPr>
            <w:r>
              <w:rPr>
                <w:rFonts w:ascii="Times New Roman"/>
                <w:sz w:val="21"/>
                <w:shd w:fill="FFFF00" w:color="auto" w:val="clear"/>
              </w:rPr>
              <w:t>0.115</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8"/>
              <w:ind w:left="13" w:right="-29"/>
              <w:rPr>
                <w:rFonts w:ascii="Times New Roman"/>
                <w:sz w:val="21"/>
              </w:rPr>
            </w:pPr>
            <w:r>
              <w:rPr>
                <w:rFonts w:ascii="Times New Roman"/>
                <w:sz w:val="21"/>
              </w:rPr>
              <w:t>0.164</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6"/>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8"/>
              <w:ind w:left="107" w:right="84"/>
              <w:rPr>
                <w:rFonts w:ascii="Times New Roman"/>
                <w:sz w:val="21"/>
              </w:rPr>
            </w:pPr>
            <w:r>
              <w:rPr>
                <w:rFonts w:ascii="Times New Roman"/>
                <w:sz w:val="21"/>
              </w:rPr>
              <w:t>0.11</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8"/>
              <w:ind w:left="82" w:right="61"/>
              <w:rPr>
                <w:rFonts w:ascii="Times New Roman"/>
                <w:sz w:val="21"/>
              </w:rPr>
            </w:pPr>
            <w:r>
              <w:rPr>
                <w:rFonts w:ascii="Times New Roman"/>
                <w:sz w:val="21"/>
              </w:rPr>
              <w:t>30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8"/>
              <w:ind w:right="84"/>
              <w:jc w:val="right"/>
              <w:rPr>
                <w:rFonts w:ascii="Times New Roman"/>
                <w:sz w:val="21"/>
              </w:rPr>
            </w:pPr>
            <w:r>
              <w:rPr>
                <w:rFonts w:ascii="Times New Roman"/>
                <w:sz w:val="21"/>
              </w:rPr>
              <w:t>0.133</w:t>
            </w:r>
          </w:p>
        </w:tc>
        <w:tc>
          <w:tcPr>
            <w:tcW w:w="797" w:type="dxa"/>
            <w:tcBorders>
              <w:top w:val="single" w:sz="6" w:space="0" w:color="000000"/>
              <w:left w:val="single" w:sz="6" w:space="0" w:color="000000"/>
              <w:bottom w:val="single" w:sz="6" w:space="0" w:color="000000"/>
            </w:tcBorders>
          </w:tcPr>
          <w:p>
            <w:pPr>
              <w:pStyle w:val="TableParagraph"/>
              <w:spacing w:before="58"/>
              <w:ind w:left="93" w:right="64"/>
              <w:rPr>
                <w:rFonts w:ascii="Times New Roman"/>
                <w:sz w:val="21"/>
              </w:rPr>
            </w:pPr>
            <w:r>
              <w:rPr>
                <w:rFonts w:ascii="Times New Roman"/>
                <w:sz w:val="21"/>
              </w:rPr>
              <w:t>0.0154</w:t>
            </w:r>
          </w:p>
        </w:tc>
      </w:tr>
      <w:tr>
        <w:trPr>
          <w:trHeight w:val="359"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8"/>
              <w:ind w:right="83"/>
              <w:jc w:val="right"/>
              <w:rPr>
                <w:rFonts w:ascii="Times New Roman"/>
                <w:sz w:val="21"/>
              </w:rPr>
            </w:pPr>
            <w:r>
              <w:rPr>
                <w:rFonts w:ascii="Times New Roman"/>
                <w:sz w:val="21"/>
              </w:rPr>
              <w:t>08:00-09:00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8"/>
              <w:ind w:left="160"/>
              <w:jc w:val="left"/>
              <w:rPr>
                <w:rFonts w:ascii="Times New Roman"/>
                <w:sz w:val="21"/>
              </w:rPr>
            </w:pPr>
            <w:r>
              <w:rPr>
                <w:rFonts w:ascii="Times New Roman"/>
                <w:sz w:val="21"/>
                <w:shd w:fill="FFFF00" w:color="auto" w:val="clear"/>
              </w:rPr>
              <w:t>0.116</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8"/>
              <w:ind w:left="184"/>
              <w:jc w:val="left"/>
              <w:rPr>
                <w:rFonts w:ascii="Times New Roman"/>
                <w:sz w:val="21"/>
              </w:rPr>
            </w:pPr>
            <w:r>
              <w:rPr>
                <w:rFonts w:ascii="Times New Roman"/>
                <w:sz w:val="21"/>
                <w:shd w:fill="FFFF00" w:color="auto" w:val="clear"/>
              </w:rPr>
              <w:t>0.197</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6"/>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8"/>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8"/>
              <w:ind w:left="82" w:right="61"/>
              <w:rPr>
                <w:rFonts w:ascii="Times New Roman"/>
                <w:sz w:val="21"/>
              </w:rPr>
            </w:pPr>
            <w:r>
              <w:rPr>
                <w:rFonts w:ascii="Times New Roman"/>
                <w:sz w:val="21"/>
              </w:rPr>
              <w:t>32</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8"/>
              <w:ind w:right="94"/>
              <w:jc w:val="right"/>
              <w:rPr>
                <w:rFonts w:ascii="Times New Roman"/>
                <w:sz w:val="21"/>
              </w:rPr>
            </w:pPr>
            <w:r>
              <w:rPr>
                <w:rFonts w:ascii="Times New Roman"/>
                <w:sz w:val="21"/>
              </w:rPr>
              <w:t>0.111</w:t>
            </w:r>
          </w:p>
        </w:tc>
        <w:tc>
          <w:tcPr>
            <w:tcW w:w="797" w:type="dxa"/>
            <w:tcBorders>
              <w:top w:val="single" w:sz="6" w:space="0" w:color="000000"/>
              <w:left w:val="single" w:sz="6" w:space="0" w:color="000000"/>
              <w:bottom w:val="single" w:sz="6" w:space="0" w:color="000000"/>
            </w:tcBorders>
          </w:tcPr>
          <w:p>
            <w:pPr>
              <w:pStyle w:val="TableParagraph"/>
              <w:spacing w:before="58"/>
              <w:ind w:left="93" w:right="64"/>
              <w:rPr>
                <w:rFonts w:ascii="Times New Roman"/>
                <w:sz w:val="21"/>
              </w:rPr>
            </w:pPr>
            <w:r>
              <w:rPr>
                <w:rFonts w:ascii="Times New Roman"/>
                <w:sz w:val="21"/>
              </w:rPr>
              <w:t>0.0170</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0.120</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0.180</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31</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0.125</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0.0155</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56"/>
              <w:jc w:val="left"/>
              <w:rPr>
                <w:rFonts w:ascii="Times New Roman"/>
                <w:sz w:val="21"/>
              </w:rPr>
            </w:pPr>
            <w:r>
              <w:rPr>
                <w:rFonts w:ascii="Times New Roman"/>
                <w:sz w:val="21"/>
                <w:shd w:fill="FFFF00" w:color="auto" w:val="clear"/>
              </w:rPr>
              <w:t>0.108</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0.196</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9"/>
              <w:jc w:val="right"/>
              <w:rPr>
                <w:rFonts w:ascii="Times New Roman"/>
                <w:sz w:val="21"/>
              </w:rPr>
            </w:pPr>
            <w:r>
              <w:rPr>
                <w:rFonts w:ascii="Times New Roman"/>
                <w:sz w:val="21"/>
              </w:rPr>
              <w:t>0.114</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0.0140</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Times New Roman"/>
                <w:sz w:val="24"/>
              </w:rPr>
            </w:pPr>
          </w:p>
          <w:p>
            <w:pPr>
              <w:pStyle w:val="TableParagraph"/>
              <w:spacing w:line="168" w:lineRule="auto"/>
              <w:ind w:left="218" w:right="185"/>
              <w:jc w:val="both"/>
              <w:rPr>
                <w:sz w:val="21"/>
              </w:rPr>
            </w:pPr>
            <w:r>
              <w:rPr>
                <w:rFonts w:ascii="Times New Roman" w:eastAsia="Times New Roman"/>
                <w:sz w:val="21"/>
              </w:rPr>
              <w:t>2#</w:t>
            </w:r>
            <w:r>
              <w:rPr>
                <w:sz w:val="21"/>
              </w:rPr>
              <w:t>后柴沟村</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0.043</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0.106</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0.0145</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0.043</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0.15</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9"/>
              <w:jc w:val="right"/>
              <w:rPr>
                <w:rFonts w:ascii="Times New Roman"/>
                <w:sz w:val="21"/>
              </w:rPr>
            </w:pPr>
            <w:r>
              <w:rPr>
                <w:rFonts w:ascii="Times New Roman"/>
                <w:sz w:val="21"/>
              </w:rPr>
              <w:t>0.116</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0.0153</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6"/>
              <w:ind w:right="83"/>
              <w:jc w:val="right"/>
              <w:rPr>
                <w:rFonts w:ascii="Times New Roman"/>
                <w:sz w:val="21"/>
              </w:rPr>
            </w:pPr>
            <w:r>
              <w:rPr>
                <w:rFonts w:ascii="Times New Roman"/>
                <w:sz w:val="21"/>
              </w:rPr>
              <w:t>14:00-15:00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6"/>
              <w:ind w:left="14" w:right="-29"/>
              <w:rPr>
                <w:rFonts w:ascii="Times New Roman"/>
                <w:sz w:val="21"/>
              </w:rPr>
            </w:pPr>
            <w:r>
              <w:rPr>
                <w:rFonts w:ascii="Times New Roman"/>
                <w:sz w:val="21"/>
              </w:rPr>
              <w:t>0.042</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6"/>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0.129</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0.0176</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0.048</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0.125</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0.0172</w:t>
            </w:r>
          </w:p>
        </w:tc>
      </w:tr>
      <w:tr>
        <w:trPr>
          <w:trHeight w:val="357" w:hRule="atLeast"/>
        </w:trPr>
        <w:tc>
          <w:tcPr>
            <w:tcW w:w="1195"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
              <w:jc w:val="left"/>
              <w:rPr>
                <w:rFonts w:ascii="Times New Roman"/>
                <w:sz w:val="30"/>
              </w:rPr>
            </w:pPr>
          </w:p>
          <w:p>
            <w:pPr>
              <w:pStyle w:val="TableParagraph"/>
              <w:spacing w:before="1"/>
              <w:ind w:left="105"/>
              <w:jc w:val="left"/>
              <w:rPr>
                <w:rFonts w:ascii="Times New Roman"/>
                <w:sz w:val="21"/>
              </w:rPr>
            </w:pPr>
            <w:r>
              <w:rPr>
                <w:rFonts w:ascii="Times New Roman"/>
                <w:sz w:val="21"/>
              </w:rPr>
              <w:t>2019-04-13</w:t>
            </w: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18"/>
              </w:rPr>
            </w:pPr>
          </w:p>
          <w:p>
            <w:pPr>
              <w:pStyle w:val="TableParagraph"/>
              <w:spacing w:line="168" w:lineRule="auto"/>
              <w:ind w:left="321" w:right="185" w:hanging="104"/>
              <w:jc w:val="left"/>
              <w:rPr>
                <w:sz w:val="21"/>
              </w:rPr>
            </w:pPr>
            <w:r>
              <w:rPr>
                <w:rFonts w:ascii="Times New Roman" w:eastAsia="Times New Roman"/>
                <w:sz w:val="21"/>
              </w:rPr>
              <w:t>1#</w:t>
            </w:r>
            <w:r>
              <w:rPr>
                <w:sz w:val="21"/>
              </w:rPr>
              <w:t>厂址</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0.130</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0.174</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31</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0.270</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0.0172</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60"/>
              <w:jc w:val="left"/>
              <w:rPr>
                <w:rFonts w:ascii="Times New Roman"/>
                <w:sz w:val="21"/>
              </w:rPr>
            </w:pPr>
            <w:r>
              <w:rPr>
                <w:rFonts w:ascii="Times New Roman"/>
                <w:sz w:val="21"/>
                <w:shd w:fill="FFFF00" w:color="auto" w:val="clear"/>
              </w:rPr>
              <w:t>0.115</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84"/>
              <w:jc w:val="left"/>
              <w:rPr>
                <w:rFonts w:ascii="Times New Roman"/>
                <w:sz w:val="21"/>
              </w:rPr>
            </w:pPr>
            <w:r>
              <w:rPr>
                <w:rFonts w:ascii="Times New Roman"/>
                <w:sz w:val="21"/>
                <w:shd w:fill="FFFF00" w:color="auto" w:val="clear"/>
              </w:rPr>
              <w:t>0.225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0.003</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33</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0.203</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0.0128</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0.126</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0.202</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32</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0.215</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0.0143</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60"/>
              <w:jc w:val="left"/>
              <w:rPr>
                <w:rFonts w:ascii="Times New Roman"/>
                <w:sz w:val="21"/>
              </w:rPr>
            </w:pPr>
            <w:r>
              <w:rPr>
                <w:rFonts w:ascii="Times New Roman"/>
                <w:sz w:val="21"/>
                <w:shd w:fill="FFFF00" w:color="auto" w:val="clear"/>
              </w:rPr>
              <w:t>0.113</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0.175</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31</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0.239</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0.0173</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Times New Roman"/>
                <w:sz w:val="24"/>
              </w:rPr>
            </w:pPr>
          </w:p>
          <w:p>
            <w:pPr>
              <w:pStyle w:val="TableParagraph"/>
              <w:spacing w:line="168" w:lineRule="auto"/>
              <w:ind w:left="218" w:right="185"/>
              <w:jc w:val="both"/>
              <w:rPr>
                <w:sz w:val="21"/>
              </w:rPr>
            </w:pPr>
            <w:r>
              <w:rPr>
                <w:rFonts w:ascii="Times New Roman" w:eastAsia="Times New Roman"/>
                <w:sz w:val="21"/>
              </w:rPr>
              <w:t>2#</w:t>
            </w:r>
            <w:r>
              <w:rPr>
                <w:sz w:val="21"/>
              </w:rPr>
              <w:t>后柴沟村</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0.045</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26"/>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0.15</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9"/>
              <w:jc w:val="right"/>
              <w:rPr>
                <w:rFonts w:ascii="Times New Roman"/>
                <w:sz w:val="21"/>
              </w:rPr>
            </w:pPr>
            <w:r>
              <w:rPr>
                <w:rFonts w:ascii="Times New Roman"/>
                <w:sz w:val="21"/>
              </w:rPr>
              <w:t>0.116</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0.0193</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1"/>
              <w:ind w:left="156"/>
              <w:jc w:val="left"/>
              <w:rPr>
                <w:rFonts w:ascii="Times New Roman"/>
                <w:sz w:val="21"/>
              </w:rPr>
            </w:pPr>
            <w:r>
              <w:rPr>
                <w:rFonts w:ascii="Times New Roman"/>
                <w:sz w:val="21"/>
                <w:shd w:fill="FFFF00" w:color="auto" w:val="clear"/>
              </w:rPr>
              <w:t>0.042</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84"/>
              <w:jc w:val="left"/>
              <w:rPr>
                <w:rFonts w:ascii="Times New Roman"/>
                <w:sz w:val="21"/>
              </w:rPr>
            </w:pPr>
            <w:r>
              <w:rPr>
                <w:rFonts w:ascii="Times New Roman"/>
                <w:sz w:val="21"/>
              </w:rPr>
              <w:t>0.144</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0.18</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0.104</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0.0164</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0.049</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9"/>
              <w:jc w:val="right"/>
              <w:rPr>
                <w:rFonts w:ascii="Times New Roman"/>
                <w:sz w:val="21"/>
              </w:rPr>
            </w:pPr>
            <w:r>
              <w:rPr>
                <w:rFonts w:ascii="Times New Roman"/>
                <w:sz w:val="21"/>
              </w:rPr>
              <w:t>0.112</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0.0262</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6"/>
              <w:ind w:right="83"/>
              <w:jc w:val="right"/>
              <w:rPr>
                <w:rFonts w:ascii="Times New Roman"/>
                <w:sz w:val="21"/>
              </w:rPr>
            </w:pPr>
            <w:r>
              <w:rPr>
                <w:rFonts w:ascii="Times New Roman"/>
                <w:sz w:val="21"/>
              </w:rPr>
              <w:t>20:00-21:00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6"/>
              <w:ind w:left="156"/>
              <w:jc w:val="left"/>
              <w:rPr>
                <w:rFonts w:ascii="Times New Roman"/>
                <w:sz w:val="21"/>
              </w:rPr>
            </w:pPr>
            <w:r>
              <w:rPr>
                <w:rFonts w:ascii="Times New Roman"/>
                <w:sz w:val="21"/>
                <w:shd w:fill="FFFF00" w:color="auto" w:val="clear"/>
              </w:rPr>
              <w:t>0.044</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6"/>
              <w:ind w:left="108" w:right="82"/>
              <w:rPr>
                <w:rFonts w:ascii="Times New Roman"/>
                <w:sz w:val="21"/>
              </w:rPr>
            </w:pPr>
            <w:r>
              <w:rPr>
                <w:rFonts w:ascii="Times New Roman"/>
                <w:sz w:val="21"/>
              </w:rPr>
              <w:t>0.15</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9"/>
              <w:jc w:val="right"/>
              <w:rPr>
                <w:rFonts w:ascii="Times New Roman"/>
                <w:sz w:val="21"/>
              </w:rPr>
            </w:pPr>
            <w:r>
              <w:rPr>
                <w:rFonts w:ascii="Times New Roman"/>
                <w:sz w:val="21"/>
              </w:rPr>
              <w:t>0.110</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0.0133</w:t>
            </w:r>
          </w:p>
        </w:tc>
      </w:tr>
      <w:tr>
        <w:trPr>
          <w:trHeight w:val="357" w:hRule="atLeast"/>
        </w:trPr>
        <w:tc>
          <w:tcPr>
            <w:tcW w:w="1195"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
              <w:jc w:val="left"/>
              <w:rPr>
                <w:rFonts w:ascii="Times New Roman"/>
                <w:sz w:val="30"/>
              </w:rPr>
            </w:pPr>
          </w:p>
          <w:p>
            <w:pPr>
              <w:pStyle w:val="TableParagraph"/>
              <w:spacing w:before="1"/>
              <w:ind w:left="105"/>
              <w:jc w:val="left"/>
              <w:rPr>
                <w:rFonts w:ascii="Times New Roman"/>
                <w:sz w:val="21"/>
              </w:rPr>
            </w:pPr>
            <w:r>
              <w:rPr>
                <w:rFonts w:ascii="Times New Roman"/>
                <w:sz w:val="21"/>
              </w:rPr>
              <w:t>2019-04-14</w:t>
            </w: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18"/>
              </w:rPr>
            </w:pPr>
          </w:p>
          <w:p>
            <w:pPr>
              <w:pStyle w:val="TableParagraph"/>
              <w:spacing w:line="168" w:lineRule="auto"/>
              <w:ind w:left="321" w:right="185" w:hanging="104"/>
              <w:jc w:val="left"/>
              <w:rPr>
                <w:sz w:val="21"/>
              </w:rPr>
            </w:pPr>
            <w:r>
              <w:rPr>
                <w:rFonts w:ascii="Times New Roman" w:eastAsia="Times New Roman"/>
                <w:sz w:val="21"/>
              </w:rPr>
              <w:t>1#</w:t>
            </w:r>
            <w:r>
              <w:rPr>
                <w:sz w:val="21"/>
              </w:rPr>
              <w:t>厂址</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60"/>
              <w:jc w:val="left"/>
              <w:rPr>
                <w:rFonts w:ascii="Times New Roman"/>
                <w:sz w:val="21"/>
              </w:rPr>
            </w:pPr>
            <w:r>
              <w:rPr>
                <w:rFonts w:ascii="Times New Roman"/>
                <w:sz w:val="21"/>
                <w:shd w:fill="FFFF00" w:color="auto" w:val="clear"/>
              </w:rPr>
              <w:t>0.115</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0.172</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7" w:right="84"/>
              <w:rPr>
                <w:rFonts w:ascii="Times New Roman"/>
                <w:sz w:val="21"/>
              </w:rPr>
            </w:pPr>
            <w:r>
              <w:rPr>
                <w:rFonts w:ascii="Times New Roman"/>
                <w:sz w:val="21"/>
              </w:rPr>
              <w:t>0.11</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31</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0.094</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0.0151</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0.120</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84"/>
              <w:jc w:val="left"/>
              <w:rPr>
                <w:rFonts w:ascii="Times New Roman"/>
                <w:sz w:val="21"/>
              </w:rPr>
            </w:pPr>
            <w:r>
              <w:rPr>
                <w:rFonts w:ascii="Times New Roman"/>
                <w:sz w:val="21"/>
                <w:shd w:fill="FFFF00" w:color="auto" w:val="clear"/>
              </w:rPr>
              <w:t>0.200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1"/>
              <w:rPr>
                <w:rFonts w:ascii="Times New Roman"/>
                <w:sz w:val="21"/>
              </w:rPr>
            </w:pPr>
            <w:r>
              <w:rPr>
                <w:rFonts w:ascii="Times New Roman"/>
                <w:sz w:val="21"/>
              </w:rPr>
              <w:t>0.003</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34</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0.102</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0.0194</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56"/>
              <w:jc w:val="left"/>
              <w:rPr>
                <w:rFonts w:ascii="Times New Roman"/>
                <w:sz w:val="21"/>
              </w:rPr>
            </w:pPr>
            <w:r>
              <w:rPr>
                <w:rFonts w:ascii="Times New Roman"/>
                <w:sz w:val="21"/>
                <w:shd w:fill="FFFF00" w:color="auto" w:val="clear"/>
              </w:rPr>
              <w:t>0.129</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0.147</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0.003</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33</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0.104</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0.0177</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0.125</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0.204</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0.003</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32</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0.222</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0.209</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Times New Roman"/>
                <w:sz w:val="24"/>
              </w:rPr>
            </w:pPr>
          </w:p>
          <w:p>
            <w:pPr>
              <w:pStyle w:val="TableParagraph"/>
              <w:spacing w:line="168" w:lineRule="auto"/>
              <w:ind w:left="218" w:right="185"/>
              <w:jc w:val="both"/>
              <w:rPr>
                <w:sz w:val="21"/>
              </w:rPr>
            </w:pPr>
            <w:r>
              <w:rPr>
                <w:rFonts w:ascii="Times New Roman" w:eastAsia="Times New Roman"/>
                <w:sz w:val="21"/>
              </w:rPr>
              <w:t>2#</w:t>
            </w:r>
            <w:r>
              <w:rPr>
                <w:sz w:val="21"/>
              </w:rPr>
              <w:t>后柴沟村</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0.043</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0.15</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0.206</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0.0195</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0.051</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0.15</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0.104</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0.0148</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0.044</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0.142</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0.224</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0.0153</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0.121</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26"/>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0.12</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0.131</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0.0159</w:t>
            </w:r>
          </w:p>
        </w:tc>
      </w:tr>
      <w:tr>
        <w:trPr>
          <w:trHeight w:val="357" w:hRule="atLeast"/>
        </w:trPr>
        <w:tc>
          <w:tcPr>
            <w:tcW w:w="1195"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2"/>
              <w:jc w:val="left"/>
              <w:rPr>
                <w:rFonts w:ascii="Times New Roman"/>
                <w:sz w:val="30"/>
              </w:rPr>
            </w:pPr>
          </w:p>
          <w:p>
            <w:pPr>
              <w:pStyle w:val="TableParagraph"/>
              <w:ind w:left="105"/>
              <w:jc w:val="left"/>
              <w:rPr>
                <w:rFonts w:ascii="Times New Roman"/>
                <w:sz w:val="21"/>
              </w:rPr>
            </w:pPr>
            <w:r>
              <w:rPr>
                <w:rFonts w:ascii="Times New Roman"/>
                <w:sz w:val="21"/>
              </w:rPr>
              <w:t>2019-04-15</w:t>
            </w: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3"/>
              <w:jc w:val="left"/>
              <w:rPr>
                <w:rFonts w:ascii="Times New Roman"/>
                <w:sz w:val="18"/>
              </w:rPr>
            </w:pPr>
          </w:p>
          <w:p>
            <w:pPr>
              <w:pStyle w:val="TableParagraph"/>
              <w:spacing w:line="168" w:lineRule="auto"/>
              <w:ind w:left="321" w:right="185" w:hanging="104"/>
              <w:jc w:val="left"/>
              <w:rPr>
                <w:sz w:val="21"/>
              </w:rPr>
            </w:pPr>
            <w:r>
              <w:rPr>
                <w:rFonts w:ascii="Times New Roman" w:eastAsia="Times New Roman"/>
                <w:sz w:val="21"/>
              </w:rPr>
              <w:t>1#</w:t>
            </w:r>
            <w:r>
              <w:rPr>
                <w:sz w:val="21"/>
              </w:rPr>
              <w:t>厂址</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6"/>
              <w:ind w:right="83"/>
              <w:jc w:val="right"/>
              <w:rPr>
                <w:rFonts w:ascii="Times New Roman"/>
                <w:sz w:val="21"/>
              </w:rPr>
            </w:pPr>
            <w:r>
              <w:rPr>
                <w:rFonts w:ascii="Times New Roman"/>
                <w:sz w:val="21"/>
              </w:rPr>
              <w:t>02:00-03:00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6"/>
              <w:ind w:left="160"/>
              <w:jc w:val="left"/>
              <w:rPr>
                <w:rFonts w:ascii="Times New Roman"/>
                <w:sz w:val="21"/>
              </w:rPr>
            </w:pPr>
            <w:r>
              <w:rPr>
                <w:rFonts w:ascii="Times New Roman"/>
                <w:sz w:val="21"/>
                <w:shd w:fill="FFFF00" w:color="auto" w:val="clear"/>
              </w:rPr>
              <w:t>0.110</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6"/>
              <w:ind w:left="13" w:right="-29"/>
              <w:rPr>
                <w:rFonts w:ascii="Times New Roman"/>
                <w:sz w:val="21"/>
              </w:rPr>
            </w:pPr>
            <w:r>
              <w:rPr>
                <w:rFonts w:ascii="Times New Roman"/>
                <w:sz w:val="21"/>
              </w:rPr>
              <w:t>0.195</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6"/>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6"/>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6"/>
              <w:ind w:left="82" w:right="61"/>
              <w:rPr>
                <w:rFonts w:ascii="Times New Roman"/>
                <w:sz w:val="21"/>
              </w:rPr>
            </w:pPr>
            <w:r>
              <w:rPr>
                <w:rFonts w:ascii="Times New Roman"/>
                <w:sz w:val="21"/>
              </w:rPr>
              <w:t>33</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6"/>
              <w:ind w:right="89"/>
              <w:jc w:val="right"/>
              <w:rPr>
                <w:rFonts w:ascii="Times New Roman"/>
                <w:sz w:val="21"/>
              </w:rPr>
            </w:pPr>
            <w:r>
              <w:rPr>
                <w:rFonts w:ascii="Times New Roman"/>
                <w:sz w:val="21"/>
              </w:rPr>
              <w:t>0.112</w:t>
            </w:r>
          </w:p>
        </w:tc>
        <w:tc>
          <w:tcPr>
            <w:tcW w:w="797" w:type="dxa"/>
            <w:tcBorders>
              <w:top w:val="single" w:sz="6" w:space="0" w:color="000000"/>
              <w:left w:val="single" w:sz="6" w:space="0" w:color="000000"/>
              <w:bottom w:val="single" w:sz="6" w:space="0" w:color="000000"/>
            </w:tcBorders>
          </w:tcPr>
          <w:p>
            <w:pPr>
              <w:pStyle w:val="TableParagraph"/>
              <w:spacing w:before="56"/>
              <w:ind w:left="93" w:right="64"/>
              <w:rPr>
                <w:rFonts w:ascii="Times New Roman"/>
                <w:sz w:val="21"/>
              </w:rPr>
            </w:pPr>
            <w:r>
              <w:rPr>
                <w:rFonts w:ascii="Times New Roman"/>
                <w:sz w:val="21"/>
              </w:rPr>
              <w:t>0.0178</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60"/>
              <w:jc w:val="left"/>
              <w:rPr>
                <w:rFonts w:ascii="Times New Roman"/>
                <w:sz w:val="21"/>
              </w:rPr>
            </w:pPr>
            <w:r>
              <w:rPr>
                <w:rFonts w:ascii="Times New Roman"/>
                <w:sz w:val="21"/>
                <w:shd w:fill="FFFF00" w:color="auto" w:val="clear"/>
              </w:rPr>
              <w:t>0.116</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84"/>
              <w:jc w:val="left"/>
              <w:rPr>
                <w:rFonts w:ascii="Times New Roman"/>
                <w:sz w:val="21"/>
              </w:rPr>
            </w:pPr>
            <w:r>
              <w:rPr>
                <w:rFonts w:ascii="Times New Roman"/>
                <w:sz w:val="21"/>
                <w:shd w:fill="FFFF00" w:color="auto" w:val="clear"/>
              </w:rPr>
              <w:t>0.221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0.15</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35</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0.145</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0.0192</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60"/>
              <w:jc w:val="left"/>
              <w:rPr>
                <w:rFonts w:ascii="Times New Roman"/>
                <w:sz w:val="21"/>
              </w:rPr>
            </w:pPr>
            <w:r>
              <w:rPr>
                <w:rFonts w:ascii="Times New Roman"/>
                <w:sz w:val="21"/>
                <w:shd w:fill="FFFF00" w:color="auto" w:val="clear"/>
              </w:rPr>
              <w:t>0.114</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0.197</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1"/>
              <w:rPr>
                <w:rFonts w:ascii="Times New Roman"/>
                <w:sz w:val="21"/>
              </w:rPr>
            </w:pPr>
            <w:r>
              <w:rPr>
                <w:rFonts w:ascii="Times New Roman"/>
                <w:sz w:val="21"/>
              </w:rPr>
              <w:t>0.003</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32</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0.127</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0.0170</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0.100</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0.172</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32</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0.150</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0.0161</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Times New Roman"/>
                <w:sz w:val="24"/>
              </w:rPr>
            </w:pPr>
          </w:p>
          <w:p>
            <w:pPr>
              <w:pStyle w:val="TableParagraph"/>
              <w:spacing w:line="168" w:lineRule="auto"/>
              <w:ind w:left="218" w:right="185"/>
              <w:jc w:val="both"/>
              <w:rPr>
                <w:sz w:val="21"/>
              </w:rPr>
            </w:pPr>
            <w:r>
              <w:rPr>
                <w:rFonts w:ascii="Times New Roman" w:eastAsia="Times New Roman"/>
                <w:sz w:val="21"/>
              </w:rPr>
              <w:t>2#</w:t>
            </w:r>
            <w:r>
              <w:rPr>
                <w:sz w:val="21"/>
              </w:rPr>
              <w:t>后柴沟村</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56"/>
              <w:jc w:val="left"/>
              <w:rPr>
                <w:rFonts w:ascii="Times New Roman"/>
                <w:sz w:val="21"/>
              </w:rPr>
            </w:pPr>
            <w:r>
              <w:rPr>
                <w:rFonts w:ascii="Times New Roman"/>
                <w:sz w:val="21"/>
                <w:shd w:fill="FFFF00" w:color="auto" w:val="clear"/>
              </w:rPr>
              <w:t>0.092</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1"/>
              <w:ind w:left="126"/>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0.12</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0.165</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0.0169</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0.106</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0.145</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0.16</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0.152</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0.0163</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60"/>
              <w:jc w:val="left"/>
              <w:rPr>
                <w:rFonts w:ascii="Times New Roman"/>
                <w:sz w:val="21"/>
              </w:rPr>
            </w:pPr>
            <w:r>
              <w:rPr>
                <w:rFonts w:ascii="Times New Roman"/>
                <w:sz w:val="21"/>
                <w:shd w:fill="FFFF00" w:color="auto" w:val="clear"/>
              </w:rPr>
              <w:t>0.115</w:t>
            </w: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0.16</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0.120</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0.0164</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149"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3" w:type="dxa"/>
            <w:tcBorders>
              <w:top w:val="single" w:sz="6" w:space="0" w:color="000000"/>
              <w:left w:val="nil"/>
              <w:bottom w:val="single" w:sz="6" w:space="0" w:color="000000"/>
              <w:right w:val="nil"/>
            </w:tcBorders>
            <w:shd w:val="clear" w:color="auto" w:fill="FFFF00"/>
          </w:tcPr>
          <w:p>
            <w:pPr>
              <w:pStyle w:val="TableParagraph"/>
              <w:spacing w:before="55"/>
              <w:ind w:left="14" w:right="-29"/>
              <w:rPr>
                <w:rFonts w:ascii="Times New Roman"/>
                <w:sz w:val="21"/>
              </w:rPr>
            </w:pPr>
            <w:r>
              <w:rPr>
                <w:rFonts w:ascii="Times New Roman"/>
                <w:sz w:val="21"/>
              </w:rPr>
              <w:t>0.108</w:t>
            </w:r>
          </w:p>
        </w:tc>
        <w:tc>
          <w:tcPr>
            <w:tcW w:w="154"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12"/>
              <w:jc w:val="left"/>
              <w:rPr>
                <w:rFonts w:ascii="Times New Roman"/>
                <w:sz w:val="21"/>
              </w:rPr>
            </w:pPr>
            <w:r>
              <w:rPr>
                <w:rFonts w:ascii="Times New Roman"/>
                <w:sz w:val="21"/>
              </w:rPr>
              <w:t>&lt;0.125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4"/>
              <w:rPr>
                <w:rFonts w:ascii="Times New Roman"/>
                <w:sz w:val="21"/>
              </w:rPr>
            </w:pPr>
            <w:r>
              <w:rPr>
                <w:rFonts w:ascii="Times New Roman"/>
                <w:sz w:val="21"/>
              </w:rPr>
              <w:t>&lt;0.001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0.13</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34"/>
              <w:ind w:left="85" w:right="61"/>
              <w:rPr>
                <w:rFonts w:ascii="Times New Roman"/>
                <w:sz w:val="21"/>
              </w:rPr>
            </w:pPr>
            <w:r>
              <w:rPr>
                <w:rFonts w:ascii="Times New Roman"/>
                <w:sz w:val="21"/>
              </w:rPr>
              <w:t>&lt;10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34"/>
              <w:ind w:right="84"/>
              <w:jc w:val="right"/>
              <w:rPr>
                <w:rFonts w:ascii="Times New Roman"/>
                <w:sz w:val="21"/>
              </w:rPr>
            </w:pPr>
            <w:r>
              <w:rPr>
                <w:rFonts w:ascii="Times New Roman"/>
                <w:sz w:val="21"/>
              </w:rPr>
              <w:t>0.173</w:t>
            </w:r>
          </w:p>
        </w:tc>
        <w:tc>
          <w:tcPr>
            <w:tcW w:w="797" w:type="dxa"/>
            <w:tcBorders>
              <w:top w:val="single" w:sz="6" w:space="0" w:color="000000"/>
              <w:left w:val="single" w:sz="6" w:space="0" w:color="000000"/>
              <w:bottom w:val="single" w:sz="6" w:space="0" w:color="000000"/>
            </w:tcBorders>
          </w:tcPr>
          <w:p>
            <w:pPr>
              <w:pStyle w:val="TableParagraph"/>
              <w:spacing w:before="34"/>
              <w:ind w:left="93" w:right="64"/>
              <w:rPr>
                <w:rFonts w:ascii="Times New Roman"/>
                <w:sz w:val="21"/>
              </w:rPr>
            </w:pPr>
            <w:r>
              <w:rPr>
                <w:rFonts w:ascii="Times New Roman"/>
                <w:sz w:val="21"/>
              </w:rPr>
              <w:t>0.0194</w:t>
            </w:r>
          </w:p>
        </w:tc>
      </w:tr>
      <w:tr>
        <w:trPr>
          <w:trHeight w:val="349" w:hRule="atLeast"/>
        </w:trPr>
        <w:tc>
          <w:tcPr>
            <w:tcW w:w="1195" w:type="dxa"/>
            <w:vMerge w:val="restart"/>
            <w:tcBorders>
              <w:top w:val="single" w:sz="6" w:space="0" w:color="000000"/>
              <w:right w:val="single" w:sz="6" w:space="0" w:color="000000"/>
            </w:tcBorders>
          </w:tcPr>
          <w:p>
            <w:pPr>
              <w:pStyle w:val="TableParagraph"/>
              <w:spacing w:before="1"/>
              <w:jc w:val="left"/>
              <w:rPr>
                <w:rFonts w:ascii="Times New Roman"/>
                <w:sz w:val="21"/>
              </w:rPr>
            </w:pPr>
          </w:p>
          <w:p>
            <w:pPr>
              <w:pStyle w:val="TableParagraph"/>
              <w:ind w:left="105"/>
              <w:jc w:val="left"/>
              <w:rPr>
                <w:rFonts w:ascii="Times New Roman"/>
                <w:sz w:val="21"/>
              </w:rPr>
            </w:pPr>
            <w:r>
              <w:rPr>
                <w:rFonts w:ascii="Times New Roman"/>
                <w:sz w:val="21"/>
              </w:rPr>
              <w:t>2019-04-16</w:t>
            </w:r>
          </w:p>
        </w:tc>
        <w:tc>
          <w:tcPr>
            <w:tcW w:w="843" w:type="dxa"/>
            <w:vMerge w:val="restart"/>
            <w:tcBorders>
              <w:top w:val="single" w:sz="6" w:space="0" w:color="000000"/>
              <w:left w:val="single" w:sz="6" w:space="0" w:color="000000"/>
              <w:right w:val="single" w:sz="6" w:space="0" w:color="000000"/>
            </w:tcBorders>
          </w:tcPr>
          <w:p>
            <w:pPr>
              <w:pStyle w:val="TableParagraph"/>
              <w:spacing w:line="168" w:lineRule="auto" w:before="67"/>
              <w:ind w:left="321" w:right="185" w:hanging="104"/>
              <w:jc w:val="left"/>
              <w:rPr>
                <w:sz w:val="21"/>
              </w:rPr>
            </w:pPr>
            <w:r>
              <w:rPr>
                <w:rFonts w:ascii="Times New Roman" w:eastAsia="Times New Roman"/>
                <w:sz w:val="21"/>
              </w:rPr>
              <w:t>1#</w:t>
            </w:r>
            <w:r>
              <w:rPr>
                <w:sz w:val="21"/>
              </w:rPr>
              <w:t>厂址</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77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56"/>
              <w:jc w:val="left"/>
              <w:rPr>
                <w:rFonts w:ascii="Times New Roman"/>
                <w:sz w:val="21"/>
              </w:rPr>
            </w:pPr>
            <w:r>
              <w:rPr>
                <w:rFonts w:ascii="Times New Roman"/>
                <w:sz w:val="21"/>
                <w:shd w:fill="FFFF00" w:color="auto" w:val="clear"/>
              </w:rPr>
              <w:t>0.104</w:t>
            </w:r>
          </w:p>
        </w:tc>
        <w:tc>
          <w:tcPr>
            <w:tcW w:w="178" w:type="dxa"/>
            <w:tcBorders>
              <w:top w:val="single" w:sz="6" w:space="0" w:color="000000"/>
              <w:left w:val="single" w:sz="6" w:space="0" w:color="000000"/>
              <w:bottom w:val="single" w:sz="6" w:space="0" w:color="000000"/>
              <w:right w:val="nil"/>
            </w:tcBorders>
          </w:tcPr>
          <w:p>
            <w:pPr>
              <w:pStyle w:val="TableParagraph"/>
              <w:jc w:val="left"/>
              <w:rPr>
                <w:rFonts w:ascii="Times New Roman"/>
                <w:sz w:val="20"/>
              </w:rPr>
            </w:pPr>
          </w:p>
        </w:tc>
        <w:tc>
          <w:tcPr>
            <w:tcW w:w="474" w:type="dxa"/>
            <w:tcBorders>
              <w:top w:val="single" w:sz="6" w:space="0" w:color="000000"/>
              <w:left w:val="nil"/>
              <w:bottom w:val="single" w:sz="6" w:space="0" w:color="000000"/>
              <w:right w:val="nil"/>
            </w:tcBorders>
            <w:shd w:val="clear" w:color="auto" w:fill="FFFF00"/>
          </w:tcPr>
          <w:p>
            <w:pPr>
              <w:pStyle w:val="TableParagraph"/>
              <w:spacing w:before="55"/>
              <w:ind w:left="13" w:right="-29"/>
              <w:rPr>
                <w:rFonts w:ascii="Times New Roman"/>
                <w:sz w:val="21"/>
              </w:rPr>
            </w:pPr>
            <w:r>
              <w:rPr>
                <w:rFonts w:ascii="Times New Roman"/>
                <w:sz w:val="21"/>
              </w:rPr>
              <w:t>0.174</w:t>
            </w:r>
          </w:p>
        </w:tc>
        <w:tc>
          <w:tcPr>
            <w:tcW w:w="185" w:type="dxa"/>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34"/>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5"/>
              <w:ind w:left="108" w:right="82"/>
              <w:rPr>
                <w:rFonts w:ascii="Times New Roman"/>
                <w:sz w:val="21"/>
              </w:rPr>
            </w:pPr>
            <w:r>
              <w:rPr>
                <w:rFonts w:ascii="Times New Roman"/>
                <w:sz w:val="21"/>
              </w:rPr>
              <w:t>0.14</w:t>
            </w:r>
          </w:p>
        </w:tc>
        <w:tc>
          <w:tcPr>
            <w:tcW w:w="661" w:type="dxa"/>
            <w:tcBorders>
              <w:top w:val="single" w:sz="6" w:space="0" w:color="000000"/>
              <w:left w:val="single" w:sz="6" w:space="0" w:color="000000"/>
              <w:bottom w:val="single" w:sz="6" w:space="0" w:color="000000"/>
              <w:right w:val="single" w:sz="6" w:space="0" w:color="000000"/>
            </w:tcBorders>
          </w:tcPr>
          <w:p>
            <w:pPr>
              <w:pStyle w:val="TableParagraph"/>
              <w:spacing w:before="55"/>
              <w:ind w:left="82" w:right="61"/>
              <w:rPr>
                <w:rFonts w:ascii="Times New Roman"/>
                <w:sz w:val="21"/>
              </w:rPr>
            </w:pPr>
            <w:r>
              <w:rPr>
                <w:rFonts w:ascii="Times New Roman"/>
                <w:sz w:val="21"/>
              </w:rPr>
              <w:t>30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55"/>
              <w:ind w:right="84"/>
              <w:jc w:val="right"/>
              <w:rPr>
                <w:rFonts w:ascii="Times New Roman"/>
                <w:sz w:val="21"/>
              </w:rPr>
            </w:pPr>
            <w:r>
              <w:rPr>
                <w:rFonts w:ascii="Times New Roman"/>
                <w:sz w:val="21"/>
              </w:rPr>
              <w:t>0.102</w:t>
            </w:r>
          </w:p>
        </w:tc>
        <w:tc>
          <w:tcPr>
            <w:tcW w:w="797" w:type="dxa"/>
            <w:tcBorders>
              <w:top w:val="single" w:sz="6" w:space="0" w:color="000000"/>
              <w:left w:val="single" w:sz="6" w:space="0" w:color="000000"/>
              <w:bottom w:val="single" w:sz="6" w:space="0" w:color="000000"/>
            </w:tcBorders>
          </w:tcPr>
          <w:p>
            <w:pPr>
              <w:pStyle w:val="TableParagraph"/>
              <w:spacing w:before="55"/>
              <w:ind w:left="93" w:right="64"/>
              <w:rPr>
                <w:rFonts w:ascii="Times New Roman"/>
                <w:sz w:val="21"/>
              </w:rPr>
            </w:pPr>
            <w:r>
              <w:rPr>
                <w:rFonts w:ascii="Times New Roman"/>
                <w:sz w:val="21"/>
              </w:rPr>
              <w:t>0.122</w:t>
            </w:r>
          </w:p>
        </w:tc>
      </w:tr>
      <w:tr>
        <w:trPr>
          <w:trHeight w:val="347" w:hRule="atLeast"/>
        </w:trPr>
        <w:tc>
          <w:tcPr>
            <w:tcW w:w="1195" w:type="dxa"/>
            <w:vMerge/>
            <w:tcBorders>
              <w:top w:val="nil"/>
              <w:right w:val="single" w:sz="6" w:space="0" w:color="000000"/>
            </w:tcBorders>
          </w:tcPr>
          <w:p>
            <w:pPr>
              <w:rPr>
                <w:sz w:val="2"/>
                <w:szCs w:val="2"/>
              </w:rPr>
            </w:pPr>
          </w:p>
        </w:tc>
        <w:tc>
          <w:tcPr>
            <w:tcW w:w="843" w:type="dxa"/>
            <w:vMerge/>
            <w:tcBorders>
              <w:top w:val="nil"/>
              <w:left w:val="single" w:sz="6" w:space="0" w:color="000000"/>
              <w:right w:val="single" w:sz="6" w:space="0" w:color="000000"/>
            </w:tcBorders>
          </w:tcPr>
          <w:p>
            <w:pPr>
              <w:rPr>
                <w:sz w:val="2"/>
                <w:szCs w:val="2"/>
              </w:rPr>
            </w:pPr>
          </w:p>
        </w:tc>
        <w:tc>
          <w:tcPr>
            <w:tcW w:w="1243" w:type="dxa"/>
            <w:tcBorders>
              <w:top w:val="single" w:sz="6" w:space="0" w:color="000000"/>
              <w:left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08:00-09:00</w:t>
            </w:r>
          </w:p>
        </w:tc>
        <w:tc>
          <w:tcPr>
            <w:tcW w:w="149" w:type="dxa"/>
            <w:tcBorders>
              <w:top w:val="single" w:sz="6" w:space="0" w:color="000000"/>
              <w:left w:val="single" w:sz="6" w:space="0" w:color="000000"/>
              <w:right w:val="nil"/>
            </w:tcBorders>
          </w:tcPr>
          <w:p>
            <w:pPr>
              <w:pStyle w:val="TableParagraph"/>
              <w:jc w:val="left"/>
              <w:rPr>
                <w:rFonts w:ascii="Times New Roman"/>
                <w:sz w:val="20"/>
              </w:rPr>
            </w:pPr>
          </w:p>
        </w:tc>
        <w:tc>
          <w:tcPr>
            <w:tcW w:w="473" w:type="dxa"/>
            <w:tcBorders>
              <w:top w:val="single" w:sz="6" w:space="0" w:color="000000"/>
              <w:left w:val="nil"/>
              <w:right w:val="nil"/>
            </w:tcBorders>
            <w:shd w:val="clear" w:color="auto" w:fill="FFFF00"/>
          </w:tcPr>
          <w:p>
            <w:pPr>
              <w:pStyle w:val="TableParagraph"/>
              <w:spacing w:before="48"/>
              <w:ind w:left="14" w:right="-29"/>
              <w:rPr>
                <w:rFonts w:ascii="Times New Roman"/>
                <w:sz w:val="21"/>
              </w:rPr>
            </w:pPr>
            <w:r>
              <w:rPr>
                <w:rFonts w:ascii="Times New Roman"/>
                <w:sz w:val="21"/>
              </w:rPr>
              <w:t>0.108</w:t>
            </w:r>
          </w:p>
        </w:tc>
        <w:tc>
          <w:tcPr>
            <w:tcW w:w="154" w:type="dxa"/>
            <w:tcBorders>
              <w:top w:val="single" w:sz="6" w:space="0" w:color="000000"/>
              <w:left w:val="nil"/>
              <w:right w:val="single" w:sz="6" w:space="0" w:color="000000"/>
            </w:tcBorders>
          </w:tcPr>
          <w:p>
            <w:pPr>
              <w:pStyle w:val="TableParagraph"/>
              <w:jc w:val="left"/>
              <w:rPr>
                <w:rFonts w:ascii="Times New Roman"/>
                <w:sz w:val="20"/>
              </w:rPr>
            </w:pPr>
          </w:p>
        </w:tc>
        <w:tc>
          <w:tcPr>
            <w:tcW w:w="837" w:type="dxa"/>
            <w:gridSpan w:val="3"/>
            <w:tcBorders>
              <w:top w:val="single" w:sz="6" w:space="0" w:color="000000"/>
              <w:left w:val="single" w:sz="6" w:space="0" w:color="000000"/>
              <w:right w:val="single" w:sz="6" w:space="0" w:color="000000"/>
            </w:tcBorders>
          </w:tcPr>
          <w:p>
            <w:pPr>
              <w:pStyle w:val="TableParagraph"/>
              <w:spacing w:before="48"/>
              <w:ind w:left="184"/>
              <w:jc w:val="left"/>
              <w:rPr>
                <w:rFonts w:ascii="Times New Roman"/>
                <w:sz w:val="21"/>
              </w:rPr>
            </w:pPr>
            <w:r>
              <w:rPr>
                <w:rFonts w:ascii="Times New Roman"/>
                <w:sz w:val="21"/>
                <w:shd w:fill="FFFF00" w:color="auto" w:val="clear"/>
              </w:rPr>
              <w:t>0.175</w:t>
            </w:r>
          </w:p>
        </w:tc>
        <w:tc>
          <w:tcPr>
            <w:tcW w:w="838" w:type="dxa"/>
            <w:tcBorders>
              <w:top w:val="single" w:sz="6" w:space="0" w:color="000000"/>
              <w:left w:val="single" w:sz="6" w:space="0" w:color="000000"/>
              <w:right w:val="single" w:sz="6" w:space="0" w:color="000000"/>
            </w:tcBorders>
          </w:tcPr>
          <w:p>
            <w:pPr>
              <w:pStyle w:val="TableParagraph"/>
              <w:spacing w:before="27"/>
              <w:ind w:left="108" w:right="81"/>
              <w:rPr>
                <w:rFonts w:ascii="Times New Roman"/>
                <w:sz w:val="21"/>
              </w:rPr>
            </w:pPr>
            <w:r>
              <w:rPr>
                <w:rFonts w:ascii="Times New Roman"/>
                <w:sz w:val="21"/>
              </w:rPr>
              <w:t>0.002</w:t>
            </w:r>
          </w:p>
        </w:tc>
        <w:tc>
          <w:tcPr>
            <w:tcW w:w="838" w:type="dxa"/>
            <w:tcBorders>
              <w:top w:val="single" w:sz="6" w:space="0" w:color="000000"/>
              <w:left w:val="single" w:sz="6" w:space="0" w:color="000000"/>
              <w:right w:val="single" w:sz="6" w:space="0" w:color="000000"/>
            </w:tcBorders>
          </w:tcPr>
          <w:p>
            <w:pPr>
              <w:pStyle w:val="TableParagraph"/>
              <w:spacing w:before="48"/>
              <w:ind w:left="108" w:right="82"/>
              <w:rPr>
                <w:rFonts w:ascii="Times New Roman"/>
                <w:sz w:val="21"/>
              </w:rPr>
            </w:pPr>
            <w:r>
              <w:rPr>
                <w:rFonts w:ascii="Times New Roman"/>
                <w:sz w:val="21"/>
              </w:rPr>
              <w:t>0.16</w:t>
            </w:r>
          </w:p>
        </w:tc>
        <w:tc>
          <w:tcPr>
            <w:tcW w:w="661" w:type="dxa"/>
            <w:tcBorders>
              <w:top w:val="single" w:sz="6" w:space="0" w:color="000000"/>
              <w:left w:val="single" w:sz="6" w:space="0" w:color="000000"/>
              <w:right w:val="single" w:sz="6" w:space="0" w:color="000000"/>
            </w:tcBorders>
          </w:tcPr>
          <w:p>
            <w:pPr>
              <w:pStyle w:val="TableParagraph"/>
              <w:spacing w:before="48"/>
              <w:ind w:left="82" w:right="61"/>
              <w:rPr>
                <w:rFonts w:ascii="Times New Roman"/>
                <w:sz w:val="21"/>
              </w:rPr>
            </w:pPr>
            <w:r>
              <w:rPr>
                <w:rFonts w:ascii="Times New Roman"/>
                <w:sz w:val="21"/>
              </w:rPr>
              <w:t>33</w:t>
            </w:r>
          </w:p>
        </w:tc>
        <w:tc>
          <w:tcPr>
            <w:tcW w:w="689" w:type="dxa"/>
            <w:tcBorders>
              <w:top w:val="single" w:sz="6" w:space="0" w:color="000000"/>
              <w:left w:val="single" w:sz="6" w:space="0" w:color="000000"/>
              <w:right w:val="single" w:sz="6" w:space="0" w:color="000000"/>
            </w:tcBorders>
          </w:tcPr>
          <w:p>
            <w:pPr>
              <w:pStyle w:val="TableParagraph"/>
              <w:spacing w:before="48"/>
              <w:ind w:right="89"/>
              <w:jc w:val="right"/>
              <w:rPr>
                <w:rFonts w:ascii="Times New Roman"/>
                <w:sz w:val="21"/>
              </w:rPr>
            </w:pPr>
            <w:r>
              <w:rPr>
                <w:rFonts w:ascii="Times New Roman"/>
                <w:sz w:val="21"/>
              </w:rPr>
              <w:t>0.113</w:t>
            </w:r>
          </w:p>
        </w:tc>
        <w:tc>
          <w:tcPr>
            <w:tcW w:w="797" w:type="dxa"/>
            <w:tcBorders>
              <w:top w:val="single" w:sz="6" w:space="0" w:color="000000"/>
              <w:left w:val="single" w:sz="6" w:space="0" w:color="000000"/>
            </w:tcBorders>
          </w:tcPr>
          <w:p>
            <w:pPr>
              <w:pStyle w:val="TableParagraph"/>
              <w:spacing w:before="48"/>
              <w:ind w:left="93" w:right="64"/>
              <w:rPr>
                <w:rFonts w:ascii="Times New Roman"/>
                <w:sz w:val="21"/>
              </w:rPr>
            </w:pPr>
            <w:r>
              <w:rPr>
                <w:rFonts w:ascii="Times New Roman"/>
                <w:sz w:val="21"/>
              </w:rPr>
              <w:t>0.0247</w:t>
            </w:r>
          </w:p>
        </w:tc>
      </w:tr>
    </w:tbl>
    <w:p>
      <w:pPr>
        <w:spacing w:after="0"/>
        <w:rPr>
          <w:rFonts w:ascii="Times New Roman"/>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5"/>
        <w:gridCol w:w="843"/>
        <w:gridCol w:w="1243"/>
        <w:gridCol w:w="775"/>
        <w:gridCol w:w="835"/>
        <w:gridCol w:w="837"/>
        <w:gridCol w:w="837"/>
        <w:gridCol w:w="660"/>
        <w:gridCol w:w="688"/>
        <w:gridCol w:w="796"/>
      </w:tblGrid>
      <w:tr>
        <w:trPr>
          <w:trHeight w:val="357" w:hRule="atLeast"/>
        </w:trPr>
        <w:tc>
          <w:tcPr>
            <w:tcW w:w="1195" w:type="dxa"/>
            <w:vMerge w:val="restart"/>
            <w:tcBorders>
              <w:bottom w:val="single" w:sz="6" w:space="0" w:color="000000"/>
              <w:right w:val="single" w:sz="6" w:space="0" w:color="000000"/>
            </w:tcBorders>
          </w:tcPr>
          <w:p>
            <w:pPr>
              <w:pStyle w:val="TableParagraph"/>
              <w:jc w:val="left"/>
              <w:rPr>
                <w:rFonts w:ascii="Times New Roman"/>
                <w:sz w:val="23"/>
              </w:rPr>
            </w:pPr>
          </w:p>
          <w:p>
            <w:pPr>
              <w:pStyle w:val="TableParagraph"/>
              <w:ind w:left="174"/>
              <w:jc w:val="left"/>
              <w:rPr>
                <w:sz w:val="21"/>
              </w:rPr>
            </w:pPr>
            <w:r>
              <w:rPr>
                <w:sz w:val="21"/>
              </w:rPr>
              <w:t>采样日期</w:t>
            </w:r>
          </w:p>
        </w:tc>
        <w:tc>
          <w:tcPr>
            <w:tcW w:w="843"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7"/>
              </w:rPr>
            </w:pPr>
          </w:p>
          <w:p>
            <w:pPr>
              <w:pStyle w:val="TableParagraph"/>
              <w:spacing w:line="168" w:lineRule="auto"/>
              <w:ind w:left="218" w:right="185"/>
              <w:jc w:val="left"/>
              <w:rPr>
                <w:sz w:val="21"/>
              </w:rPr>
            </w:pPr>
            <w:r>
              <w:rPr>
                <w:sz w:val="21"/>
              </w:rPr>
              <w:t>检测点位</w:t>
            </w:r>
          </w:p>
        </w:tc>
        <w:tc>
          <w:tcPr>
            <w:tcW w:w="1243"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3"/>
              </w:rPr>
            </w:pPr>
          </w:p>
          <w:p>
            <w:pPr>
              <w:pStyle w:val="TableParagraph"/>
              <w:ind w:left="208"/>
              <w:jc w:val="left"/>
              <w:rPr>
                <w:sz w:val="21"/>
              </w:rPr>
            </w:pPr>
            <w:r>
              <w:rPr>
                <w:sz w:val="21"/>
              </w:rPr>
              <w:t>采样时间</w:t>
            </w:r>
          </w:p>
        </w:tc>
        <w:tc>
          <w:tcPr>
            <w:tcW w:w="5428" w:type="dxa"/>
            <w:gridSpan w:val="7"/>
            <w:tcBorders>
              <w:left w:val="single" w:sz="6" w:space="0" w:color="000000"/>
              <w:bottom w:val="single" w:sz="6" w:space="0" w:color="000000"/>
            </w:tcBorders>
          </w:tcPr>
          <w:p>
            <w:pPr>
              <w:pStyle w:val="TableParagraph"/>
              <w:spacing w:line="337" w:lineRule="exact"/>
              <w:ind w:left="2283" w:right="2242"/>
              <w:rPr>
                <w:sz w:val="21"/>
              </w:rPr>
            </w:pPr>
            <w:r>
              <w:rPr>
                <w:sz w:val="21"/>
              </w:rPr>
              <w:t>检测项目</w:t>
            </w:r>
          </w:p>
        </w:tc>
      </w:tr>
      <w:tr>
        <w:trPr>
          <w:trHeight w:val="623"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vMerge/>
            <w:tcBorders>
              <w:top w:val="nil"/>
              <w:left w:val="single" w:sz="6" w:space="0" w:color="000000"/>
              <w:bottom w:val="single" w:sz="6" w:space="0" w:color="000000"/>
              <w:right w:val="single" w:sz="6" w:space="0" w:color="000000"/>
            </w:tcBorders>
          </w:tcPr>
          <w:p>
            <w:pPr>
              <w:rPr>
                <w:sz w:val="2"/>
                <w:szCs w:val="2"/>
              </w:rPr>
            </w:pP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73" w:right="46"/>
              <w:rPr>
                <w:sz w:val="21"/>
              </w:rPr>
            </w:pPr>
            <w:r>
              <w:rPr>
                <w:sz w:val="21"/>
              </w:rPr>
              <w:t>氯化</w:t>
            </w:r>
          </w:p>
          <w:p>
            <w:pPr>
              <w:pStyle w:val="TableParagraph"/>
              <w:spacing w:line="302" w:lineRule="exact"/>
              <w:ind w:left="27"/>
              <w:rPr>
                <w:sz w:val="21"/>
              </w:rPr>
            </w:pPr>
            <w:r>
              <w:rPr>
                <w:w w:val="100"/>
                <w:sz w:val="21"/>
              </w:rPr>
              <w:t>氢</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7"/>
              <w:ind w:right="184"/>
              <w:jc w:val="right"/>
              <w:rPr>
                <w:sz w:val="21"/>
              </w:rPr>
            </w:pPr>
            <w:r>
              <w:rPr>
                <w:sz w:val="21"/>
              </w:rPr>
              <w:t>甲醛</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11" w:right="77"/>
              <w:rPr>
                <w:sz w:val="21"/>
              </w:rPr>
            </w:pPr>
            <w:r>
              <w:rPr>
                <w:sz w:val="21"/>
              </w:rPr>
              <w:t>硫化</w:t>
            </w:r>
          </w:p>
          <w:p>
            <w:pPr>
              <w:pStyle w:val="TableParagraph"/>
              <w:spacing w:line="302" w:lineRule="exact"/>
              <w:ind w:left="29"/>
              <w:rPr>
                <w:sz w:val="21"/>
              </w:rPr>
            </w:pPr>
            <w:r>
              <w:rPr>
                <w:w w:val="100"/>
                <w:sz w:val="21"/>
              </w:rPr>
              <w:t>氢</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7"/>
              <w:ind w:left="30"/>
              <w:rPr>
                <w:sz w:val="21"/>
              </w:rPr>
            </w:pPr>
            <w:r>
              <w:rPr>
                <w:w w:val="100"/>
                <w:sz w:val="21"/>
              </w:rPr>
              <w:t>氨</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29"/>
              <w:jc w:val="left"/>
              <w:rPr>
                <w:sz w:val="21"/>
              </w:rPr>
            </w:pPr>
            <w:r>
              <w:rPr>
                <w:sz w:val="21"/>
              </w:rPr>
              <w:t>臭气</w:t>
            </w:r>
          </w:p>
          <w:p>
            <w:pPr>
              <w:pStyle w:val="TableParagraph"/>
              <w:spacing w:line="302" w:lineRule="exact"/>
              <w:ind w:left="129"/>
              <w:jc w:val="left"/>
              <w:rPr>
                <w:sz w:val="21"/>
              </w:rPr>
            </w:pPr>
            <w:r>
              <w:rPr>
                <w:sz w:val="21"/>
              </w:rPr>
              <w:t>浓度</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25" w:right="88"/>
              <w:rPr>
                <w:sz w:val="21"/>
              </w:rPr>
            </w:pPr>
            <w:r>
              <w:rPr>
                <w:sz w:val="21"/>
              </w:rPr>
              <w:t>硫酸</w:t>
            </w:r>
          </w:p>
          <w:p>
            <w:pPr>
              <w:pStyle w:val="TableParagraph"/>
              <w:spacing w:line="302" w:lineRule="exact"/>
              <w:ind w:left="33"/>
              <w:rPr>
                <w:sz w:val="21"/>
              </w:rPr>
            </w:pPr>
            <w:r>
              <w:rPr>
                <w:w w:val="100"/>
                <w:sz w:val="21"/>
              </w:rPr>
              <w:t>雾</w:t>
            </w:r>
          </w:p>
        </w:tc>
        <w:tc>
          <w:tcPr>
            <w:tcW w:w="796" w:type="dxa"/>
            <w:tcBorders>
              <w:top w:val="single" w:sz="6" w:space="0" w:color="000000"/>
              <w:left w:val="single" w:sz="6" w:space="0" w:color="000000"/>
              <w:bottom w:val="single" w:sz="6" w:space="0" w:color="000000"/>
            </w:tcBorders>
          </w:tcPr>
          <w:p>
            <w:pPr>
              <w:pStyle w:val="TableParagraph"/>
              <w:spacing w:before="77"/>
              <w:ind w:right="151"/>
              <w:jc w:val="right"/>
              <w:rPr>
                <w:sz w:val="21"/>
              </w:rPr>
            </w:pPr>
            <w:r>
              <w:rPr>
                <w:sz w:val="21"/>
              </w:rPr>
              <w:t>甲苯</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8"/>
              <w:ind w:right="83"/>
              <w:jc w:val="right"/>
              <w:rPr>
                <w:rFonts w:ascii="Times New Roman"/>
                <w:sz w:val="21"/>
              </w:rPr>
            </w:pPr>
            <w:r>
              <w:rPr>
                <w:rFonts w:ascii="Times New Roman"/>
                <w:sz w:val="21"/>
              </w:rPr>
              <w:t>14:00-15:00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8"/>
              <w:ind w:left="73" w:right="46"/>
              <w:rPr>
                <w:rFonts w:ascii="Times New Roman"/>
                <w:sz w:val="21"/>
              </w:rPr>
            </w:pPr>
            <w:r>
              <w:rPr>
                <w:rFonts w:ascii="Times New Roman"/>
                <w:sz w:val="21"/>
                <w:shd w:fill="FFFF00" w:color="auto" w:val="clear"/>
              </w:rPr>
              <w:t>0.108</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8"/>
              <w:ind w:right="157"/>
              <w:jc w:val="right"/>
              <w:rPr>
                <w:rFonts w:ascii="Times New Roman"/>
                <w:sz w:val="21"/>
              </w:rPr>
            </w:pPr>
            <w:r>
              <w:rPr>
                <w:rFonts w:ascii="Times New Roman"/>
                <w:sz w:val="21"/>
                <w:shd w:fill="FFFF00" w:color="auto" w:val="clear"/>
              </w:rPr>
              <w:t>0.200</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6"/>
              <w:ind w:left="111" w:right="77"/>
              <w:rPr>
                <w:rFonts w:ascii="Times New Roman"/>
                <w:sz w:val="21"/>
              </w:rPr>
            </w:pPr>
            <w:r>
              <w:rPr>
                <w:rFonts w:ascii="Times New Roman"/>
                <w:sz w:val="21"/>
              </w:rPr>
              <w:t>0.002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8"/>
              <w:ind w:left="111" w:right="76"/>
              <w:rPr>
                <w:rFonts w:ascii="Times New Roman"/>
                <w:sz w:val="21"/>
              </w:rPr>
            </w:pPr>
            <w:r>
              <w:rPr>
                <w:rFonts w:ascii="Times New Roman"/>
                <w:sz w:val="21"/>
              </w:rPr>
              <w:t>0.12</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58"/>
              <w:ind w:left="152" w:right="120"/>
              <w:rPr>
                <w:rFonts w:ascii="Times New Roman"/>
                <w:sz w:val="21"/>
              </w:rPr>
            </w:pPr>
            <w:r>
              <w:rPr>
                <w:rFonts w:ascii="Times New Roman"/>
                <w:sz w:val="21"/>
              </w:rPr>
              <w:t>31</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8"/>
              <w:ind w:right="77"/>
              <w:jc w:val="right"/>
              <w:rPr>
                <w:rFonts w:ascii="Times New Roman"/>
                <w:sz w:val="21"/>
              </w:rPr>
            </w:pPr>
            <w:r>
              <w:rPr>
                <w:rFonts w:ascii="Times New Roman"/>
                <w:sz w:val="21"/>
              </w:rPr>
              <w:t>0.106</w:t>
            </w:r>
          </w:p>
        </w:tc>
        <w:tc>
          <w:tcPr>
            <w:tcW w:w="796" w:type="dxa"/>
            <w:tcBorders>
              <w:top w:val="single" w:sz="6" w:space="0" w:color="000000"/>
              <w:left w:val="single" w:sz="6" w:space="0" w:color="000000"/>
              <w:bottom w:val="single" w:sz="6" w:space="0" w:color="000000"/>
            </w:tcBorders>
          </w:tcPr>
          <w:p>
            <w:pPr>
              <w:pStyle w:val="TableParagraph"/>
              <w:spacing w:before="58"/>
              <w:ind w:right="72"/>
              <w:jc w:val="right"/>
              <w:rPr>
                <w:rFonts w:ascii="Times New Roman"/>
                <w:sz w:val="21"/>
              </w:rPr>
            </w:pPr>
            <w:r>
              <w:rPr>
                <w:rFonts w:ascii="Times New Roman"/>
                <w:sz w:val="21"/>
              </w:rPr>
              <w:t>0.0175</w:t>
            </w:r>
          </w:p>
        </w:tc>
      </w:tr>
      <w:tr>
        <w:trPr>
          <w:trHeight w:val="359"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8"/>
              <w:ind w:right="83"/>
              <w:jc w:val="right"/>
              <w:rPr>
                <w:rFonts w:ascii="Times New Roman"/>
                <w:sz w:val="21"/>
              </w:rPr>
            </w:pPr>
            <w:r>
              <w:rPr>
                <w:rFonts w:ascii="Times New Roman"/>
                <w:sz w:val="21"/>
              </w:rPr>
              <w:t>20:00-21:00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8"/>
              <w:ind w:left="73" w:right="46"/>
              <w:rPr>
                <w:rFonts w:ascii="Times New Roman"/>
                <w:sz w:val="21"/>
              </w:rPr>
            </w:pPr>
            <w:r>
              <w:rPr>
                <w:rFonts w:ascii="Times New Roman"/>
                <w:sz w:val="21"/>
                <w:shd w:fill="FFFF00" w:color="auto" w:val="clear"/>
              </w:rPr>
              <w:t>0.109</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8"/>
              <w:ind w:right="157"/>
              <w:jc w:val="right"/>
              <w:rPr>
                <w:rFonts w:ascii="Times New Roman"/>
                <w:sz w:val="21"/>
              </w:rPr>
            </w:pPr>
            <w:r>
              <w:rPr>
                <w:rFonts w:ascii="Times New Roman"/>
                <w:sz w:val="21"/>
                <w:shd w:fill="FFFF00" w:color="auto" w:val="clear"/>
              </w:rPr>
              <w:t>0.174</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6"/>
              <w:ind w:left="111" w:right="77"/>
              <w:rPr>
                <w:rFonts w:ascii="Times New Roman"/>
                <w:sz w:val="21"/>
              </w:rPr>
            </w:pPr>
            <w:r>
              <w:rPr>
                <w:rFonts w:ascii="Times New Roman"/>
                <w:sz w:val="21"/>
              </w:rPr>
              <w:t>0.002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8"/>
              <w:ind w:left="111" w:right="76"/>
              <w:rPr>
                <w:rFonts w:ascii="Times New Roman"/>
                <w:sz w:val="21"/>
              </w:rPr>
            </w:pPr>
            <w:r>
              <w:rPr>
                <w:rFonts w:ascii="Times New Roman"/>
                <w:sz w:val="21"/>
              </w:rPr>
              <w:t>0.10</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58"/>
              <w:ind w:left="152" w:right="120"/>
              <w:rPr>
                <w:rFonts w:ascii="Times New Roman"/>
                <w:sz w:val="21"/>
              </w:rPr>
            </w:pPr>
            <w:r>
              <w:rPr>
                <w:rFonts w:ascii="Times New Roman"/>
                <w:sz w:val="21"/>
              </w:rPr>
              <w:t>32</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8"/>
              <w:ind w:right="87"/>
              <w:jc w:val="right"/>
              <w:rPr>
                <w:rFonts w:ascii="Times New Roman"/>
                <w:sz w:val="21"/>
              </w:rPr>
            </w:pPr>
            <w:r>
              <w:rPr>
                <w:rFonts w:ascii="Times New Roman"/>
                <w:sz w:val="21"/>
              </w:rPr>
              <w:t>0.111</w:t>
            </w:r>
          </w:p>
        </w:tc>
        <w:tc>
          <w:tcPr>
            <w:tcW w:w="796" w:type="dxa"/>
            <w:tcBorders>
              <w:top w:val="single" w:sz="6" w:space="0" w:color="000000"/>
              <w:left w:val="single" w:sz="6" w:space="0" w:color="000000"/>
              <w:bottom w:val="single" w:sz="6" w:space="0" w:color="000000"/>
            </w:tcBorders>
          </w:tcPr>
          <w:p>
            <w:pPr>
              <w:pStyle w:val="TableParagraph"/>
              <w:spacing w:before="58"/>
              <w:ind w:right="72"/>
              <w:jc w:val="right"/>
              <w:rPr>
                <w:rFonts w:ascii="Times New Roman"/>
                <w:sz w:val="21"/>
              </w:rPr>
            </w:pPr>
            <w:r>
              <w:rPr>
                <w:rFonts w:ascii="Times New Roman"/>
                <w:sz w:val="21"/>
              </w:rPr>
              <w:t>0.0154</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Times New Roman"/>
                <w:sz w:val="24"/>
              </w:rPr>
            </w:pPr>
          </w:p>
          <w:p>
            <w:pPr>
              <w:pStyle w:val="TableParagraph"/>
              <w:spacing w:line="168" w:lineRule="auto"/>
              <w:ind w:left="218" w:right="185"/>
              <w:jc w:val="both"/>
              <w:rPr>
                <w:sz w:val="21"/>
              </w:rPr>
            </w:pPr>
            <w:r>
              <w:rPr>
                <w:rFonts w:ascii="Times New Roman" w:eastAsia="Times New Roman"/>
                <w:sz w:val="21"/>
              </w:rPr>
              <w:t>2#</w:t>
            </w:r>
            <w:r>
              <w:rPr>
                <w:sz w:val="21"/>
              </w:rPr>
              <w:t>后柴沟村</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0.098</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1"/>
              <w:ind w:right="97"/>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4"/>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0.12</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87"/>
              <w:jc w:val="right"/>
              <w:rPr>
                <w:rFonts w:ascii="Times New Roman"/>
                <w:sz w:val="21"/>
              </w:rPr>
            </w:pPr>
            <w:r>
              <w:rPr>
                <w:rFonts w:ascii="Times New Roman"/>
                <w:sz w:val="21"/>
              </w:rPr>
              <w:t>0.111</w:t>
            </w:r>
          </w:p>
        </w:tc>
        <w:tc>
          <w:tcPr>
            <w:tcW w:w="796" w:type="dxa"/>
            <w:tcBorders>
              <w:top w:val="single" w:sz="6" w:space="0" w:color="000000"/>
              <w:left w:val="single" w:sz="6" w:space="0" w:color="000000"/>
              <w:bottom w:val="single" w:sz="6" w:space="0" w:color="000000"/>
            </w:tcBorders>
          </w:tcPr>
          <w:p>
            <w:pPr>
              <w:pStyle w:val="TableParagraph"/>
              <w:spacing w:before="34"/>
              <w:ind w:right="72"/>
              <w:jc w:val="right"/>
              <w:rPr>
                <w:rFonts w:ascii="Times New Roman"/>
                <w:sz w:val="21"/>
              </w:rPr>
            </w:pPr>
            <w:r>
              <w:rPr>
                <w:rFonts w:ascii="Times New Roman"/>
                <w:sz w:val="21"/>
              </w:rPr>
              <w:t>0.0172</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4"/>
              <w:rPr>
                <w:rFonts w:ascii="Times New Roman"/>
                <w:sz w:val="21"/>
              </w:rPr>
            </w:pPr>
            <w:r>
              <w:rPr>
                <w:rFonts w:ascii="Times New Roman"/>
                <w:sz w:val="21"/>
                <w:shd w:fill="FFFF00" w:color="auto" w:val="clear"/>
              </w:rPr>
              <w:t>0.115</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1"/>
              <w:ind w:right="97"/>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4"/>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0.16</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77"/>
              <w:jc w:val="right"/>
              <w:rPr>
                <w:rFonts w:ascii="Times New Roman"/>
                <w:sz w:val="21"/>
              </w:rPr>
            </w:pPr>
            <w:r>
              <w:rPr>
                <w:rFonts w:ascii="Times New Roman"/>
                <w:sz w:val="21"/>
              </w:rPr>
              <w:t>0.141</w:t>
            </w:r>
          </w:p>
        </w:tc>
        <w:tc>
          <w:tcPr>
            <w:tcW w:w="796" w:type="dxa"/>
            <w:tcBorders>
              <w:top w:val="single" w:sz="6" w:space="0" w:color="000000"/>
              <w:left w:val="single" w:sz="6" w:space="0" w:color="000000"/>
              <w:bottom w:val="single" w:sz="6" w:space="0" w:color="000000"/>
            </w:tcBorders>
          </w:tcPr>
          <w:p>
            <w:pPr>
              <w:pStyle w:val="TableParagraph"/>
              <w:spacing w:before="34"/>
              <w:ind w:right="72"/>
              <w:jc w:val="right"/>
              <w:rPr>
                <w:rFonts w:ascii="Times New Roman"/>
                <w:sz w:val="21"/>
              </w:rPr>
            </w:pPr>
            <w:r>
              <w:rPr>
                <w:rFonts w:ascii="Times New Roman"/>
                <w:sz w:val="21"/>
              </w:rPr>
              <w:t>0.0159</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0.108</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1"/>
              <w:ind w:right="97"/>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4"/>
              <w:ind w:left="111" w:right="77"/>
              <w:rPr>
                <w:rFonts w:ascii="Times New Roman"/>
                <w:sz w:val="21"/>
              </w:rPr>
            </w:pPr>
            <w:r>
              <w:rPr>
                <w:rFonts w:ascii="Times New Roman"/>
                <w:sz w:val="21"/>
              </w:rPr>
              <w: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77"/>
              <w:jc w:val="right"/>
              <w:rPr>
                <w:rFonts w:ascii="Times New Roman"/>
                <w:sz w:val="21"/>
              </w:rPr>
            </w:pPr>
            <w:r>
              <w:rPr>
                <w:rFonts w:ascii="Times New Roman"/>
                <w:sz w:val="21"/>
              </w:rPr>
              <w:t>0.105</w:t>
            </w:r>
          </w:p>
        </w:tc>
        <w:tc>
          <w:tcPr>
            <w:tcW w:w="796" w:type="dxa"/>
            <w:tcBorders>
              <w:top w:val="single" w:sz="6" w:space="0" w:color="000000"/>
              <w:left w:val="single" w:sz="6" w:space="0" w:color="000000"/>
              <w:bottom w:val="single" w:sz="6" w:space="0" w:color="000000"/>
            </w:tcBorders>
          </w:tcPr>
          <w:p>
            <w:pPr>
              <w:pStyle w:val="TableParagraph"/>
              <w:spacing w:before="34"/>
              <w:ind w:right="72"/>
              <w:jc w:val="right"/>
              <w:rPr>
                <w:rFonts w:ascii="Times New Roman"/>
                <w:sz w:val="21"/>
              </w:rPr>
            </w:pPr>
            <w:r>
              <w:rPr>
                <w:rFonts w:ascii="Times New Roman"/>
                <w:sz w:val="21"/>
              </w:rPr>
              <w:t>0.0163</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0.106</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1"/>
              <w:ind w:right="97"/>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4"/>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0.14</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77"/>
              <w:jc w:val="right"/>
              <w:rPr>
                <w:rFonts w:ascii="Times New Roman"/>
                <w:sz w:val="21"/>
              </w:rPr>
            </w:pPr>
            <w:r>
              <w:rPr>
                <w:rFonts w:ascii="Times New Roman"/>
                <w:sz w:val="21"/>
              </w:rPr>
              <w:t>0.108</w:t>
            </w:r>
          </w:p>
        </w:tc>
        <w:tc>
          <w:tcPr>
            <w:tcW w:w="796" w:type="dxa"/>
            <w:tcBorders>
              <w:top w:val="single" w:sz="6" w:space="0" w:color="000000"/>
              <w:left w:val="single" w:sz="6" w:space="0" w:color="000000"/>
              <w:bottom w:val="single" w:sz="6" w:space="0" w:color="000000"/>
            </w:tcBorders>
          </w:tcPr>
          <w:p>
            <w:pPr>
              <w:pStyle w:val="TableParagraph"/>
              <w:spacing w:before="34"/>
              <w:ind w:right="72"/>
              <w:jc w:val="right"/>
              <w:rPr>
                <w:rFonts w:ascii="Times New Roman"/>
                <w:sz w:val="21"/>
              </w:rPr>
            </w:pPr>
            <w:r>
              <w:rPr>
                <w:rFonts w:ascii="Times New Roman"/>
                <w:sz w:val="21"/>
              </w:rPr>
              <w:t>0.0195</w:t>
            </w:r>
          </w:p>
        </w:tc>
      </w:tr>
      <w:tr>
        <w:trPr>
          <w:trHeight w:val="357" w:hRule="atLeast"/>
        </w:trPr>
        <w:tc>
          <w:tcPr>
            <w:tcW w:w="1195"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2"/>
              <w:jc w:val="left"/>
              <w:rPr>
                <w:rFonts w:ascii="Times New Roman"/>
                <w:sz w:val="30"/>
              </w:rPr>
            </w:pPr>
          </w:p>
          <w:p>
            <w:pPr>
              <w:pStyle w:val="TableParagraph"/>
              <w:ind w:left="105"/>
              <w:jc w:val="left"/>
              <w:rPr>
                <w:rFonts w:ascii="Times New Roman"/>
                <w:sz w:val="21"/>
              </w:rPr>
            </w:pPr>
            <w:r>
              <w:rPr>
                <w:rFonts w:ascii="Times New Roman"/>
                <w:sz w:val="21"/>
              </w:rPr>
              <w:t>2019-04-17</w:t>
            </w: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3"/>
              <w:jc w:val="left"/>
              <w:rPr>
                <w:rFonts w:ascii="Times New Roman"/>
                <w:sz w:val="18"/>
              </w:rPr>
            </w:pPr>
          </w:p>
          <w:p>
            <w:pPr>
              <w:pStyle w:val="TableParagraph"/>
              <w:spacing w:line="168" w:lineRule="auto"/>
              <w:ind w:left="321" w:right="185" w:hanging="104"/>
              <w:jc w:val="left"/>
              <w:rPr>
                <w:sz w:val="21"/>
              </w:rPr>
            </w:pPr>
            <w:r>
              <w:rPr>
                <w:rFonts w:ascii="Times New Roman" w:eastAsia="Times New Roman"/>
                <w:sz w:val="21"/>
              </w:rPr>
              <w:t>1#</w:t>
            </w:r>
            <w:r>
              <w:rPr>
                <w:sz w:val="21"/>
              </w:rPr>
              <w:t>厂址</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6"/>
              <w:ind w:right="83"/>
              <w:jc w:val="right"/>
              <w:rPr>
                <w:rFonts w:ascii="Times New Roman"/>
                <w:sz w:val="21"/>
              </w:rPr>
            </w:pPr>
            <w:r>
              <w:rPr>
                <w:rFonts w:ascii="Times New Roman"/>
                <w:sz w:val="21"/>
              </w:rPr>
              <w:t>02:00-03:00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6"/>
              <w:ind w:left="73" w:right="46"/>
              <w:rPr>
                <w:rFonts w:ascii="Times New Roman"/>
                <w:sz w:val="21"/>
              </w:rPr>
            </w:pPr>
            <w:r>
              <w:rPr>
                <w:rFonts w:ascii="Times New Roman"/>
                <w:sz w:val="21"/>
                <w:shd w:fill="FFFF00" w:color="auto" w:val="clear"/>
              </w:rPr>
              <w:t>0.074</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6"/>
              <w:ind w:right="157"/>
              <w:jc w:val="right"/>
              <w:rPr>
                <w:rFonts w:ascii="Times New Roman"/>
                <w:sz w:val="21"/>
              </w:rPr>
            </w:pPr>
            <w:r>
              <w:rPr>
                <w:rFonts w:ascii="Times New Roman"/>
                <w:sz w:val="21"/>
                <w:shd w:fill="FFFF00" w:color="auto" w:val="clear"/>
              </w:rPr>
              <w:t>0.200</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6"/>
              <w:ind w:left="111" w:right="77"/>
              <w:rPr>
                <w:rFonts w:ascii="Times New Roman"/>
                <w:sz w:val="21"/>
              </w:rPr>
            </w:pPr>
            <w:r>
              <w:rPr>
                <w:rFonts w:ascii="Times New Roman"/>
                <w:sz w:val="21"/>
              </w:rPr>
              <w:t>0.002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6"/>
              <w:ind w:left="111" w:right="76"/>
              <w:rPr>
                <w:rFonts w:ascii="Times New Roman"/>
                <w:sz w:val="21"/>
              </w:rPr>
            </w:pPr>
            <w:r>
              <w:rPr>
                <w:rFonts w:ascii="Times New Roman"/>
                <w:sz w:val="21"/>
              </w:rPr>
              <w:t>0.14</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56"/>
              <w:ind w:left="152" w:right="120"/>
              <w:rPr>
                <w:rFonts w:ascii="Times New Roman"/>
                <w:sz w:val="21"/>
              </w:rPr>
            </w:pPr>
            <w:r>
              <w:rPr>
                <w:rFonts w:ascii="Times New Roman"/>
                <w:sz w:val="21"/>
              </w:rPr>
              <w:t>32</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6"/>
              <w:ind w:right="77"/>
              <w:jc w:val="right"/>
              <w:rPr>
                <w:rFonts w:ascii="Times New Roman"/>
                <w:sz w:val="21"/>
              </w:rPr>
            </w:pPr>
            <w:r>
              <w:rPr>
                <w:rFonts w:ascii="Times New Roman"/>
                <w:sz w:val="21"/>
              </w:rPr>
              <w:t>0.098</w:t>
            </w:r>
          </w:p>
        </w:tc>
        <w:tc>
          <w:tcPr>
            <w:tcW w:w="796" w:type="dxa"/>
            <w:tcBorders>
              <w:top w:val="single" w:sz="6" w:space="0" w:color="000000"/>
              <w:left w:val="single" w:sz="6" w:space="0" w:color="000000"/>
              <w:bottom w:val="single" w:sz="6" w:space="0" w:color="000000"/>
            </w:tcBorders>
          </w:tcPr>
          <w:p>
            <w:pPr>
              <w:pStyle w:val="TableParagraph"/>
              <w:spacing w:before="56"/>
              <w:ind w:right="124"/>
              <w:jc w:val="right"/>
              <w:rPr>
                <w:rFonts w:ascii="Times New Roman"/>
                <w:sz w:val="21"/>
              </w:rPr>
            </w:pPr>
            <w:r>
              <w:rPr>
                <w:rFonts w:ascii="Times New Roman"/>
                <w:sz w:val="21"/>
              </w:rPr>
              <w:t>0.016</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0.073</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157"/>
              <w:jc w:val="right"/>
              <w:rPr>
                <w:rFonts w:ascii="Times New Roman"/>
                <w:sz w:val="21"/>
              </w:rPr>
            </w:pPr>
            <w:r>
              <w:rPr>
                <w:rFonts w:ascii="Times New Roman"/>
                <w:sz w:val="21"/>
                <w:shd w:fill="FFFF00" w:color="auto" w:val="clear"/>
              </w:rPr>
              <w:t>0.231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7"/>
              <w:rPr>
                <w:rFonts w:ascii="Times New Roman"/>
                <w:sz w:val="21"/>
              </w:rPr>
            </w:pPr>
            <w:r>
              <w:rPr>
                <w:rFonts w:ascii="Times New Roman"/>
                <w:sz w:val="21"/>
              </w:rPr>
              <w:t>0.003</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4"/>
              <w:ind w:left="111" w:right="76"/>
              <w:rPr>
                <w:rFonts w:ascii="Times New Roman"/>
                <w:sz w:val="21"/>
              </w:rPr>
            </w:pPr>
            <w:r>
              <w:rPr>
                <w:rFonts w:ascii="Times New Roman"/>
                <w:sz w:val="21"/>
              </w:rPr>
              <w:t>0.14</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55"/>
              <w:ind w:left="152" w:right="120"/>
              <w:rPr>
                <w:rFonts w:ascii="Times New Roman"/>
                <w:sz w:val="21"/>
              </w:rPr>
            </w:pPr>
            <w:r>
              <w:rPr>
                <w:rFonts w:ascii="Times New Roman"/>
                <w:sz w:val="21"/>
              </w:rPr>
              <w:t>33</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5"/>
              <w:ind w:right="77"/>
              <w:jc w:val="right"/>
              <w:rPr>
                <w:rFonts w:ascii="Times New Roman"/>
                <w:sz w:val="21"/>
              </w:rPr>
            </w:pPr>
            <w:r>
              <w:rPr>
                <w:rFonts w:ascii="Times New Roman"/>
                <w:sz w:val="21"/>
              </w:rPr>
              <w:t>0.218</w:t>
            </w:r>
          </w:p>
        </w:tc>
        <w:tc>
          <w:tcPr>
            <w:tcW w:w="796" w:type="dxa"/>
            <w:tcBorders>
              <w:top w:val="single" w:sz="6" w:space="0" w:color="000000"/>
              <w:left w:val="single" w:sz="6" w:space="0" w:color="000000"/>
              <w:bottom w:val="single" w:sz="6" w:space="0" w:color="000000"/>
            </w:tcBorders>
          </w:tcPr>
          <w:p>
            <w:pPr>
              <w:pStyle w:val="TableParagraph"/>
              <w:spacing w:before="55"/>
              <w:ind w:right="72"/>
              <w:jc w:val="right"/>
              <w:rPr>
                <w:rFonts w:ascii="Times New Roman"/>
                <w:sz w:val="21"/>
              </w:rPr>
            </w:pPr>
            <w:r>
              <w:rPr>
                <w:rFonts w:ascii="Times New Roman"/>
                <w:sz w:val="21"/>
              </w:rPr>
              <w:t>0.0151</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0.085</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157"/>
              <w:jc w:val="right"/>
              <w:rPr>
                <w:rFonts w:ascii="Times New Roman"/>
                <w:sz w:val="21"/>
              </w:rPr>
            </w:pPr>
            <w:r>
              <w:rPr>
                <w:rFonts w:ascii="Times New Roman"/>
                <w:sz w:val="21"/>
                <w:shd w:fill="FFFF00" w:color="auto" w:val="clear"/>
              </w:rPr>
              <w:t>0.202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7"/>
              <w:rPr>
                <w:rFonts w:ascii="Times New Roman"/>
                <w:sz w:val="21"/>
              </w:rPr>
            </w:pPr>
            <w:r>
              <w:rPr>
                <w:rFonts w:ascii="Times New Roman"/>
                <w:sz w:val="21"/>
              </w:rPr>
              <w:t>0.002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34"/>
              <w:ind w:left="111" w:right="76"/>
              <w:rPr>
                <w:rFonts w:ascii="Times New Roman"/>
                <w:sz w:val="21"/>
              </w:rPr>
            </w:pPr>
            <w:r>
              <w:rPr>
                <w:rFonts w:ascii="Times New Roman"/>
                <w:sz w:val="21"/>
              </w:rPr>
              <w:t>0.14</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55"/>
              <w:ind w:left="152" w:right="120"/>
              <w:rPr>
                <w:rFonts w:ascii="Times New Roman"/>
                <w:sz w:val="21"/>
              </w:rPr>
            </w:pPr>
            <w:r>
              <w:rPr>
                <w:rFonts w:ascii="Times New Roman"/>
                <w:sz w:val="21"/>
              </w:rPr>
              <w:t>31</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5"/>
              <w:ind w:right="77"/>
              <w:jc w:val="right"/>
              <w:rPr>
                <w:rFonts w:ascii="Times New Roman"/>
                <w:sz w:val="21"/>
              </w:rPr>
            </w:pPr>
            <w:r>
              <w:rPr>
                <w:rFonts w:ascii="Times New Roman"/>
                <w:sz w:val="21"/>
              </w:rPr>
              <w:t>0.152</w:t>
            </w:r>
          </w:p>
        </w:tc>
        <w:tc>
          <w:tcPr>
            <w:tcW w:w="796" w:type="dxa"/>
            <w:tcBorders>
              <w:top w:val="single" w:sz="6" w:space="0" w:color="000000"/>
              <w:left w:val="single" w:sz="6" w:space="0" w:color="000000"/>
              <w:bottom w:val="single" w:sz="6" w:space="0" w:color="000000"/>
            </w:tcBorders>
          </w:tcPr>
          <w:p>
            <w:pPr>
              <w:pStyle w:val="TableParagraph"/>
              <w:spacing w:before="55"/>
              <w:ind w:right="72"/>
              <w:jc w:val="right"/>
              <w:rPr>
                <w:rFonts w:ascii="Times New Roman"/>
                <w:sz w:val="21"/>
              </w:rPr>
            </w:pPr>
            <w:r>
              <w:rPr>
                <w:rFonts w:ascii="Times New Roman"/>
                <w:sz w:val="21"/>
              </w:rPr>
              <w:t>0.0188</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0.077</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157"/>
              <w:jc w:val="right"/>
              <w:rPr>
                <w:rFonts w:ascii="Times New Roman"/>
                <w:sz w:val="21"/>
              </w:rPr>
            </w:pPr>
            <w:r>
              <w:rPr>
                <w:rFonts w:ascii="Times New Roman"/>
                <w:sz w:val="21"/>
                <w:shd w:fill="FFFF00" w:color="auto" w:val="clear"/>
              </w:rPr>
              <w:t>0.174</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7"/>
              <w:rPr>
                <w:rFonts w:ascii="Times New Roman"/>
                <w:sz w:val="21"/>
              </w:rPr>
            </w:pPr>
            <w:r>
              <w:rPr>
                <w:rFonts w:ascii="Times New Roman"/>
                <w:sz w:val="21"/>
              </w:rPr>
              <w:t>0.002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55"/>
              <w:ind w:left="152" w:right="120"/>
              <w:rPr>
                <w:rFonts w:ascii="Times New Roman"/>
                <w:sz w:val="21"/>
              </w:rPr>
            </w:pPr>
            <w:r>
              <w:rPr>
                <w:rFonts w:ascii="Times New Roman"/>
                <w:sz w:val="21"/>
              </w:rPr>
              <w:t>31</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5"/>
              <w:ind w:right="82"/>
              <w:jc w:val="right"/>
              <w:rPr>
                <w:rFonts w:ascii="Times New Roman"/>
                <w:sz w:val="21"/>
              </w:rPr>
            </w:pPr>
            <w:r>
              <w:rPr>
                <w:rFonts w:ascii="Times New Roman"/>
                <w:sz w:val="21"/>
              </w:rPr>
              <w:t>0.115</w:t>
            </w:r>
          </w:p>
        </w:tc>
        <w:tc>
          <w:tcPr>
            <w:tcW w:w="796" w:type="dxa"/>
            <w:tcBorders>
              <w:top w:val="single" w:sz="6" w:space="0" w:color="000000"/>
              <w:left w:val="single" w:sz="6" w:space="0" w:color="000000"/>
              <w:bottom w:val="single" w:sz="6" w:space="0" w:color="000000"/>
            </w:tcBorders>
          </w:tcPr>
          <w:p>
            <w:pPr>
              <w:pStyle w:val="TableParagraph"/>
              <w:spacing w:before="55"/>
              <w:ind w:right="72"/>
              <w:jc w:val="right"/>
              <w:rPr>
                <w:rFonts w:ascii="Times New Roman"/>
                <w:sz w:val="21"/>
              </w:rPr>
            </w:pPr>
            <w:r>
              <w:rPr>
                <w:rFonts w:ascii="Times New Roman"/>
                <w:sz w:val="21"/>
              </w:rPr>
              <w:t>0.0195</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Times New Roman"/>
                <w:sz w:val="24"/>
              </w:rPr>
            </w:pPr>
          </w:p>
          <w:p>
            <w:pPr>
              <w:pStyle w:val="TableParagraph"/>
              <w:spacing w:line="168" w:lineRule="auto"/>
              <w:ind w:left="218" w:right="185"/>
              <w:jc w:val="both"/>
              <w:rPr>
                <w:sz w:val="21"/>
              </w:rPr>
            </w:pPr>
            <w:r>
              <w:rPr>
                <w:rFonts w:ascii="Times New Roman" w:eastAsia="Times New Roman"/>
                <w:sz w:val="21"/>
              </w:rPr>
              <w:t>2#</w:t>
            </w:r>
            <w:r>
              <w:rPr>
                <w:sz w:val="21"/>
              </w:rPr>
              <w:t>后柴沟村</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0.084</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97"/>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77"/>
              <w:jc w:val="right"/>
              <w:rPr>
                <w:rFonts w:ascii="Times New Roman"/>
                <w:sz w:val="21"/>
              </w:rPr>
            </w:pPr>
            <w:r>
              <w:rPr>
                <w:rFonts w:ascii="Times New Roman"/>
                <w:sz w:val="21"/>
              </w:rPr>
              <w:t>0.221</w:t>
            </w:r>
          </w:p>
        </w:tc>
        <w:tc>
          <w:tcPr>
            <w:tcW w:w="796" w:type="dxa"/>
            <w:tcBorders>
              <w:top w:val="single" w:sz="6" w:space="0" w:color="000000"/>
              <w:left w:val="single" w:sz="6" w:space="0" w:color="000000"/>
              <w:bottom w:val="single" w:sz="6" w:space="0" w:color="000000"/>
            </w:tcBorders>
          </w:tcPr>
          <w:p>
            <w:pPr>
              <w:pStyle w:val="TableParagraph"/>
              <w:spacing w:before="34"/>
              <w:ind w:right="72"/>
              <w:jc w:val="right"/>
              <w:rPr>
                <w:rFonts w:ascii="Times New Roman"/>
                <w:sz w:val="21"/>
              </w:rPr>
            </w:pPr>
            <w:r>
              <w:rPr>
                <w:rFonts w:ascii="Times New Roman"/>
                <w:sz w:val="21"/>
              </w:rPr>
              <w:t>0.0153</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08:00-09:00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0.122</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97"/>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0.14</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77"/>
              <w:jc w:val="right"/>
              <w:rPr>
                <w:rFonts w:ascii="Times New Roman"/>
                <w:sz w:val="21"/>
              </w:rPr>
            </w:pPr>
            <w:r>
              <w:rPr>
                <w:rFonts w:ascii="Times New Roman"/>
                <w:sz w:val="21"/>
              </w:rPr>
              <w:t>0.219</w:t>
            </w:r>
          </w:p>
        </w:tc>
        <w:tc>
          <w:tcPr>
            <w:tcW w:w="796" w:type="dxa"/>
            <w:tcBorders>
              <w:top w:val="single" w:sz="6" w:space="0" w:color="000000"/>
              <w:left w:val="single" w:sz="6" w:space="0" w:color="000000"/>
              <w:bottom w:val="single" w:sz="6" w:space="0" w:color="000000"/>
            </w:tcBorders>
          </w:tcPr>
          <w:p>
            <w:pPr>
              <w:pStyle w:val="TableParagraph"/>
              <w:spacing w:before="34"/>
              <w:ind w:right="72"/>
              <w:jc w:val="right"/>
              <w:rPr>
                <w:rFonts w:ascii="Times New Roman"/>
                <w:sz w:val="21"/>
              </w:rPr>
            </w:pPr>
            <w:r>
              <w:rPr>
                <w:rFonts w:ascii="Times New Roman"/>
                <w:sz w:val="21"/>
              </w:rPr>
              <w:t>0.0186</w:t>
            </w:r>
          </w:p>
        </w:tc>
      </w:tr>
      <w:tr>
        <w:trPr>
          <w:trHeight w:val="356"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14:00-15:00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0.077</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157"/>
              <w:jc w:val="right"/>
              <w:rPr>
                <w:rFonts w:ascii="Times New Roman"/>
                <w:sz w:val="21"/>
              </w:rPr>
            </w:pPr>
            <w:r>
              <w:rPr>
                <w:rFonts w:ascii="Times New Roman"/>
                <w:sz w:val="21"/>
                <w:shd w:fill="FFFF00" w:color="auto" w:val="clear"/>
              </w:rPr>
              <w:t>0.141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7"/>
              <w:rPr>
                <w:rFonts w:ascii="Times New Roman"/>
                <w:sz w:val="21"/>
              </w:rPr>
            </w:pPr>
            <w:r>
              <w:rPr>
                <w:rFonts w:ascii="Times New Roman"/>
                <w:sz w:val="21"/>
              </w:rPr>
              <w: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77"/>
              <w:jc w:val="right"/>
              <w:rPr>
                <w:rFonts w:ascii="Times New Roman"/>
                <w:sz w:val="21"/>
              </w:rPr>
            </w:pPr>
            <w:r>
              <w:rPr>
                <w:rFonts w:ascii="Times New Roman"/>
                <w:sz w:val="21"/>
              </w:rPr>
              <w:t>0.228</w:t>
            </w:r>
          </w:p>
        </w:tc>
        <w:tc>
          <w:tcPr>
            <w:tcW w:w="796" w:type="dxa"/>
            <w:tcBorders>
              <w:top w:val="single" w:sz="6" w:space="0" w:color="000000"/>
              <w:left w:val="single" w:sz="6" w:space="0" w:color="000000"/>
              <w:bottom w:val="single" w:sz="6" w:space="0" w:color="000000"/>
            </w:tcBorders>
          </w:tcPr>
          <w:p>
            <w:pPr>
              <w:pStyle w:val="TableParagraph"/>
              <w:spacing w:before="34"/>
              <w:ind w:right="72"/>
              <w:jc w:val="right"/>
              <w:rPr>
                <w:rFonts w:ascii="Times New Roman"/>
                <w:sz w:val="21"/>
              </w:rPr>
            </w:pPr>
            <w:r>
              <w:rPr>
                <w:rFonts w:ascii="Times New Roman"/>
                <w:sz w:val="21"/>
              </w:rPr>
              <w:t>0.0144</w:t>
            </w:r>
          </w:p>
        </w:tc>
      </w:tr>
      <w:tr>
        <w:trPr>
          <w:trHeight w:val="357" w:hRule="atLeast"/>
        </w:trPr>
        <w:tc>
          <w:tcPr>
            <w:tcW w:w="1195" w:type="dxa"/>
            <w:vMerge/>
            <w:tcBorders>
              <w:top w:val="nil"/>
              <w:bottom w:val="single" w:sz="6" w:space="0" w:color="000000"/>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20:00-21:00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0.079</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97"/>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34"/>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34"/>
              <w:ind w:right="77"/>
              <w:jc w:val="right"/>
              <w:rPr>
                <w:rFonts w:ascii="Times New Roman"/>
                <w:sz w:val="21"/>
              </w:rPr>
            </w:pPr>
            <w:r>
              <w:rPr>
                <w:rFonts w:ascii="Times New Roman"/>
                <w:sz w:val="21"/>
              </w:rPr>
              <w:t>0.239</w:t>
            </w:r>
          </w:p>
        </w:tc>
        <w:tc>
          <w:tcPr>
            <w:tcW w:w="796" w:type="dxa"/>
            <w:tcBorders>
              <w:top w:val="single" w:sz="6" w:space="0" w:color="000000"/>
              <w:left w:val="single" w:sz="6" w:space="0" w:color="000000"/>
              <w:bottom w:val="single" w:sz="6" w:space="0" w:color="000000"/>
            </w:tcBorders>
          </w:tcPr>
          <w:p>
            <w:pPr>
              <w:pStyle w:val="TableParagraph"/>
              <w:spacing w:before="34"/>
              <w:ind w:right="76"/>
              <w:jc w:val="right"/>
              <w:rPr>
                <w:rFonts w:ascii="Times New Roman"/>
                <w:sz w:val="21"/>
              </w:rPr>
            </w:pPr>
            <w:r>
              <w:rPr>
                <w:rFonts w:ascii="Times New Roman"/>
                <w:sz w:val="21"/>
              </w:rPr>
              <w:t>0.0119</w:t>
            </w:r>
          </w:p>
        </w:tc>
      </w:tr>
      <w:tr>
        <w:trPr>
          <w:trHeight w:val="349" w:hRule="atLeast"/>
        </w:trPr>
        <w:tc>
          <w:tcPr>
            <w:tcW w:w="1195" w:type="dxa"/>
            <w:vMerge w:val="restart"/>
            <w:tcBorders>
              <w:top w:val="single" w:sz="6" w:space="0" w:color="000000"/>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2"/>
              <w:jc w:val="left"/>
              <w:rPr>
                <w:rFonts w:ascii="Times New Roman"/>
                <w:sz w:val="30"/>
              </w:rPr>
            </w:pPr>
          </w:p>
          <w:p>
            <w:pPr>
              <w:pStyle w:val="TableParagraph"/>
              <w:ind w:left="105"/>
              <w:jc w:val="left"/>
              <w:rPr>
                <w:rFonts w:ascii="Times New Roman"/>
                <w:sz w:val="21"/>
              </w:rPr>
            </w:pPr>
            <w:r>
              <w:rPr>
                <w:rFonts w:ascii="Times New Roman"/>
                <w:sz w:val="21"/>
              </w:rPr>
              <w:t>2019-04-18</w:t>
            </w:r>
          </w:p>
        </w:tc>
        <w:tc>
          <w:tcPr>
            <w:tcW w:w="84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3"/>
              <w:jc w:val="left"/>
              <w:rPr>
                <w:rFonts w:ascii="Times New Roman"/>
                <w:sz w:val="18"/>
              </w:rPr>
            </w:pPr>
          </w:p>
          <w:p>
            <w:pPr>
              <w:pStyle w:val="TableParagraph"/>
              <w:spacing w:line="168" w:lineRule="auto"/>
              <w:ind w:left="321" w:right="185" w:hanging="104"/>
              <w:jc w:val="left"/>
              <w:rPr>
                <w:sz w:val="21"/>
              </w:rPr>
            </w:pPr>
            <w:r>
              <w:rPr>
                <w:rFonts w:ascii="Times New Roman" w:eastAsia="Times New Roman"/>
                <w:sz w:val="21"/>
              </w:rPr>
              <w:t>1#</w:t>
            </w:r>
            <w:r>
              <w:rPr>
                <w:sz w:val="21"/>
              </w:rPr>
              <w:t>厂址</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55"/>
              <w:ind w:right="83"/>
              <w:jc w:val="right"/>
              <w:rPr>
                <w:rFonts w:ascii="Times New Roman"/>
                <w:sz w:val="21"/>
              </w:rPr>
            </w:pPr>
            <w:r>
              <w:rPr>
                <w:rFonts w:ascii="Times New Roman"/>
                <w:sz w:val="21"/>
              </w:rPr>
              <w:t>02:00-03:00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55"/>
              <w:ind w:left="73" w:right="46"/>
              <w:rPr>
                <w:rFonts w:ascii="Times New Roman"/>
                <w:sz w:val="21"/>
              </w:rPr>
            </w:pPr>
            <w:r>
              <w:rPr>
                <w:rFonts w:ascii="Times New Roman"/>
                <w:sz w:val="21"/>
                <w:shd w:fill="FFFF00" w:color="auto" w:val="clear"/>
              </w:rPr>
              <w:t>0.061</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55"/>
              <w:ind w:right="157"/>
              <w:jc w:val="right"/>
              <w:rPr>
                <w:rFonts w:ascii="Times New Roman"/>
                <w:sz w:val="21"/>
              </w:rPr>
            </w:pPr>
            <w:r>
              <w:rPr>
                <w:rFonts w:ascii="Times New Roman"/>
                <w:sz w:val="21"/>
                <w:shd w:fill="FFFF00" w:color="auto" w:val="clear"/>
              </w:rPr>
              <w:t>0.199</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7"/>
              <w:rPr>
                <w:rFonts w:ascii="Times New Roman"/>
                <w:sz w:val="21"/>
              </w:rPr>
            </w:pPr>
            <w:r>
              <w:rPr>
                <w:rFonts w:ascii="Times New Roman"/>
                <w:sz w:val="21"/>
              </w:rPr>
              <w:t>0.002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55"/>
              <w:ind w:left="152" w:right="120"/>
              <w:rPr>
                <w:rFonts w:ascii="Times New Roman"/>
                <w:sz w:val="21"/>
              </w:rPr>
            </w:pPr>
            <w:r>
              <w:rPr>
                <w:rFonts w:ascii="Times New Roman"/>
                <w:sz w:val="21"/>
              </w:rPr>
              <w:t>31</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5"/>
              <w:ind w:right="77"/>
              <w:jc w:val="right"/>
              <w:rPr>
                <w:rFonts w:ascii="Times New Roman"/>
                <w:sz w:val="21"/>
              </w:rPr>
            </w:pPr>
            <w:r>
              <w:rPr>
                <w:rFonts w:ascii="Times New Roman"/>
                <w:sz w:val="21"/>
              </w:rPr>
              <w:t>0.122</w:t>
            </w:r>
          </w:p>
        </w:tc>
        <w:tc>
          <w:tcPr>
            <w:tcW w:w="796" w:type="dxa"/>
            <w:tcBorders>
              <w:top w:val="single" w:sz="6" w:space="0" w:color="000000"/>
              <w:left w:val="single" w:sz="6" w:space="0" w:color="000000"/>
              <w:bottom w:val="single" w:sz="6" w:space="0" w:color="000000"/>
            </w:tcBorders>
          </w:tcPr>
          <w:p>
            <w:pPr>
              <w:pStyle w:val="TableParagraph"/>
              <w:spacing w:before="55"/>
              <w:ind w:right="124"/>
              <w:jc w:val="right"/>
              <w:rPr>
                <w:rFonts w:ascii="Times New Roman"/>
                <w:sz w:val="21"/>
              </w:rPr>
            </w:pPr>
            <w:r>
              <w:rPr>
                <w:rFonts w:ascii="Times New Roman"/>
                <w:sz w:val="21"/>
              </w:rPr>
              <w:t>0.022</w:t>
            </w:r>
          </w:p>
        </w:tc>
      </w:tr>
      <w:tr>
        <w:trPr>
          <w:trHeight w:val="342" w:hRule="atLeast"/>
        </w:trPr>
        <w:tc>
          <w:tcPr>
            <w:tcW w:w="1195" w:type="dxa"/>
            <w:vMerge/>
            <w:tcBorders>
              <w:top w:val="nil"/>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08:00-09:00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48"/>
              <w:ind w:left="73" w:right="46"/>
              <w:rPr>
                <w:rFonts w:ascii="Times New Roman"/>
                <w:sz w:val="21"/>
              </w:rPr>
            </w:pPr>
            <w:r>
              <w:rPr>
                <w:rFonts w:ascii="Times New Roman"/>
                <w:sz w:val="21"/>
                <w:shd w:fill="FFFF00" w:color="auto" w:val="clear"/>
              </w:rPr>
              <w:t>0.087</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48"/>
              <w:ind w:right="157"/>
              <w:jc w:val="right"/>
              <w:rPr>
                <w:rFonts w:ascii="Times New Roman"/>
                <w:sz w:val="21"/>
              </w:rPr>
            </w:pPr>
            <w:r>
              <w:rPr>
                <w:rFonts w:ascii="Times New Roman"/>
                <w:sz w:val="21"/>
                <w:shd w:fill="FFFF00" w:color="auto" w:val="clear"/>
              </w:rPr>
              <w:t>0.227</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7"/>
              <w:rPr>
                <w:rFonts w:ascii="Times New Roman"/>
                <w:sz w:val="21"/>
              </w:rPr>
            </w:pPr>
            <w:r>
              <w:rPr>
                <w:rFonts w:ascii="Times New Roman"/>
                <w:sz w:val="21"/>
              </w:rPr>
              <w:t>0.003</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6"/>
              <w:rPr>
                <w:rFonts w:ascii="Times New Roman"/>
                <w:sz w:val="21"/>
              </w:rPr>
            </w:pPr>
            <w:r>
              <w:rPr>
                <w:rFonts w:ascii="Times New Roman"/>
                <w:sz w:val="21"/>
              </w:rPr>
              <w:t>0.16</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48"/>
              <w:ind w:left="152" w:right="120"/>
              <w:rPr>
                <w:rFonts w:ascii="Times New Roman"/>
                <w:sz w:val="21"/>
              </w:rPr>
            </w:pPr>
            <w:r>
              <w:rPr>
                <w:rFonts w:ascii="Times New Roman"/>
                <w:sz w:val="21"/>
              </w:rPr>
              <w:t>33</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48"/>
              <w:ind w:right="87"/>
              <w:jc w:val="right"/>
              <w:rPr>
                <w:rFonts w:ascii="Times New Roman"/>
                <w:sz w:val="21"/>
              </w:rPr>
            </w:pPr>
            <w:r>
              <w:rPr>
                <w:rFonts w:ascii="Times New Roman"/>
                <w:sz w:val="21"/>
              </w:rPr>
              <w:t>0.111</w:t>
            </w:r>
          </w:p>
        </w:tc>
        <w:tc>
          <w:tcPr>
            <w:tcW w:w="796" w:type="dxa"/>
            <w:tcBorders>
              <w:top w:val="single" w:sz="6" w:space="0" w:color="000000"/>
              <w:left w:val="single" w:sz="6" w:space="0" w:color="000000"/>
              <w:bottom w:val="single" w:sz="6" w:space="0" w:color="000000"/>
            </w:tcBorders>
          </w:tcPr>
          <w:p>
            <w:pPr>
              <w:pStyle w:val="TableParagraph"/>
              <w:spacing w:before="48"/>
              <w:ind w:right="72"/>
              <w:jc w:val="right"/>
              <w:rPr>
                <w:rFonts w:ascii="Times New Roman"/>
                <w:sz w:val="21"/>
              </w:rPr>
            </w:pPr>
            <w:r>
              <w:rPr>
                <w:rFonts w:ascii="Times New Roman"/>
                <w:sz w:val="21"/>
              </w:rPr>
              <w:t>0.0175</w:t>
            </w:r>
          </w:p>
        </w:tc>
      </w:tr>
      <w:tr>
        <w:trPr>
          <w:trHeight w:val="342" w:hRule="atLeast"/>
        </w:trPr>
        <w:tc>
          <w:tcPr>
            <w:tcW w:w="1195" w:type="dxa"/>
            <w:vMerge/>
            <w:tcBorders>
              <w:top w:val="nil"/>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14:00-15:00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48"/>
              <w:ind w:left="73" w:right="46"/>
              <w:rPr>
                <w:rFonts w:ascii="Times New Roman"/>
                <w:sz w:val="21"/>
              </w:rPr>
            </w:pPr>
            <w:r>
              <w:rPr>
                <w:rFonts w:ascii="Times New Roman"/>
                <w:sz w:val="21"/>
                <w:shd w:fill="FFFF00" w:color="auto" w:val="clear"/>
              </w:rPr>
              <w:t>0.099</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48"/>
              <w:ind w:right="157"/>
              <w:jc w:val="right"/>
              <w:rPr>
                <w:rFonts w:ascii="Times New Roman"/>
                <w:sz w:val="21"/>
              </w:rPr>
            </w:pPr>
            <w:r>
              <w:rPr>
                <w:rFonts w:ascii="Times New Roman"/>
                <w:sz w:val="21"/>
                <w:shd w:fill="FFFF00" w:color="auto" w:val="clear"/>
              </w:rPr>
              <w:t>0.202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7"/>
              <w:rPr>
                <w:rFonts w:ascii="Times New Roman"/>
                <w:sz w:val="21"/>
              </w:rPr>
            </w:pPr>
            <w:r>
              <w:rPr>
                <w:rFonts w:ascii="Times New Roman"/>
                <w:sz w:val="21"/>
              </w:rPr>
              <w:t>0.002</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48"/>
              <w:ind w:left="152" w:right="120"/>
              <w:rPr>
                <w:rFonts w:ascii="Times New Roman"/>
                <w:sz w:val="21"/>
              </w:rPr>
            </w:pPr>
            <w:r>
              <w:rPr>
                <w:rFonts w:ascii="Times New Roman"/>
                <w:sz w:val="21"/>
              </w:rPr>
              <w:t>30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48"/>
              <w:ind w:right="77"/>
              <w:jc w:val="right"/>
              <w:rPr>
                <w:rFonts w:ascii="Times New Roman"/>
                <w:sz w:val="21"/>
              </w:rPr>
            </w:pPr>
            <w:r>
              <w:rPr>
                <w:rFonts w:ascii="Times New Roman"/>
                <w:sz w:val="21"/>
              </w:rPr>
              <w:t>0.229</w:t>
            </w:r>
          </w:p>
        </w:tc>
        <w:tc>
          <w:tcPr>
            <w:tcW w:w="796" w:type="dxa"/>
            <w:tcBorders>
              <w:top w:val="single" w:sz="6" w:space="0" w:color="000000"/>
              <w:left w:val="single" w:sz="6" w:space="0" w:color="000000"/>
              <w:bottom w:val="single" w:sz="6" w:space="0" w:color="000000"/>
            </w:tcBorders>
          </w:tcPr>
          <w:p>
            <w:pPr>
              <w:pStyle w:val="TableParagraph"/>
              <w:spacing w:before="48"/>
              <w:ind w:right="72"/>
              <w:jc w:val="right"/>
              <w:rPr>
                <w:rFonts w:ascii="Times New Roman"/>
                <w:sz w:val="21"/>
              </w:rPr>
            </w:pPr>
            <w:r>
              <w:rPr>
                <w:rFonts w:ascii="Times New Roman"/>
                <w:sz w:val="21"/>
              </w:rPr>
              <w:t>0.0196</w:t>
            </w:r>
          </w:p>
        </w:tc>
      </w:tr>
      <w:tr>
        <w:trPr>
          <w:trHeight w:val="341" w:hRule="atLeast"/>
        </w:trPr>
        <w:tc>
          <w:tcPr>
            <w:tcW w:w="1195" w:type="dxa"/>
            <w:vMerge/>
            <w:tcBorders>
              <w:top w:val="nil"/>
              <w:right w:val="single" w:sz="6" w:space="0" w:color="000000"/>
            </w:tcBorders>
          </w:tcPr>
          <w:p>
            <w:pPr>
              <w:rPr>
                <w:sz w:val="2"/>
                <w:szCs w:val="2"/>
              </w:rPr>
            </w:pPr>
          </w:p>
        </w:tc>
        <w:tc>
          <w:tcPr>
            <w:tcW w:w="843" w:type="dxa"/>
            <w:vMerge/>
            <w:tcBorders>
              <w:top w:val="nil"/>
              <w:left w:val="single" w:sz="6" w:space="0" w:color="000000"/>
              <w:bottom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20:00-21:00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48"/>
              <w:ind w:left="73" w:right="46"/>
              <w:rPr>
                <w:rFonts w:ascii="Times New Roman"/>
                <w:sz w:val="21"/>
              </w:rPr>
            </w:pPr>
            <w:r>
              <w:rPr>
                <w:rFonts w:ascii="Times New Roman"/>
                <w:sz w:val="21"/>
                <w:shd w:fill="FFFF00" w:color="auto" w:val="clear"/>
              </w:rPr>
              <w:t>0.078</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48"/>
              <w:ind w:right="157"/>
              <w:jc w:val="right"/>
              <w:rPr>
                <w:rFonts w:ascii="Times New Roman"/>
                <w:sz w:val="21"/>
              </w:rPr>
            </w:pPr>
            <w:r>
              <w:rPr>
                <w:rFonts w:ascii="Times New Roman"/>
                <w:sz w:val="21"/>
                <w:shd w:fill="FFFF00" w:color="auto" w:val="clear"/>
              </w:rPr>
              <w:t>0.176</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7"/>
              <w:rPr>
                <w:rFonts w:ascii="Times New Roman"/>
                <w:sz w:val="21"/>
              </w:rPr>
            </w:pPr>
            <w:r>
              <w:rPr>
                <w:rFonts w:ascii="Times New Roman"/>
                <w:sz w:val="21"/>
              </w:rPr>
              <w:t>0.003</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6"/>
              <w:rPr>
                <w:rFonts w:ascii="Times New Roman"/>
                <w:sz w:val="21"/>
              </w:rPr>
            </w:pPr>
            <w:r>
              <w:rPr>
                <w:rFonts w:ascii="Times New Roman"/>
                <w:sz w:val="21"/>
              </w:rPr>
              <w:t>0.14</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48"/>
              <w:ind w:left="152" w:right="120"/>
              <w:rPr>
                <w:rFonts w:ascii="Times New Roman"/>
                <w:sz w:val="21"/>
              </w:rPr>
            </w:pPr>
            <w:r>
              <w:rPr>
                <w:rFonts w:ascii="Times New Roman"/>
                <w:sz w:val="21"/>
              </w:rPr>
              <w:t>32</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48"/>
              <w:ind w:right="77"/>
              <w:jc w:val="right"/>
              <w:rPr>
                <w:rFonts w:ascii="Times New Roman"/>
                <w:sz w:val="21"/>
              </w:rPr>
            </w:pPr>
            <w:r>
              <w:rPr>
                <w:rFonts w:ascii="Times New Roman"/>
                <w:sz w:val="21"/>
              </w:rPr>
              <w:t>0.148</w:t>
            </w:r>
          </w:p>
        </w:tc>
        <w:tc>
          <w:tcPr>
            <w:tcW w:w="796" w:type="dxa"/>
            <w:tcBorders>
              <w:top w:val="single" w:sz="6" w:space="0" w:color="000000"/>
              <w:left w:val="single" w:sz="6" w:space="0" w:color="000000"/>
              <w:bottom w:val="single" w:sz="6" w:space="0" w:color="000000"/>
            </w:tcBorders>
          </w:tcPr>
          <w:p>
            <w:pPr>
              <w:pStyle w:val="TableParagraph"/>
              <w:spacing w:before="48"/>
              <w:ind w:right="72"/>
              <w:jc w:val="right"/>
              <w:rPr>
                <w:rFonts w:ascii="Times New Roman"/>
                <w:sz w:val="21"/>
              </w:rPr>
            </w:pPr>
            <w:r>
              <w:rPr>
                <w:rFonts w:ascii="Times New Roman"/>
                <w:sz w:val="21"/>
              </w:rPr>
              <w:t>0.0157</w:t>
            </w:r>
          </w:p>
        </w:tc>
      </w:tr>
      <w:tr>
        <w:trPr>
          <w:trHeight w:val="342" w:hRule="atLeast"/>
        </w:trPr>
        <w:tc>
          <w:tcPr>
            <w:tcW w:w="1195" w:type="dxa"/>
            <w:vMerge/>
            <w:tcBorders>
              <w:top w:val="nil"/>
              <w:right w:val="single" w:sz="6" w:space="0" w:color="000000"/>
            </w:tcBorders>
          </w:tcPr>
          <w:p>
            <w:pPr>
              <w:rPr>
                <w:sz w:val="2"/>
                <w:szCs w:val="2"/>
              </w:rPr>
            </w:pPr>
          </w:p>
        </w:tc>
        <w:tc>
          <w:tcPr>
            <w:tcW w:w="843" w:type="dxa"/>
            <w:vMerge w:val="restart"/>
            <w:tcBorders>
              <w:top w:val="single" w:sz="6" w:space="0" w:color="000000"/>
              <w:left w:val="single" w:sz="6" w:space="0" w:color="000000"/>
              <w:right w:val="single" w:sz="6" w:space="0" w:color="000000"/>
            </w:tcBorders>
          </w:tcPr>
          <w:p>
            <w:pPr>
              <w:pStyle w:val="TableParagraph"/>
              <w:jc w:val="left"/>
              <w:rPr>
                <w:rFonts w:ascii="Times New Roman"/>
                <w:sz w:val="24"/>
              </w:rPr>
            </w:pPr>
          </w:p>
          <w:p>
            <w:pPr>
              <w:pStyle w:val="TableParagraph"/>
              <w:spacing w:line="168" w:lineRule="auto"/>
              <w:ind w:left="218" w:right="185"/>
              <w:jc w:val="both"/>
              <w:rPr>
                <w:sz w:val="21"/>
              </w:rPr>
            </w:pPr>
            <w:r>
              <w:rPr>
                <w:rFonts w:ascii="Times New Roman" w:eastAsia="Times New Roman"/>
                <w:sz w:val="21"/>
              </w:rPr>
              <w:t>2#</w:t>
            </w:r>
            <w:r>
              <w:rPr>
                <w:sz w:val="21"/>
              </w:rPr>
              <w:t>后柴沟村</w:t>
            </w: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02:00-03:00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48"/>
              <w:ind w:left="73" w:right="46"/>
              <w:rPr>
                <w:rFonts w:ascii="Times New Roman"/>
                <w:sz w:val="21"/>
              </w:rPr>
            </w:pPr>
            <w:r>
              <w:rPr>
                <w:rFonts w:ascii="Times New Roman"/>
                <w:sz w:val="21"/>
                <w:shd w:fill="FFFF00" w:color="auto" w:val="clear"/>
              </w:rPr>
              <w:t>0.080</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26"/>
              <w:ind w:right="112"/>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6"/>
              <w:rPr>
                <w:rFonts w:ascii="Times New Roman"/>
                <w:sz w:val="21"/>
              </w:rPr>
            </w:pPr>
            <w:r>
              <w:rPr>
                <w:rFonts w:ascii="Times New Roman"/>
                <w:sz w:val="21"/>
              </w:rPr>
              <w:t>0.12</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26"/>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26"/>
              <w:ind w:right="77"/>
              <w:jc w:val="right"/>
              <w:rPr>
                <w:rFonts w:ascii="Times New Roman"/>
                <w:sz w:val="21"/>
              </w:rPr>
            </w:pPr>
            <w:r>
              <w:rPr>
                <w:rFonts w:ascii="Times New Roman"/>
                <w:sz w:val="21"/>
              </w:rPr>
              <w:t>0.109</w:t>
            </w:r>
          </w:p>
        </w:tc>
        <w:tc>
          <w:tcPr>
            <w:tcW w:w="796" w:type="dxa"/>
            <w:tcBorders>
              <w:top w:val="single" w:sz="6" w:space="0" w:color="000000"/>
              <w:left w:val="single" w:sz="6" w:space="0" w:color="000000"/>
              <w:bottom w:val="single" w:sz="6" w:space="0" w:color="000000"/>
            </w:tcBorders>
          </w:tcPr>
          <w:p>
            <w:pPr>
              <w:pStyle w:val="TableParagraph"/>
              <w:spacing w:before="26"/>
              <w:ind w:right="72"/>
              <w:jc w:val="right"/>
              <w:rPr>
                <w:rFonts w:ascii="Times New Roman"/>
                <w:sz w:val="21"/>
              </w:rPr>
            </w:pPr>
            <w:r>
              <w:rPr>
                <w:rFonts w:ascii="Times New Roman"/>
                <w:sz w:val="21"/>
              </w:rPr>
              <w:t>0.0162</w:t>
            </w:r>
          </w:p>
        </w:tc>
      </w:tr>
      <w:tr>
        <w:trPr>
          <w:trHeight w:val="342" w:hRule="atLeast"/>
        </w:trPr>
        <w:tc>
          <w:tcPr>
            <w:tcW w:w="1195" w:type="dxa"/>
            <w:vMerge/>
            <w:tcBorders>
              <w:top w:val="nil"/>
              <w:right w:val="single" w:sz="6" w:space="0" w:color="000000"/>
            </w:tcBorders>
          </w:tcPr>
          <w:p>
            <w:pPr>
              <w:rPr>
                <w:sz w:val="2"/>
                <w:szCs w:val="2"/>
              </w:rPr>
            </w:pPr>
          </w:p>
        </w:tc>
        <w:tc>
          <w:tcPr>
            <w:tcW w:w="843" w:type="dxa"/>
            <w:vMerge/>
            <w:tcBorders>
              <w:top w:val="nil"/>
              <w:left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08:00-09:00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48"/>
              <w:ind w:left="73" w:right="46"/>
              <w:rPr>
                <w:rFonts w:ascii="Times New Roman"/>
                <w:sz w:val="21"/>
              </w:rPr>
            </w:pPr>
            <w:r>
              <w:rPr>
                <w:rFonts w:ascii="Times New Roman"/>
                <w:sz w:val="21"/>
                <w:shd w:fill="FFFF00" w:color="auto" w:val="clear"/>
              </w:rPr>
              <w:t>0.067</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26"/>
              <w:ind w:right="112"/>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26"/>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6"/>
              <w:rPr>
                <w:rFonts w:ascii="Times New Roman"/>
                <w:sz w:val="21"/>
              </w:rPr>
            </w:pPr>
            <w:r>
              <w:rPr>
                <w:rFonts w:ascii="Times New Roman"/>
                <w:sz w:val="21"/>
              </w:rPr>
              <w:t>0.15</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26"/>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26"/>
              <w:ind w:right="77"/>
              <w:jc w:val="right"/>
              <w:rPr>
                <w:rFonts w:ascii="Times New Roman"/>
                <w:sz w:val="21"/>
              </w:rPr>
            </w:pPr>
            <w:r>
              <w:rPr>
                <w:rFonts w:ascii="Times New Roman"/>
                <w:sz w:val="21"/>
              </w:rPr>
              <w:t>0.142</w:t>
            </w:r>
          </w:p>
        </w:tc>
        <w:tc>
          <w:tcPr>
            <w:tcW w:w="796" w:type="dxa"/>
            <w:tcBorders>
              <w:top w:val="single" w:sz="6" w:space="0" w:color="000000"/>
              <w:left w:val="single" w:sz="6" w:space="0" w:color="000000"/>
              <w:bottom w:val="single" w:sz="6" w:space="0" w:color="000000"/>
            </w:tcBorders>
          </w:tcPr>
          <w:p>
            <w:pPr>
              <w:pStyle w:val="TableParagraph"/>
              <w:spacing w:before="26"/>
              <w:ind w:right="131"/>
              <w:jc w:val="right"/>
              <w:rPr>
                <w:rFonts w:ascii="Times New Roman"/>
                <w:sz w:val="21"/>
              </w:rPr>
            </w:pPr>
            <w:r>
              <w:rPr>
                <w:rFonts w:ascii="Times New Roman"/>
                <w:sz w:val="21"/>
              </w:rPr>
              <w:t>0.111</w:t>
            </w:r>
          </w:p>
        </w:tc>
      </w:tr>
      <w:tr>
        <w:trPr>
          <w:trHeight w:val="341" w:hRule="atLeast"/>
        </w:trPr>
        <w:tc>
          <w:tcPr>
            <w:tcW w:w="1195" w:type="dxa"/>
            <w:vMerge/>
            <w:tcBorders>
              <w:top w:val="nil"/>
              <w:right w:val="single" w:sz="6" w:space="0" w:color="000000"/>
            </w:tcBorders>
          </w:tcPr>
          <w:p>
            <w:pPr>
              <w:rPr>
                <w:sz w:val="2"/>
                <w:szCs w:val="2"/>
              </w:rPr>
            </w:pPr>
          </w:p>
        </w:tc>
        <w:tc>
          <w:tcPr>
            <w:tcW w:w="843" w:type="dxa"/>
            <w:vMerge/>
            <w:tcBorders>
              <w:top w:val="nil"/>
              <w:left w:val="single" w:sz="6" w:space="0" w:color="000000"/>
              <w:right w:val="single" w:sz="6" w:space="0" w:color="000000"/>
            </w:tcBorders>
          </w:tcPr>
          <w:p>
            <w:pPr>
              <w:rPr>
                <w:sz w:val="2"/>
                <w:szCs w:val="2"/>
              </w:rPr>
            </w:pPr>
          </w:p>
        </w:tc>
        <w:tc>
          <w:tcPr>
            <w:tcW w:w="1243" w:type="dxa"/>
            <w:tcBorders>
              <w:top w:val="single" w:sz="6" w:space="0" w:color="000000"/>
              <w:left w:val="single" w:sz="6" w:space="0" w:color="000000"/>
              <w:bottom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14:00-15:00</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48"/>
              <w:ind w:left="73" w:right="46"/>
              <w:rPr>
                <w:rFonts w:ascii="Times New Roman"/>
                <w:sz w:val="21"/>
              </w:rPr>
            </w:pPr>
            <w:r>
              <w:rPr>
                <w:rFonts w:ascii="Times New Roman"/>
                <w:sz w:val="21"/>
                <w:shd w:fill="FFFF00" w:color="auto" w:val="clear"/>
              </w:rPr>
              <w:t>0.077</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26"/>
              <w:ind w:right="112"/>
              <w:jc w:val="right"/>
              <w:rPr>
                <w:rFonts w:ascii="Times New Roman"/>
                <w:sz w:val="21"/>
              </w:rPr>
            </w:pPr>
            <w:r>
              <w:rPr>
                <w:rFonts w:ascii="Times New Roman"/>
                <w:sz w:val="21"/>
              </w:rPr>
              <w:t>&lt;0.125</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26"/>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48"/>
              <w:ind w:left="111" w:right="76"/>
              <w:rPr>
                <w:rFonts w:ascii="Times New Roman"/>
                <w:sz w:val="21"/>
              </w:rPr>
            </w:pPr>
            <w:r>
              <w:rPr>
                <w:rFonts w:ascii="Times New Roman"/>
                <w:sz w:val="21"/>
              </w:rPr>
              <w:t>0.13</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26"/>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26"/>
              <w:ind w:right="77"/>
              <w:jc w:val="right"/>
              <w:rPr>
                <w:rFonts w:ascii="Times New Roman"/>
                <w:sz w:val="21"/>
              </w:rPr>
            </w:pPr>
            <w:r>
              <w:rPr>
                <w:rFonts w:ascii="Times New Roman"/>
                <w:sz w:val="21"/>
              </w:rPr>
              <w:t>0.129</w:t>
            </w:r>
          </w:p>
        </w:tc>
        <w:tc>
          <w:tcPr>
            <w:tcW w:w="796" w:type="dxa"/>
            <w:tcBorders>
              <w:top w:val="single" w:sz="6" w:space="0" w:color="000000"/>
              <w:left w:val="single" w:sz="6" w:space="0" w:color="000000"/>
              <w:bottom w:val="single" w:sz="6" w:space="0" w:color="000000"/>
            </w:tcBorders>
          </w:tcPr>
          <w:p>
            <w:pPr>
              <w:pStyle w:val="TableParagraph"/>
              <w:spacing w:before="26"/>
              <w:ind w:right="72"/>
              <w:jc w:val="right"/>
              <w:rPr>
                <w:rFonts w:ascii="Times New Roman"/>
                <w:sz w:val="21"/>
              </w:rPr>
            </w:pPr>
            <w:r>
              <w:rPr>
                <w:rFonts w:ascii="Times New Roman"/>
                <w:sz w:val="21"/>
              </w:rPr>
              <w:t>0.0199</w:t>
            </w:r>
          </w:p>
        </w:tc>
      </w:tr>
      <w:tr>
        <w:trPr>
          <w:trHeight w:val="346" w:hRule="atLeast"/>
        </w:trPr>
        <w:tc>
          <w:tcPr>
            <w:tcW w:w="1195" w:type="dxa"/>
            <w:vMerge/>
            <w:tcBorders>
              <w:top w:val="nil"/>
              <w:right w:val="single" w:sz="6" w:space="0" w:color="000000"/>
            </w:tcBorders>
          </w:tcPr>
          <w:p>
            <w:pPr>
              <w:rPr>
                <w:sz w:val="2"/>
                <w:szCs w:val="2"/>
              </w:rPr>
            </w:pPr>
          </w:p>
        </w:tc>
        <w:tc>
          <w:tcPr>
            <w:tcW w:w="843" w:type="dxa"/>
            <w:vMerge/>
            <w:tcBorders>
              <w:top w:val="nil"/>
              <w:left w:val="single" w:sz="6" w:space="0" w:color="000000"/>
              <w:right w:val="single" w:sz="6" w:space="0" w:color="000000"/>
            </w:tcBorders>
          </w:tcPr>
          <w:p>
            <w:pPr>
              <w:rPr>
                <w:sz w:val="2"/>
                <w:szCs w:val="2"/>
              </w:rPr>
            </w:pPr>
          </w:p>
        </w:tc>
        <w:tc>
          <w:tcPr>
            <w:tcW w:w="1243" w:type="dxa"/>
            <w:tcBorders>
              <w:top w:val="single" w:sz="6" w:space="0" w:color="000000"/>
              <w:left w:val="single" w:sz="6" w:space="0" w:color="000000"/>
              <w:right w:val="single" w:sz="6" w:space="0" w:color="000000"/>
            </w:tcBorders>
          </w:tcPr>
          <w:p>
            <w:pPr>
              <w:pStyle w:val="TableParagraph"/>
              <w:spacing w:before="48"/>
              <w:ind w:right="83"/>
              <w:jc w:val="right"/>
              <w:rPr>
                <w:rFonts w:ascii="Times New Roman"/>
                <w:sz w:val="21"/>
              </w:rPr>
            </w:pPr>
            <w:r>
              <w:rPr>
                <w:rFonts w:ascii="Times New Roman"/>
                <w:sz w:val="21"/>
              </w:rPr>
              <w:t>20:00-21:00</w:t>
            </w:r>
          </w:p>
        </w:tc>
        <w:tc>
          <w:tcPr>
            <w:tcW w:w="775" w:type="dxa"/>
            <w:tcBorders>
              <w:top w:val="single" w:sz="6" w:space="0" w:color="000000"/>
              <w:left w:val="single" w:sz="6" w:space="0" w:color="000000"/>
              <w:right w:val="single" w:sz="6" w:space="0" w:color="000000"/>
            </w:tcBorders>
          </w:tcPr>
          <w:p>
            <w:pPr>
              <w:pStyle w:val="TableParagraph"/>
              <w:spacing w:before="48"/>
              <w:ind w:left="73" w:right="46"/>
              <w:rPr>
                <w:rFonts w:ascii="Times New Roman"/>
                <w:sz w:val="21"/>
              </w:rPr>
            </w:pPr>
            <w:r>
              <w:rPr>
                <w:rFonts w:ascii="Times New Roman"/>
                <w:sz w:val="21"/>
                <w:shd w:fill="FFFF00" w:color="auto" w:val="clear"/>
              </w:rPr>
              <w:t>0.076</w:t>
            </w:r>
          </w:p>
        </w:tc>
        <w:tc>
          <w:tcPr>
            <w:tcW w:w="835" w:type="dxa"/>
            <w:tcBorders>
              <w:top w:val="single" w:sz="6" w:space="0" w:color="000000"/>
              <w:left w:val="single" w:sz="6" w:space="0" w:color="000000"/>
              <w:right w:val="single" w:sz="6" w:space="0" w:color="000000"/>
            </w:tcBorders>
          </w:tcPr>
          <w:p>
            <w:pPr>
              <w:pStyle w:val="TableParagraph"/>
              <w:spacing w:before="26"/>
              <w:ind w:right="112"/>
              <w:jc w:val="right"/>
              <w:rPr>
                <w:rFonts w:ascii="Times New Roman"/>
                <w:sz w:val="21"/>
              </w:rPr>
            </w:pPr>
            <w:r>
              <w:rPr>
                <w:rFonts w:ascii="Times New Roman"/>
                <w:sz w:val="21"/>
              </w:rPr>
              <w:t>&lt;0.125</w:t>
            </w:r>
          </w:p>
        </w:tc>
        <w:tc>
          <w:tcPr>
            <w:tcW w:w="837" w:type="dxa"/>
            <w:tcBorders>
              <w:top w:val="single" w:sz="6" w:space="0" w:color="000000"/>
              <w:left w:val="single" w:sz="6" w:space="0" w:color="000000"/>
              <w:right w:val="single" w:sz="6" w:space="0" w:color="000000"/>
            </w:tcBorders>
          </w:tcPr>
          <w:p>
            <w:pPr>
              <w:pStyle w:val="TableParagraph"/>
              <w:spacing w:before="26"/>
              <w:ind w:left="111" w:right="80"/>
              <w:rPr>
                <w:rFonts w:ascii="Times New Roman"/>
                <w:sz w:val="21"/>
              </w:rPr>
            </w:pPr>
            <w:r>
              <w:rPr>
                <w:rFonts w:ascii="Times New Roman"/>
                <w:sz w:val="21"/>
              </w:rPr>
              <w:t>&lt;0.001</w:t>
            </w:r>
          </w:p>
        </w:tc>
        <w:tc>
          <w:tcPr>
            <w:tcW w:w="837" w:type="dxa"/>
            <w:tcBorders>
              <w:top w:val="single" w:sz="6" w:space="0" w:color="000000"/>
              <w:left w:val="single" w:sz="6" w:space="0" w:color="000000"/>
              <w:right w:val="single" w:sz="6" w:space="0" w:color="000000"/>
            </w:tcBorders>
          </w:tcPr>
          <w:p>
            <w:pPr>
              <w:pStyle w:val="TableParagraph"/>
              <w:spacing w:before="48"/>
              <w:ind w:left="111" w:right="76"/>
              <w:rPr>
                <w:rFonts w:ascii="Times New Roman"/>
                <w:sz w:val="21"/>
              </w:rPr>
            </w:pPr>
            <w:r>
              <w:rPr>
                <w:rFonts w:ascii="Times New Roman"/>
                <w:sz w:val="21"/>
              </w:rPr>
              <w:t>0.14</w:t>
            </w:r>
          </w:p>
        </w:tc>
        <w:tc>
          <w:tcPr>
            <w:tcW w:w="660" w:type="dxa"/>
            <w:tcBorders>
              <w:top w:val="single" w:sz="6" w:space="0" w:color="000000"/>
              <w:left w:val="single" w:sz="6" w:space="0" w:color="000000"/>
              <w:right w:val="single" w:sz="6" w:space="0" w:color="000000"/>
            </w:tcBorders>
          </w:tcPr>
          <w:p>
            <w:pPr>
              <w:pStyle w:val="TableParagraph"/>
              <w:spacing w:before="26"/>
              <w:ind w:left="155" w:right="120"/>
              <w:rPr>
                <w:rFonts w:ascii="Times New Roman"/>
                <w:sz w:val="21"/>
              </w:rPr>
            </w:pPr>
            <w:r>
              <w:rPr>
                <w:rFonts w:ascii="Times New Roman"/>
                <w:sz w:val="21"/>
              </w:rPr>
              <w:t>&lt;10</w:t>
            </w:r>
          </w:p>
        </w:tc>
        <w:tc>
          <w:tcPr>
            <w:tcW w:w="688" w:type="dxa"/>
            <w:tcBorders>
              <w:top w:val="single" w:sz="6" w:space="0" w:color="000000"/>
              <w:left w:val="single" w:sz="6" w:space="0" w:color="000000"/>
              <w:right w:val="single" w:sz="6" w:space="0" w:color="000000"/>
            </w:tcBorders>
          </w:tcPr>
          <w:p>
            <w:pPr>
              <w:pStyle w:val="TableParagraph"/>
              <w:spacing w:before="26"/>
              <w:ind w:right="77"/>
              <w:jc w:val="right"/>
              <w:rPr>
                <w:rFonts w:ascii="Times New Roman"/>
                <w:sz w:val="21"/>
              </w:rPr>
            </w:pPr>
            <w:r>
              <w:rPr>
                <w:rFonts w:ascii="Times New Roman"/>
                <w:sz w:val="21"/>
              </w:rPr>
              <w:t>0.163</w:t>
            </w:r>
          </w:p>
        </w:tc>
        <w:tc>
          <w:tcPr>
            <w:tcW w:w="796" w:type="dxa"/>
            <w:tcBorders>
              <w:top w:val="single" w:sz="6" w:space="0" w:color="000000"/>
              <w:left w:val="single" w:sz="6" w:space="0" w:color="000000"/>
            </w:tcBorders>
          </w:tcPr>
          <w:p>
            <w:pPr>
              <w:pStyle w:val="TableParagraph"/>
              <w:spacing w:before="26"/>
              <w:ind w:right="72"/>
              <w:jc w:val="right"/>
              <w:rPr>
                <w:rFonts w:ascii="Times New Roman"/>
                <w:sz w:val="21"/>
              </w:rPr>
            </w:pPr>
            <w:r>
              <w:rPr>
                <w:rFonts w:ascii="Times New Roman"/>
                <w:sz w:val="21"/>
              </w:rPr>
              <w:t>0.0175</w:t>
            </w:r>
          </w:p>
        </w:tc>
      </w:tr>
    </w:tbl>
    <w:p>
      <w:pPr>
        <w:spacing w:line="158" w:lineRule="auto" w:before="8"/>
        <w:ind w:left="578" w:right="871" w:firstLine="0"/>
        <w:jc w:val="both"/>
        <w:rPr>
          <w:sz w:val="21"/>
        </w:rPr>
      </w:pPr>
      <w:r>
        <w:rPr>
          <w:spacing w:val="-9"/>
          <w:sz w:val="24"/>
        </w:rPr>
        <w:t>备注：</w:t>
      </w:r>
      <w:r>
        <w:rPr>
          <w:spacing w:val="-10"/>
          <w:sz w:val="21"/>
        </w:rPr>
        <w:t>甲醇、吡啶、四氢呋喃、丙酮、氯苯类、环氧氯丙烷、苯及二甲苯在厂址及后柴沟</w:t>
      </w:r>
      <w:r>
        <w:rPr>
          <w:spacing w:val="-5"/>
          <w:sz w:val="21"/>
        </w:rPr>
        <w:t>村均未检出。</w:t>
      </w:r>
    </w:p>
    <w:p>
      <w:pPr>
        <w:pStyle w:val="BodyText"/>
        <w:spacing w:line="442" w:lineRule="exact"/>
        <w:ind w:left="1058"/>
      </w:pPr>
      <w:r>
        <w:rPr/>
        <w:t>结果统计：</w:t>
      </w:r>
    </w:p>
    <w:p>
      <w:pPr>
        <w:pStyle w:val="BodyText"/>
        <w:spacing w:line="220" w:lineRule="auto" w:before="8"/>
        <w:ind w:left="578" w:right="880" w:firstLine="479"/>
      </w:pPr>
      <w:r>
        <w:rPr/>
        <w:t>由于甲醇、吡啶、四氢呋喃、丙酮、氯苯类、环氧氯丙烷、苯及二甲苯在厂址及后柴沟村均未检出，臭气浓度无质量标准，均不再进行结果统计。</w:t>
      </w:r>
    </w:p>
    <w:p>
      <w:pPr>
        <w:pStyle w:val="BodyText"/>
        <w:spacing w:line="460" w:lineRule="exact"/>
        <w:ind w:left="1058"/>
      </w:pPr>
      <w:r>
        <w:rPr/>
        <w:t>（</w:t>
      </w:r>
      <w:r>
        <w:rPr>
          <w:rFonts w:ascii="Times New Roman" w:eastAsia="Times New Roman"/>
        </w:rPr>
        <w:t>1</w:t>
      </w:r>
      <w:r>
        <w:rPr/>
        <w:t>）氯化氢浓度</w:t>
      </w:r>
    </w:p>
    <w:p>
      <w:pPr>
        <w:pStyle w:val="BodyText"/>
        <w:spacing w:line="468" w:lineRule="exact"/>
        <w:ind w:left="1058"/>
      </w:pPr>
      <w:r>
        <w:rPr>
          <w:rFonts w:ascii="Times New Roman" w:eastAsia="Times New Roman"/>
        </w:rPr>
        <w:t>1#</w:t>
      </w:r>
      <w:r>
        <w:rPr/>
        <w:t>氯化氢的 </w:t>
      </w:r>
      <w:r>
        <w:rPr>
          <w:rFonts w:ascii="Times New Roman" w:eastAsia="Times New Roman"/>
        </w:rPr>
        <w:t>1h </w:t>
      </w:r>
      <w:r>
        <w:rPr/>
        <w:t>平均浓度为 </w:t>
      </w:r>
      <w:r>
        <w:rPr>
          <w:rFonts w:ascii="Times New Roman" w:eastAsia="Times New Roman"/>
        </w:rPr>
        <w:t>0.061-0.13mg/m</w:t>
      </w:r>
      <w:r>
        <w:rPr>
          <w:rFonts w:ascii="Times New Roman" w:eastAsia="Times New Roman"/>
          <w:position w:val="9"/>
          <w:sz w:val="16"/>
        </w:rPr>
        <w:t>3</w:t>
      </w:r>
      <w:r>
        <w:rPr/>
        <w:t>，超标率为 </w:t>
      </w:r>
      <w:r>
        <w:rPr>
          <w:rFonts w:ascii="Times New Roman" w:eastAsia="Times New Roman"/>
        </w:rPr>
        <w:t>100%</w:t>
      </w:r>
      <w:r>
        <w:rPr/>
        <w:t>；</w:t>
      </w:r>
      <w:r>
        <w:rPr>
          <w:rFonts w:ascii="Times New Roman" w:eastAsia="Times New Roman"/>
        </w:rPr>
        <w:t>2#</w:t>
      </w:r>
      <w:r>
        <w:rPr/>
        <w:t>氯化氢的</w:t>
      </w:r>
    </w:p>
    <w:p>
      <w:pPr>
        <w:pStyle w:val="BodyText"/>
        <w:spacing w:line="220" w:lineRule="auto" w:before="8"/>
        <w:ind w:left="578" w:right="873"/>
        <w:jc w:val="both"/>
      </w:pPr>
      <w:r>
        <w:rPr>
          <w:rFonts w:ascii="Times New Roman" w:eastAsia="Times New Roman"/>
        </w:rPr>
        <w:t>1h </w:t>
      </w:r>
      <w:r>
        <w:rPr>
          <w:spacing w:val="1"/>
        </w:rPr>
        <w:t>平均浓度为 </w:t>
      </w:r>
      <w:r>
        <w:rPr>
          <w:rFonts w:ascii="Times New Roman" w:eastAsia="Times New Roman"/>
          <w:spacing w:val="-3"/>
        </w:rPr>
        <w:t>0.042-0.122mg/m</w:t>
      </w:r>
      <w:r>
        <w:rPr>
          <w:rFonts w:ascii="Times New Roman" w:eastAsia="Times New Roman"/>
          <w:spacing w:val="-3"/>
          <w:position w:val="9"/>
          <w:sz w:val="16"/>
        </w:rPr>
        <w:t>3</w:t>
      </w:r>
      <w:r>
        <w:rPr/>
        <w:t>，超标率为 </w:t>
      </w:r>
      <w:r>
        <w:rPr>
          <w:rFonts w:ascii="Times New Roman" w:eastAsia="Times New Roman"/>
          <w:spacing w:val="-6"/>
        </w:rPr>
        <w:t>100%</w:t>
      </w:r>
      <w:r>
        <w:rPr>
          <w:spacing w:val="-6"/>
        </w:rPr>
        <w:t>；</w:t>
      </w:r>
      <w:r>
        <w:rPr>
          <w:rFonts w:ascii="Times New Roman" w:eastAsia="Times New Roman"/>
          <w:spacing w:val="-6"/>
        </w:rPr>
        <w:t>1#</w:t>
      </w:r>
      <w:r>
        <w:rPr>
          <w:spacing w:val="-36"/>
        </w:rPr>
        <w:t>、</w:t>
      </w:r>
      <w:r>
        <w:rPr>
          <w:rFonts w:ascii="Times New Roman" w:eastAsia="Times New Roman"/>
        </w:rPr>
        <w:t>2#</w:t>
      </w:r>
      <w:r>
        <w:rPr/>
        <w:t>监测点监测期间的氯</w:t>
      </w:r>
      <w:r>
        <w:rPr>
          <w:spacing w:val="1"/>
        </w:rPr>
        <w:t>化氢的 </w:t>
      </w:r>
      <w:r>
        <w:rPr>
          <w:rFonts w:ascii="Times New Roman" w:eastAsia="Times New Roman"/>
        </w:rPr>
        <w:t>1</w:t>
      </w:r>
      <w:r>
        <w:rPr>
          <w:rFonts w:ascii="Times New Roman" w:eastAsia="Times New Roman"/>
          <w:spacing w:val="51"/>
        </w:rPr>
        <w:t> </w:t>
      </w:r>
      <w:r>
        <w:rPr>
          <w:spacing w:val="-5"/>
        </w:rPr>
        <w:t>小时浓度不满足《环境影响评价技术导则 大气环境》</w:t>
      </w:r>
      <w:r>
        <w:rPr/>
        <w:t>（</w:t>
      </w:r>
      <w:r>
        <w:rPr>
          <w:rFonts w:ascii="Times New Roman" w:eastAsia="Times New Roman"/>
        </w:rPr>
        <w:t>HJ2.2-2018</w:t>
      </w:r>
      <w:r>
        <w:rPr/>
        <w:t>） </w:t>
      </w:r>
      <w:r>
        <w:rPr>
          <w:spacing w:val="1"/>
        </w:rPr>
        <w:t>附录 </w:t>
      </w:r>
      <w:r>
        <w:rPr>
          <w:rFonts w:ascii="Times New Roman" w:eastAsia="Times New Roman"/>
        </w:rPr>
        <w:t>D </w:t>
      </w:r>
      <w:r>
        <w:rPr/>
        <w:t>浓度限值。</w:t>
      </w:r>
    </w:p>
    <w:p>
      <w:pPr>
        <w:spacing w:after="0" w:line="220" w:lineRule="auto"/>
        <w:jc w:val="both"/>
        <w:sectPr>
          <w:pgSz w:w="11910" w:h="16840"/>
          <w:pgMar w:header="877" w:footer="973" w:top="1340" w:bottom="1160" w:left="1220" w:right="1040"/>
        </w:sectPr>
      </w:pPr>
    </w:p>
    <w:p>
      <w:pPr>
        <w:pStyle w:val="BodyText"/>
        <w:spacing w:before="15"/>
        <w:rPr>
          <w:sz w:val="4"/>
        </w:rPr>
      </w:pPr>
    </w:p>
    <w:p>
      <w:pPr>
        <w:tabs>
          <w:tab w:pos="3045" w:val="left" w:leader="none"/>
          <w:tab w:pos="5998" w:val="left" w:leader="none"/>
        </w:tabs>
        <w:spacing w:line="429" w:lineRule="exact" w:before="0" w:after="24"/>
        <w:ind w:left="2133" w:right="0" w:firstLine="0"/>
        <w:jc w:val="left"/>
        <w:rPr>
          <w:rFonts w:ascii="Times New Roman" w:eastAsia="Times New Roman"/>
          <w:b/>
          <w:sz w:val="14"/>
        </w:rPr>
      </w:pPr>
      <w:r>
        <w:rPr>
          <w:sz w:val="21"/>
        </w:rPr>
        <w:t>表</w:t>
      </w:r>
      <w:r>
        <w:rPr>
          <w:spacing w:val="7"/>
          <w:sz w:val="21"/>
        </w:rPr>
        <w:t> </w:t>
      </w:r>
      <w:r>
        <w:rPr>
          <w:rFonts w:ascii="Times New Roman" w:eastAsia="Times New Roman"/>
          <w:b/>
          <w:sz w:val="21"/>
        </w:rPr>
        <w:t>5.4-8</w:t>
        <w:tab/>
      </w:r>
      <w:r>
        <w:rPr>
          <w:sz w:val="21"/>
        </w:rPr>
        <w:t>氯化氢环境质</w:t>
      </w:r>
      <w:r>
        <w:rPr>
          <w:spacing w:val="-3"/>
          <w:sz w:val="21"/>
        </w:rPr>
        <w:t>量</w:t>
      </w:r>
      <w:r>
        <w:rPr>
          <w:sz w:val="21"/>
        </w:rPr>
        <w:t>现状监测结果</w:t>
        <w:tab/>
        <w:t>单位：</w:t>
      </w:r>
      <w:r>
        <w:rPr>
          <w:rFonts w:ascii="Times New Roman" w:eastAsia="Times New Roman"/>
          <w:b/>
          <w:sz w:val="21"/>
        </w:rPr>
        <w:t>mg/m</w:t>
      </w:r>
      <w:r>
        <w:rPr>
          <w:rFonts w:ascii="Times New Roman" w:eastAsia="Times New Roman"/>
          <w:b/>
          <w:position w:val="7"/>
          <w:sz w:val="14"/>
        </w:rPr>
        <w:t>3</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57"/>
        <w:gridCol w:w="1263"/>
        <w:gridCol w:w="1368"/>
        <w:gridCol w:w="1260"/>
        <w:gridCol w:w="1891"/>
        <w:gridCol w:w="839"/>
        <w:gridCol w:w="748"/>
      </w:tblGrid>
      <w:tr>
        <w:trPr>
          <w:trHeight w:val="623" w:hRule="atLeast"/>
        </w:trPr>
        <w:tc>
          <w:tcPr>
            <w:tcW w:w="1157" w:type="dxa"/>
            <w:tcBorders>
              <w:bottom w:val="single" w:sz="6" w:space="0" w:color="000000"/>
              <w:right w:val="single" w:sz="6" w:space="0" w:color="000000"/>
            </w:tcBorders>
          </w:tcPr>
          <w:p>
            <w:pPr>
              <w:pStyle w:val="TableParagraph"/>
              <w:spacing w:before="77"/>
              <w:ind w:left="138" w:right="115"/>
              <w:rPr>
                <w:sz w:val="21"/>
              </w:rPr>
            </w:pPr>
            <w:r>
              <w:rPr>
                <w:sz w:val="21"/>
              </w:rPr>
              <w:t>监测点位</w:t>
            </w:r>
          </w:p>
        </w:tc>
        <w:tc>
          <w:tcPr>
            <w:tcW w:w="1263" w:type="dxa"/>
            <w:tcBorders>
              <w:left w:val="single" w:sz="6" w:space="0" w:color="000000"/>
              <w:bottom w:val="single" w:sz="6" w:space="0" w:color="000000"/>
              <w:right w:val="single" w:sz="6" w:space="0" w:color="000000"/>
            </w:tcBorders>
          </w:tcPr>
          <w:p>
            <w:pPr>
              <w:pStyle w:val="TableParagraph"/>
              <w:spacing w:before="77"/>
              <w:ind w:left="196" w:right="171"/>
              <w:rPr>
                <w:sz w:val="21"/>
              </w:rPr>
            </w:pPr>
            <w:r>
              <w:rPr>
                <w:sz w:val="21"/>
              </w:rPr>
              <w:t>平均时间</w:t>
            </w:r>
          </w:p>
        </w:tc>
        <w:tc>
          <w:tcPr>
            <w:tcW w:w="1368" w:type="dxa"/>
            <w:tcBorders>
              <w:left w:val="single" w:sz="6" w:space="0" w:color="000000"/>
              <w:bottom w:val="single" w:sz="6" w:space="0" w:color="000000"/>
              <w:right w:val="single" w:sz="6" w:space="0" w:color="000000"/>
            </w:tcBorders>
          </w:tcPr>
          <w:p>
            <w:pPr>
              <w:pStyle w:val="TableParagraph"/>
              <w:spacing w:before="77"/>
              <w:ind w:left="144" w:right="119"/>
              <w:rPr>
                <w:sz w:val="21"/>
              </w:rPr>
            </w:pPr>
            <w:r>
              <w:rPr>
                <w:sz w:val="21"/>
              </w:rPr>
              <w:t>有效样品数</w:t>
            </w:r>
          </w:p>
        </w:tc>
        <w:tc>
          <w:tcPr>
            <w:tcW w:w="1260" w:type="dxa"/>
            <w:tcBorders>
              <w:left w:val="single" w:sz="6" w:space="0" w:color="000000"/>
              <w:bottom w:val="single" w:sz="6" w:space="0" w:color="000000"/>
              <w:right w:val="single" w:sz="6" w:space="0" w:color="000000"/>
            </w:tcBorders>
          </w:tcPr>
          <w:p>
            <w:pPr>
              <w:pStyle w:val="TableParagraph"/>
              <w:spacing w:line="300" w:lineRule="exact"/>
              <w:ind w:left="213"/>
              <w:jc w:val="left"/>
              <w:rPr>
                <w:sz w:val="21"/>
              </w:rPr>
            </w:pPr>
            <w:r>
              <w:rPr>
                <w:sz w:val="21"/>
              </w:rPr>
              <w:t>评价标准</w:t>
            </w:r>
          </w:p>
          <w:p>
            <w:pPr>
              <w:pStyle w:val="TableParagraph"/>
              <w:spacing w:line="303" w:lineRule="exact"/>
              <w:ind w:left="143"/>
              <w:jc w:val="left"/>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891" w:type="dxa"/>
            <w:tcBorders>
              <w:left w:val="single" w:sz="6" w:space="0" w:color="000000"/>
              <w:bottom w:val="single" w:sz="6" w:space="0" w:color="000000"/>
              <w:right w:val="single" w:sz="6" w:space="0" w:color="000000"/>
            </w:tcBorders>
          </w:tcPr>
          <w:p>
            <w:pPr>
              <w:pStyle w:val="TableParagraph"/>
              <w:spacing w:line="300" w:lineRule="exact"/>
              <w:ind w:left="300" w:right="276"/>
              <w:rPr>
                <w:sz w:val="21"/>
              </w:rPr>
            </w:pPr>
            <w:r>
              <w:rPr>
                <w:sz w:val="21"/>
              </w:rPr>
              <w:t>监测浓度范围</w:t>
            </w:r>
          </w:p>
          <w:p>
            <w:pPr>
              <w:pStyle w:val="TableParagraph"/>
              <w:spacing w:line="303" w:lineRule="exact"/>
              <w:ind w:left="300" w:right="276"/>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839" w:type="dxa"/>
            <w:tcBorders>
              <w:left w:val="single" w:sz="6" w:space="0" w:color="000000"/>
              <w:bottom w:val="single" w:sz="6" w:space="0" w:color="000000"/>
              <w:right w:val="single" w:sz="6" w:space="0" w:color="000000"/>
            </w:tcBorders>
          </w:tcPr>
          <w:p>
            <w:pPr>
              <w:pStyle w:val="TableParagraph"/>
              <w:spacing w:line="300" w:lineRule="exact"/>
              <w:ind w:left="197" w:right="166"/>
              <w:rPr>
                <w:sz w:val="21"/>
              </w:rPr>
            </w:pPr>
            <w:r>
              <w:rPr>
                <w:sz w:val="21"/>
              </w:rPr>
              <w:t>超标</w:t>
            </w:r>
          </w:p>
          <w:p>
            <w:pPr>
              <w:pStyle w:val="TableParagraph"/>
              <w:spacing w:line="303" w:lineRule="exact"/>
              <w:ind w:left="31"/>
              <w:rPr>
                <w:sz w:val="21"/>
              </w:rPr>
            </w:pPr>
            <w:r>
              <w:rPr>
                <w:w w:val="100"/>
                <w:sz w:val="21"/>
              </w:rPr>
              <w:t>率</w:t>
            </w:r>
          </w:p>
        </w:tc>
        <w:tc>
          <w:tcPr>
            <w:tcW w:w="748" w:type="dxa"/>
            <w:tcBorders>
              <w:left w:val="single" w:sz="6" w:space="0" w:color="000000"/>
              <w:bottom w:val="single" w:sz="6" w:space="0" w:color="000000"/>
            </w:tcBorders>
          </w:tcPr>
          <w:p>
            <w:pPr>
              <w:pStyle w:val="TableParagraph"/>
              <w:spacing w:line="300" w:lineRule="exact"/>
              <w:ind w:left="172"/>
              <w:jc w:val="left"/>
              <w:rPr>
                <w:sz w:val="21"/>
              </w:rPr>
            </w:pPr>
            <w:r>
              <w:rPr>
                <w:sz w:val="21"/>
              </w:rPr>
              <w:t>达标</w:t>
            </w:r>
          </w:p>
          <w:p>
            <w:pPr>
              <w:pStyle w:val="TableParagraph"/>
              <w:spacing w:line="303" w:lineRule="exact"/>
              <w:ind w:left="172"/>
              <w:jc w:val="left"/>
              <w:rPr>
                <w:sz w:val="21"/>
              </w:rPr>
            </w:pPr>
            <w:r>
              <w:rPr>
                <w:sz w:val="21"/>
              </w:rPr>
              <w:t>情况</w:t>
            </w:r>
          </w:p>
        </w:tc>
      </w:tr>
      <w:tr>
        <w:trPr>
          <w:trHeight w:val="618" w:hRule="atLeast"/>
        </w:trPr>
        <w:tc>
          <w:tcPr>
            <w:tcW w:w="1157" w:type="dxa"/>
            <w:tcBorders>
              <w:top w:val="single" w:sz="6" w:space="0" w:color="000000"/>
              <w:bottom w:val="single" w:sz="6" w:space="0" w:color="000000"/>
              <w:right w:val="single" w:sz="6" w:space="0" w:color="000000"/>
            </w:tcBorders>
          </w:tcPr>
          <w:p>
            <w:pPr>
              <w:pStyle w:val="TableParagraph"/>
              <w:spacing w:before="80"/>
              <w:ind w:left="138" w:right="115"/>
              <w:rPr>
                <w:sz w:val="21"/>
              </w:rPr>
            </w:pPr>
            <w:r>
              <w:rPr>
                <w:rFonts w:ascii="Times New Roman" w:eastAsia="Times New Roman"/>
                <w:sz w:val="21"/>
              </w:rPr>
              <w:t>1#</w:t>
            </w:r>
            <w:r>
              <w:rPr>
                <w:sz w:val="21"/>
              </w:rPr>
              <w:t>厂址处</w:t>
            </w:r>
          </w:p>
        </w:tc>
        <w:tc>
          <w:tcPr>
            <w:tcW w:w="1263" w:type="dxa"/>
            <w:tcBorders>
              <w:top w:val="single" w:sz="6" w:space="0" w:color="000000"/>
              <w:left w:val="single" w:sz="6" w:space="0" w:color="000000"/>
              <w:bottom w:val="single" w:sz="6" w:space="0" w:color="000000"/>
              <w:right w:val="single" w:sz="6" w:space="0" w:color="000000"/>
            </w:tcBorders>
          </w:tcPr>
          <w:p>
            <w:pPr>
              <w:pStyle w:val="TableParagraph"/>
              <w:spacing w:before="192"/>
              <w:ind w:left="193" w:right="171"/>
              <w:rPr>
                <w:rFonts w:ascii="Times New Roman"/>
                <w:sz w:val="21"/>
              </w:rPr>
            </w:pPr>
            <w:r>
              <w:rPr>
                <w:rFonts w:ascii="Times New Roman"/>
                <w:sz w:val="21"/>
              </w:rPr>
              <w:t>1h</w:t>
            </w:r>
          </w:p>
        </w:tc>
        <w:tc>
          <w:tcPr>
            <w:tcW w:w="1368" w:type="dxa"/>
            <w:tcBorders>
              <w:top w:val="single" w:sz="6" w:space="0" w:color="000000"/>
              <w:left w:val="single" w:sz="6" w:space="0" w:color="000000"/>
              <w:bottom w:val="single" w:sz="6" w:space="0" w:color="000000"/>
              <w:right w:val="single" w:sz="6" w:space="0" w:color="000000"/>
            </w:tcBorders>
          </w:tcPr>
          <w:p>
            <w:pPr>
              <w:pStyle w:val="TableParagraph"/>
              <w:spacing w:before="192"/>
              <w:ind w:left="142" w:right="119"/>
              <w:rPr>
                <w:rFonts w:ascii="Times New Roman"/>
                <w:sz w:val="21"/>
              </w:rPr>
            </w:pPr>
            <w:r>
              <w:rPr>
                <w:rFonts w:ascii="Times New Roman"/>
                <w:sz w:val="21"/>
              </w:rPr>
              <w:t>28</w:t>
            </w:r>
          </w:p>
        </w:tc>
        <w:tc>
          <w:tcPr>
            <w:tcW w:w="1260" w:type="dxa"/>
            <w:vMerge w:val="restart"/>
            <w:tcBorders>
              <w:top w:val="single" w:sz="6" w:space="0" w:color="000000"/>
              <w:left w:val="single" w:sz="6" w:space="0" w:color="000000"/>
              <w:right w:val="single" w:sz="6" w:space="0" w:color="000000"/>
            </w:tcBorders>
          </w:tcPr>
          <w:p>
            <w:pPr>
              <w:pStyle w:val="TableParagraph"/>
              <w:jc w:val="left"/>
              <w:rPr>
                <w:rFonts w:ascii="Times New Roman"/>
                <w:b/>
                <w:sz w:val="22"/>
              </w:rPr>
            </w:pPr>
          </w:p>
          <w:p>
            <w:pPr>
              <w:pStyle w:val="TableParagraph"/>
              <w:spacing w:before="5"/>
              <w:jc w:val="left"/>
              <w:rPr>
                <w:rFonts w:ascii="Times New Roman"/>
                <w:b/>
                <w:sz w:val="22"/>
              </w:rPr>
            </w:pPr>
          </w:p>
          <w:p>
            <w:pPr>
              <w:pStyle w:val="TableParagraph"/>
              <w:ind w:left="193" w:right="168"/>
              <w:rPr>
                <w:rFonts w:ascii="Times New Roman"/>
                <w:sz w:val="21"/>
              </w:rPr>
            </w:pPr>
            <w:r>
              <w:rPr>
                <w:rFonts w:ascii="Times New Roman"/>
                <w:sz w:val="21"/>
              </w:rPr>
              <w:t>0.01</w:t>
            </w: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before="192"/>
              <w:ind w:left="300" w:right="276"/>
              <w:rPr>
                <w:rFonts w:ascii="Times New Roman"/>
                <w:sz w:val="21"/>
              </w:rPr>
            </w:pPr>
            <w:r>
              <w:rPr>
                <w:rFonts w:ascii="Times New Roman"/>
                <w:sz w:val="21"/>
              </w:rPr>
              <w:t>0.061-0.13</w:t>
            </w:r>
          </w:p>
        </w:tc>
        <w:tc>
          <w:tcPr>
            <w:tcW w:w="839" w:type="dxa"/>
            <w:tcBorders>
              <w:top w:val="single" w:sz="6" w:space="0" w:color="000000"/>
              <w:left w:val="single" w:sz="6" w:space="0" w:color="000000"/>
              <w:bottom w:val="single" w:sz="6" w:space="0" w:color="000000"/>
              <w:right w:val="single" w:sz="6" w:space="0" w:color="000000"/>
            </w:tcBorders>
          </w:tcPr>
          <w:p>
            <w:pPr>
              <w:pStyle w:val="TableParagraph"/>
              <w:spacing w:before="192"/>
              <w:ind w:left="197" w:right="166"/>
              <w:rPr>
                <w:rFonts w:ascii="Times New Roman"/>
                <w:sz w:val="21"/>
              </w:rPr>
            </w:pPr>
            <w:r>
              <w:rPr>
                <w:rFonts w:ascii="Times New Roman"/>
                <w:sz w:val="21"/>
              </w:rPr>
              <w:t>100</w:t>
            </w:r>
          </w:p>
        </w:tc>
        <w:tc>
          <w:tcPr>
            <w:tcW w:w="748" w:type="dxa"/>
            <w:tcBorders>
              <w:top w:val="single" w:sz="6" w:space="0" w:color="000000"/>
              <w:left w:val="single" w:sz="6" w:space="0" w:color="000000"/>
              <w:bottom w:val="single" w:sz="6" w:space="0" w:color="000000"/>
            </w:tcBorders>
          </w:tcPr>
          <w:p>
            <w:pPr>
              <w:pStyle w:val="TableParagraph"/>
              <w:spacing w:line="303" w:lineRule="exact"/>
              <w:ind w:left="152" w:right="112"/>
              <w:rPr>
                <w:sz w:val="21"/>
              </w:rPr>
            </w:pPr>
            <w:r>
              <w:rPr>
                <w:sz w:val="21"/>
              </w:rPr>
              <w:t>不达</w:t>
            </w:r>
          </w:p>
          <w:p>
            <w:pPr>
              <w:pStyle w:val="TableParagraph"/>
              <w:spacing w:line="296" w:lineRule="exact"/>
              <w:ind w:left="40"/>
              <w:rPr>
                <w:sz w:val="21"/>
              </w:rPr>
            </w:pPr>
            <w:r>
              <w:rPr>
                <w:w w:val="100"/>
                <w:sz w:val="21"/>
              </w:rPr>
              <w:t>标</w:t>
            </w:r>
          </w:p>
        </w:tc>
      </w:tr>
      <w:tr>
        <w:trPr>
          <w:trHeight w:val="613" w:hRule="atLeast"/>
        </w:trPr>
        <w:tc>
          <w:tcPr>
            <w:tcW w:w="1157" w:type="dxa"/>
            <w:tcBorders>
              <w:top w:val="single" w:sz="6" w:space="0" w:color="000000"/>
              <w:right w:val="single" w:sz="6" w:space="0" w:color="000000"/>
            </w:tcBorders>
          </w:tcPr>
          <w:p>
            <w:pPr>
              <w:pStyle w:val="TableParagraph"/>
              <w:spacing w:line="293" w:lineRule="exact"/>
              <w:ind w:left="138" w:right="115"/>
              <w:rPr>
                <w:sz w:val="21"/>
              </w:rPr>
            </w:pPr>
            <w:r>
              <w:rPr>
                <w:rFonts w:ascii="Times New Roman" w:eastAsia="Times New Roman"/>
                <w:sz w:val="21"/>
              </w:rPr>
              <w:t>2#</w:t>
            </w:r>
            <w:r>
              <w:rPr>
                <w:sz w:val="21"/>
              </w:rPr>
              <w:t>后柴沟</w:t>
            </w:r>
          </w:p>
          <w:p>
            <w:pPr>
              <w:pStyle w:val="TableParagraph"/>
              <w:spacing w:line="300" w:lineRule="exact"/>
              <w:ind w:left="20"/>
              <w:rPr>
                <w:sz w:val="21"/>
              </w:rPr>
            </w:pPr>
            <w:r>
              <w:rPr>
                <w:w w:val="100"/>
                <w:sz w:val="21"/>
              </w:rPr>
              <w:t>村</w:t>
            </w:r>
          </w:p>
        </w:tc>
        <w:tc>
          <w:tcPr>
            <w:tcW w:w="1263" w:type="dxa"/>
            <w:tcBorders>
              <w:top w:val="single" w:sz="6" w:space="0" w:color="000000"/>
              <w:left w:val="single" w:sz="6" w:space="0" w:color="000000"/>
              <w:right w:val="single" w:sz="6" w:space="0" w:color="000000"/>
            </w:tcBorders>
          </w:tcPr>
          <w:p>
            <w:pPr>
              <w:pStyle w:val="TableParagraph"/>
              <w:spacing w:before="182"/>
              <w:ind w:left="193" w:right="171"/>
              <w:rPr>
                <w:rFonts w:ascii="Times New Roman"/>
                <w:sz w:val="21"/>
              </w:rPr>
            </w:pPr>
            <w:r>
              <w:rPr>
                <w:rFonts w:ascii="Times New Roman"/>
                <w:sz w:val="21"/>
              </w:rPr>
              <w:t>1h</w:t>
            </w:r>
          </w:p>
        </w:tc>
        <w:tc>
          <w:tcPr>
            <w:tcW w:w="1368" w:type="dxa"/>
            <w:tcBorders>
              <w:top w:val="single" w:sz="6" w:space="0" w:color="000000"/>
              <w:left w:val="single" w:sz="6" w:space="0" w:color="000000"/>
              <w:right w:val="single" w:sz="6" w:space="0" w:color="000000"/>
            </w:tcBorders>
          </w:tcPr>
          <w:p>
            <w:pPr>
              <w:pStyle w:val="TableParagraph"/>
              <w:spacing w:before="182"/>
              <w:ind w:left="142" w:right="119"/>
              <w:rPr>
                <w:rFonts w:ascii="Times New Roman"/>
                <w:sz w:val="21"/>
              </w:rPr>
            </w:pPr>
            <w:r>
              <w:rPr>
                <w:rFonts w:ascii="Times New Roman"/>
                <w:sz w:val="21"/>
              </w:rPr>
              <w:t>28</w:t>
            </w:r>
          </w:p>
        </w:tc>
        <w:tc>
          <w:tcPr>
            <w:tcW w:w="1260" w:type="dxa"/>
            <w:vMerge/>
            <w:tcBorders>
              <w:top w:val="nil"/>
              <w:left w:val="single" w:sz="6" w:space="0" w:color="000000"/>
              <w:right w:val="single" w:sz="6" w:space="0" w:color="000000"/>
            </w:tcBorders>
          </w:tcPr>
          <w:p>
            <w:pPr>
              <w:rPr>
                <w:sz w:val="2"/>
                <w:szCs w:val="2"/>
              </w:rPr>
            </w:pPr>
          </w:p>
        </w:tc>
        <w:tc>
          <w:tcPr>
            <w:tcW w:w="1891" w:type="dxa"/>
            <w:tcBorders>
              <w:top w:val="single" w:sz="6" w:space="0" w:color="000000"/>
              <w:left w:val="single" w:sz="6" w:space="0" w:color="000000"/>
              <w:right w:val="single" w:sz="6" w:space="0" w:color="000000"/>
            </w:tcBorders>
          </w:tcPr>
          <w:p>
            <w:pPr>
              <w:pStyle w:val="TableParagraph"/>
              <w:spacing w:before="182"/>
              <w:ind w:left="300" w:right="276"/>
              <w:rPr>
                <w:rFonts w:ascii="Times New Roman"/>
                <w:sz w:val="21"/>
              </w:rPr>
            </w:pPr>
            <w:r>
              <w:rPr>
                <w:rFonts w:ascii="Times New Roman"/>
                <w:sz w:val="21"/>
              </w:rPr>
              <w:t>0.042-0.122</w:t>
            </w:r>
          </w:p>
        </w:tc>
        <w:tc>
          <w:tcPr>
            <w:tcW w:w="839" w:type="dxa"/>
            <w:tcBorders>
              <w:top w:val="single" w:sz="6" w:space="0" w:color="000000"/>
              <w:left w:val="single" w:sz="6" w:space="0" w:color="000000"/>
              <w:right w:val="single" w:sz="6" w:space="0" w:color="000000"/>
            </w:tcBorders>
          </w:tcPr>
          <w:p>
            <w:pPr>
              <w:pStyle w:val="TableParagraph"/>
              <w:spacing w:before="182"/>
              <w:ind w:left="197" w:right="166"/>
              <w:rPr>
                <w:rFonts w:ascii="Times New Roman"/>
                <w:sz w:val="21"/>
              </w:rPr>
            </w:pPr>
            <w:r>
              <w:rPr>
                <w:rFonts w:ascii="Times New Roman"/>
                <w:sz w:val="21"/>
              </w:rPr>
              <w:t>100</w:t>
            </w:r>
          </w:p>
        </w:tc>
        <w:tc>
          <w:tcPr>
            <w:tcW w:w="748" w:type="dxa"/>
            <w:tcBorders>
              <w:top w:val="single" w:sz="6" w:space="0" w:color="000000"/>
              <w:left w:val="single" w:sz="6" w:space="0" w:color="000000"/>
            </w:tcBorders>
          </w:tcPr>
          <w:p>
            <w:pPr>
              <w:pStyle w:val="TableParagraph"/>
              <w:spacing w:line="293" w:lineRule="exact"/>
              <w:ind w:left="152" w:right="112"/>
              <w:rPr>
                <w:sz w:val="21"/>
              </w:rPr>
            </w:pPr>
            <w:r>
              <w:rPr>
                <w:sz w:val="21"/>
              </w:rPr>
              <w:t>不达</w:t>
            </w:r>
          </w:p>
          <w:p>
            <w:pPr>
              <w:pStyle w:val="TableParagraph"/>
              <w:spacing w:line="300" w:lineRule="exact"/>
              <w:ind w:left="40"/>
              <w:rPr>
                <w:sz w:val="21"/>
              </w:rPr>
            </w:pPr>
            <w:r>
              <w:rPr>
                <w:w w:val="100"/>
                <w:sz w:val="21"/>
              </w:rPr>
              <w:t>标</w:t>
            </w:r>
          </w:p>
        </w:tc>
      </w:tr>
    </w:tbl>
    <w:p>
      <w:pPr>
        <w:pStyle w:val="BodyText"/>
        <w:spacing w:line="454" w:lineRule="exact"/>
        <w:ind w:left="1058"/>
      </w:pPr>
      <w:r>
        <w:rPr/>
        <w:t>（</w:t>
      </w:r>
      <w:r>
        <w:rPr>
          <w:rFonts w:ascii="Times New Roman" w:eastAsia="Times New Roman"/>
        </w:rPr>
        <w:t>2</w:t>
      </w:r>
      <w:r>
        <w:rPr/>
        <w:t>）甲醛浓度</w:t>
      </w:r>
    </w:p>
    <w:p>
      <w:pPr>
        <w:pStyle w:val="BodyText"/>
        <w:spacing w:line="220" w:lineRule="auto" w:before="8"/>
        <w:ind w:left="578" w:right="873" w:firstLine="479"/>
        <w:jc w:val="both"/>
      </w:pPr>
      <w:r>
        <w:rPr>
          <w:rFonts w:ascii="Times New Roman" w:eastAsia="Times New Roman"/>
        </w:rPr>
        <w:t>1#</w:t>
      </w:r>
      <w:r>
        <w:rPr>
          <w:spacing w:val="1"/>
        </w:rPr>
        <w:t>甲醛的 </w:t>
      </w:r>
      <w:r>
        <w:rPr>
          <w:rFonts w:ascii="Times New Roman" w:eastAsia="Times New Roman"/>
        </w:rPr>
        <w:t>1h </w:t>
      </w:r>
      <w:r>
        <w:rPr>
          <w:spacing w:val="1"/>
        </w:rPr>
        <w:t>平均浓度为 </w:t>
      </w:r>
      <w:r>
        <w:rPr>
          <w:rFonts w:ascii="Times New Roman" w:eastAsia="Times New Roman"/>
        </w:rPr>
        <w:t>0.147-0.231mg/m</w:t>
      </w:r>
      <w:r>
        <w:rPr>
          <w:rFonts w:ascii="Times New Roman" w:eastAsia="Times New Roman"/>
          <w:position w:val="9"/>
          <w:sz w:val="16"/>
        </w:rPr>
        <w:t>3</w:t>
      </w:r>
      <w:r>
        <w:rPr>
          <w:spacing w:val="1"/>
        </w:rPr>
        <w:t>，超标率为 </w:t>
      </w:r>
      <w:r>
        <w:rPr>
          <w:rFonts w:ascii="Times New Roman" w:eastAsia="Times New Roman"/>
        </w:rPr>
        <w:t>100%</w:t>
      </w:r>
      <w:r>
        <w:rPr/>
        <w:t>；</w:t>
      </w:r>
      <w:r>
        <w:rPr>
          <w:rFonts w:ascii="Times New Roman" w:eastAsia="Times New Roman"/>
        </w:rPr>
        <w:t>2#</w:t>
      </w:r>
      <w:r>
        <w:rPr>
          <w:spacing w:val="2"/>
        </w:rPr>
        <w:t>甲醛的 </w:t>
      </w:r>
      <w:r>
        <w:rPr>
          <w:rFonts w:ascii="Times New Roman" w:eastAsia="Times New Roman"/>
        </w:rPr>
        <w:t>1h </w:t>
      </w:r>
      <w:r>
        <w:rPr>
          <w:spacing w:val="1"/>
        </w:rPr>
        <w:t>平均浓度为 </w:t>
      </w:r>
      <w:r>
        <w:rPr>
          <w:rFonts w:ascii="Times New Roman" w:eastAsia="Times New Roman"/>
        </w:rPr>
        <w:t>0.141-0.145mg/m</w:t>
      </w:r>
      <w:r>
        <w:rPr>
          <w:rFonts w:ascii="Times New Roman" w:eastAsia="Times New Roman"/>
          <w:position w:val="9"/>
          <w:sz w:val="16"/>
        </w:rPr>
        <w:t>3</w:t>
      </w:r>
      <w:r>
        <w:rPr>
          <w:spacing w:val="1"/>
        </w:rPr>
        <w:t>，超标率为 </w:t>
      </w:r>
      <w:r>
        <w:rPr>
          <w:rFonts w:ascii="Times New Roman" w:eastAsia="Times New Roman"/>
        </w:rPr>
        <w:t>14.29%</w:t>
      </w:r>
      <w:r>
        <w:rPr/>
        <w:t>；</w:t>
      </w:r>
      <w:r>
        <w:rPr>
          <w:rFonts w:ascii="Times New Roman" w:eastAsia="Times New Roman"/>
        </w:rPr>
        <w:t>1#</w:t>
      </w:r>
      <w:r>
        <w:rPr/>
        <w:t>、</w:t>
      </w:r>
      <w:r>
        <w:rPr>
          <w:rFonts w:ascii="Times New Roman" w:eastAsia="Times New Roman"/>
        </w:rPr>
        <w:t>2#</w:t>
      </w:r>
      <w:r>
        <w:rPr/>
        <w:t>监测点监测期间的甲</w:t>
      </w:r>
      <w:r>
        <w:rPr>
          <w:spacing w:val="1"/>
        </w:rPr>
        <w:t>醛的 </w:t>
      </w:r>
      <w:r>
        <w:rPr>
          <w:rFonts w:ascii="Times New Roman" w:eastAsia="Times New Roman"/>
        </w:rPr>
        <w:t>1</w:t>
      </w:r>
      <w:r>
        <w:rPr>
          <w:rFonts w:ascii="Times New Roman" w:eastAsia="Times New Roman"/>
          <w:spacing w:val="51"/>
        </w:rPr>
        <w:t> </w:t>
      </w:r>
      <w:r>
        <w:rPr>
          <w:spacing w:val="-5"/>
        </w:rPr>
        <w:t>小时浓度不满足《环境影响评价技术导则 大气环境》</w:t>
      </w:r>
      <w:r>
        <w:rPr/>
        <w:t>（</w:t>
      </w:r>
      <w:r>
        <w:rPr>
          <w:rFonts w:ascii="Times New Roman" w:eastAsia="Times New Roman"/>
        </w:rPr>
        <w:t>HJ2.2-2018</w:t>
      </w:r>
      <w:r>
        <w:rPr/>
        <w:t>）附</w:t>
      </w:r>
      <w:r>
        <w:rPr>
          <w:spacing w:val="6"/>
        </w:rPr>
        <w:t>录 </w:t>
      </w:r>
      <w:r>
        <w:rPr>
          <w:rFonts w:ascii="Times New Roman" w:eastAsia="Times New Roman"/>
        </w:rPr>
        <w:t>D</w:t>
      </w:r>
      <w:r>
        <w:rPr>
          <w:rFonts w:ascii="Times New Roman" w:eastAsia="Times New Roman"/>
          <w:spacing w:val="59"/>
        </w:rPr>
        <w:t> </w:t>
      </w:r>
      <w:r>
        <w:rPr/>
        <w:t>浓度限值。</w:t>
      </w:r>
    </w:p>
    <w:p>
      <w:pPr>
        <w:tabs>
          <w:tab w:pos="912" w:val="left" w:leader="none"/>
          <w:tab w:pos="3653" w:val="left" w:leader="none"/>
        </w:tabs>
        <w:spacing w:before="162" w:after="25"/>
        <w:ind w:left="0" w:right="298" w:firstLine="0"/>
        <w:jc w:val="center"/>
        <w:rPr>
          <w:rFonts w:ascii="Times New Roman" w:eastAsia="Times New Roman"/>
          <w:b/>
          <w:sz w:val="14"/>
        </w:rPr>
      </w:pPr>
      <w:r>
        <w:rPr>
          <w:sz w:val="21"/>
        </w:rPr>
        <w:t>表</w:t>
      </w:r>
      <w:r>
        <w:rPr>
          <w:spacing w:val="7"/>
          <w:sz w:val="21"/>
        </w:rPr>
        <w:t> </w:t>
      </w:r>
      <w:r>
        <w:rPr>
          <w:rFonts w:ascii="Times New Roman" w:eastAsia="Times New Roman"/>
          <w:b/>
          <w:sz w:val="21"/>
        </w:rPr>
        <w:t>5.4-9</w:t>
        <w:tab/>
      </w:r>
      <w:r>
        <w:rPr>
          <w:sz w:val="21"/>
        </w:rPr>
        <w:t>甲醛环境质量</w:t>
      </w:r>
      <w:r>
        <w:rPr>
          <w:spacing w:val="-3"/>
          <w:sz w:val="21"/>
        </w:rPr>
        <w:t>现</w:t>
      </w:r>
      <w:r>
        <w:rPr>
          <w:sz w:val="21"/>
        </w:rPr>
        <w:t>状监测结果</w:t>
        <w:tab/>
        <w:t>单位：</w:t>
      </w:r>
      <w:r>
        <w:rPr>
          <w:rFonts w:ascii="Times New Roman" w:eastAsia="Times New Roman"/>
          <w:b/>
          <w:sz w:val="21"/>
        </w:rPr>
        <w:t>mg/m</w:t>
      </w:r>
      <w:r>
        <w:rPr>
          <w:rFonts w:ascii="Times New Roman" w:eastAsia="Times New Roman"/>
          <w:b/>
          <w:position w:val="7"/>
          <w:sz w:val="14"/>
        </w:rPr>
        <w:t>3</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68"/>
        <w:gridCol w:w="1069"/>
        <w:gridCol w:w="1347"/>
        <w:gridCol w:w="1261"/>
        <w:gridCol w:w="1892"/>
        <w:gridCol w:w="840"/>
        <w:gridCol w:w="749"/>
      </w:tblGrid>
      <w:tr>
        <w:trPr>
          <w:trHeight w:val="625" w:hRule="atLeast"/>
        </w:trPr>
        <w:tc>
          <w:tcPr>
            <w:tcW w:w="1368" w:type="dxa"/>
            <w:tcBorders>
              <w:bottom w:val="single" w:sz="6" w:space="0" w:color="000000"/>
              <w:right w:val="single" w:sz="6" w:space="0" w:color="000000"/>
            </w:tcBorders>
          </w:tcPr>
          <w:p>
            <w:pPr>
              <w:pStyle w:val="TableParagraph"/>
              <w:spacing w:before="79"/>
              <w:ind w:left="139" w:right="116"/>
              <w:rPr>
                <w:sz w:val="21"/>
              </w:rPr>
            </w:pPr>
            <w:r>
              <w:rPr>
                <w:sz w:val="21"/>
              </w:rPr>
              <w:t>监测点位</w:t>
            </w:r>
          </w:p>
        </w:tc>
        <w:tc>
          <w:tcPr>
            <w:tcW w:w="1069" w:type="dxa"/>
            <w:tcBorders>
              <w:left w:val="single" w:sz="6" w:space="0" w:color="000000"/>
              <w:bottom w:val="single" w:sz="6" w:space="0" w:color="000000"/>
              <w:right w:val="single" w:sz="6" w:space="0" w:color="000000"/>
            </w:tcBorders>
          </w:tcPr>
          <w:p>
            <w:pPr>
              <w:pStyle w:val="TableParagraph"/>
              <w:spacing w:before="79"/>
              <w:ind w:left="100" w:right="73"/>
              <w:rPr>
                <w:sz w:val="21"/>
              </w:rPr>
            </w:pPr>
            <w:r>
              <w:rPr>
                <w:sz w:val="21"/>
              </w:rPr>
              <w:t>平均时间</w:t>
            </w:r>
          </w:p>
        </w:tc>
        <w:tc>
          <w:tcPr>
            <w:tcW w:w="1347" w:type="dxa"/>
            <w:tcBorders>
              <w:left w:val="single" w:sz="6" w:space="0" w:color="000000"/>
              <w:bottom w:val="single" w:sz="6" w:space="0" w:color="000000"/>
              <w:right w:val="single" w:sz="6" w:space="0" w:color="000000"/>
            </w:tcBorders>
          </w:tcPr>
          <w:p>
            <w:pPr>
              <w:pStyle w:val="TableParagraph"/>
              <w:spacing w:before="79"/>
              <w:ind w:left="134" w:right="107"/>
              <w:rPr>
                <w:sz w:val="21"/>
              </w:rPr>
            </w:pPr>
            <w:r>
              <w:rPr>
                <w:sz w:val="21"/>
              </w:rPr>
              <w:t>有效样品数</w:t>
            </w:r>
          </w:p>
        </w:tc>
        <w:tc>
          <w:tcPr>
            <w:tcW w:w="1261" w:type="dxa"/>
            <w:tcBorders>
              <w:left w:val="single" w:sz="6" w:space="0" w:color="000000"/>
              <w:bottom w:val="single" w:sz="6" w:space="0" w:color="000000"/>
              <w:right w:val="single" w:sz="6" w:space="0" w:color="000000"/>
            </w:tcBorders>
          </w:tcPr>
          <w:p>
            <w:pPr>
              <w:pStyle w:val="TableParagraph"/>
              <w:spacing w:line="302" w:lineRule="exact"/>
              <w:ind w:left="214"/>
              <w:jc w:val="left"/>
              <w:rPr>
                <w:sz w:val="21"/>
              </w:rPr>
            </w:pPr>
            <w:r>
              <w:rPr>
                <w:sz w:val="21"/>
              </w:rPr>
              <w:t>评价标准</w:t>
            </w:r>
          </w:p>
          <w:p>
            <w:pPr>
              <w:pStyle w:val="TableParagraph"/>
              <w:spacing w:line="303" w:lineRule="exact"/>
              <w:ind w:left="145"/>
              <w:jc w:val="left"/>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892" w:type="dxa"/>
            <w:tcBorders>
              <w:left w:val="single" w:sz="6" w:space="0" w:color="000000"/>
              <w:bottom w:val="single" w:sz="6" w:space="0" w:color="000000"/>
              <w:right w:val="single" w:sz="6" w:space="0" w:color="000000"/>
            </w:tcBorders>
          </w:tcPr>
          <w:p>
            <w:pPr>
              <w:pStyle w:val="TableParagraph"/>
              <w:spacing w:line="302" w:lineRule="exact"/>
              <w:ind w:left="300" w:right="276"/>
              <w:rPr>
                <w:sz w:val="21"/>
              </w:rPr>
            </w:pPr>
            <w:r>
              <w:rPr>
                <w:sz w:val="21"/>
              </w:rPr>
              <w:t>监测浓度范围</w:t>
            </w:r>
          </w:p>
          <w:p>
            <w:pPr>
              <w:pStyle w:val="TableParagraph"/>
              <w:spacing w:line="303" w:lineRule="exact"/>
              <w:ind w:left="295" w:right="276"/>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840" w:type="dxa"/>
            <w:tcBorders>
              <w:left w:val="single" w:sz="6" w:space="0" w:color="000000"/>
              <w:bottom w:val="single" w:sz="6" w:space="0" w:color="000000"/>
              <w:right w:val="single" w:sz="6" w:space="0" w:color="000000"/>
            </w:tcBorders>
          </w:tcPr>
          <w:p>
            <w:pPr>
              <w:pStyle w:val="TableParagraph"/>
              <w:spacing w:line="302" w:lineRule="exact"/>
              <w:ind w:left="168" w:right="143"/>
              <w:rPr>
                <w:sz w:val="21"/>
              </w:rPr>
            </w:pPr>
            <w:r>
              <w:rPr>
                <w:sz w:val="21"/>
              </w:rPr>
              <w:t>超标</w:t>
            </w:r>
          </w:p>
          <w:p>
            <w:pPr>
              <w:pStyle w:val="TableParagraph"/>
              <w:spacing w:line="303" w:lineRule="exact"/>
              <w:ind w:left="25"/>
              <w:rPr>
                <w:sz w:val="21"/>
              </w:rPr>
            </w:pPr>
            <w:r>
              <w:rPr>
                <w:w w:val="100"/>
                <w:sz w:val="21"/>
              </w:rPr>
              <w:t>率</w:t>
            </w:r>
          </w:p>
        </w:tc>
        <w:tc>
          <w:tcPr>
            <w:tcW w:w="749" w:type="dxa"/>
            <w:tcBorders>
              <w:left w:val="single" w:sz="6" w:space="0" w:color="000000"/>
              <w:bottom w:val="single" w:sz="6" w:space="0" w:color="000000"/>
            </w:tcBorders>
          </w:tcPr>
          <w:p>
            <w:pPr>
              <w:pStyle w:val="TableParagraph"/>
              <w:spacing w:line="302" w:lineRule="exact"/>
              <w:ind w:left="168"/>
              <w:jc w:val="left"/>
              <w:rPr>
                <w:sz w:val="21"/>
              </w:rPr>
            </w:pPr>
            <w:r>
              <w:rPr>
                <w:sz w:val="21"/>
              </w:rPr>
              <w:t>达标</w:t>
            </w:r>
          </w:p>
          <w:p>
            <w:pPr>
              <w:pStyle w:val="TableParagraph"/>
              <w:spacing w:line="303" w:lineRule="exact"/>
              <w:ind w:left="168"/>
              <w:jc w:val="left"/>
              <w:rPr>
                <w:sz w:val="21"/>
              </w:rPr>
            </w:pPr>
            <w:r>
              <w:rPr>
                <w:sz w:val="21"/>
              </w:rPr>
              <w:t>情况</w:t>
            </w:r>
          </w:p>
        </w:tc>
      </w:tr>
      <w:tr>
        <w:trPr>
          <w:trHeight w:val="615" w:hRule="atLeast"/>
        </w:trPr>
        <w:tc>
          <w:tcPr>
            <w:tcW w:w="1368" w:type="dxa"/>
            <w:tcBorders>
              <w:top w:val="single" w:sz="6" w:space="0" w:color="000000"/>
              <w:bottom w:val="single" w:sz="6" w:space="0" w:color="000000"/>
              <w:right w:val="single" w:sz="6" w:space="0" w:color="000000"/>
            </w:tcBorders>
          </w:tcPr>
          <w:p>
            <w:pPr>
              <w:pStyle w:val="TableParagraph"/>
              <w:spacing w:before="77"/>
              <w:ind w:left="139" w:right="116"/>
              <w:rPr>
                <w:sz w:val="21"/>
              </w:rPr>
            </w:pPr>
            <w:r>
              <w:rPr>
                <w:rFonts w:ascii="Times New Roman" w:eastAsia="Times New Roman"/>
                <w:sz w:val="21"/>
              </w:rPr>
              <w:t>1#</w:t>
            </w:r>
            <w:r>
              <w:rPr>
                <w:sz w:val="21"/>
              </w:rPr>
              <w:t>厂址处</w:t>
            </w:r>
          </w:p>
        </w:tc>
        <w:tc>
          <w:tcPr>
            <w:tcW w:w="1069" w:type="dxa"/>
            <w:tcBorders>
              <w:top w:val="single" w:sz="6" w:space="0" w:color="000000"/>
              <w:left w:val="single" w:sz="6" w:space="0" w:color="000000"/>
              <w:bottom w:val="single" w:sz="6" w:space="0" w:color="000000"/>
              <w:right w:val="single" w:sz="6" w:space="0" w:color="000000"/>
            </w:tcBorders>
          </w:tcPr>
          <w:p>
            <w:pPr>
              <w:pStyle w:val="TableParagraph"/>
              <w:spacing w:before="190"/>
              <w:ind w:left="98" w:right="73"/>
              <w:rPr>
                <w:rFonts w:ascii="Times New Roman"/>
                <w:sz w:val="21"/>
              </w:rPr>
            </w:pPr>
            <w:r>
              <w:rPr>
                <w:rFonts w:ascii="Times New Roman"/>
                <w:sz w:val="21"/>
              </w:rPr>
              <w:t>1h</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190"/>
              <w:ind w:left="131" w:right="107"/>
              <w:rPr>
                <w:rFonts w:ascii="Times New Roman"/>
                <w:sz w:val="21"/>
              </w:rPr>
            </w:pPr>
            <w:r>
              <w:rPr>
                <w:rFonts w:ascii="Times New Roman"/>
                <w:sz w:val="21"/>
              </w:rPr>
              <w:t>28</w:t>
            </w:r>
          </w:p>
        </w:tc>
        <w:tc>
          <w:tcPr>
            <w:tcW w:w="1261" w:type="dxa"/>
            <w:vMerge w:val="restart"/>
            <w:tcBorders>
              <w:top w:val="single" w:sz="6" w:space="0" w:color="000000"/>
              <w:left w:val="single" w:sz="6" w:space="0" w:color="000000"/>
              <w:right w:val="single" w:sz="6" w:space="0" w:color="000000"/>
            </w:tcBorders>
          </w:tcPr>
          <w:p>
            <w:pPr>
              <w:pStyle w:val="TableParagraph"/>
              <w:jc w:val="left"/>
              <w:rPr>
                <w:rFonts w:ascii="Times New Roman"/>
                <w:b/>
                <w:sz w:val="22"/>
              </w:rPr>
            </w:pPr>
          </w:p>
          <w:p>
            <w:pPr>
              <w:pStyle w:val="TableParagraph"/>
              <w:spacing w:before="3"/>
              <w:jc w:val="left"/>
              <w:rPr>
                <w:rFonts w:ascii="Times New Roman"/>
                <w:b/>
                <w:sz w:val="22"/>
              </w:rPr>
            </w:pPr>
          </w:p>
          <w:p>
            <w:pPr>
              <w:pStyle w:val="TableParagraph"/>
              <w:ind w:left="196" w:right="168"/>
              <w:rPr>
                <w:rFonts w:ascii="Times New Roman"/>
                <w:sz w:val="21"/>
              </w:rPr>
            </w:pPr>
            <w:r>
              <w:rPr>
                <w:rFonts w:ascii="Times New Roman"/>
                <w:sz w:val="21"/>
              </w:rPr>
              <w:t>0.05</w:t>
            </w:r>
          </w:p>
        </w:tc>
        <w:tc>
          <w:tcPr>
            <w:tcW w:w="1892" w:type="dxa"/>
            <w:tcBorders>
              <w:top w:val="single" w:sz="6" w:space="0" w:color="000000"/>
              <w:left w:val="single" w:sz="6" w:space="0" w:color="000000"/>
              <w:bottom w:val="single" w:sz="6" w:space="0" w:color="000000"/>
              <w:right w:val="single" w:sz="6" w:space="0" w:color="000000"/>
            </w:tcBorders>
          </w:tcPr>
          <w:p>
            <w:pPr>
              <w:pStyle w:val="TableParagraph"/>
              <w:spacing w:before="190"/>
              <w:ind w:left="300" w:right="276"/>
              <w:rPr>
                <w:rFonts w:ascii="Times New Roman"/>
                <w:sz w:val="21"/>
              </w:rPr>
            </w:pPr>
            <w:r>
              <w:rPr>
                <w:rFonts w:ascii="Times New Roman"/>
                <w:sz w:val="21"/>
              </w:rPr>
              <w:t>0.147-0.231</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190"/>
              <w:ind w:left="168" w:right="143"/>
              <w:rPr>
                <w:rFonts w:ascii="Times New Roman"/>
                <w:sz w:val="21"/>
              </w:rPr>
            </w:pPr>
            <w:r>
              <w:rPr>
                <w:rFonts w:ascii="Times New Roman"/>
                <w:sz w:val="21"/>
              </w:rPr>
              <w:t>100</w:t>
            </w:r>
          </w:p>
        </w:tc>
        <w:tc>
          <w:tcPr>
            <w:tcW w:w="749" w:type="dxa"/>
            <w:tcBorders>
              <w:top w:val="single" w:sz="6" w:space="0" w:color="000000"/>
              <w:left w:val="single" w:sz="6" w:space="0" w:color="000000"/>
              <w:bottom w:val="single" w:sz="6" w:space="0" w:color="000000"/>
            </w:tcBorders>
          </w:tcPr>
          <w:p>
            <w:pPr>
              <w:pStyle w:val="TableParagraph"/>
              <w:spacing w:line="300" w:lineRule="exact"/>
              <w:ind w:left="149" w:right="117"/>
              <w:rPr>
                <w:sz w:val="21"/>
              </w:rPr>
            </w:pPr>
            <w:r>
              <w:rPr>
                <w:sz w:val="21"/>
              </w:rPr>
              <w:t>不达</w:t>
            </w:r>
          </w:p>
          <w:p>
            <w:pPr>
              <w:pStyle w:val="TableParagraph"/>
              <w:spacing w:line="296" w:lineRule="exact"/>
              <w:ind w:left="32"/>
              <w:rPr>
                <w:sz w:val="21"/>
              </w:rPr>
            </w:pPr>
            <w:r>
              <w:rPr>
                <w:w w:val="100"/>
                <w:sz w:val="21"/>
              </w:rPr>
              <w:t>标</w:t>
            </w:r>
          </w:p>
        </w:tc>
      </w:tr>
      <w:tr>
        <w:trPr>
          <w:trHeight w:val="616" w:hRule="atLeast"/>
        </w:trPr>
        <w:tc>
          <w:tcPr>
            <w:tcW w:w="1368" w:type="dxa"/>
            <w:tcBorders>
              <w:top w:val="single" w:sz="6" w:space="0" w:color="000000"/>
              <w:right w:val="single" w:sz="6" w:space="0" w:color="000000"/>
            </w:tcBorders>
          </w:tcPr>
          <w:p>
            <w:pPr>
              <w:pStyle w:val="TableParagraph"/>
              <w:spacing w:before="70"/>
              <w:ind w:left="139" w:right="116"/>
              <w:rPr>
                <w:sz w:val="21"/>
              </w:rPr>
            </w:pPr>
            <w:r>
              <w:rPr>
                <w:rFonts w:ascii="Times New Roman" w:eastAsia="Times New Roman"/>
                <w:sz w:val="21"/>
              </w:rPr>
              <w:t>2#</w:t>
            </w:r>
            <w:r>
              <w:rPr>
                <w:sz w:val="21"/>
              </w:rPr>
              <w:t>后柴沟村</w:t>
            </w:r>
          </w:p>
        </w:tc>
        <w:tc>
          <w:tcPr>
            <w:tcW w:w="1069" w:type="dxa"/>
            <w:tcBorders>
              <w:top w:val="single" w:sz="6" w:space="0" w:color="000000"/>
              <w:left w:val="single" w:sz="6" w:space="0" w:color="000000"/>
              <w:right w:val="single" w:sz="6" w:space="0" w:color="000000"/>
            </w:tcBorders>
          </w:tcPr>
          <w:p>
            <w:pPr>
              <w:pStyle w:val="TableParagraph"/>
              <w:spacing w:before="183"/>
              <w:ind w:left="98" w:right="73"/>
              <w:rPr>
                <w:rFonts w:ascii="Times New Roman"/>
                <w:sz w:val="21"/>
              </w:rPr>
            </w:pPr>
            <w:r>
              <w:rPr>
                <w:rFonts w:ascii="Times New Roman"/>
                <w:sz w:val="21"/>
              </w:rPr>
              <w:t>1h</w:t>
            </w:r>
          </w:p>
        </w:tc>
        <w:tc>
          <w:tcPr>
            <w:tcW w:w="1347" w:type="dxa"/>
            <w:tcBorders>
              <w:top w:val="single" w:sz="6" w:space="0" w:color="000000"/>
              <w:left w:val="single" w:sz="6" w:space="0" w:color="000000"/>
              <w:right w:val="single" w:sz="6" w:space="0" w:color="000000"/>
            </w:tcBorders>
          </w:tcPr>
          <w:p>
            <w:pPr>
              <w:pStyle w:val="TableParagraph"/>
              <w:spacing w:before="183"/>
              <w:ind w:left="131" w:right="107"/>
              <w:rPr>
                <w:rFonts w:ascii="Times New Roman"/>
                <w:sz w:val="21"/>
              </w:rPr>
            </w:pPr>
            <w:r>
              <w:rPr>
                <w:rFonts w:ascii="Times New Roman"/>
                <w:sz w:val="21"/>
              </w:rPr>
              <w:t>28</w:t>
            </w:r>
          </w:p>
        </w:tc>
        <w:tc>
          <w:tcPr>
            <w:tcW w:w="1261" w:type="dxa"/>
            <w:vMerge/>
            <w:tcBorders>
              <w:top w:val="nil"/>
              <w:left w:val="single" w:sz="6" w:space="0" w:color="000000"/>
              <w:right w:val="single" w:sz="6" w:space="0" w:color="000000"/>
            </w:tcBorders>
          </w:tcPr>
          <w:p>
            <w:pPr>
              <w:rPr>
                <w:sz w:val="2"/>
                <w:szCs w:val="2"/>
              </w:rPr>
            </w:pPr>
          </w:p>
        </w:tc>
        <w:tc>
          <w:tcPr>
            <w:tcW w:w="1892" w:type="dxa"/>
            <w:tcBorders>
              <w:top w:val="single" w:sz="6" w:space="0" w:color="000000"/>
              <w:left w:val="single" w:sz="6" w:space="0" w:color="000000"/>
              <w:right w:val="single" w:sz="6" w:space="0" w:color="000000"/>
            </w:tcBorders>
          </w:tcPr>
          <w:p>
            <w:pPr>
              <w:pStyle w:val="TableParagraph"/>
              <w:spacing w:before="183"/>
              <w:ind w:left="300" w:right="276"/>
              <w:rPr>
                <w:rFonts w:ascii="Times New Roman"/>
                <w:sz w:val="21"/>
              </w:rPr>
            </w:pPr>
            <w:r>
              <w:rPr>
                <w:rFonts w:ascii="Times New Roman"/>
                <w:sz w:val="21"/>
              </w:rPr>
              <w:t>0.141-0.145</w:t>
            </w:r>
          </w:p>
        </w:tc>
        <w:tc>
          <w:tcPr>
            <w:tcW w:w="840" w:type="dxa"/>
            <w:tcBorders>
              <w:top w:val="single" w:sz="6" w:space="0" w:color="000000"/>
              <w:left w:val="single" w:sz="6" w:space="0" w:color="000000"/>
              <w:right w:val="single" w:sz="6" w:space="0" w:color="000000"/>
            </w:tcBorders>
          </w:tcPr>
          <w:p>
            <w:pPr>
              <w:pStyle w:val="TableParagraph"/>
              <w:spacing w:before="183"/>
              <w:ind w:left="168" w:right="143"/>
              <w:rPr>
                <w:rFonts w:ascii="Times New Roman"/>
                <w:sz w:val="21"/>
              </w:rPr>
            </w:pPr>
            <w:r>
              <w:rPr>
                <w:rFonts w:ascii="Times New Roman"/>
                <w:sz w:val="21"/>
              </w:rPr>
              <w:t>14.29</w:t>
            </w:r>
          </w:p>
        </w:tc>
        <w:tc>
          <w:tcPr>
            <w:tcW w:w="749" w:type="dxa"/>
            <w:tcBorders>
              <w:top w:val="single" w:sz="6" w:space="0" w:color="000000"/>
              <w:left w:val="single" w:sz="6" w:space="0" w:color="000000"/>
            </w:tcBorders>
          </w:tcPr>
          <w:p>
            <w:pPr>
              <w:pStyle w:val="TableParagraph"/>
              <w:spacing w:line="293" w:lineRule="exact"/>
              <w:ind w:left="149" w:right="117"/>
              <w:rPr>
                <w:sz w:val="21"/>
              </w:rPr>
            </w:pPr>
            <w:r>
              <w:rPr>
                <w:sz w:val="21"/>
              </w:rPr>
              <w:t>不达</w:t>
            </w:r>
          </w:p>
          <w:p>
            <w:pPr>
              <w:pStyle w:val="TableParagraph"/>
              <w:spacing w:line="303" w:lineRule="exact"/>
              <w:ind w:left="32"/>
              <w:rPr>
                <w:sz w:val="21"/>
              </w:rPr>
            </w:pPr>
            <w:r>
              <w:rPr>
                <w:w w:val="100"/>
                <w:sz w:val="21"/>
              </w:rPr>
              <w:t>标</w:t>
            </w:r>
          </w:p>
        </w:tc>
      </w:tr>
    </w:tbl>
    <w:p>
      <w:pPr>
        <w:pStyle w:val="BodyText"/>
        <w:spacing w:line="454" w:lineRule="exact"/>
        <w:ind w:left="1058"/>
      </w:pPr>
      <w:r>
        <w:rPr/>
        <w:t>（</w:t>
      </w:r>
      <w:r>
        <w:rPr>
          <w:rFonts w:ascii="Times New Roman" w:eastAsia="Times New Roman"/>
        </w:rPr>
        <w:t>3</w:t>
      </w:r>
      <w:r>
        <w:rPr/>
        <w:t>）硫化氢浓度</w:t>
      </w:r>
    </w:p>
    <w:p>
      <w:pPr>
        <w:pStyle w:val="BodyText"/>
        <w:spacing w:line="468" w:lineRule="exact"/>
        <w:ind w:left="1058"/>
      </w:pPr>
      <w:r>
        <w:rPr>
          <w:rFonts w:ascii="Times New Roman" w:eastAsia="Times New Roman"/>
        </w:rPr>
        <w:t>1#</w:t>
      </w:r>
      <w:r>
        <w:rPr>
          <w:spacing w:val="2"/>
        </w:rPr>
        <w:t>硫化氢的  </w:t>
      </w:r>
      <w:r>
        <w:rPr>
          <w:rFonts w:ascii="Times New Roman" w:eastAsia="Times New Roman"/>
        </w:rPr>
        <w:t>1h</w:t>
      </w:r>
      <w:r>
        <w:rPr>
          <w:rFonts w:ascii="Times New Roman" w:eastAsia="Times New Roman"/>
          <w:spacing w:val="2"/>
        </w:rPr>
        <w:t>  </w:t>
      </w:r>
      <w:r>
        <w:rPr>
          <w:spacing w:val="1"/>
        </w:rPr>
        <w:t>平均浓度为 </w:t>
      </w:r>
      <w:r>
        <w:rPr>
          <w:rFonts w:ascii="Times New Roman" w:eastAsia="Times New Roman"/>
          <w:spacing w:val="-4"/>
        </w:rPr>
        <w:t>0.002-0.003mg/m</w:t>
      </w:r>
      <w:r>
        <w:rPr>
          <w:rFonts w:ascii="Times New Roman" w:eastAsia="Times New Roman"/>
          <w:spacing w:val="-4"/>
          <w:position w:val="9"/>
          <w:sz w:val="16"/>
        </w:rPr>
        <w:t>3</w:t>
      </w:r>
      <w:r>
        <w:rPr/>
        <w:t>，超标率为  </w:t>
      </w:r>
      <w:r>
        <w:rPr>
          <w:rFonts w:ascii="Times New Roman" w:eastAsia="Times New Roman"/>
          <w:spacing w:val="-12"/>
        </w:rPr>
        <w:t>0%</w:t>
      </w:r>
      <w:r>
        <w:rPr>
          <w:spacing w:val="-12"/>
        </w:rPr>
        <w:t>；</w:t>
      </w:r>
      <w:r>
        <w:rPr>
          <w:rFonts w:ascii="Times New Roman" w:eastAsia="Times New Roman"/>
          <w:spacing w:val="-12"/>
        </w:rPr>
        <w:t>2#</w:t>
      </w:r>
      <w:r>
        <w:rPr/>
        <w:t>硫化氢的</w:t>
      </w:r>
    </w:p>
    <w:p>
      <w:pPr>
        <w:pStyle w:val="BodyText"/>
        <w:spacing w:line="468" w:lineRule="exact"/>
        <w:ind w:right="293"/>
        <w:jc w:val="center"/>
      </w:pPr>
      <w:r>
        <w:rPr>
          <w:rFonts w:ascii="Times New Roman" w:eastAsia="Times New Roman"/>
        </w:rPr>
        <w:t>1h  </w:t>
      </w:r>
      <w:r>
        <w:rPr>
          <w:spacing w:val="1"/>
        </w:rPr>
        <w:t>平均浓度为 </w:t>
      </w:r>
      <w:r>
        <w:rPr>
          <w:rFonts w:ascii="Times New Roman" w:eastAsia="Times New Roman"/>
          <w:spacing w:val="-3"/>
        </w:rPr>
        <w:t>0.001mg/m</w:t>
      </w:r>
      <w:r>
        <w:rPr>
          <w:rFonts w:ascii="Times New Roman" w:eastAsia="Times New Roman"/>
          <w:spacing w:val="-3"/>
          <w:position w:val="9"/>
          <w:sz w:val="16"/>
        </w:rPr>
        <w:t>3</w:t>
      </w:r>
      <w:r>
        <w:rPr/>
        <w:t>，超标率为  </w:t>
      </w:r>
      <w:r>
        <w:rPr>
          <w:rFonts w:ascii="Times New Roman" w:eastAsia="Times New Roman"/>
          <w:spacing w:val="-6"/>
        </w:rPr>
        <w:t>0%</w:t>
      </w:r>
      <w:r>
        <w:rPr>
          <w:spacing w:val="-6"/>
        </w:rPr>
        <w:t>；</w:t>
      </w:r>
      <w:r>
        <w:rPr>
          <w:rFonts w:ascii="Times New Roman" w:eastAsia="Times New Roman"/>
          <w:spacing w:val="-6"/>
        </w:rPr>
        <w:t>1#</w:t>
      </w:r>
      <w:r>
        <w:rPr>
          <w:spacing w:val="-29"/>
        </w:rPr>
        <w:t>、</w:t>
      </w:r>
      <w:r>
        <w:rPr>
          <w:rFonts w:ascii="Times New Roman" w:eastAsia="Times New Roman"/>
        </w:rPr>
        <w:t>2#</w:t>
      </w:r>
      <w:r>
        <w:rPr/>
        <w:t>监测点监测期间的硫化氢的</w:t>
      </w:r>
    </w:p>
    <w:p>
      <w:pPr>
        <w:pStyle w:val="BodyText"/>
        <w:spacing w:line="220" w:lineRule="auto" w:before="8"/>
        <w:ind w:left="578" w:right="873"/>
      </w:pPr>
      <w:r>
        <w:rPr>
          <w:rFonts w:ascii="Times New Roman" w:eastAsia="Times New Roman"/>
        </w:rPr>
        <w:t>1</w:t>
      </w:r>
      <w:r>
        <w:rPr>
          <w:rFonts w:ascii="Times New Roman" w:eastAsia="Times New Roman"/>
          <w:spacing w:val="-1"/>
        </w:rPr>
        <w:t>  </w:t>
      </w:r>
      <w:r>
        <w:rPr>
          <w:spacing w:val="-10"/>
        </w:rPr>
        <w:t>小时浓度均符合《环境影响评价技术导则  大气环境</w:t>
      </w:r>
      <w:r>
        <w:rPr>
          <w:spacing w:val="-224"/>
        </w:rPr>
        <w:t>》</w:t>
      </w:r>
      <w:r>
        <w:rPr/>
        <w:t>（</w:t>
      </w:r>
      <w:r>
        <w:rPr>
          <w:rFonts w:ascii="Times New Roman" w:eastAsia="Times New Roman"/>
          <w:w w:val="99"/>
        </w:rPr>
        <w:t>H</w:t>
      </w:r>
      <w:r>
        <w:rPr>
          <w:rFonts w:ascii="Times New Roman" w:eastAsia="Times New Roman"/>
          <w:spacing w:val="1"/>
          <w:w w:val="99"/>
        </w:rPr>
        <w:t>J</w:t>
      </w:r>
      <w:r>
        <w:rPr>
          <w:rFonts w:ascii="Times New Roman" w:eastAsia="Times New Roman"/>
        </w:rPr>
        <w:t>2.2</w:t>
      </w:r>
      <w:r>
        <w:rPr>
          <w:rFonts w:ascii="Times New Roman" w:eastAsia="Times New Roman"/>
          <w:spacing w:val="-1"/>
        </w:rPr>
        <w:t>-</w:t>
      </w:r>
      <w:r>
        <w:rPr>
          <w:rFonts w:ascii="Times New Roman" w:eastAsia="Times New Roman"/>
        </w:rPr>
        <w:t>2018</w:t>
      </w:r>
      <w:r>
        <w:rPr>
          <w:spacing w:val="-104"/>
        </w:rPr>
        <w:t>）</w:t>
      </w:r>
      <w:r>
        <w:rPr>
          <w:spacing w:val="3"/>
        </w:rPr>
        <w:t>附录  </w:t>
      </w:r>
      <w:r>
        <w:rPr>
          <w:rFonts w:ascii="Times New Roman" w:eastAsia="Times New Roman"/>
          <w:w w:val="99"/>
        </w:rPr>
        <w:t>D</w:t>
      </w:r>
      <w:r>
        <w:rPr>
          <w:rFonts w:ascii="Times New Roman" w:eastAsia="Times New Roman"/>
          <w:spacing w:val="-1"/>
        </w:rPr>
        <w:t>  </w:t>
      </w:r>
      <w:r>
        <w:rPr/>
        <w:t>浓度限值。</w:t>
      </w:r>
    </w:p>
    <w:p>
      <w:pPr>
        <w:tabs>
          <w:tab w:pos="3098" w:val="left" w:leader="none"/>
          <w:tab w:pos="6050" w:val="left" w:leader="none"/>
        </w:tabs>
        <w:spacing w:before="163" w:after="24"/>
        <w:ind w:left="2080" w:right="0" w:firstLine="0"/>
        <w:jc w:val="left"/>
        <w:rPr>
          <w:rFonts w:ascii="Times New Roman" w:eastAsia="Times New Roman"/>
          <w:b/>
          <w:sz w:val="14"/>
        </w:rPr>
      </w:pPr>
      <w:r>
        <w:rPr>
          <w:sz w:val="21"/>
        </w:rPr>
        <w:t>表</w:t>
      </w:r>
      <w:r>
        <w:rPr>
          <w:spacing w:val="8"/>
          <w:sz w:val="21"/>
        </w:rPr>
        <w:t> </w:t>
      </w:r>
      <w:r>
        <w:rPr>
          <w:rFonts w:ascii="Times New Roman" w:eastAsia="Times New Roman"/>
          <w:b/>
          <w:sz w:val="21"/>
        </w:rPr>
        <w:t>5.4-10</w:t>
        <w:tab/>
      </w:r>
      <w:r>
        <w:rPr>
          <w:sz w:val="21"/>
        </w:rPr>
        <w:t>硫化氢环境</w:t>
      </w:r>
      <w:r>
        <w:rPr>
          <w:spacing w:val="-3"/>
          <w:sz w:val="21"/>
        </w:rPr>
        <w:t>质</w:t>
      </w:r>
      <w:r>
        <w:rPr>
          <w:sz w:val="21"/>
        </w:rPr>
        <w:t>量现状监测结果</w:t>
        <w:tab/>
        <w:t>单位：</w:t>
      </w:r>
      <w:r>
        <w:rPr>
          <w:rFonts w:ascii="Times New Roman" w:eastAsia="Times New Roman"/>
          <w:b/>
          <w:sz w:val="21"/>
        </w:rPr>
        <w:t>mg/m</w:t>
      </w:r>
      <w:r>
        <w:rPr>
          <w:rFonts w:ascii="Times New Roman" w:eastAsia="Times New Roman"/>
          <w:b/>
          <w:position w:val="7"/>
          <w:sz w:val="14"/>
        </w:rPr>
        <w:t>3</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68"/>
        <w:gridCol w:w="1069"/>
        <w:gridCol w:w="1347"/>
        <w:gridCol w:w="1261"/>
        <w:gridCol w:w="1892"/>
        <w:gridCol w:w="840"/>
        <w:gridCol w:w="749"/>
      </w:tblGrid>
      <w:tr>
        <w:trPr>
          <w:trHeight w:val="623" w:hRule="atLeast"/>
        </w:trPr>
        <w:tc>
          <w:tcPr>
            <w:tcW w:w="1368" w:type="dxa"/>
            <w:tcBorders>
              <w:bottom w:val="single" w:sz="6" w:space="0" w:color="000000"/>
              <w:right w:val="single" w:sz="6" w:space="0" w:color="000000"/>
            </w:tcBorders>
          </w:tcPr>
          <w:p>
            <w:pPr>
              <w:pStyle w:val="TableParagraph"/>
              <w:spacing w:before="77"/>
              <w:ind w:left="139" w:right="116"/>
              <w:rPr>
                <w:sz w:val="21"/>
              </w:rPr>
            </w:pPr>
            <w:r>
              <w:rPr>
                <w:sz w:val="21"/>
              </w:rPr>
              <w:t>监测点位</w:t>
            </w:r>
          </w:p>
        </w:tc>
        <w:tc>
          <w:tcPr>
            <w:tcW w:w="1069" w:type="dxa"/>
            <w:tcBorders>
              <w:left w:val="single" w:sz="6" w:space="0" w:color="000000"/>
              <w:bottom w:val="single" w:sz="6" w:space="0" w:color="000000"/>
              <w:right w:val="single" w:sz="6" w:space="0" w:color="000000"/>
            </w:tcBorders>
          </w:tcPr>
          <w:p>
            <w:pPr>
              <w:pStyle w:val="TableParagraph"/>
              <w:spacing w:before="77"/>
              <w:ind w:left="100" w:right="73"/>
              <w:rPr>
                <w:sz w:val="21"/>
              </w:rPr>
            </w:pPr>
            <w:r>
              <w:rPr>
                <w:sz w:val="21"/>
              </w:rPr>
              <w:t>平均时间</w:t>
            </w:r>
          </w:p>
        </w:tc>
        <w:tc>
          <w:tcPr>
            <w:tcW w:w="1347" w:type="dxa"/>
            <w:tcBorders>
              <w:left w:val="single" w:sz="6" w:space="0" w:color="000000"/>
              <w:bottom w:val="single" w:sz="6" w:space="0" w:color="000000"/>
              <w:right w:val="single" w:sz="6" w:space="0" w:color="000000"/>
            </w:tcBorders>
          </w:tcPr>
          <w:p>
            <w:pPr>
              <w:pStyle w:val="TableParagraph"/>
              <w:spacing w:before="77"/>
              <w:ind w:left="134" w:right="107"/>
              <w:rPr>
                <w:sz w:val="21"/>
              </w:rPr>
            </w:pPr>
            <w:r>
              <w:rPr>
                <w:sz w:val="21"/>
              </w:rPr>
              <w:t>有效样品数</w:t>
            </w:r>
          </w:p>
        </w:tc>
        <w:tc>
          <w:tcPr>
            <w:tcW w:w="1261" w:type="dxa"/>
            <w:tcBorders>
              <w:left w:val="single" w:sz="6" w:space="0" w:color="000000"/>
              <w:bottom w:val="single" w:sz="6" w:space="0" w:color="000000"/>
              <w:right w:val="single" w:sz="6" w:space="0" w:color="000000"/>
            </w:tcBorders>
          </w:tcPr>
          <w:p>
            <w:pPr>
              <w:pStyle w:val="TableParagraph"/>
              <w:spacing w:line="300" w:lineRule="exact"/>
              <w:ind w:left="214"/>
              <w:jc w:val="left"/>
              <w:rPr>
                <w:sz w:val="21"/>
              </w:rPr>
            </w:pPr>
            <w:r>
              <w:rPr>
                <w:sz w:val="21"/>
              </w:rPr>
              <w:t>评价标准</w:t>
            </w:r>
          </w:p>
          <w:p>
            <w:pPr>
              <w:pStyle w:val="TableParagraph"/>
              <w:spacing w:line="303" w:lineRule="exact"/>
              <w:ind w:left="145"/>
              <w:jc w:val="left"/>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892" w:type="dxa"/>
            <w:tcBorders>
              <w:left w:val="single" w:sz="6" w:space="0" w:color="000000"/>
              <w:bottom w:val="single" w:sz="6" w:space="0" w:color="000000"/>
              <w:right w:val="single" w:sz="6" w:space="0" w:color="000000"/>
            </w:tcBorders>
          </w:tcPr>
          <w:p>
            <w:pPr>
              <w:pStyle w:val="TableParagraph"/>
              <w:spacing w:line="300" w:lineRule="exact"/>
              <w:ind w:left="300" w:right="276"/>
              <w:rPr>
                <w:sz w:val="21"/>
              </w:rPr>
            </w:pPr>
            <w:r>
              <w:rPr>
                <w:sz w:val="21"/>
              </w:rPr>
              <w:t>监测浓度范围</w:t>
            </w:r>
          </w:p>
          <w:p>
            <w:pPr>
              <w:pStyle w:val="TableParagraph"/>
              <w:spacing w:line="303" w:lineRule="exact"/>
              <w:ind w:left="295" w:right="276"/>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840" w:type="dxa"/>
            <w:tcBorders>
              <w:left w:val="single" w:sz="6" w:space="0" w:color="000000"/>
              <w:bottom w:val="single" w:sz="6" w:space="0" w:color="000000"/>
              <w:right w:val="single" w:sz="6" w:space="0" w:color="000000"/>
            </w:tcBorders>
          </w:tcPr>
          <w:p>
            <w:pPr>
              <w:pStyle w:val="TableParagraph"/>
              <w:spacing w:line="300" w:lineRule="exact"/>
              <w:ind w:left="168" w:right="143"/>
              <w:rPr>
                <w:sz w:val="21"/>
              </w:rPr>
            </w:pPr>
            <w:r>
              <w:rPr>
                <w:sz w:val="21"/>
              </w:rPr>
              <w:t>超标</w:t>
            </w:r>
          </w:p>
          <w:p>
            <w:pPr>
              <w:pStyle w:val="TableParagraph"/>
              <w:spacing w:line="303" w:lineRule="exact"/>
              <w:ind w:left="25"/>
              <w:rPr>
                <w:sz w:val="21"/>
              </w:rPr>
            </w:pPr>
            <w:r>
              <w:rPr>
                <w:w w:val="100"/>
                <w:sz w:val="21"/>
              </w:rPr>
              <w:t>率</w:t>
            </w:r>
          </w:p>
        </w:tc>
        <w:tc>
          <w:tcPr>
            <w:tcW w:w="749" w:type="dxa"/>
            <w:tcBorders>
              <w:left w:val="single" w:sz="6" w:space="0" w:color="000000"/>
              <w:bottom w:val="single" w:sz="6" w:space="0" w:color="000000"/>
            </w:tcBorders>
          </w:tcPr>
          <w:p>
            <w:pPr>
              <w:pStyle w:val="TableParagraph"/>
              <w:spacing w:line="300" w:lineRule="exact"/>
              <w:ind w:left="168"/>
              <w:jc w:val="left"/>
              <w:rPr>
                <w:sz w:val="21"/>
              </w:rPr>
            </w:pPr>
            <w:r>
              <w:rPr>
                <w:sz w:val="21"/>
              </w:rPr>
              <w:t>达标</w:t>
            </w:r>
          </w:p>
          <w:p>
            <w:pPr>
              <w:pStyle w:val="TableParagraph"/>
              <w:spacing w:line="303" w:lineRule="exact"/>
              <w:ind w:left="168"/>
              <w:jc w:val="left"/>
              <w:rPr>
                <w:sz w:val="21"/>
              </w:rPr>
            </w:pPr>
            <w:r>
              <w:rPr>
                <w:sz w:val="21"/>
              </w:rPr>
              <w:t>情况</w:t>
            </w:r>
          </w:p>
        </w:tc>
      </w:tr>
      <w:tr>
        <w:trPr>
          <w:trHeight w:val="306" w:hRule="atLeast"/>
        </w:trPr>
        <w:tc>
          <w:tcPr>
            <w:tcW w:w="1368" w:type="dxa"/>
            <w:tcBorders>
              <w:top w:val="single" w:sz="6" w:space="0" w:color="000000"/>
              <w:bottom w:val="single" w:sz="6" w:space="0" w:color="000000"/>
              <w:right w:val="single" w:sz="6" w:space="0" w:color="000000"/>
            </w:tcBorders>
          </w:tcPr>
          <w:p>
            <w:pPr>
              <w:pStyle w:val="TableParagraph"/>
              <w:spacing w:line="286" w:lineRule="exact"/>
              <w:ind w:left="139" w:right="116"/>
              <w:rPr>
                <w:sz w:val="21"/>
              </w:rPr>
            </w:pPr>
            <w:r>
              <w:rPr>
                <w:rFonts w:ascii="Times New Roman" w:eastAsia="Times New Roman"/>
                <w:sz w:val="21"/>
              </w:rPr>
              <w:t>1#</w:t>
            </w:r>
            <w:r>
              <w:rPr>
                <w:sz w:val="21"/>
              </w:rPr>
              <w:t>厂址处</w:t>
            </w:r>
          </w:p>
        </w:tc>
        <w:tc>
          <w:tcPr>
            <w:tcW w:w="1069" w:type="dxa"/>
            <w:tcBorders>
              <w:top w:val="single" w:sz="6" w:space="0" w:color="000000"/>
              <w:left w:val="single" w:sz="6" w:space="0" w:color="000000"/>
              <w:bottom w:val="single" w:sz="6" w:space="0" w:color="000000"/>
              <w:right w:val="single" w:sz="6" w:space="0" w:color="000000"/>
            </w:tcBorders>
          </w:tcPr>
          <w:p>
            <w:pPr>
              <w:pStyle w:val="TableParagraph"/>
              <w:spacing w:before="36"/>
              <w:ind w:left="98" w:right="73"/>
              <w:rPr>
                <w:rFonts w:ascii="Times New Roman"/>
                <w:sz w:val="21"/>
              </w:rPr>
            </w:pPr>
            <w:r>
              <w:rPr>
                <w:rFonts w:ascii="Times New Roman"/>
                <w:sz w:val="21"/>
              </w:rPr>
              <w:t>1h</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36"/>
              <w:ind w:left="131" w:right="107"/>
              <w:rPr>
                <w:rFonts w:ascii="Times New Roman"/>
                <w:sz w:val="21"/>
              </w:rPr>
            </w:pPr>
            <w:r>
              <w:rPr>
                <w:rFonts w:ascii="Times New Roman"/>
                <w:sz w:val="21"/>
              </w:rPr>
              <w:t>28</w:t>
            </w:r>
          </w:p>
        </w:tc>
        <w:tc>
          <w:tcPr>
            <w:tcW w:w="1261" w:type="dxa"/>
            <w:vMerge w:val="restart"/>
            <w:tcBorders>
              <w:top w:val="single" w:sz="6" w:space="0" w:color="000000"/>
              <w:left w:val="single" w:sz="6" w:space="0" w:color="000000"/>
              <w:right w:val="single" w:sz="6" w:space="0" w:color="000000"/>
            </w:tcBorders>
          </w:tcPr>
          <w:p>
            <w:pPr>
              <w:pStyle w:val="TableParagraph"/>
              <w:spacing w:before="4"/>
              <w:jc w:val="left"/>
              <w:rPr>
                <w:rFonts w:ascii="Times New Roman"/>
                <w:b/>
                <w:sz w:val="17"/>
              </w:rPr>
            </w:pPr>
          </w:p>
          <w:p>
            <w:pPr>
              <w:pStyle w:val="TableParagraph"/>
              <w:ind w:left="196" w:right="168"/>
              <w:rPr>
                <w:rFonts w:ascii="Times New Roman"/>
                <w:sz w:val="21"/>
              </w:rPr>
            </w:pPr>
            <w:r>
              <w:rPr>
                <w:rFonts w:ascii="Times New Roman"/>
                <w:sz w:val="21"/>
              </w:rPr>
              <w:t>0.01</w:t>
            </w:r>
          </w:p>
        </w:tc>
        <w:tc>
          <w:tcPr>
            <w:tcW w:w="1892" w:type="dxa"/>
            <w:tcBorders>
              <w:top w:val="single" w:sz="6" w:space="0" w:color="000000"/>
              <w:left w:val="single" w:sz="6" w:space="0" w:color="000000"/>
              <w:bottom w:val="single" w:sz="6" w:space="0" w:color="000000"/>
              <w:right w:val="single" w:sz="6" w:space="0" w:color="000000"/>
            </w:tcBorders>
          </w:tcPr>
          <w:p>
            <w:pPr>
              <w:pStyle w:val="TableParagraph"/>
              <w:spacing w:before="36"/>
              <w:ind w:left="300" w:right="276"/>
              <w:rPr>
                <w:rFonts w:ascii="Times New Roman"/>
                <w:sz w:val="21"/>
              </w:rPr>
            </w:pPr>
            <w:r>
              <w:rPr>
                <w:rFonts w:ascii="Times New Roman"/>
                <w:sz w:val="21"/>
              </w:rPr>
              <w:t>0.002-0.003</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36"/>
              <w:ind w:left="25"/>
              <w:rPr>
                <w:rFonts w:ascii="Times New Roman"/>
                <w:sz w:val="21"/>
              </w:rPr>
            </w:pPr>
            <w:r>
              <w:rPr>
                <w:rFonts w:ascii="Times New Roman"/>
                <w:w w:val="100"/>
                <w:sz w:val="21"/>
              </w:rPr>
              <w:t>0</w:t>
            </w:r>
          </w:p>
        </w:tc>
        <w:tc>
          <w:tcPr>
            <w:tcW w:w="749" w:type="dxa"/>
            <w:tcBorders>
              <w:top w:val="single" w:sz="6" w:space="0" w:color="000000"/>
              <w:left w:val="single" w:sz="6" w:space="0" w:color="000000"/>
              <w:bottom w:val="single" w:sz="6" w:space="0" w:color="000000"/>
            </w:tcBorders>
          </w:tcPr>
          <w:p>
            <w:pPr>
              <w:pStyle w:val="TableParagraph"/>
              <w:spacing w:line="286" w:lineRule="exact"/>
              <w:ind w:left="149" w:right="117"/>
              <w:rPr>
                <w:sz w:val="21"/>
              </w:rPr>
            </w:pPr>
            <w:r>
              <w:rPr>
                <w:sz w:val="21"/>
              </w:rPr>
              <w:t>达标</w:t>
            </w:r>
          </w:p>
        </w:tc>
      </w:tr>
      <w:tr>
        <w:trPr>
          <w:trHeight w:val="301" w:hRule="atLeast"/>
        </w:trPr>
        <w:tc>
          <w:tcPr>
            <w:tcW w:w="1368" w:type="dxa"/>
            <w:tcBorders>
              <w:top w:val="single" w:sz="6" w:space="0" w:color="000000"/>
              <w:right w:val="single" w:sz="6" w:space="0" w:color="000000"/>
            </w:tcBorders>
          </w:tcPr>
          <w:p>
            <w:pPr>
              <w:pStyle w:val="TableParagraph"/>
              <w:spacing w:line="281" w:lineRule="exact"/>
              <w:ind w:left="139" w:right="116"/>
              <w:rPr>
                <w:sz w:val="21"/>
              </w:rPr>
            </w:pPr>
            <w:r>
              <w:rPr>
                <w:rFonts w:ascii="Times New Roman" w:eastAsia="Times New Roman"/>
                <w:sz w:val="21"/>
              </w:rPr>
              <w:t>2#</w:t>
            </w:r>
            <w:r>
              <w:rPr>
                <w:sz w:val="21"/>
              </w:rPr>
              <w:t>后柴沟村</w:t>
            </w:r>
          </w:p>
        </w:tc>
        <w:tc>
          <w:tcPr>
            <w:tcW w:w="1069" w:type="dxa"/>
            <w:tcBorders>
              <w:top w:val="single" w:sz="6" w:space="0" w:color="000000"/>
              <w:left w:val="single" w:sz="6" w:space="0" w:color="000000"/>
              <w:right w:val="single" w:sz="6" w:space="0" w:color="000000"/>
            </w:tcBorders>
          </w:tcPr>
          <w:p>
            <w:pPr>
              <w:pStyle w:val="TableParagraph"/>
              <w:spacing w:before="26"/>
              <w:ind w:left="98" w:right="73"/>
              <w:rPr>
                <w:rFonts w:ascii="Times New Roman"/>
                <w:sz w:val="21"/>
              </w:rPr>
            </w:pPr>
            <w:r>
              <w:rPr>
                <w:rFonts w:ascii="Times New Roman"/>
                <w:sz w:val="21"/>
              </w:rPr>
              <w:t>1h</w:t>
            </w:r>
          </w:p>
        </w:tc>
        <w:tc>
          <w:tcPr>
            <w:tcW w:w="1347" w:type="dxa"/>
            <w:tcBorders>
              <w:top w:val="single" w:sz="6" w:space="0" w:color="000000"/>
              <w:left w:val="single" w:sz="6" w:space="0" w:color="000000"/>
              <w:right w:val="single" w:sz="6" w:space="0" w:color="000000"/>
            </w:tcBorders>
          </w:tcPr>
          <w:p>
            <w:pPr>
              <w:pStyle w:val="TableParagraph"/>
              <w:spacing w:before="26"/>
              <w:ind w:left="131" w:right="107"/>
              <w:rPr>
                <w:rFonts w:ascii="Times New Roman"/>
                <w:sz w:val="21"/>
              </w:rPr>
            </w:pPr>
            <w:r>
              <w:rPr>
                <w:rFonts w:ascii="Times New Roman"/>
                <w:sz w:val="21"/>
              </w:rPr>
              <w:t>28</w:t>
            </w:r>
          </w:p>
        </w:tc>
        <w:tc>
          <w:tcPr>
            <w:tcW w:w="1261" w:type="dxa"/>
            <w:vMerge/>
            <w:tcBorders>
              <w:top w:val="nil"/>
              <w:left w:val="single" w:sz="6" w:space="0" w:color="000000"/>
              <w:right w:val="single" w:sz="6" w:space="0" w:color="000000"/>
            </w:tcBorders>
          </w:tcPr>
          <w:p>
            <w:pPr>
              <w:rPr>
                <w:sz w:val="2"/>
                <w:szCs w:val="2"/>
              </w:rPr>
            </w:pPr>
          </w:p>
        </w:tc>
        <w:tc>
          <w:tcPr>
            <w:tcW w:w="1892" w:type="dxa"/>
            <w:tcBorders>
              <w:top w:val="single" w:sz="6" w:space="0" w:color="000000"/>
              <w:left w:val="single" w:sz="6" w:space="0" w:color="000000"/>
              <w:right w:val="single" w:sz="6" w:space="0" w:color="000000"/>
            </w:tcBorders>
          </w:tcPr>
          <w:p>
            <w:pPr>
              <w:pStyle w:val="TableParagraph"/>
              <w:spacing w:before="26"/>
              <w:ind w:left="300" w:right="276"/>
              <w:rPr>
                <w:rFonts w:ascii="Times New Roman"/>
                <w:sz w:val="21"/>
              </w:rPr>
            </w:pPr>
            <w:r>
              <w:rPr>
                <w:rFonts w:ascii="Times New Roman"/>
                <w:sz w:val="21"/>
              </w:rPr>
              <w:t>0.001</w:t>
            </w:r>
          </w:p>
        </w:tc>
        <w:tc>
          <w:tcPr>
            <w:tcW w:w="840" w:type="dxa"/>
            <w:tcBorders>
              <w:top w:val="single" w:sz="6" w:space="0" w:color="000000"/>
              <w:left w:val="single" w:sz="6" w:space="0" w:color="000000"/>
              <w:right w:val="single" w:sz="6" w:space="0" w:color="000000"/>
            </w:tcBorders>
          </w:tcPr>
          <w:p>
            <w:pPr>
              <w:pStyle w:val="TableParagraph"/>
              <w:spacing w:before="26"/>
              <w:ind w:left="25"/>
              <w:rPr>
                <w:rFonts w:ascii="Times New Roman"/>
                <w:sz w:val="21"/>
              </w:rPr>
            </w:pPr>
            <w:r>
              <w:rPr>
                <w:rFonts w:ascii="Times New Roman"/>
                <w:w w:val="100"/>
                <w:sz w:val="21"/>
              </w:rPr>
              <w:t>0</w:t>
            </w:r>
          </w:p>
        </w:tc>
        <w:tc>
          <w:tcPr>
            <w:tcW w:w="749" w:type="dxa"/>
            <w:tcBorders>
              <w:top w:val="single" w:sz="6" w:space="0" w:color="000000"/>
              <w:left w:val="single" w:sz="6" w:space="0" w:color="000000"/>
            </w:tcBorders>
          </w:tcPr>
          <w:p>
            <w:pPr>
              <w:pStyle w:val="TableParagraph"/>
              <w:spacing w:line="281" w:lineRule="exact"/>
              <w:ind w:left="149" w:right="117"/>
              <w:rPr>
                <w:sz w:val="21"/>
              </w:rPr>
            </w:pPr>
            <w:r>
              <w:rPr>
                <w:sz w:val="21"/>
              </w:rPr>
              <w:t>达标</w:t>
            </w:r>
          </w:p>
        </w:tc>
      </w:tr>
    </w:tbl>
    <w:p>
      <w:pPr>
        <w:pStyle w:val="BodyText"/>
        <w:spacing w:line="454" w:lineRule="exact"/>
        <w:ind w:left="1058"/>
      </w:pPr>
      <w:r>
        <w:rPr/>
        <w:t>（</w:t>
      </w:r>
      <w:r>
        <w:rPr>
          <w:rFonts w:ascii="Times New Roman" w:eastAsia="Times New Roman"/>
        </w:rPr>
        <w:t>4</w:t>
      </w:r>
      <w:r>
        <w:rPr/>
        <w:t>）氨浓度</w:t>
      </w:r>
    </w:p>
    <w:p>
      <w:pPr>
        <w:pStyle w:val="BodyText"/>
        <w:spacing w:line="220" w:lineRule="auto" w:before="8"/>
        <w:ind w:left="578" w:right="804" w:firstLine="479"/>
        <w:jc w:val="both"/>
      </w:pPr>
      <w:r>
        <w:rPr>
          <w:rFonts w:ascii="Times New Roman" w:eastAsia="Times New Roman"/>
        </w:rPr>
        <w:t>1#</w:t>
      </w:r>
      <w:r>
        <w:rPr>
          <w:spacing w:val="3"/>
        </w:rPr>
        <w:t>氨的 </w:t>
      </w:r>
      <w:r>
        <w:rPr>
          <w:rFonts w:ascii="Times New Roman" w:eastAsia="Times New Roman"/>
        </w:rPr>
        <w:t>1h  </w:t>
      </w:r>
      <w:r>
        <w:rPr>
          <w:spacing w:val="7"/>
        </w:rPr>
        <w:t>平均浓度为 </w:t>
      </w:r>
      <w:r>
        <w:rPr>
          <w:rFonts w:ascii="Times New Roman" w:eastAsia="Times New Roman"/>
        </w:rPr>
        <w:t>0.1-0.16mg/m</w:t>
      </w:r>
      <w:r>
        <w:rPr>
          <w:rFonts w:ascii="Times New Roman" w:eastAsia="Times New Roman"/>
          <w:position w:val="9"/>
          <w:sz w:val="16"/>
        </w:rPr>
        <w:t>3</w:t>
      </w:r>
      <w:r>
        <w:rPr>
          <w:spacing w:val="6"/>
        </w:rPr>
        <w:t>，超标率为 </w:t>
      </w:r>
      <w:r>
        <w:rPr>
          <w:rFonts w:ascii="Times New Roman" w:eastAsia="Times New Roman"/>
        </w:rPr>
        <w:t>0%</w:t>
      </w:r>
      <w:r>
        <w:rPr/>
        <w:t>；</w:t>
      </w:r>
      <w:r>
        <w:rPr>
          <w:rFonts w:ascii="Times New Roman" w:eastAsia="Times New Roman"/>
        </w:rPr>
        <w:t>2#</w:t>
      </w:r>
      <w:r>
        <w:rPr>
          <w:spacing w:val="4"/>
        </w:rPr>
        <w:t>氨的 </w:t>
      </w:r>
      <w:r>
        <w:rPr>
          <w:rFonts w:ascii="Times New Roman" w:eastAsia="Times New Roman"/>
        </w:rPr>
        <w:t>1h  </w:t>
      </w:r>
      <w:r>
        <w:rPr/>
        <w:t>平均浓度为 </w:t>
      </w:r>
      <w:r>
        <w:rPr>
          <w:rFonts w:ascii="Times New Roman" w:eastAsia="Times New Roman"/>
        </w:rPr>
        <w:t>0.12-0.18mg/m</w:t>
      </w:r>
      <w:r>
        <w:rPr>
          <w:rFonts w:ascii="Times New Roman" w:eastAsia="Times New Roman"/>
          <w:position w:val="9"/>
          <w:sz w:val="16"/>
        </w:rPr>
        <w:t>3</w:t>
      </w:r>
      <w:r>
        <w:rPr/>
        <w:t>，超标率为 </w:t>
      </w:r>
      <w:r>
        <w:rPr>
          <w:rFonts w:ascii="Times New Roman" w:eastAsia="Times New Roman"/>
          <w:spacing w:val="-4"/>
        </w:rPr>
        <w:t>0%</w:t>
      </w:r>
      <w:r>
        <w:rPr>
          <w:spacing w:val="-4"/>
        </w:rPr>
        <w:t>；</w:t>
      </w:r>
      <w:r>
        <w:rPr>
          <w:rFonts w:ascii="Times New Roman" w:eastAsia="Times New Roman"/>
          <w:spacing w:val="-4"/>
        </w:rPr>
        <w:t>1#</w:t>
      </w:r>
      <w:r>
        <w:rPr>
          <w:spacing w:val="-17"/>
        </w:rPr>
        <w:t>、</w:t>
      </w:r>
      <w:r>
        <w:rPr>
          <w:rFonts w:ascii="Times New Roman" w:eastAsia="Times New Roman"/>
        </w:rPr>
        <w:t>2#</w:t>
      </w:r>
      <w:r>
        <w:rPr/>
        <w:t>监测点监测期间的氨的 </w:t>
      </w:r>
      <w:r>
        <w:rPr>
          <w:rFonts w:ascii="Times New Roman" w:eastAsia="Times New Roman"/>
        </w:rPr>
        <w:t>1 </w:t>
      </w:r>
      <w:r>
        <w:rPr/>
        <w:t>小时浓度</w:t>
      </w:r>
      <w:r>
        <w:rPr>
          <w:spacing w:val="-6"/>
        </w:rPr>
        <w:t>均符合《环境影响评价技术导则 大气环境》</w:t>
      </w:r>
      <w:r>
        <w:rPr/>
        <w:t>（</w:t>
      </w:r>
      <w:r>
        <w:rPr>
          <w:rFonts w:ascii="Times New Roman" w:eastAsia="Times New Roman"/>
        </w:rPr>
        <w:t>HJ2.2-2018</w:t>
      </w:r>
      <w:r>
        <w:rPr/>
        <w:t>）</w:t>
      </w:r>
      <w:r>
        <w:rPr>
          <w:spacing w:val="4"/>
        </w:rPr>
        <w:t>附录 </w:t>
      </w:r>
      <w:r>
        <w:rPr>
          <w:rFonts w:ascii="Times New Roman" w:eastAsia="Times New Roman"/>
        </w:rPr>
        <w:t>D</w:t>
      </w:r>
      <w:r>
        <w:rPr>
          <w:rFonts w:ascii="Times New Roman" w:eastAsia="Times New Roman"/>
          <w:spacing w:val="59"/>
        </w:rPr>
        <w:t> </w:t>
      </w:r>
      <w:r>
        <w:rPr/>
        <w:t>浓度限值。</w:t>
      </w:r>
    </w:p>
    <w:p>
      <w:pPr>
        <w:spacing w:after="0" w:line="220" w:lineRule="auto"/>
        <w:jc w:val="both"/>
        <w:sectPr>
          <w:pgSz w:w="11910" w:h="16840"/>
          <w:pgMar w:header="877" w:footer="973" w:top="1340" w:bottom="1160" w:left="1220" w:right="1040"/>
        </w:sectPr>
      </w:pPr>
    </w:p>
    <w:p>
      <w:pPr>
        <w:pStyle w:val="BodyText"/>
        <w:spacing w:before="15"/>
        <w:rPr>
          <w:sz w:val="4"/>
        </w:rPr>
      </w:pPr>
    </w:p>
    <w:p>
      <w:pPr>
        <w:tabs>
          <w:tab w:pos="1006" w:val="left" w:leader="none"/>
          <w:tab w:pos="3536" w:val="left" w:leader="none"/>
        </w:tabs>
        <w:spacing w:line="429" w:lineRule="exact" w:before="0" w:after="24"/>
        <w:ind w:left="0" w:right="296" w:firstLine="0"/>
        <w:jc w:val="center"/>
        <w:rPr>
          <w:rFonts w:ascii="Times New Roman" w:eastAsia="Times New Roman"/>
          <w:b/>
          <w:sz w:val="14"/>
        </w:rPr>
      </w:pPr>
      <w:r>
        <w:rPr>
          <w:sz w:val="21"/>
        </w:rPr>
        <w:t>表</w:t>
      </w:r>
      <w:r>
        <w:rPr>
          <w:spacing w:val="9"/>
          <w:sz w:val="21"/>
        </w:rPr>
        <w:t> </w:t>
      </w:r>
      <w:r>
        <w:rPr>
          <w:rFonts w:ascii="Times New Roman" w:eastAsia="Times New Roman"/>
          <w:b/>
          <w:spacing w:val="-3"/>
          <w:sz w:val="21"/>
        </w:rPr>
        <w:t>5.4-11</w:t>
        <w:tab/>
      </w:r>
      <w:r>
        <w:rPr>
          <w:sz w:val="21"/>
        </w:rPr>
        <w:t>氨环境质量</w:t>
      </w:r>
      <w:r>
        <w:rPr>
          <w:spacing w:val="-3"/>
          <w:sz w:val="21"/>
        </w:rPr>
        <w:t>现</w:t>
      </w:r>
      <w:r>
        <w:rPr>
          <w:sz w:val="21"/>
        </w:rPr>
        <w:t>状监测结果</w:t>
        <w:tab/>
        <w:t>单位：</w:t>
      </w:r>
      <w:r>
        <w:rPr>
          <w:rFonts w:ascii="Times New Roman" w:eastAsia="Times New Roman"/>
          <w:b/>
          <w:sz w:val="21"/>
        </w:rPr>
        <w:t>mg/m</w:t>
      </w:r>
      <w:r>
        <w:rPr>
          <w:rFonts w:ascii="Times New Roman" w:eastAsia="Times New Roman"/>
          <w:b/>
          <w:position w:val="7"/>
          <w:sz w:val="14"/>
        </w:rPr>
        <w:t>3</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68"/>
        <w:gridCol w:w="1069"/>
        <w:gridCol w:w="1347"/>
        <w:gridCol w:w="1261"/>
        <w:gridCol w:w="1892"/>
        <w:gridCol w:w="840"/>
        <w:gridCol w:w="749"/>
      </w:tblGrid>
      <w:tr>
        <w:trPr>
          <w:trHeight w:val="623" w:hRule="atLeast"/>
        </w:trPr>
        <w:tc>
          <w:tcPr>
            <w:tcW w:w="1368" w:type="dxa"/>
            <w:tcBorders>
              <w:bottom w:val="single" w:sz="6" w:space="0" w:color="000000"/>
              <w:right w:val="single" w:sz="6" w:space="0" w:color="000000"/>
            </w:tcBorders>
          </w:tcPr>
          <w:p>
            <w:pPr>
              <w:pStyle w:val="TableParagraph"/>
              <w:spacing w:before="77"/>
              <w:ind w:left="139" w:right="116"/>
              <w:rPr>
                <w:sz w:val="21"/>
              </w:rPr>
            </w:pPr>
            <w:r>
              <w:rPr>
                <w:sz w:val="21"/>
              </w:rPr>
              <w:t>监测点位</w:t>
            </w:r>
          </w:p>
        </w:tc>
        <w:tc>
          <w:tcPr>
            <w:tcW w:w="1069" w:type="dxa"/>
            <w:tcBorders>
              <w:left w:val="single" w:sz="6" w:space="0" w:color="000000"/>
              <w:bottom w:val="single" w:sz="6" w:space="0" w:color="000000"/>
              <w:right w:val="single" w:sz="6" w:space="0" w:color="000000"/>
            </w:tcBorders>
          </w:tcPr>
          <w:p>
            <w:pPr>
              <w:pStyle w:val="TableParagraph"/>
              <w:spacing w:before="77"/>
              <w:ind w:left="100" w:right="73"/>
              <w:rPr>
                <w:sz w:val="21"/>
              </w:rPr>
            </w:pPr>
            <w:r>
              <w:rPr>
                <w:sz w:val="21"/>
              </w:rPr>
              <w:t>平均时间</w:t>
            </w:r>
          </w:p>
        </w:tc>
        <w:tc>
          <w:tcPr>
            <w:tcW w:w="1347" w:type="dxa"/>
            <w:tcBorders>
              <w:left w:val="single" w:sz="6" w:space="0" w:color="000000"/>
              <w:bottom w:val="single" w:sz="6" w:space="0" w:color="000000"/>
              <w:right w:val="single" w:sz="6" w:space="0" w:color="000000"/>
            </w:tcBorders>
          </w:tcPr>
          <w:p>
            <w:pPr>
              <w:pStyle w:val="TableParagraph"/>
              <w:spacing w:before="77"/>
              <w:ind w:left="134" w:right="107"/>
              <w:rPr>
                <w:sz w:val="21"/>
              </w:rPr>
            </w:pPr>
            <w:r>
              <w:rPr>
                <w:sz w:val="21"/>
              </w:rPr>
              <w:t>有效样品数</w:t>
            </w:r>
          </w:p>
        </w:tc>
        <w:tc>
          <w:tcPr>
            <w:tcW w:w="1261" w:type="dxa"/>
            <w:tcBorders>
              <w:left w:val="single" w:sz="6" w:space="0" w:color="000000"/>
              <w:bottom w:val="single" w:sz="6" w:space="0" w:color="000000"/>
              <w:right w:val="single" w:sz="6" w:space="0" w:color="000000"/>
            </w:tcBorders>
          </w:tcPr>
          <w:p>
            <w:pPr>
              <w:pStyle w:val="TableParagraph"/>
              <w:spacing w:line="300" w:lineRule="exact"/>
              <w:ind w:left="214"/>
              <w:jc w:val="left"/>
              <w:rPr>
                <w:sz w:val="21"/>
              </w:rPr>
            </w:pPr>
            <w:r>
              <w:rPr>
                <w:sz w:val="21"/>
              </w:rPr>
              <w:t>评价标准</w:t>
            </w:r>
          </w:p>
          <w:p>
            <w:pPr>
              <w:pStyle w:val="TableParagraph"/>
              <w:spacing w:line="303" w:lineRule="exact"/>
              <w:ind w:left="145"/>
              <w:jc w:val="left"/>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892" w:type="dxa"/>
            <w:tcBorders>
              <w:left w:val="single" w:sz="6" w:space="0" w:color="000000"/>
              <w:bottom w:val="single" w:sz="6" w:space="0" w:color="000000"/>
              <w:right w:val="single" w:sz="6" w:space="0" w:color="000000"/>
            </w:tcBorders>
          </w:tcPr>
          <w:p>
            <w:pPr>
              <w:pStyle w:val="TableParagraph"/>
              <w:spacing w:line="300" w:lineRule="exact"/>
              <w:ind w:left="300" w:right="276"/>
              <w:rPr>
                <w:sz w:val="21"/>
              </w:rPr>
            </w:pPr>
            <w:r>
              <w:rPr>
                <w:sz w:val="21"/>
              </w:rPr>
              <w:t>监测浓度范围</w:t>
            </w:r>
          </w:p>
          <w:p>
            <w:pPr>
              <w:pStyle w:val="TableParagraph"/>
              <w:spacing w:line="303" w:lineRule="exact"/>
              <w:ind w:left="295" w:right="276"/>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840" w:type="dxa"/>
            <w:tcBorders>
              <w:left w:val="single" w:sz="6" w:space="0" w:color="000000"/>
              <w:bottom w:val="single" w:sz="6" w:space="0" w:color="000000"/>
              <w:right w:val="single" w:sz="6" w:space="0" w:color="000000"/>
            </w:tcBorders>
          </w:tcPr>
          <w:p>
            <w:pPr>
              <w:pStyle w:val="TableParagraph"/>
              <w:spacing w:line="300" w:lineRule="exact"/>
              <w:ind w:left="168" w:right="143"/>
              <w:rPr>
                <w:sz w:val="21"/>
              </w:rPr>
            </w:pPr>
            <w:r>
              <w:rPr>
                <w:sz w:val="21"/>
              </w:rPr>
              <w:t>超标</w:t>
            </w:r>
          </w:p>
          <w:p>
            <w:pPr>
              <w:pStyle w:val="TableParagraph"/>
              <w:spacing w:line="303" w:lineRule="exact"/>
              <w:ind w:left="25"/>
              <w:rPr>
                <w:sz w:val="21"/>
              </w:rPr>
            </w:pPr>
            <w:r>
              <w:rPr>
                <w:w w:val="100"/>
                <w:sz w:val="21"/>
              </w:rPr>
              <w:t>率</w:t>
            </w:r>
          </w:p>
        </w:tc>
        <w:tc>
          <w:tcPr>
            <w:tcW w:w="749" w:type="dxa"/>
            <w:tcBorders>
              <w:left w:val="single" w:sz="6" w:space="0" w:color="000000"/>
              <w:bottom w:val="single" w:sz="6" w:space="0" w:color="000000"/>
            </w:tcBorders>
          </w:tcPr>
          <w:p>
            <w:pPr>
              <w:pStyle w:val="TableParagraph"/>
              <w:spacing w:line="300" w:lineRule="exact"/>
              <w:ind w:left="168"/>
              <w:jc w:val="left"/>
              <w:rPr>
                <w:sz w:val="21"/>
              </w:rPr>
            </w:pPr>
            <w:r>
              <w:rPr>
                <w:sz w:val="21"/>
              </w:rPr>
              <w:t>达标</w:t>
            </w:r>
          </w:p>
          <w:p>
            <w:pPr>
              <w:pStyle w:val="TableParagraph"/>
              <w:spacing w:line="303" w:lineRule="exact"/>
              <w:ind w:left="168"/>
              <w:jc w:val="left"/>
              <w:rPr>
                <w:sz w:val="21"/>
              </w:rPr>
            </w:pPr>
            <w:r>
              <w:rPr>
                <w:sz w:val="21"/>
              </w:rPr>
              <w:t>情况</w:t>
            </w:r>
          </w:p>
        </w:tc>
      </w:tr>
      <w:tr>
        <w:trPr>
          <w:trHeight w:val="306" w:hRule="atLeast"/>
        </w:trPr>
        <w:tc>
          <w:tcPr>
            <w:tcW w:w="1368" w:type="dxa"/>
            <w:tcBorders>
              <w:top w:val="single" w:sz="6" w:space="0" w:color="000000"/>
              <w:bottom w:val="single" w:sz="6" w:space="0" w:color="000000"/>
              <w:right w:val="single" w:sz="6" w:space="0" w:color="000000"/>
            </w:tcBorders>
          </w:tcPr>
          <w:p>
            <w:pPr>
              <w:pStyle w:val="TableParagraph"/>
              <w:spacing w:line="286" w:lineRule="exact"/>
              <w:ind w:left="139" w:right="116"/>
              <w:rPr>
                <w:sz w:val="21"/>
              </w:rPr>
            </w:pPr>
            <w:r>
              <w:rPr>
                <w:rFonts w:ascii="Times New Roman" w:eastAsia="Times New Roman"/>
                <w:sz w:val="21"/>
              </w:rPr>
              <w:t>1#</w:t>
            </w:r>
            <w:r>
              <w:rPr>
                <w:sz w:val="21"/>
              </w:rPr>
              <w:t>厂址处</w:t>
            </w:r>
          </w:p>
        </w:tc>
        <w:tc>
          <w:tcPr>
            <w:tcW w:w="1069" w:type="dxa"/>
            <w:tcBorders>
              <w:top w:val="single" w:sz="6" w:space="0" w:color="000000"/>
              <w:left w:val="single" w:sz="6" w:space="0" w:color="000000"/>
              <w:bottom w:val="single" w:sz="6" w:space="0" w:color="000000"/>
              <w:right w:val="single" w:sz="6" w:space="0" w:color="000000"/>
            </w:tcBorders>
          </w:tcPr>
          <w:p>
            <w:pPr>
              <w:pStyle w:val="TableParagraph"/>
              <w:spacing w:before="36"/>
              <w:ind w:left="98" w:right="73"/>
              <w:rPr>
                <w:rFonts w:ascii="Times New Roman"/>
                <w:sz w:val="21"/>
              </w:rPr>
            </w:pPr>
            <w:r>
              <w:rPr>
                <w:rFonts w:ascii="Times New Roman"/>
                <w:sz w:val="21"/>
              </w:rPr>
              <w:t>1h</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36"/>
              <w:ind w:left="131" w:right="107"/>
              <w:rPr>
                <w:rFonts w:ascii="Times New Roman"/>
                <w:sz w:val="21"/>
              </w:rPr>
            </w:pPr>
            <w:r>
              <w:rPr>
                <w:rFonts w:ascii="Times New Roman"/>
                <w:sz w:val="21"/>
              </w:rPr>
              <w:t>28</w:t>
            </w:r>
          </w:p>
        </w:tc>
        <w:tc>
          <w:tcPr>
            <w:tcW w:w="1261" w:type="dxa"/>
            <w:vMerge w:val="restart"/>
            <w:tcBorders>
              <w:top w:val="single" w:sz="6" w:space="0" w:color="000000"/>
              <w:left w:val="single" w:sz="6" w:space="0" w:color="000000"/>
              <w:right w:val="single" w:sz="6" w:space="0" w:color="000000"/>
            </w:tcBorders>
          </w:tcPr>
          <w:p>
            <w:pPr>
              <w:pStyle w:val="TableParagraph"/>
              <w:spacing w:before="4"/>
              <w:jc w:val="left"/>
              <w:rPr>
                <w:rFonts w:ascii="Times New Roman"/>
                <w:b/>
                <w:sz w:val="17"/>
              </w:rPr>
            </w:pPr>
          </w:p>
          <w:p>
            <w:pPr>
              <w:pStyle w:val="TableParagraph"/>
              <w:ind w:left="196" w:right="168"/>
              <w:rPr>
                <w:rFonts w:ascii="Times New Roman"/>
                <w:sz w:val="21"/>
              </w:rPr>
            </w:pPr>
            <w:r>
              <w:rPr>
                <w:rFonts w:ascii="Times New Roman"/>
                <w:sz w:val="21"/>
              </w:rPr>
              <w:t>0.2</w:t>
            </w:r>
          </w:p>
        </w:tc>
        <w:tc>
          <w:tcPr>
            <w:tcW w:w="1892" w:type="dxa"/>
            <w:tcBorders>
              <w:top w:val="single" w:sz="6" w:space="0" w:color="000000"/>
              <w:left w:val="single" w:sz="6" w:space="0" w:color="000000"/>
              <w:bottom w:val="single" w:sz="6" w:space="0" w:color="000000"/>
              <w:right w:val="single" w:sz="6" w:space="0" w:color="000000"/>
            </w:tcBorders>
          </w:tcPr>
          <w:p>
            <w:pPr>
              <w:pStyle w:val="TableParagraph"/>
              <w:spacing w:before="36"/>
              <w:ind w:left="295" w:right="276"/>
              <w:rPr>
                <w:rFonts w:ascii="Times New Roman"/>
                <w:sz w:val="21"/>
              </w:rPr>
            </w:pPr>
            <w:r>
              <w:rPr>
                <w:rFonts w:ascii="Times New Roman"/>
                <w:sz w:val="21"/>
              </w:rPr>
              <w:t>0.1-0.16</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36"/>
              <w:ind w:left="25"/>
              <w:rPr>
                <w:rFonts w:ascii="Times New Roman"/>
                <w:sz w:val="21"/>
              </w:rPr>
            </w:pPr>
            <w:r>
              <w:rPr>
                <w:rFonts w:ascii="Times New Roman"/>
                <w:w w:val="100"/>
                <w:sz w:val="21"/>
              </w:rPr>
              <w:t>0</w:t>
            </w:r>
          </w:p>
        </w:tc>
        <w:tc>
          <w:tcPr>
            <w:tcW w:w="749" w:type="dxa"/>
            <w:tcBorders>
              <w:top w:val="single" w:sz="6" w:space="0" w:color="000000"/>
              <w:left w:val="single" w:sz="6" w:space="0" w:color="000000"/>
              <w:bottom w:val="single" w:sz="6" w:space="0" w:color="000000"/>
            </w:tcBorders>
          </w:tcPr>
          <w:p>
            <w:pPr>
              <w:pStyle w:val="TableParagraph"/>
              <w:spacing w:line="286" w:lineRule="exact"/>
              <w:ind w:left="149" w:right="117"/>
              <w:rPr>
                <w:sz w:val="21"/>
              </w:rPr>
            </w:pPr>
            <w:r>
              <w:rPr>
                <w:sz w:val="21"/>
              </w:rPr>
              <w:t>达标</w:t>
            </w:r>
          </w:p>
        </w:tc>
      </w:tr>
      <w:tr>
        <w:trPr>
          <w:trHeight w:val="301" w:hRule="atLeast"/>
        </w:trPr>
        <w:tc>
          <w:tcPr>
            <w:tcW w:w="1368" w:type="dxa"/>
            <w:tcBorders>
              <w:top w:val="single" w:sz="6" w:space="0" w:color="000000"/>
              <w:right w:val="single" w:sz="6" w:space="0" w:color="000000"/>
            </w:tcBorders>
          </w:tcPr>
          <w:p>
            <w:pPr>
              <w:pStyle w:val="TableParagraph"/>
              <w:spacing w:line="281" w:lineRule="exact"/>
              <w:ind w:left="139" w:right="116"/>
              <w:rPr>
                <w:sz w:val="21"/>
              </w:rPr>
            </w:pPr>
            <w:r>
              <w:rPr>
                <w:rFonts w:ascii="Times New Roman" w:eastAsia="Times New Roman"/>
                <w:sz w:val="21"/>
              </w:rPr>
              <w:t>2#</w:t>
            </w:r>
            <w:r>
              <w:rPr>
                <w:sz w:val="21"/>
              </w:rPr>
              <w:t>后柴沟村</w:t>
            </w:r>
          </w:p>
        </w:tc>
        <w:tc>
          <w:tcPr>
            <w:tcW w:w="1069" w:type="dxa"/>
            <w:tcBorders>
              <w:top w:val="single" w:sz="6" w:space="0" w:color="000000"/>
              <w:left w:val="single" w:sz="6" w:space="0" w:color="000000"/>
              <w:right w:val="single" w:sz="6" w:space="0" w:color="000000"/>
            </w:tcBorders>
          </w:tcPr>
          <w:p>
            <w:pPr>
              <w:pStyle w:val="TableParagraph"/>
              <w:spacing w:before="26"/>
              <w:ind w:left="98" w:right="73"/>
              <w:rPr>
                <w:rFonts w:ascii="Times New Roman"/>
                <w:sz w:val="21"/>
              </w:rPr>
            </w:pPr>
            <w:r>
              <w:rPr>
                <w:rFonts w:ascii="Times New Roman"/>
                <w:sz w:val="21"/>
              </w:rPr>
              <w:t>1h</w:t>
            </w:r>
          </w:p>
        </w:tc>
        <w:tc>
          <w:tcPr>
            <w:tcW w:w="1347" w:type="dxa"/>
            <w:tcBorders>
              <w:top w:val="single" w:sz="6" w:space="0" w:color="000000"/>
              <w:left w:val="single" w:sz="6" w:space="0" w:color="000000"/>
              <w:right w:val="single" w:sz="6" w:space="0" w:color="000000"/>
            </w:tcBorders>
          </w:tcPr>
          <w:p>
            <w:pPr>
              <w:pStyle w:val="TableParagraph"/>
              <w:spacing w:before="26"/>
              <w:ind w:left="131" w:right="107"/>
              <w:rPr>
                <w:rFonts w:ascii="Times New Roman"/>
                <w:sz w:val="21"/>
              </w:rPr>
            </w:pPr>
            <w:r>
              <w:rPr>
                <w:rFonts w:ascii="Times New Roman"/>
                <w:sz w:val="21"/>
              </w:rPr>
              <w:t>28</w:t>
            </w:r>
          </w:p>
        </w:tc>
        <w:tc>
          <w:tcPr>
            <w:tcW w:w="1261" w:type="dxa"/>
            <w:vMerge/>
            <w:tcBorders>
              <w:top w:val="nil"/>
              <w:left w:val="single" w:sz="6" w:space="0" w:color="000000"/>
              <w:right w:val="single" w:sz="6" w:space="0" w:color="000000"/>
            </w:tcBorders>
          </w:tcPr>
          <w:p>
            <w:pPr>
              <w:rPr>
                <w:sz w:val="2"/>
                <w:szCs w:val="2"/>
              </w:rPr>
            </w:pPr>
          </w:p>
        </w:tc>
        <w:tc>
          <w:tcPr>
            <w:tcW w:w="1892" w:type="dxa"/>
            <w:tcBorders>
              <w:top w:val="single" w:sz="6" w:space="0" w:color="000000"/>
              <w:left w:val="single" w:sz="6" w:space="0" w:color="000000"/>
              <w:right w:val="single" w:sz="6" w:space="0" w:color="000000"/>
            </w:tcBorders>
          </w:tcPr>
          <w:p>
            <w:pPr>
              <w:pStyle w:val="TableParagraph"/>
              <w:spacing w:before="26"/>
              <w:ind w:left="300" w:right="276"/>
              <w:rPr>
                <w:rFonts w:ascii="Times New Roman"/>
                <w:sz w:val="21"/>
              </w:rPr>
            </w:pPr>
            <w:r>
              <w:rPr>
                <w:rFonts w:ascii="Times New Roman"/>
                <w:sz w:val="21"/>
              </w:rPr>
              <w:t>0.12-0.18</w:t>
            </w:r>
          </w:p>
        </w:tc>
        <w:tc>
          <w:tcPr>
            <w:tcW w:w="840" w:type="dxa"/>
            <w:tcBorders>
              <w:top w:val="single" w:sz="6" w:space="0" w:color="000000"/>
              <w:left w:val="single" w:sz="6" w:space="0" w:color="000000"/>
              <w:right w:val="single" w:sz="6" w:space="0" w:color="000000"/>
            </w:tcBorders>
          </w:tcPr>
          <w:p>
            <w:pPr>
              <w:pStyle w:val="TableParagraph"/>
              <w:spacing w:before="26"/>
              <w:ind w:left="25"/>
              <w:rPr>
                <w:rFonts w:ascii="Times New Roman"/>
                <w:sz w:val="21"/>
              </w:rPr>
            </w:pPr>
            <w:r>
              <w:rPr>
                <w:rFonts w:ascii="Times New Roman"/>
                <w:w w:val="100"/>
                <w:sz w:val="21"/>
              </w:rPr>
              <w:t>0</w:t>
            </w:r>
          </w:p>
        </w:tc>
        <w:tc>
          <w:tcPr>
            <w:tcW w:w="749" w:type="dxa"/>
            <w:tcBorders>
              <w:top w:val="single" w:sz="6" w:space="0" w:color="000000"/>
              <w:left w:val="single" w:sz="6" w:space="0" w:color="000000"/>
            </w:tcBorders>
          </w:tcPr>
          <w:p>
            <w:pPr>
              <w:pStyle w:val="TableParagraph"/>
              <w:spacing w:line="281" w:lineRule="exact"/>
              <w:ind w:left="149" w:right="117"/>
              <w:rPr>
                <w:sz w:val="21"/>
              </w:rPr>
            </w:pPr>
            <w:r>
              <w:rPr>
                <w:sz w:val="21"/>
              </w:rPr>
              <w:t>达标</w:t>
            </w:r>
          </w:p>
        </w:tc>
      </w:tr>
    </w:tbl>
    <w:p>
      <w:pPr>
        <w:pStyle w:val="BodyText"/>
        <w:spacing w:line="454" w:lineRule="exact"/>
        <w:ind w:left="1058"/>
      </w:pPr>
      <w:r>
        <w:rPr/>
        <w:t>（</w:t>
      </w:r>
      <w:r>
        <w:rPr>
          <w:rFonts w:ascii="Times New Roman" w:eastAsia="Times New Roman"/>
        </w:rPr>
        <w:t>5</w:t>
      </w:r>
      <w:r>
        <w:rPr/>
        <w:t>）硫酸雾浓度</w:t>
      </w:r>
    </w:p>
    <w:p>
      <w:pPr>
        <w:pStyle w:val="BodyText"/>
        <w:spacing w:line="468" w:lineRule="exact"/>
        <w:ind w:left="1058"/>
        <w:rPr>
          <w:rFonts w:ascii="Times New Roman" w:hAnsi="Times New Roman" w:eastAsia="Times New Roman"/>
        </w:rPr>
      </w:pPr>
      <w:r>
        <w:rPr>
          <w:rFonts w:ascii="Times New Roman" w:hAnsi="Times New Roman" w:eastAsia="Times New Roman"/>
        </w:rPr>
        <w:t>1#</w:t>
      </w:r>
      <w:r>
        <w:rPr>
          <w:spacing w:val="2"/>
        </w:rPr>
        <w:t>硫酸雾的  </w:t>
      </w:r>
      <w:r>
        <w:rPr>
          <w:rFonts w:ascii="Times New Roman" w:hAnsi="Times New Roman" w:eastAsia="Times New Roman"/>
        </w:rPr>
        <w:t>1h</w:t>
      </w:r>
      <w:r>
        <w:rPr>
          <w:rFonts w:ascii="Times New Roman" w:hAnsi="Times New Roman" w:eastAsia="Times New Roman"/>
          <w:spacing w:val="2"/>
        </w:rPr>
        <w:t>  </w:t>
      </w:r>
      <w:r>
        <w:rPr>
          <w:spacing w:val="1"/>
        </w:rPr>
        <w:t>平均浓度为 </w:t>
      </w:r>
      <w:r>
        <w:rPr>
          <w:rFonts w:ascii="Times New Roman" w:hAnsi="Times New Roman" w:eastAsia="Times New Roman"/>
          <w:spacing w:val="-3"/>
        </w:rPr>
        <w:t>0.07-0.28µg/m</w:t>
      </w:r>
      <w:r>
        <w:rPr>
          <w:rFonts w:ascii="Times New Roman" w:hAnsi="Times New Roman" w:eastAsia="Times New Roman"/>
          <w:spacing w:val="-34"/>
        </w:rPr>
        <w:t> </w:t>
      </w:r>
      <w:r>
        <w:rPr>
          <w:rFonts w:ascii="Times New Roman" w:hAnsi="Times New Roman" w:eastAsia="Times New Roman"/>
          <w:spacing w:val="-30"/>
          <w:position w:val="9"/>
          <w:sz w:val="16"/>
        </w:rPr>
        <w:t>3</w:t>
      </w:r>
      <w:r>
        <w:rPr>
          <w:spacing w:val="-5"/>
        </w:rPr>
        <w:t>，超标率为 </w:t>
      </w:r>
      <w:r>
        <w:rPr>
          <w:rFonts w:ascii="Times New Roman" w:hAnsi="Times New Roman" w:eastAsia="Times New Roman"/>
          <w:spacing w:val="-13"/>
        </w:rPr>
        <w:t>0%</w:t>
      </w:r>
      <w:r>
        <w:rPr>
          <w:spacing w:val="-13"/>
        </w:rPr>
        <w:t>；</w:t>
      </w:r>
      <w:r>
        <w:rPr>
          <w:rFonts w:ascii="Times New Roman" w:hAnsi="Times New Roman" w:eastAsia="Times New Roman"/>
          <w:spacing w:val="-13"/>
        </w:rPr>
        <w:t>2#</w:t>
      </w:r>
      <w:r>
        <w:rPr>
          <w:spacing w:val="2"/>
        </w:rPr>
        <w:t>硫酸雾的  </w:t>
      </w:r>
      <w:r>
        <w:rPr>
          <w:rFonts w:ascii="Times New Roman" w:hAnsi="Times New Roman" w:eastAsia="Times New Roman"/>
        </w:rPr>
        <w:t>1h</w:t>
      </w:r>
    </w:p>
    <w:p>
      <w:pPr>
        <w:pStyle w:val="BodyText"/>
        <w:spacing w:line="468" w:lineRule="exact"/>
        <w:ind w:left="578"/>
      </w:pPr>
      <w:r>
        <w:rPr>
          <w:spacing w:val="-1"/>
        </w:rPr>
        <w:t>平均浓度为 </w:t>
      </w:r>
      <w:r>
        <w:rPr>
          <w:rFonts w:ascii="Times New Roman" w:hAnsi="Times New Roman" w:eastAsia="Times New Roman"/>
        </w:rPr>
        <w:t>0.08-0.18µg/m</w:t>
      </w:r>
      <w:r>
        <w:rPr>
          <w:rFonts w:ascii="Times New Roman" w:hAnsi="Times New Roman" w:eastAsia="Times New Roman"/>
          <w:spacing w:val="-40"/>
        </w:rPr>
        <w:t> </w:t>
      </w:r>
      <w:r>
        <w:rPr>
          <w:rFonts w:ascii="Times New Roman" w:hAnsi="Times New Roman" w:eastAsia="Times New Roman"/>
          <w:position w:val="9"/>
          <w:sz w:val="16"/>
        </w:rPr>
        <w:t>3</w:t>
      </w:r>
      <w:r>
        <w:rPr>
          <w:spacing w:val="-1"/>
        </w:rPr>
        <w:t>，超标率为 </w:t>
      </w:r>
      <w:r>
        <w:rPr>
          <w:rFonts w:ascii="Times New Roman" w:hAnsi="Times New Roman" w:eastAsia="Times New Roman"/>
        </w:rPr>
        <w:t>0%</w:t>
      </w:r>
      <w:r>
        <w:rPr/>
        <w:t>；</w:t>
      </w:r>
      <w:r>
        <w:rPr>
          <w:rFonts w:ascii="Times New Roman" w:hAnsi="Times New Roman" w:eastAsia="Times New Roman"/>
        </w:rPr>
        <w:t>1#</w:t>
      </w:r>
      <w:r>
        <w:rPr/>
        <w:t>、</w:t>
      </w:r>
      <w:r>
        <w:rPr>
          <w:rFonts w:ascii="Times New Roman" w:hAnsi="Times New Roman" w:eastAsia="Times New Roman"/>
        </w:rPr>
        <w:t>2#</w:t>
      </w:r>
      <w:r>
        <w:rPr/>
        <w:t>监测点监测期间的硫酸雾的</w:t>
      </w:r>
    </w:p>
    <w:p>
      <w:pPr>
        <w:pStyle w:val="BodyText"/>
        <w:spacing w:line="220" w:lineRule="auto" w:before="8"/>
        <w:ind w:left="578" w:right="876"/>
      </w:pPr>
      <w:r>
        <w:rPr>
          <w:rFonts w:ascii="Times New Roman" w:eastAsia="Times New Roman"/>
        </w:rPr>
        <w:t>1 </w:t>
      </w:r>
      <w:r>
        <w:rPr>
          <w:spacing w:val="-8"/>
        </w:rPr>
        <w:t>小时浓度均符合《环境影响评价技术导则 大气环境</w:t>
      </w:r>
      <w:r>
        <w:rPr>
          <w:spacing w:val="-204"/>
        </w:rPr>
        <w:t>》</w:t>
      </w:r>
      <w:r>
        <w:rPr>
          <w:spacing w:val="-7"/>
        </w:rPr>
        <w:t>（</w:t>
      </w:r>
      <w:r>
        <w:rPr>
          <w:rFonts w:ascii="Times New Roman" w:eastAsia="Times New Roman"/>
          <w:spacing w:val="-7"/>
        </w:rPr>
        <w:t>HJ2.2-2018</w:t>
      </w:r>
      <w:r>
        <w:rPr>
          <w:spacing w:val="-7"/>
        </w:rPr>
        <w:t>）</w:t>
      </w:r>
      <w:r>
        <w:rPr>
          <w:spacing w:val="4"/>
        </w:rPr>
        <w:t>附录 </w:t>
      </w:r>
      <w:r>
        <w:rPr>
          <w:rFonts w:ascii="Times New Roman" w:eastAsia="Times New Roman"/>
        </w:rPr>
        <w:t>D</w:t>
      </w:r>
      <w:r>
        <w:rPr>
          <w:rFonts w:ascii="Times New Roman" w:eastAsia="Times New Roman"/>
          <w:spacing w:val="59"/>
        </w:rPr>
        <w:t> </w:t>
      </w:r>
      <w:r>
        <w:rPr/>
        <w:t>浓度限值。</w:t>
      </w:r>
    </w:p>
    <w:p>
      <w:pPr>
        <w:tabs>
          <w:tab w:pos="3372" w:val="left" w:leader="none"/>
          <w:tab w:pos="6324" w:val="left" w:leader="none"/>
        </w:tabs>
        <w:spacing w:before="162" w:after="25"/>
        <w:ind w:left="1828" w:right="0" w:firstLine="0"/>
        <w:jc w:val="left"/>
        <w:rPr>
          <w:rFonts w:ascii="Times New Roman" w:eastAsia="Times New Roman"/>
          <w:sz w:val="14"/>
        </w:rPr>
      </w:pPr>
      <w:r>
        <w:rPr>
          <w:sz w:val="21"/>
        </w:rPr>
        <w:t>表</w:t>
      </w:r>
      <w:r>
        <w:rPr>
          <w:spacing w:val="7"/>
          <w:sz w:val="21"/>
        </w:rPr>
        <w:t> </w:t>
      </w:r>
      <w:r>
        <w:rPr>
          <w:rFonts w:ascii="Times New Roman" w:eastAsia="Times New Roman"/>
          <w:b/>
          <w:sz w:val="21"/>
        </w:rPr>
        <w:t>5.4-12</w:t>
      </w:r>
      <w:r>
        <w:rPr>
          <w:sz w:val="21"/>
        </w:rPr>
        <w:t>（</w:t>
      </w:r>
      <w:r>
        <w:rPr>
          <w:rFonts w:ascii="Times New Roman" w:eastAsia="Times New Roman"/>
          <w:b/>
          <w:sz w:val="21"/>
        </w:rPr>
        <w:t>a</w:t>
      </w:r>
      <w:r>
        <w:rPr>
          <w:sz w:val="21"/>
        </w:rPr>
        <w:t>）</w:t>
        <w:tab/>
        <w:t>硫酸雾环境质量现状监测结果</w:t>
        <w:tab/>
        <w:t>单位：</w:t>
      </w:r>
      <w:r>
        <w:rPr>
          <w:rFonts w:ascii="Times New Roman" w:eastAsia="Times New Roman"/>
          <w:sz w:val="21"/>
        </w:rPr>
        <w:t>mg/m</w:t>
      </w:r>
      <w:r>
        <w:rPr>
          <w:rFonts w:ascii="Times New Roman" w:eastAsia="Times New Roman"/>
          <w:position w:val="7"/>
          <w:sz w:val="14"/>
        </w:rPr>
        <w:t>3</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68"/>
        <w:gridCol w:w="1069"/>
        <w:gridCol w:w="1347"/>
        <w:gridCol w:w="1261"/>
        <w:gridCol w:w="1892"/>
        <w:gridCol w:w="840"/>
        <w:gridCol w:w="749"/>
      </w:tblGrid>
      <w:tr>
        <w:trPr>
          <w:trHeight w:val="625" w:hRule="atLeast"/>
        </w:trPr>
        <w:tc>
          <w:tcPr>
            <w:tcW w:w="1368" w:type="dxa"/>
            <w:tcBorders>
              <w:bottom w:val="single" w:sz="6" w:space="0" w:color="000000"/>
              <w:right w:val="single" w:sz="6" w:space="0" w:color="000000"/>
            </w:tcBorders>
          </w:tcPr>
          <w:p>
            <w:pPr>
              <w:pStyle w:val="TableParagraph"/>
              <w:spacing w:before="80"/>
              <w:ind w:left="139" w:right="116"/>
              <w:rPr>
                <w:sz w:val="21"/>
              </w:rPr>
            </w:pPr>
            <w:r>
              <w:rPr>
                <w:sz w:val="21"/>
              </w:rPr>
              <w:t>监测点位</w:t>
            </w:r>
          </w:p>
        </w:tc>
        <w:tc>
          <w:tcPr>
            <w:tcW w:w="1069" w:type="dxa"/>
            <w:tcBorders>
              <w:left w:val="single" w:sz="6" w:space="0" w:color="000000"/>
              <w:bottom w:val="single" w:sz="6" w:space="0" w:color="000000"/>
              <w:right w:val="single" w:sz="6" w:space="0" w:color="000000"/>
            </w:tcBorders>
          </w:tcPr>
          <w:p>
            <w:pPr>
              <w:pStyle w:val="TableParagraph"/>
              <w:spacing w:before="80"/>
              <w:ind w:left="100" w:right="73"/>
              <w:rPr>
                <w:sz w:val="21"/>
              </w:rPr>
            </w:pPr>
            <w:r>
              <w:rPr>
                <w:sz w:val="21"/>
              </w:rPr>
              <w:t>平均时间</w:t>
            </w:r>
          </w:p>
        </w:tc>
        <w:tc>
          <w:tcPr>
            <w:tcW w:w="1347" w:type="dxa"/>
            <w:tcBorders>
              <w:left w:val="single" w:sz="6" w:space="0" w:color="000000"/>
              <w:bottom w:val="single" w:sz="6" w:space="0" w:color="000000"/>
              <w:right w:val="single" w:sz="6" w:space="0" w:color="000000"/>
            </w:tcBorders>
          </w:tcPr>
          <w:p>
            <w:pPr>
              <w:pStyle w:val="TableParagraph"/>
              <w:spacing w:before="80"/>
              <w:ind w:left="134" w:right="107"/>
              <w:rPr>
                <w:sz w:val="21"/>
              </w:rPr>
            </w:pPr>
            <w:r>
              <w:rPr>
                <w:sz w:val="21"/>
              </w:rPr>
              <w:t>有效样品数</w:t>
            </w:r>
          </w:p>
        </w:tc>
        <w:tc>
          <w:tcPr>
            <w:tcW w:w="1261" w:type="dxa"/>
            <w:tcBorders>
              <w:left w:val="single" w:sz="6" w:space="0" w:color="000000"/>
              <w:bottom w:val="single" w:sz="6" w:space="0" w:color="000000"/>
              <w:right w:val="single" w:sz="6" w:space="0" w:color="000000"/>
            </w:tcBorders>
          </w:tcPr>
          <w:p>
            <w:pPr>
              <w:pStyle w:val="TableParagraph"/>
              <w:spacing w:line="302" w:lineRule="exact"/>
              <w:ind w:left="214"/>
              <w:jc w:val="left"/>
              <w:rPr>
                <w:sz w:val="21"/>
              </w:rPr>
            </w:pPr>
            <w:r>
              <w:rPr>
                <w:sz w:val="21"/>
              </w:rPr>
              <w:t>评价标准</w:t>
            </w:r>
          </w:p>
          <w:p>
            <w:pPr>
              <w:pStyle w:val="TableParagraph"/>
              <w:spacing w:line="303" w:lineRule="exact"/>
              <w:ind w:left="145"/>
              <w:jc w:val="left"/>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892" w:type="dxa"/>
            <w:tcBorders>
              <w:left w:val="single" w:sz="6" w:space="0" w:color="000000"/>
              <w:bottom w:val="single" w:sz="6" w:space="0" w:color="000000"/>
              <w:right w:val="single" w:sz="6" w:space="0" w:color="000000"/>
            </w:tcBorders>
          </w:tcPr>
          <w:p>
            <w:pPr>
              <w:pStyle w:val="TableParagraph"/>
              <w:spacing w:line="302" w:lineRule="exact"/>
              <w:ind w:left="300" w:right="276"/>
              <w:rPr>
                <w:sz w:val="21"/>
              </w:rPr>
            </w:pPr>
            <w:r>
              <w:rPr>
                <w:sz w:val="21"/>
              </w:rPr>
              <w:t>监测浓度范围</w:t>
            </w:r>
          </w:p>
          <w:p>
            <w:pPr>
              <w:pStyle w:val="TableParagraph"/>
              <w:spacing w:line="303" w:lineRule="exact"/>
              <w:ind w:left="295" w:right="276"/>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840" w:type="dxa"/>
            <w:tcBorders>
              <w:left w:val="single" w:sz="6" w:space="0" w:color="000000"/>
              <w:bottom w:val="single" w:sz="6" w:space="0" w:color="000000"/>
              <w:right w:val="single" w:sz="6" w:space="0" w:color="000000"/>
            </w:tcBorders>
          </w:tcPr>
          <w:p>
            <w:pPr>
              <w:pStyle w:val="TableParagraph"/>
              <w:spacing w:line="302" w:lineRule="exact"/>
              <w:ind w:left="168" w:right="143"/>
              <w:rPr>
                <w:sz w:val="21"/>
              </w:rPr>
            </w:pPr>
            <w:r>
              <w:rPr>
                <w:sz w:val="21"/>
              </w:rPr>
              <w:t>超标</w:t>
            </w:r>
          </w:p>
          <w:p>
            <w:pPr>
              <w:pStyle w:val="TableParagraph"/>
              <w:spacing w:line="303" w:lineRule="exact"/>
              <w:ind w:left="25"/>
              <w:rPr>
                <w:sz w:val="21"/>
              </w:rPr>
            </w:pPr>
            <w:r>
              <w:rPr>
                <w:w w:val="100"/>
                <w:sz w:val="21"/>
              </w:rPr>
              <w:t>率</w:t>
            </w:r>
          </w:p>
        </w:tc>
        <w:tc>
          <w:tcPr>
            <w:tcW w:w="749" w:type="dxa"/>
            <w:tcBorders>
              <w:left w:val="single" w:sz="6" w:space="0" w:color="000000"/>
              <w:bottom w:val="single" w:sz="6" w:space="0" w:color="000000"/>
            </w:tcBorders>
          </w:tcPr>
          <w:p>
            <w:pPr>
              <w:pStyle w:val="TableParagraph"/>
              <w:spacing w:line="302" w:lineRule="exact"/>
              <w:ind w:left="168"/>
              <w:jc w:val="left"/>
              <w:rPr>
                <w:sz w:val="21"/>
              </w:rPr>
            </w:pPr>
            <w:r>
              <w:rPr>
                <w:sz w:val="21"/>
              </w:rPr>
              <w:t>达标</w:t>
            </w:r>
          </w:p>
          <w:p>
            <w:pPr>
              <w:pStyle w:val="TableParagraph"/>
              <w:spacing w:line="303" w:lineRule="exact"/>
              <w:ind w:left="168"/>
              <w:jc w:val="left"/>
              <w:rPr>
                <w:sz w:val="21"/>
              </w:rPr>
            </w:pPr>
            <w:r>
              <w:rPr>
                <w:sz w:val="21"/>
              </w:rPr>
              <w:t>情况</w:t>
            </w:r>
          </w:p>
        </w:tc>
      </w:tr>
      <w:tr>
        <w:trPr>
          <w:trHeight w:val="303" w:hRule="atLeast"/>
        </w:trPr>
        <w:tc>
          <w:tcPr>
            <w:tcW w:w="1368" w:type="dxa"/>
            <w:tcBorders>
              <w:top w:val="single" w:sz="6" w:space="0" w:color="000000"/>
              <w:bottom w:val="single" w:sz="6" w:space="0" w:color="000000"/>
              <w:right w:val="single" w:sz="6" w:space="0" w:color="000000"/>
            </w:tcBorders>
          </w:tcPr>
          <w:p>
            <w:pPr>
              <w:pStyle w:val="TableParagraph"/>
              <w:spacing w:line="284" w:lineRule="exact"/>
              <w:ind w:left="139" w:right="116"/>
              <w:rPr>
                <w:sz w:val="21"/>
              </w:rPr>
            </w:pPr>
            <w:r>
              <w:rPr>
                <w:rFonts w:ascii="Times New Roman" w:eastAsia="Times New Roman"/>
                <w:sz w:val="21"/>
              </w:rPr>
              <w:t>1#</w:t>
            </w:r>
            <w:r>
              <w:rPr>
                <w:sz w:val="21"/>
              </w:rPr>
              <w:t>厂址处</w:t>
            </w:r>
          </w:p>
        </w:tc>
        <w:tc>
          <w:tcPr>
            <w:tcW w:w="1069" w:type="dxa"/>
            <w:tcBorders>
              <w:top w:val="single" w:sz="6" w:space="0" w:color="000000"/>
              <w:left w:val="single" w:sz="6" w:space="0" w:color="000000"/>
              <w:bottom w:val="single" w:sz="6" w:space="0" w:color="000000"/>
              <w:right w:val="single" w:sz="6" w:space="0" w:color="000000"/>
            </w:tcBorders>
          </w:tcPr>
          <w:p>
            <w:pPr>
              <w:pStyle w:val="TableParagraph"/>
              <w:spacing w:before="34"/>
              <w:ind w:left="98" w:right="73"/>
              <w:rPr>
                <w:rFonts w:ascii="Times New Roman"/>
                <w:sz w:val="21"/>
              </w:rPr>
            </w:pPr>
            <w:r>
              <w:rPr>
                <w:rFonts w:ascii="Times New Roman"/>
                <w:sz w:val="21"/>
              </w:rPr>
              <w:t>1h</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34"/>
              <w:ind w:left="131" w:right="107"/>
              <w:rPr>
                <w:rFonts w:ascii="Times New Roman"/>
                <w:sz w:val="21"/>
              </w:rPr>
            </w:pPr>
            <w:r>
              <w:rPr>
                <w:rFonts w:ascii="Times New Roman"/>
                <w:sz w:val="21"/>
              </w:rPr>
              <w:t>28</w:t>
            </w:r>
          </w:p>
        </w:tc>
        <w:tc>
          <w:tcPr>
            <w:tcW w:w="1261" w:type="dxa"/>
            <w:vMerge w:val="restart"/>
            <w:tcBorders>
              <w:top w:val="single" w:sz="6" w:space="0" w:color="000000"/>
              <w:left w:val="single" w:sz="6" w:space="0" w:color="000000"/>
              <w:right w:val="single" w:sz="6" w:space="0" w:color="000000"/>
            </w:tcBorders>
          </w:tcPr>
          <w:p>
            <w:pPr>
              <w:pStyle w:val="TableParagraph"/>
              <w:spacing w:before="197"/>
              <w:ind w:left="196" w:right="168"/>
              <w:rPr>
                <w:rFonts w:ascii="Times New Roman"/>
                <w:sz w:val="21"/>
              </w:rPr>
            </w:pPr>
            <w:r>
              <w:rPr>
                <w:rFonts w:ascii="Times New Roman"/>
                <w:sz w:val="21"/>
              </w:rPr>
              <w:t>0.3</w:t>
            </w:r>
          </w:p>
        </w:tc>
        <w:tc>
          <w:tcPr>
            <w:tcW w:w="1892" w:type="dxa"/>
            <w:tcBorders>
              <w:top w:val="single" w:sz="6" w:space="0" w:color="000000"/>
              <w:left w:val="single" w:sz="6" w:space="0" w:color="000000"/>
              <w:bottom w:val="single" w:sz="6" w:space="0" w:color="000000"/>
              <w:right w:val="single" w:sz="6" w:space="0" w:color="000000"/>
            </w:tcBorders>
          </w:tcPr>
          <w:p>
            <w:pPr>
              <w:pStyle w:val="TableParagraph"/>
              <w:spacing w:before="34"/>
              <w:ind w:left="300" w:right="276"/>
              <w:rPr>
                <w:rFonts w:ascii="Times New Roman"/>
                <w:sz w:val="21"/>
              </w:rPr>
            </w:pPr>
            <w:r>
              <w:rPr>
                <w:rFonts w:ascii="Times New Roman"/>
                <w:sz w:val="21"/>
              </w:rPr>
              <w:t>0.094-0.27</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34"/>
              <w:ind w:left="25"/>
              <w:rPr>
                <w:rFonts w:ascii="Times New Roman"/>
                <w:sz w:val="21"/>
              </w:rPr>
            </w:pPr>
            <w:r>
              <w:rPr>
                <w:rFonts w:ascii="Times New Roman"/>
                <w:w w:val="100"/>
                <w:sz w:val="21"/>
              </w:rPr>
              <w:t>0</w:t>
            </w:r>
          </w:p>
        </w:tc>
        <w:tc>
          <w:tcPr>
            <w:tcW w:w="749" w:type="dxa"/>
            <w:tcBorders>
              <w:top w:val="single" w:sz="6" w:space="0" w:color="000000"/>
              <w:left w:val="single" w:sz="6" w:space="0" w:color="000000"/>
              <w:bottom w:val="single" w:sz="6" w:space="0" w:color="000000"/>
            </w:tcBorders>
          </w:tcPr>
          <w:p>
            <w:pPr>
              <w:pStyle w:val="TableParagraph"/>
              <w:spacing w:line="284" w:lineRule="exact"/>
              <w:ind w:left="149" w:right="117"/>
              <w:rPr>
                <w:sz w:val="21"/>
              </w:rPr>
            </w:pPr>
            <w:r>
              <w:rPr>
                <w:sz w:val="21"/>
              </w:rPr>
              <w:t>达标</w:t>
            </w:r>
          </w:p>
        </w:tc>
      </w:tr>
      <w:tr>
        <w:trPr>
          <w:trHeight w:val="303" w:hRule="atLeast"/>
        </w:trPr>
        <w:tc>
          <w:tcPr>
            <w:tcW w:w="1368" w:type="dxa"/>
            <w:tcBorders>
              <w:top w:val="single" w:sz="6" w:space="0" w:color="000000"/>
              <w:right w:val="single" w:sz="6" w:space="0" w:color="000000"/>
            </w:tcBorders>
          </w:tcPr>
          <w:p>
            <w:pPr>
              <w:pStyle w:val="TableParagraph"/>
              <w:spacing w:line="284" w:lineRule="exact"/>
              <w:ind w:left="139" w:right="116"/>
              <w:rPr>
                <w:sz w:val="21"/>
              </w:rPr>
            </w:pPr>
            <w:r>
              <w:rPr>
                <w:rFonts w:ascii="Times New Roman" w:eastAsia="Times New Roman"/>
                <w:sz w:val="21"/>
              </w:rPr>
              <w:t>2#</w:t>
            </w:r>
            <w:r>
              <w:rPr>
                <w:sz w:val="21"/>
              </w:rPr>
              <w:t>后柴沟村</w:t>
            </w:r>
          </w:p>
        </w:tc>
        <w:tc>
          <w:tcPr>
            <w:tcW w:w="1069" w:type="dxa"/>
            <w:tcBorders>
              <w:top w:val="single" w:sz="6" w:space="0" w:color="000000"/>
              <w:left w:val="single" w:sz="6" w:space="0" w:color="000000"/>
              <w:right w:val="single" w:sz="6" w:space="0" w:color="000000"/>
            </w:tcBorders>
          </w:tcPr>
          <w:p>
            <w:pPr>
              <w:pStyle w:val="TableParagraph"/>
              <w:spacing w:before="26"/>
              <w:ind w:left="98" w:right="73"/>
              <w:rPr>
                <w:rFonts w:ascii="Times New Roman"/>
                <w:sz w:val="21"/>
              </w:rPr>
            </w:pPr>
            <w:r>
              <w:rPr>
                <w:rFonts w:ascii="Times New Roman"/>
                <w:sz w:val="21"/>
              </w:rPr>
              <w:t>1h</w:t>
            </w:r>
          </w:p>
        </w:tc>
        <w:tc>
          <w:tcPr>
            <w:tcW w:w="1347" w:type="dxa"/>
            <w:tcBorders>
              <w:top w:val="single" w:sz="6" w:space="0" w:color="000000"/>
              <w:left w:val="single" w:sz="6" w:space="0" w:color="000000"/>
              <w:right w:val="single" w:sz="6" w:space="0" w:color="000000"/>
            </w:tcBorders>
          </w:tcPr>
          <w:p>
            <w:pPr>
              <w:pStyle w:val="TableParagraph"/>
              <w:spacing w:before="26"/>
              <w:ind w:left="131" w:right="107"/>
              <w:rPr>
                <w:rFonts w:ascii="Times New Roman"/>
                <w:sz w:val="21"/>
              </w:rPr>
            </w:pPr>
            <w:r>
              <w:rPr>
                <w:rFonts w:ascii="Times New Roman"/>
                <w:sz w:val="21"/>
              </w:rPr>
              <w:t>28</w:t>
            </w:r>
          </w:p>
        </w:tc>
        <w:tc>
          <w:tcPr>
            <w:tcW w:w="1261" w:type="dxa"/>
            <w:vMerge/>
            <w:tcBorders>
              <w:top w:val="nil"/>
              <w:left w:val="single" w:sz="6" w:space="0" w:color="000000"/>
              <w:right w:val="single" w:sz="6" w:space="0" w:color="000000"/>
            </w:tcBorders>
          </w:tcPr>
          <w:p>
            <w:pPr>
              <w:rPr>
                <w:sz w:val="2"/>
                <w:szCs w:val="2"/>
              </w:rPr>
            </w:pPr>
          </w:p>
        </w:tc>
        <w:tc>
          <w:tcPr>
            <w:tcW w:w="1892" w:type="dxa"/>
            <w:tcBorders>
              <w:top w:val="single" w:sz="6" w:space="0" w:color="000000"/>
              <w:left w:val="single" w:sz="6" w:space="0" w:color="000000"/>
              <w:right w:val="single" w:sz="6" w:space="0" w:color="000000"/>
            </w:tcBorders>
          </w:tcPr>
          <w:p>
            <w:pPr>
              <w:pStyle w:val="TableParagraph"/>
              <w:spacing w:before="26"/>
              <w:ind w:left="300" w:right="276"/>
              <w:rPr>
                <w:rFonts w:ascii="Times New Roman"/>
                <w:sz w:val="21"/>
              </w:rPr>
            </w:pPr>
            <w:r>
              <w:rPr>
                <w:rFonts w:ascii="Times New Roman"/>
                <w:sz w:val="21"/>
              </w:rPr>
              <w:t>0.104-0.239</w:t>
            </w:r>
          </w:p>
        </w:tc>
        <w:tc>
          <w:tcPr>
            <w:tcW w:w="840" w:type="dxa"/>
            <w:tcBorders>
              <w:top w:val="single" w:sz="6" w:space="0" w:color="000000"/>
              <w:left w:val="single" w:sz="6" w:space="0" w:color="000000"/>
              <w:right w:val="single" w:sz="6" w:space="0" w:color="000000"/>
            </w:tcBorders>
          </w:tcPr>
          <w:p>
            <w:pPr>
              <w:pStyle w:val="TableParagraph"/>
              <w:spacing w:before="26"/>
              <w:ind w:left="25"/>
              <w:rPr>
                <w:rFonts w:ascii="Times New Roman"/>
                <w:sz w:val="21"/>
              </w:rPr>
            </w:pPr>
            <w:r>
              <w:rPr>
                <w:rFonts w:ascii="Times New Roman"/>
                <w:w w:val="100"/>
                <w:sz w:val="21"/>
              </w:rPr>
              <w:t>0</w:t>
            </w:r>
          </w:p>
        </w:tc>
        <w:tc>
          <w:tcPr>
            <w:tcW w:w="749" w:type="dxa"/>
            <w:tcBorders>
              <w:top w:val="single" w:sz="6" w:space="0" w:color="000000"/>
              <w:left w:val="single" w:sz="6" w:space="0" w:color="000000"/>
            </w:tcBorders>
          </w:tcPr>
          <w:p>
            <w:pPr>
              <w:pStyle w:val="TableParagraph"/>
              <w:spacing w:line="284" w:lineRule="exact"/>
              <w:ind w:left="149" w:right="117"/>
              <w:rPr>
                <w:sz w:val="21"/>
              </w:rPr>
            </w:pPr>
            <w:r>
              <w:rPr>
                <w:sz w:val="21"/>
              </w:rPr>
              <w:t>达标</w:t>
            </w:r>
          </w:p>
        </w:tc>
      </w:tr>
    </w:tbl>
    <w:p>
      <w:pPr>
        <w:pStyle w:val="BodyText"/>
        <w:spacing w:line="455" w:lineRule="exact"/>
        <w:ind w:left="1058"/>
      </w:pPr>
      <w:r>
        <w:rPr/>
        <w:t>（</w:t>
      </w:r>
      <w:r>
        <w:rPr>
          <w:rFonts w:ascii="Times New Roman" w:eastAsia="Times New Roman"/>
        </w:rPr>
        <w:t>6</w:t>
      </w:r>
      <w:r>
        <w:rPr/>
        <w:t>）甲苯</w:t>
      </w:r>
    </w:p>
    <w:p>
      <w:pPr>
        <w:pStyle w:val="BodyText"/>
        <w:spacing w:line="220" w:lineRule="auto" w:before="8"/>
        <w:ind w:left="578" w:right="871" w:firstLine="479"/>
        <w:jc w:val="both"/>
      </w:pPr>
      <w:r>
        <w:rPr>
          <w:rFonts w:ascii="Times New Roman" w:hAnsi="Times New Roman" w:eastAsia="Times New Roman"/>
        </w:rPr>
        <w:t>1#</w:t>
      </w:r>
      <w:r>
        <w:rPr>
          <w:spacing w:val="3"/>
        </w:rPr>
        <w:t>甲苯的 </w:t>
      </w:r>
      <w:r>
        <w:rPr>
          <w:rFonts w:ascii="Times New Roman" w:hAnsi="Times New Roman" w:eastAsia="Times New Roman"/>
        </w:rPr>
        <w:t>1h</w:t>
      </w:r>
      <w:r>
        <w:rPr>
          <w:rFonts w:ascii="Times New Roman" w:hAnsi="Times New Roman" w:eastAsia="Times New Roman"/>
          <w:spacing w:val="2"/>
        </w:rPr>
        <w:t> </w:t>
      </w:r>
      <w:r>
        <w:rPr>
          <w:spacing w:val="1"/>
        </w:rPr>
        <w:t>平均浓度为 </w:t>
      </w:r>
      <w:r>
        <w:rPr>
          <w:rFonts w:ascii="Times New Roman" w:hAnsi="Times New Roman" w:eastAsia="Times New Roman"/>
          <w:spacing w:val="-3"/>
        </w:rPr>
        <w:t>0.07-0.28µg/m</w:t>
      </w:r>
      <w:r>
        <w:rPr>
          <w:rFonts w:ascii="Times New Roman" w:hAnsi="Times New Roman" w:eastAsia="Times New Roman"/>
          <w:spacing w:val="-35"/>
        </w:rPr>
        <w:t> </w:t>
      </w:r>
      <w:r>
        <w:rPr>
          <w:rFonts w:ascii="Times New Roman" w:hAnsi="Times New Roman" w:eastAsia="Times New Roman"/>
          <w:position w:val="9"/>
          <w:sz w:val="16"/>
        </w:rPr>
        <w:t>3</w:t>
      </w:r>
      <w:r>
        <w:rPr>
          <w:spacing w:val="1"/>
        </w:rPr>
        <w:t>，超标率为 </w:t>
      </w:r>
      <w:r>
        <w:rPr>
          <w:rFonts w:ascii="Times New Roman" w:hAnsi="Times New Roman" w:eastAsia="Times New Roman"/>
        </w:rPr>
        <w:t>0%</w:t>
      </w:r>
      <w:r>
        <w:rPr/>
        <w:t>；</w:t>
      </w:r>
      <w:r>
        <w:rPr>
          <w:rFonts w:ascii="Times New Roman" w:hAnsi="Times New Roman" w:eastAsia="Times New Roman"/>
        </w:rPr>
        <w:t>2#</w:t>
      </w:r>
      <w:r>
        <w:rPr>
          <w:spacing w:val="3"/>
        </w:rPr>
        <w:t>甲苯的 </w:t>
      </w:r>
      <w:r>
        <w:rPr>
          <w:rFonts w:ascii="Times New Roman" w:hAnsi="Times New Roman" w:eastAsia="Times New Roman"/>
        </w:rPr>
        <w:t>1h</w:t>
      </w:r>
      <w:r>
        <w:rPr>
          <w:rFonts w:ascii="Times New Roman" w:hAnsi="Times New Roman" w:eastAsia="Times New Roman"/>
          <w:spacing w:val="1"/>
        </w:rPr>
        <w:t>  </w:t>
      </w:r>
      <w:r>
        <w:rPr/>
        <w:t>平</w:t>
      </w:r>
      <w:r>
        <w:rPr>
          <w:spacing w:val="1"/>
        </w:rPr>
        <w:t>均浓度为 </w:t>
      </w:r>
      <w:r>
        <w:rPr>
          <w:rFonts w:ascii="Times New Roman" w:hAnsi="Times New Roman" w:eastAsia="Times New Roman"/>
          <w:spacing w:val="-3"/>
        </w:rPr>
        <w:t>0.08-0.18µg/m</w:t>
      </w:r>
      <w:r>
        <w:rPr>
          <w:rFonts w:ascii="Times New Roman" w:hAnsi="Times New Roman" w:eastAsia="Times New Roman"/>
          <w:spacing w:val="-31"/>
        </w:rPr>
        <w:t> </w:t>
      </w:r>
      <w:r>
        <w:rPr>
          <w:rFonts w:ascii="Times New Roman" w:hAnsi="Times New Roman" w:eastAsia="Times New Roman"/>
          <w:position w:val="9"/>
          <w:sz w:val="16"/>
        </w:rPr>
        <w:t>3</w:t>
      </w:r>
      <w:r>
        <w:rPr>
          <w:spacing w:val="1"/>
        </w:rPr>
        <w:t>，超标率为 </w:t>
      </w:r>
      <w:r>
        <w:rPr>
          <w:rFonts w:ascii="Times New Roman" w:hAnsi="Times New Roman" w:eastAsia="Times New Roman"/>
        </w:rPr>
        <w:t>0%</w:t>
      </w:r>
      <w:r>
        <w:rPr/>
        <w:t>；</w:t>
      </w:r>
      <w:r>
        <w:rPr>
          <w:rFonts w:ascii="Times New Roman" w:hAnsi="Times New Roman" w:eastAsia="Times New Roman"/>
        </w:rPr>
        <w:t>1#</w:t>
      </w:r>
      <w:r>
        <w:rPr/>
        <w:t>、</w:t>
      </w:r>
      <w:r>
        <w:rPr>
          <w:rFonts w:ascii="Times New Roman" w:hAnsi="Times New Roman" w:eastAsia="Times New Roman"/>
        </w:rPr>
        <w:t>2#</w:t>
      </w:r>
      <w:r>
        <w:rPr/>
        <w:t>监测点监测期间的甲苯的 </w:t>
      </w:r>
      <w:r>
        <w:rPr>
          <w:rFonts w:ascii="Times New Roman" w:hAnsi="Times New Roman" w:eastAsia="Times New Roman"/>
        </w:rPr>
        <w:t>1</w:t>
      </w:r>
      <w:r>
        <w:rPr>
          <w:rFonts w:ascii="Times New Roman" w:hAnsi="Times New Roman" w:eastAsia="Times New Roman"/>
          <w:spacing w:val="3"/>
        </w:rPr>
        <w:t> </w:t>
      </w:r>
      <w:r>
        <w:rPr/>
        <w:t>小</w:t>
      </w:r>
      <w:r>
        <w:rPr>
          <w:spacing w:val="-4"/>
        </w:rPr>
        <w:t>时浓度均符合《环境影响评价技术导则 大气环境</w:t>
      </w:r>
      <w:r>
        <w:rPr>
          <w:spacing w:val="-144"/>
        </w:rPr>
        <w:t>》</w:t>
      </w:r>
      <w:r>
        <w:rPr/>
        <w:t>（</w:t>
      </w:r>
      <w:r>
        <w:rPr>
          <w:rFonts w:ascii="Times New Roman" w:hAnsi="Times New Roman" w:eastAsia="Times New Roman"/>
        </w:rPr>
        <w:t>HJ2.2-2018</w:t>
      </w:r>
      <w:r>
        <w:rPr/>
        <w:t>）</w:t>
      </w:r>
      <w:r>
        <w:rPr>
          <w:spacing w:val="1"/>
        </w:rPr>
        <w:t>附录 </w:t>
      </w:r>
      <w:r>
        <w:rPr>
          <w:rFonts w:ascii="Times New Roman" w:hAnsi="Times New Roman" w:eastAsia="Times New Roman"/>
        </w:rPr>
        <w:t>D</w:t>
      </w:r>
      <w:r>
        <w:rPr>
          <w:rFonts w:ascii="Times New Roman" w:hAnsi="Times New Roman" w:eastAsia="Times New Roman"/>
          <w:spacing w:val="51"/>
        </w:rPr>
        <w:t> </w:t>
      </w:r>
      <w:r>
        <w:rPr/>
        <w:t>浓度限值。</w:t>
      </w:r>
    </w:p>
    <w:p>
      <w:pPr>
        <w:tabs>
          <w:tab w:pos="3484" w:val="left" w:leader="none"/>
          <w:tab w:pos="6226" w:val="left" w:leader="none"/>
        </w:tabs>
        <w:spacing w:before="162" w:after="24"/>
        <w:ind w:left="1929" w:right="0" w:firstLine="0"/>
        <w:jc w:val="left"/>
        <w:rPr>
          <w:rFonts w:ascii="Times New Roman" w:eastAsia="Times New Roman"/>
          <w:sz w:val="14"/>
        </w:rPr>
      </w:pPr>
      <w:r>
        <w:rPr>
          <w:sz w:val="21"/>
        </w:rPr>
        <w:t>表</w:t>
      </w:r>
      <w:r>
        <w:rPr>
          <w:spacing w:val="7"/>
          <w:sz w:val="21"/>
        </w:rPr>
        <w:t> </w:t>
      </w:r>
      <w:r>
        <w:rPr>
          <w:rFonts w:ascii="Times New Roman" w:eastAsia="Times New Roman"/>
          <w:b/>
          <w:sz w:val="21"/>
        </w:rPr>
        <w:t>5.4-12</w:t>
      </w:r>
      <w:r>
        <w:rPr>
          <w:sz w:val="21"/>
        </w:rPr>
        <w:t>（</w:t>
      </w:r>
      <w:r>
        <w:rPr>
          <w:rFonts w:ascii="Times New Roman" w:eastAsia="Times New Roman"/>
          <w:b/>
          <w:sz w:val="21"/>
        </w:rPr>
        <w:t>b</w:t>
      </w:r>
      <w:r>
        <w:rPr>
          <w:sz w:val="21"/>
        </w:rPr>
        <w:t>）</w:t>
        <w:tab/>
        <w:t>甲苯环</w:t>
      </w:r>
      <w:r>
        <w:rPr>
          <w:spacing w:val="-3"/>
          <w:sz w:val="21"/>
        </w:rPr>
        <w:t>境</w:t>
      </w:r>
      <w:r>
        <w:rPr>
          <w:sz w:val="21"/>
        </w:rPr>
        <w:t>质量现状监测结果</w:t>
        <w:tab/>
        <w:t>单</w:t>
      </w:r>
      <w:r>
        <w:rPr>
          <w:spacing w:val="-3"/>
          <w:sz w:val="21"/>
        </w:rPr>
        <w:t>位</w:t>
      </w:r>
      <w:r>
        <w:rPr>
          <w:sz w:val="21"/>
        </w:rPr>
        <w:t>：</w:t>
      </w:r>
      <w:r>
        <w:rPr>
          <w:rFonts w:ascii="Times New Roman" w:eastAsia="Times New Roman"/>
          <w:sz w:val="21"/>
        </w:rPr>
        <w:t>mg/m</w:t>
      </w:r>
      <w:r>
        <w:rPr>
          <w:rFonts w:ascii="Times New Roman" w:eastAsia="Times New Roman"/>
          <w:position w:val="7"/>
          <w:sz w:val="14"/>
        </w:rPr>
        <w:t>3</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68"/>
        <w:gridCol w:w="1069"/>
        <w:gridCol w:w="1347"/>
        <w:gridCol w:w="1261"/>
        <w:gridCol w:w="1892"/>
        <w:gridCol w:w="840"/>
        <w:gridCol w:w="749"/>
      </w:tblGrid>
      <w:tr>
        <w:trPr>
          <w:trHeight w:val="623" w:hRule="atLeast"/>
        </w:trPr>
        <w:tc>
          <w:tcPr>
            <w:tcW w:w="1368" w:type="dxa"/>
            <w:tcBorders>
              <w:bottom w:val="single" w:sz="6" w:space="0" w:color="000000"/>
              <w:right w:val="single" w:sz="6" w:space="0" w:color="000000"/>
            </w:tcBorders>
          </w:tcPr>
          <w:p>
            <w:pPr>
              <w:pStyle w:val="TableParagraph"/>
              <w:spacing w:before="77"/>
              <w:ind w:left="139" w:right="116"/>
              <w:rPr>
                <w:sz w:val="21"/>
              </w:rPr>
            </w:pPr>
            <w:r>
              <w:rPr>
                <w:sz w:val="21"/>
              </w:rPr>
              <w:t>监测点位</w:t>
            </w:r>
          </w:p>
        </w:tc>
        <w:tc>
          <w:tcPr>
            <w:tcW w:w="1069" w:type="dxa"/>
            <w:tcBorders>
              <w:left w:val="single" w:sz="6" w:space="0" w:color="000000"/>
              <w:bottom w:val="single" w:sz="6" w:space="0" w:color="000000"/>
              <w:right w:val="single" w:sz="6" w:space="0" w:color="000000"/>
            </w:tcBorders>
          </w:tcPr>
          <w:p>
            <w:pPr>
              <w:pStyle w:val="TableParagraph"/>
              <w:spacing w:before="77"/>
              <w:ind w:left="100" w:right="73"/>
              <w:rPr>
                <w:sz w:val="21"/>
              </w:rPr>
            </w:pPr>
            <w:r>
              <w:rPr>
                <w:sz w:val="21"/>
              </w:rPr>
              <w:t>平均时间</w:t>
            </w:r>
          </w:p>
        </w:tc>
        <w:tc>
          <w:tcPr>
            <w:tcW w:w="1347" w:type="dxa"/>
            <w:tcBorders>
              <w:left w:val="single" w:sz="6" w:space="0" w:color="000000"/>
              <w:bottom w:val="single" w:sz="6" w:space="0" w:color="000000"/>
              <w:right w:val="single" w:sz="6" w:space="0" w:color="000000"/>
            </w:tcBorders>
          </w:tcPr>
          <w:p>
            <w:pPr>
              <w:pStyle w:val="TableParagraph"/>
              <w:spacing w:before="77"/>
              <w:ind w:left="134" w:right="107"/>
              <w:rPr>
                <w:sz w:val="21"/>
              </w:rPr>
            </w:pPr>
            <w:r>
              <w:rPr>
                <w:sz w:val="21"/>
              </w:rPr>
              <w:t>有效样品数</w:t>
            </w:r>
          </w:p>
        </w:tc>
        <w:tc>
          <w:tcPr>
            <w:tcW w:w="1261" w:type="dxa"/>
            <w:tcBorders>
              <w:left w:val="single" w:sz="6" w:space="0" w:color="000000"/>
              <w:bottom w:val="single" w:sz="6" w:space="0" w:color="000000"/>
              <w:right w:val="single" w:sz="6" w:space="0" w:color="000000"/>
            </w:tcBorders>
          </w:tcPr>
          <w:p>
            <w:pPr>
              <w:pStyle w:val="TableParagraph"/>
              <w:spacing w:line="300" w:lineRule="exact"/>
              <w:ind w:left="214"/>
              <w:jc w:val="left"/>
              <w:rPr>
                <w:sz w:val="21"/>
              </w:rPr>
            </w:pPr>
            <w:r>
              <w:rPr>
                <w:sz w:val="21"/>
              </w:rPr>
              <w:t>评价标准</w:t>
            </w:r>
          </w:p>
          <w:p>
            <w:pPr>
              <w:pStyle w:val="TableParagraph"/>
              <w:spacing w:line="303" w:lineRule="exact"/>
              <w:ind w:left="145"/>
              <w:jc w:val="left"/>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1892" w:type="dxa"/>
            <w:tcBorders>
              <w:left w:val="single" w:sz="6" w:space="0" w:color="000000"/>
              <w:bottom w:val="single" w:sz="6" w:space="0" w:color="000000"/>
              <w:right w:val="single" w:sz="6" w:space="0" w:color="000000"/>
            </w:tcBorders>
          </w:tcPr>
          <w:p>
            <w:pPr>
              <w:pStyle w:val="TableParagraph"/>
              <w:spacing w:line="300" w:lineRule="exact"/>
              <w:ind w:left="300" w:right="276"/>
              <w:rPr>
                <w:sz w:val="21"/>
              </w:rPr>
            </w:pPr>
            <w:r>
              <w:rPr>
                <w:sz w:val="21"/>
              </w:rPr>
              <w:t>监测浓度范围</w:t>
            </w:r>
          </w:p>
          <w:p>
            <w:pPr>
              <w:pStyle w:val="TableParagraph"/>
              <w:spacing w:line="303" w:lineRule="exact"/>
              <w:ind w:left="295" w:right="276"/>
              <w:rPr>
                <w:sz w:val="21"/>
              </w:rPr>
            </w:pP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840" w:type="dxa"/>
            <w:tcBorders>
              <w:left w:val="single" w:sz="6" w:space="0" w:color="000000"/>
              <w:bottom w:val="single" w:sz="6" w:space="0" w:color="000000"/>
              <w:right w:val="single" w:sz="6" w:space="0" w:color="000000"/>
            </w:tcBorders>
          </w:tcPr>
          <w:p>
            <w:pPr>
              <w:pStyle w:val="TableParagraph"/>
              <w:spacing w:line="300" w:lineRule="exact"/>
              <w:ind w:left="168" w:right="143"/>
              <w:rPr>
                <w:sz w:val="21"/>
              </w:rPr>
            </w:pPr>
            <w:r>
              <w:rPr>
                <w:sz w:val="21"/>
              </w:rPr>
              <w:t>超标</w:t>
            </w:r>
          </w:p>
          <w:p>
            <w:pPr>
              <w:pStyle w:val="TableParagraph"/>
              <w:spacing w:line="303" w:lineRule="exact"/>
              <w:ind w:left="25"/>
              <w:rPr>
                <w:sz w:val="21"/>
              </w:rPr>
            </w:pPr>
            <w:r>
              <w:rPr>
                <w:w w:val="100"/>
                <w:sz w:val="21"/>
              </w:rPr>
              <w:t>率</w:t>
            </w:r>
          </w:p>
        </w:tc>
        <w:tc>
          <w:tcPr>
            <w:tcW w:w="749" w:type="dxa"/>
            <w:tcBorders>
              <w:left w:val="single" w:sz="6" w:space="0" w:color="000000"/>
              <w:bottom w:val="single" w:sz="6" w:space="0" w:color="000000"/>
            </w:tcBorders>
          </w:tcPr>
          <w:p>
            <w:pPr>
              <w:pStyle w:val="TableParagraph"/>
              <w:spacing w:line="300" w:lineRule="exact"/>
              <w:ind w:left="168"/>
              <w:jc w:val="left"/>
              <w:rPr>
                <w:sz w:val="21"/>
              </w:rPr>
            </w:pPr>
            <w:r>
              <w:rPr>
                <w:sz w:val="21"/>
              </w:rPr>
              <w:t>达标</w:t>
            </w:r>
          </w:p>
          <w:p>
            <w:pPr>
              <w:pStyle w:val="TableParagraph"/>
              <w:spacing w:line="303" w:lineRule="exact"/>
              <w:ind w:left="168"/>
              <w:jc w:val="left"/>
              <w:rPr>
                <w:sz w:val="21"/>
              </w:rPr>
            </w:pPr>
            <w:r>
              <w:rPr>
                <w:sz w:val="21"/>
              </w:rPr>
              <w:t>情况</w:t>
            </w:r>
          </w:p>
        </w:tc>
      </w:tr>
      <w:tr>
        <w:trPr>
          <w:trHeight w:val="306" w:hRule="atLeast"/>
        </w:trPr>
        <w:tc>
          <w:tcPr>
            <w:tcW w:w="1368" w:type="dxa"/>
            <w:tcBorders>
              <w:top w:val="single" w:sz="6" w:space="0" w:color="000000"/>
              <w:bottom w:val="single" w:sz="6" w:space="0" w:color="000000"/>
              <w:right w:val="single" w:sz="6" w:space="0" w:color="000000"/>
            </w:tcBorders>
          </w:tcPr>
          <w:p>
            <w:pPr>
              <w:pStyle w:val="TableParagraph"/>
              <w:spacing w:line="287" w:lineRule="exact"/>
              <w:ind w:left="139" w:right="116"/>
              <w:rPr>
                <w:sz w:val="21"/>
              </w:rPr>
            </w:pPr>
            <w:r>
              <w:rPr>
                <w:rFonts w:ascii="Times New Roman" w:eastAsia="Times New Roman"/>
                <w:sz w:val="21"/>
              </w:rPr>
              <w:t>1#</w:t>
            </w:r>
            <w:r>
              <w:rPr>
                <w:sz w:val="21"/>
              </w:rPr>
              <w:t>厂址处</w:t>
            </w:r>
          </w:p>
        </w:tc>
        <w:tc>
          <w:tcPr>
            <w:tcW w:w="1069" w:type="dxa"/>
            <w:tcBorders>
              <w:top w:val="single" w:sz="6" w:space="0" w:color="000000"/>
              <w:left w:val="single" w:sz="6" w:space="0" w:color="000000"/>
              <w:bottom w:val="single" w:sz="6" w:space="0" w:color="000000"/>
              <w:right w:val="single" w:sz="6" w:space="0" w:color="000000"/>
            </w:tcBorders>
          </w:tcPr>
          <w:p>
            <w:pPr>
              <w:pStyle w:val="TableParagraph"/>
              <w:spacing w:before="36"/>
              <w:ind w:left="98" w:right="73"/>
              <w:rPr>
                <w:rFonts w:ascii="Times New Roman"/>
                <w:sz w:val="21"/>
              </w:rPr>
            </w:pPr>
            <w:r>
              <w:rPr>
                <w:rFonts w:ascii="Times New Roman"/>
                <w:sz w:val="21"/>
              </w:rPr>
              <w:t>1h</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36"/>
              <w:ind w:left="131" w:right="107"/>
              <w:rPr>
                <w:rFonts w:ascii="Times New Roman"/>
                <w:sz w:val="21"/>
              </w:rPr>
            </w:pPr>
            <w:r>
              <w:rPr>
                <w:rFonts w:ascii="Times New Roman"/>
                <w:sz w:val="21"/>
              </w:rPr>
              <w:t>28</w:t>
            </w:r>
          </w:p>
        </w:tc>
        <w:tc>
          <w:tcPr>
            <w:tcW w:w="1261" w:type="dxa"/>
            <w:vMerge w:val="restart"/>
            <w:tcBorders>
              <w:top w:val="single" w:sz="6" w:space="0" w:color="000000"/>
              <w:left w:val="single" w:sz="6" w:space="0" w:color="000000"/>
              <w:right w:val="single" w:sz="6" w:space="0" w:color="000000"/>
            </w:tcBorders>
          </w:tcPr>
          <w:p>
            <w:pPr>
              <w:pStyle w:val="TableParagraph"/>
              <w:spacing w:before="4"/>
              <w:jc w:val="left"/>
              <w:rPr>
                <w:rFonts w:ascii="Times New Roman"/>
                <w:sz w:val="17"/>
              </w:rPr>
            </w:pPr>
          </w:p>
          <w:p>
            <w:pPr>
              <w:pStyle w:val="TableParagraph"/>
              <w:ind w:left="196" w:right="168"/>
              <w:rPr>
                <w:rFonts w:ascii="Times New Roman"/>
                <w:sz w:val="21"/>
              </w:rPr>
            </w:pPr>
            <w:r>
              <w:rPr>
                <w:rFonts w:ascii="Times New Roman"/>
                <w:sz w:val="21"/>
              </w:rPr>
              <w:t>0.2</w:t>
            </w:r>
          </w:p>
        </w:tc>
        <w:tc>
          <w:tcPr>
            <w:tcW w:w="1892" w:type="dxa"/>
            <w:tcBorders>
              <w:top w:val="single" w:sz="6" w:space="0" w:color="000000"/>
              <w:left w:val="single" w:sz="6" w:space="0" w:color="000000"/>
              <w:bottom w:val="single" w:sz="6" w:space="0" w:color="000000"/>
              <w:right w:val="single" w:sz="6" w:space="0" w:color="000000"/>
            </w:tcBorders>
          </w:tcPr>
          <w:p>
            <w:pPr>
              <w:pStyle w:val="TableParagraph"/>
              <w:spacing w:before="36"/>
              <w:ind w:left="300" w:right="276"/>
              <w:rPr>
                <w:rFonts w:ascii="Times New Roman"/>
                <w:sz w:val="21"/>
              </w:rPr>
            </w:pPr>
            <w:r>
              <w:rPr>
                <w:rFonts w:ascii="Times New Roman"/>
                <w:sz w:val="21"/>
              </w:rPr>
              <w:t>0.0128-0.209</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36"/>
              <w:ind w:left="25"/>
              <w:rPr>
                <w:rFonts w:ascii="Times New Roman"/>
                <w:sz w:val="21"/>
              </w:rPr>
            </w:pPr>
            <w:r>
              <w:rPr>
                <w:rFonts w:ascii="Times New Roman"/>
                <w:w w:val="100"/>
                <w:sz w:val="21"/>
              </w:rPr>
              <w:t>0</w:t>
            </w:r>
          </w:p>
        </w:tc>
        <w:tc>
          <w:tcPr>
            <w:tcW w:w="749" w:type="dxa"/>
            <w:tcBorders>
              <w:top w:val="single" w:sz="6" w:space="0" w:color="000000"/>
              <w:left w:val="single" w:sz="6" w:space="0" w:color="000000"/>
              <w:bottom w:val="single" w:sz="6" w:space="0" w:color="000000"/>
            </w:tcBorders>
          </w:tcPr>
          <w:p>
            <w:pPr>
              <w:pStyle w:val="TableParagraph"/>
              <w:spacing w:line="287" w:lineRule="exact"/>
              <w:ind w:left="149" w:right="117"/>
              <w:rPr>
                <w:sz w:val="21"/>
              </w:rPr>
            </w:pPr>
            <w:r>
              <w:rPr>
                <w:sz w:val="21"/>
              </w:rPr>
              <w:t>达标</w:t>
            </w:r>
          </w:p>
        </w:tc>
      </w:tr>
      <w:tr>
        <w:trPr>
          <w:trHeight w:val="301" w:hRule="atLeast"/>
        </w:trPr>
        <w:tc>
          <w:tcPr>
            <w:tcW w:w="1368" w:type="dxa"/>
            <w:tcBorders>
              <w:top w:val="single" w:sz="6" w:space="0" w:color="000000"/>
              <w:right w:val="single" w:sz="6" w:space="0" w:color="000000"/>
            </w:tcBorders>
          </w:tcPr>
          <w:p>
            <w:pPr>
              <w:pStyle w:val="TableParagraph"/>
              <w:spacing w:line="281" w:lineRule="exact"/>
              <w:ind w:left="139" w:right="116"/>
              <w:rPr>
                <w:sz w:val="21"/>
              </w:rPr>
            </w:pPr>
            <w:r>
              <w:rPr>
                <w:rFonts w:ascii="Times New Roman" w:eastAsia="Times New Roman"/>
                <w:sz w:val="21"/>
              </w:rPr>
              <w:t>2#</w:t>
            </w:r>
            <w:r>
              <w:rPr>
                <w:sz w:val="21"/>
              </w:rPr>
              <w:t>后柴沟村</w:t>
            </w:r>
          </w:p>
        </w:tc>
        <w:tc>
          <w:tcPr>
            <w:tcW w:w="1069" w:type="dxa"/>
            <w:tcBorders>
              <w:top w:val="single" w:sz="6" w:space="0" w:color="000000"/>
              <w:left w:val="single" w:sz="6" w:space="0" w:color="000000"/>
              <w:right w:val="single" w:sz="6" w:space="0" w:color="000000"/>
            </w:tcBorders>
          </w:tcPr>
          <w:p>
            <w:pPr>
              <w:pStyle w:val="TableParagraph"/>
              <w:spacing w:before="26"/>
              <w:ind w:left="98" w:right="73"/>
              <w:rPr>
                <w:rFonts w:ascii="Times New Roman"/>
                <w:sz w:val="21"/>
              </w:rPr>
            </w:pPr>
            <w:r>
              <w:rPr>
                <w:rFonts w:ascii="Times New Roman"/>
                <w:sz w:val="21"/>
              </w:rPr>
              <w:t>1h</w:t>
            </w:r>
          </w:p>
        </w:tc>
        <w:tc>
          <w:tcPr>
            <w:tcW w:w="1347" w:type="dxa"/>
            <w:tcBorders>
              <w:top w:val="single" w:sz="6" w:space="0" w:color="000000"/>
              <w:left w:val="single" w:sz="6" w:space="0" w:color="000000"/>
              <w:right w:val="single" w:sz="6" w:space="0" w:color="000000"/>
            </w:tcBorders>
          </w:tcPr>
          <w:p>
            <w:pPr>
              <w:pStyle w:val="TableParagraph"/>
              <w:spacing w:before="26"/>
              <w:ind w:left="131" w:right="107"/>
              <w:rPr>
                <w:rFonts w:ascii="Times New Roman"/>
                <w:sz w:val="21"/>
              </w:rPr>
            </w:pPr>
            <w:r>
              <w:rPr>
                <w:rFonts w:ascii="Times New Roman"/>
                <w:sz w:val="21"/>
              </w:rPr>
              <w:t>28</w:t>
            </w:r>
          </w:p>
        </w:tc>
        <w:tc>
          <w:tcPr>
            <w:tcW w:w="1261" w:type="dxa"/>
            <w:vMerge/>
            <w:tcBorders>
              <w:top w:val="nil"/>
              <w:left w:val="single" w:sz="6" w:space="0" w:color="000000"/>
              <w:right w:val="single" w:sz="6" w:space="0" w:color="000000"/>
            </w:tcBorders>
          </w:tcPr>
          <w:p>
            <w:pPr>
              <w:rPr>
                <w:sz w:val="2"/>
                <w:szCs w:val="2"/>
              </w:rPr>
            </w:pPr>
          </w:p>
        </w:tc>
        <w:tc>
          <w:tcPr>
            <w:tcW w:w="1892" w:type="dxa"/>
            <w:tcBorders>
              <w:top w:val="single" w:sz="6" w:space="0" w:color="000000"/>
              <w:left w:val="single" w:sz="6" w:space="0" w:color="000000"/>
              <w:right w:val="single" w:sz="6" w:space="0" w:color="000000"/>
            </w:tcBorders>
          </w:tcPr>
          <w:p>
            <w:pPr>
              <w:pStyle w:val="TableParagraph"/>
              <w:spacing w:before="26"/>
              <w:ind w:left="300" w:right="276"/>
              <w:rPr>
                <w:rFonts w:ascii="Times New Roman"/>
                <w:sz w:val="21"/>
              </w:rPr>
            </w:pPr>
            <w:r>
              <w:rPr>
                <w:rFonts w:ascii="Times New Roman"/>
                <w:sz w:val="21"/>
              </w:rPr>
              <w:t>0.0119-0.111</w:t>
            </w:r>
          </w:p>
        </w:tc>
        <w:tc>
          <w:tcPr>
            <w:tcW w:w="840" w:type="dxa"/>
            <w:tcBorders>
              <w:top w:val="single" w:sz="6" w:space="0" w:color="000000"/>
              <w:left w:val="single" w:sz="6" w:space="0" w:color="000000"/>
              <w:right w:val="single" w:sz="6" w:space="0" w:color="000000"/>
            </w:tcBorders>
          </w:tcPr>
          <w:p>
            <w:pPr>
              <w:pStyle w:val="TableParagraph"/>
              <w:spacing w:before="26"/>
              <w:ind w:left="25"/>
              <w:rPr>
                <w:rFonts w:ascii="Times New Roman"/>
                <w:sz w:val="21"/>
              </w:rPr>
            </w:pPr>
            <w:r>
              <w:rPr>
                <w:rFonts w:ascii="Times New Roman"/>
                <w:w w:val="100"/>
                <w:sz w:val="21"/>
              </w:rPr>
              <w:t>0</w:t>
            </w:r>
          </w:p>
        </w:tc>
        <w:tc>
          <w:tcPr>
            <w:tcW w:w="749" w:type="dxa"/>
            <w:tcBorders>
              <w:top w:val="single" w:sz="6" w:space="0" w:color="000000"/>
              <w:left w:val="single" w:sz="6" w:space="0" w:color="000000"/>
            </w:tcBorders>
          </w:tcPr>
          <w:p>
            <w:pPr>
              <w:pStyle w:val="TableParagraph"/>
              <w:spacing w:line="281" w:lineRule="exact"/>
              <w:ind w:left="149" w:right="117"/>
              <w:rPr>
                <w:sz w:val="21"/>
              </w:rPr>
            </w:pPr>
            <w:r>
              <w:rPr>
                <w:sz w:val="21"/>
              </w:rPr>
              <w:t>达标</w:t>
            </w:r>
          </w:p>
        </w:tc>
      </w:tr>
    </w:tbl>
    <w:p>
      <w:pPr>
        <w:pStyle w:val="ListParagraph"/>
        <w:numPr>
          <w:ilvl w:val="3"/>
          <w:numId w:val="5"/>
        </w:numPr>
        <w:tabs>
          <w:tab w:pos="1358" w:val="left" w:leader="none"/>
        </w:tabs>
        <w:spacing w:line="454" w:lineRule="exact" w:before="0" w:after="0"/>
        <w:ind w:left="1358" w:right="0" w:hanging="780"/>
        <w:jc w:val="left"/>
        <w:rPr>
          <w:rFonts w:ascii="Times New Roman" w:eastAsia="Times New Roman"/>
          <w:sz w:val="24"/>
        </w:rPr>
      </w:pPr>
      <w:r>
        <w:rPr>
          <w:sz w:val="24"/>
        </w:rPr>
        <w:t>环境空气保护目标及网格点环境质量现状浓度</w:t>
      </w:r>
    </w:p>
    <w:p>
      <w:pPr>
        <w:pStyle w:val="BodyText"/>
        <w:spacing w:line="468" w:lineRule="exact"/>
        <w:ind w:left="1058"/>
      </w:pPr>
      <w:r>
        <w:rPr/>
        <w:t>（</w:t>
      </w:r>
      <w:r>
        <w:rPr>
          <w:rFonts w:ascii="Times New Roman" w:eastAsia="Times New Roman"/>
        </w:rPr>
        <w:t>1</w:t>
      </w:r>
      <w:r>
        <w:rPr/>
        <w:t>）基本污染物</w:t>
      </w:r>
    </w:p>
    <w:p>
      <w:pPr>
        <w:pStyle w:val="BodyText"/>
        <w:spacing w:line="220" w:lineRule="auto" w:before="8"/>
        <w:ind w:left="578" w:right="873" w:firstLine="479"/>
        <w:jc w:val="both"/>
      </w:pPr>
      <w:r>
        <w:rPr/>
        <w:t>根据《环境影响评价技术导则 大气环境》（</w:t>
      </w:r>
      <w:r>
        <w:rPr>
          <w:rFonts w:ascii="Times New Roman" w:eastAsia="Times New Roman"/>
        </w:rPr>
        <w:t>HJ2.2-2018</w:t>
      </w:r>
      <w:r>
        <w:rPr/>
        <w:t>）中 </w:t>
      </w:r>
      <w:r>
        <w:rPr>
          <w:rFonts w:ascii="Times New Roman" w:eastAsia="Times New Roman"/>
        </w:rPr>
        <w:t>6.4.3.1</w:t>
      </w:r>
      <w:r>
        <w:rPr/>
        <w:t>，对采用多个长期监测点位数据进行现状评价的，取各污染物相同时刻各监测点位的浓度平均值，作为评价范围内环境空气保护目标及网格点环境质量浓度现状。本项目基本污染物的长期监测点位为莒南县开发区监测站，该点位各个时刻的基本污染物浓度即为评价区域的环境空气保护目标及网格点环境质量浓度现</w:t>
      </w:r>
    </w:p>
    <w:p>
      <w:pPr>
        <w:spacing w:after="0" w:line="220" w:lineRule="auto"/>
        <w:jc w:val="both"/>
        <w:sectPr>
          <w:pgSz w:w="11910" w:h="16840"/>
          <w:pgMar w:header="877" w:footer="973" w:top="1340" w:bottom="1160" w:left="1220" w:right="1040"/>
        </w:sectPr>
      </w:pPr>
    </w:p>
    <w:p>
      <w:pPr>
        <w:pStyle w:val="BodyText"/>
        <w:spacing w:line="488" w:lineRule="exact" w:before="48"/>
        <w:ind w:left="578"/>
      </w:pPr>
      <w:r>
        <w:rPr/>
        <w:t>状。</w:t>
      </w:r>
    </w:p>
    <w:p>
      <w:pPr>
        <w:pStyle w:val="BodyText"/>
        <w:spacing w:line="468" w:lineRule="exact"/>
        <w:ind w:left="1058"/>
      </w:pPr>
      <w:r>
        <w:rPr/>
        <w:t>（</w:t>
      </w:r>
      <w:r>
        <w:rPr>
          <w:rFonts w:ascii="Times New Roman" w:eastAsia="Times New Roman"/>
        </w:rPr>
        <w:t>2</w:t>
      </w:r>
      <w:r>
        <w:rPr/>
        <w:t>）特征污染物</w:t>
      </w:r>
    </w:p>
    <w:p>
      <w:pPr>
        <w:pStyle w:val="BodyText"/>
        <w:spacing w:line="220" w:lineRule="auto" w:before="8"/>
        <w:ind w:left="578" w:right="873" w:firstLine="479"/>
        <w:jc w:val="both"/>
      </w:pPr>
      <w:r>
        <w:rPr/>
        <w:t>根据《环境影响评价技术导则 大气环境》（</w:t>
      </w:r>
      <w:r>
        <w:rPr>
          <w:rFonts w:ascii="Times New Roman" w:eastAsia="Times New Roman"/>
        </w:rPr>
        <w:t>HJ2.2-2018</w:t>
      </w:r>
      <w:r>
        <w:rPr/>
        <w:t>）中 </w:t>
      </w:r>
      <w:r>
        <w:rPr>
          <w:rFonts w:ascii="Times New Roman" w:eastAsia="Times New Roman"/>
        </w:rPr>
        <w:t>6.4.3.2</w:t>
      </w:r>
      <w:r>
        <w:rPr/>
        <w:t>，对采用补充监测数据进行现状评价的，环境空气保护目标及网格点（</w:t>
      </w:r>
      <w:r>
        <w:rPr>
          <w:rFonts w:ascii="Times New Roman" w:eastAsia="Times New Roman"/>
        </w:rPr>
        <w:t>x</w:t>
      </w:r>
      <w:r>
        <w:rPr/>
        <w:t>，</w:t>
      </w:r>
      <w:r>
        <w:rPr>
          <w:rFonts w:ascii="Times New Roman" w:eastAsia="Times New Roman"/>
        </w:rPr>
        <w:t>y</w:t>
      </w:r>
      <w:r>
        <w:rPr/>
        <w:t>）环境质量现状浓度计算公示如下：</w:t>
      </w:r>
    </w:p>
    <w:p>
      <w:pPr>
        <w:pStyle w:val="BodyText"/>
        <w:spacing w:before="15"/>
        <w:rPr>
          <w:sz w:val="20"/>
        </w:rPr>
      </w:pPr>
      <w:r>
        <w:rPr/>
        <w:drawing>
          <wp:anchor distT="0" distB="0" distL="0" distR="0" allowOverlap="1" layoutInCell="1" locked="0" behindDoc="1" simplePos="0" relativeHeight="268434551">
            <wp:simplePos x="0" y="0"/>
            <wp:positionH relativeFrom="page">
              <wp:posOffset>2247942</wp:posOffset>
            </wp:positionH>
            <wp:positionV relativeFrom="paragraph">
              <wp:posOffset>303954</wp:posOffset>
            </wp:positionV>
            <wp:extent cx="3025293" cy="372713"/>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9" cstate="print"/>
                    <a:stretch>
                      <a:fillRect/>
                    </a:stretch>
                  </pic:blipFill>
                  <pic:spPr>
                    <a:xfrm>
                      <a:off x="0" y="0"/>
                      <a:ext cx="3025293" cy="372713"/>
                    </a:xfrm>
                    <a:prstGeom prst="rect">
                      <a:avLst/>
                    </a:prstGeom>
                  </pic:spPr>
                </pic:pic>
              </a:graphicData>
            </a:graphic>
          </wp:anchor>
        </w:drawing>
      </w:r>
    </w:p>
    <w:p>
      <w:pPr>
        <w:pStyle w:val="BodyText"/>
        <w:spacing w:before="5"/>
        <w:rPr>
          <w:sz w:val="15"/>
        </w:rPr>
      </w:pPr>
    </w:p>
    <w:p>
      <w:pPr>
        <w:pStyle w:val="BodyText"/>
        <w:spacing w:line="220" w:lineRule="auto"/>
        <w:ind w:left="580" w:right="673" w:firstLine="477"/>
      </w:pPr>
      <w:r>
        <w:rPr>
          <w:position w:val="2"/>
        </w:rPr>
        <w:t>式中，</w:t>
      </w:r>
      <w:r>
        <w:rPr>
          <w:rFonts w:ascii="Times New Roman" w:hAnsi="Times New Roman" w:eastAsia="Times New Roman"/>
          <w:position w:val="2"/>
        </w:rPr>
        <w:t>C </w:t>
      </w:r>
      <w:r>
        <w:rPr>
          <w:sz w:val="12"/>
        </w:rPr>
        <w:t>现状（</w:t>
      </w:r>
      <w:r>
        <w:rPr>
          <w:rFonts w:ascii="Times New Roman" w:hAnsi="Times New Roman" w:eastAsia="Times New Roman"/>
          <w:sz w:val="16"/>
        </w:rPr>
        <w:t>x,y</w:t>
      </w:r>
      <w:r>
        <w:rPr>
          <w:sz w:val="12"/>
        </w:rPr>
        <w:t>） </w:t>
      </w:r>
      <w:r>
        <w:rPr>
          <w:rFonts w:ascii="Times New Roman" w:hAnsi="Times New Roman" w:eastAsia="Times New Roman"/>
          <w:position w:val="2"/>
        </w:rPr>
        <w:t>----</w:t>
      </w:r>
      <w:r>
        <w:rPr>
          <w:position w:val="2"/>
        </w:rPr>
        <w:t>环境空气保护目标及网格点（</w:t>
      </w:r>
      <w:r>
        <w:rPr>
          <w:rFonts w:ascii="Times New Roman" w:hAnsi="Times New Roman" w:eastAsia="Times New Roman"/>
          <w:position w:val="2"/>
        </w:rPr>
        <w:t>x,y</w:t>
      </w:r>
      <w:r>
        <w:rPr>
          <w:position w:val="2"/>
        </w:rPr>
        <w:t>）环境质量现状浓度， </w:t>
      </w:r>
      <w:r>
        <w:rPr>
          <w:rFonts w:ascii="Times New Roman" w:hAnsi="Times New Roman" w:eastAsia="Times New Roman"/>
        </w:rPr>
        <w:t>µg/m </w:t>
      </w:r>
      <w:r>
        <w:rPr>
          <w:rFonts w:ascii="Times New Roman" w:hAnsi="Times New Roman" w:eastAsia="Times New Roman"/>
          <w:position w:val="9"/>
          <w:sz w:val="16"/>
        </w:rPr>
        <w:t>3</w:t>
      </w:r>
      <w:r>
        <w:rPr/>
        <w:t>；</w:t>
      </w:r>
    </w:p>
    <w:p>
      <w:pPr>
        <w:spacing w:line="459" w:lineRule="exact" w:before="0"/>
        <w:ind w:left="1058" w:right="0" w:firstLine="0"/>
        <w:jc w:val="left"/>
        <w:rPr>
          <w:sz w:val="24"/>
        </w:rPr>
      </w:pPr>
      <w:r>
        <w:rPr>
          <w:rFonts w:ascii="Times New Roman" w:eastAsia="Times New Roman"/>
          <w:position w:val="2"/>
          <w:sz w:val="24"/>
        </w:rPr>
        <w:t>C </w:t>
      </w:r>
      <w:r>
        <w:rPr>
          <w:sz w:val="12"/>
        </w:rPr>
        <w:t>监测（  </w:t>
      </w:r>
      <w:r>
        <w:rPr>
          <w:rFonts w:ascii="Times New Roman" w:eastAsia="Times New Roman"/>
          <w:sz w:val="16"/>
        </w:rPr>
        <w:t>x,y </w:t>
      </w:r>
      <w:r>
        <w:rPr>
          <w:sz w:val="12"/>
        </w:rPr>
        <w:t>）</w:t>
      </w:r>
      <w:r>
        <w:rPr>
          <w:rFonts w:ascii="Times New Roman" w:eastAsia="Times New Roman"/>
          <w:position w:val="2"/>
          <w:sz w:val="24"/>
        </w:rPr>
        <w:t>----</w:t>
      </w:r>
      <w:r>
        <w:rPr>
          <w:position w:val="2"/>
          <w:sz w:val="24"/>
        </w:rPr>
        <w:t>第 </w:t>
      </w:r>
      <w:r>
        <w:rPr>
          <w:rFonts w:ascii="Times New Roman" w:eastAsia="Times New Roman"/>
          <w:position w:val="2"/>
          <w:sz w:val="24"/>
        </w:rPr>
        <w:t>j </w:t>
      </w:r>
      <w:r>
        <w:rPr>
          <w:position w:val="2"/>
          <w:sz w:val="24"/>
        </w:rPr>
        <w:t>个监测点位在 </w:t>
      </w:r>
      <w:r>
        <w:rPr>
          <w:rFonts w:ascii="Times New Roman" w:eastAsia="Times New Roman"/>
          <w:position w:val="2"/>
          <w:sz w:val="24"/>
        </w:rPr>
        <w:t>t </w:t>
      </w:r>
      <w:r>
        <w:rPr>
          <w:position w:val="2"/>
          <w:sz w:val="24"/>
        </w:rPr>
        <w:t>时刻环境质量现状浓度（包括 </w:t>
      </w:r>
      <w:r>
        <w:rPr>
          <w:rFonts w:ascii="Times New Roman" w:eastAsia="Times New Roman"/>
          <w:position w:val="2"/>
          <w:sz w:val="24"/>
        </w:rPr>
        <w:t>1h </w:t>
      </w:r>
      <w:r>
        <w:rPr>
          <w:position w:val="2"/>
          <w:sz w:val="24"/>
        </w:rPr>
        <w:t>平均、</w:t>
      </w:r>
    </w:p>
    <w:p>
      <w:pPr>
        <w:pStyle w:val="BodyText"/>
        <w:spacing w:line="468" w:lineRule="exact"/>
        <w:ind w:left="578"/>
      </w:pPr>
      <w:r>
        <w:rPr>
          <w:rFonts w:ascii="Times New Roman" w:hAnsi="Times New Roman" w:eastAsia="Times New Roman"/>
        </w:rPr>
        <w:t>8h</w:t>
      </w:r>
      <w:r>
        <w:rPr>
          <w:rFonts w:ascii="Times New Roman" w:hAnsi="Times New Roman" w:eastAsia="Times New Roman"/>
          <w:spacing w:val="-1"/>
        </w:rPr>
        <w:t> </w:t>
      </w:r>
      <w:r>
        <w:rPr/>
        <w:t>平均或日平均质量浓度</w:t>
      </w:r>
      <w:r>
        <w:rPr>
          <w:spacing w:val="-120"/>
        </w:rPr>
        <w:t>）</w:t>
      </w:r>
      <w:r>
        <w:rPr>
          <w:spacing w:val="2"/>
        </w:rPr>
        <w:t>，</w:t>
      </w:r>
      <w:r>
        <w:rPr>
          <w:rFonts w:ascii="Times New Roman" w:hAnsi="Times New Roman" w:eastAsia="Times New Roman"/>
          <w:spacing w:val="-26"/>
        </w:rPr>
        <w:t>µ</w:t>
      </w:r>
      <w:r>
        <w:rPr>
          <w:rFonts w:ascii="Times New Roman" w:hAnsi="Times New Roman" w:eastAsia="Times New Roman"/>
          <w:spacing w:val="-3"/>
        </w:rPr>
        <w:t>g</w:t>
      </w:r>
      <w:r>
        <w:rPr>
          <w:rFonts w:ascii="Times New Roman" w:hAnsi="Times New Roman" w:eastAsia="Times New Roman"/>
        </w:rPr>
        <w:t>/m</w:t>
      </w:r>
      <w:r>
        <w:rPr>
          <w:rFonts w:ascii="Times New Roman" w:hAnsi="Times New Roman" w:eastAsia="Times New Roman"/>
          <w:spacing w:val="-35"/>
        </w:rPr>
        <w:t> </w:t>
      </w:r>
      <w:r>
        <w:rPr>
          <w:rFonts w:ascii="Times New Roman" w:hAnsi="Times New Roman" w:eastAsia="Times New Roman"/>
          <w:spacing w:val="1"/>
          <w:w w:val="100"/>
          <w:position w:val="9"/>
          <w:sz w:val="16"/>
        </w:rPr>
        <w:t>3</w:t>
      </w:r>
      <w:r>
        <w:rPr/>
        <w:t>；</w:t>
      </w:r>
    </w:p>
    <w:p>
      <w:pPr>
        <w:pStyle w:val="BodyText"/>
        <w:spacing w:line="468" w:lineRule="exact"/>
        <w:ind w:left="1058"/>
      </w:pPr>
      <w:r>
        <w:rPr>
          <w:rFonts w:ascii="Times New Roman" w:hAnsi="Times New Roman" w:eastAsia="Times New Roman"/>
          <w:w w:val="105"/>
        </w:rPr>
        <w:t>n</w:t>
      </w:r>
      <w:r>
        <w:rPr>
          <w:w w:val="105"/>
        </w:rPr>
        <w:t>—环境补充监测点位数。</w:t>
      </w:r>
    </w:p>
    <w:p>
      <w:pPr>
        <w:pStyle w:val="BodyText"/>
        <w:spacing w:line="220" w:lineRule="auto"/>
        <w:ind w:left="578" w:right="880" w:firstLine="479"/>
      </w:pPr>
      <w:r>
        <w:rPr/>
        <w:t>本次氯化氢、甲醛、硫化氢、氨、臭气浓度、硫酸雾、甲苯的四个监测时段的监测浓度见下表。</w:t>
      </w:r>
    </w:p>
    <w:p>
      <w:pPr>
        <w:tabs>
          <w:tab w:pos="3391" w:val="left" w:leader="none"/>
        </w:tabs>
        <w:spacing w:before="158" w:after="25"/>
        <w:ind w:left="2373" w:right="0" w:firstLine="0"/>
        <w:jc w:val="left"/>
        <w:rPr>
          <w:sz w:val="21"/>
        </w:rPr>
      </w:pPr>
      <w:r>
        <w:rPr/>
        <w:pict>
          <v:shape style="position:absolute;margin-left:162.380005pt;margin-top:57.040989pt;width:31.6pt;height:29.8pt;mso-position-horizontal-relative:page;mso-position-vertical-relative:paragraph;z-index:-1114144" coordorigin="3248,1141" coordsize="632,596" path="m3843,1453l3284,1453,3284,1736,3843,1736,3843,1453m3879,1141l3248,1141,3248,1436,3879,1436,3879,1141e" filled="true" fillcolor="#ffff00" stroked="false">
            <v:path arrowok="t"/>
            <v:fill type="solid"/>
            <w10:wrap type="none"/>
          </v:shape>
        </w:pict>
      </w:r>
      <w:r>
        <w:rPr/>
        <w:pict>
          <v:shape style="position:absolute;margin-left:224.090012pt;margin-top:57.040989pt;width:28pt;height:29.8pt;mso-position-horizontal-relative:page;mso-position-vertical-relative:paragraph;z-index:-1114120" coordorigin="4482,1141" coordsize="560,596" path="m4971,1141l4551,1141,4551,1436,4971,1436,4971,1141m5041,1453l4482,1453,4482,1736,5041,1736,5041,1453e" filled="true" fillcolor="#ffff00" stroked="false">
            <v:path arrowok="t"/>
            <v:fill type="solid"/>
            <w10:wrap type="none"/>
          </v:shape>
        </w:pict>
      </w:r>
      <w:r>
        <w:rPr>
          <w:sz w:val="21"/>
        </w:rPr>
        <w:t>表</w:t>
      </w:r>
      <w:r>
        <w:rPr>
          <w:spacing w:val="8"/>
          <w:sz w:val="21"/>
        </w:rPr>
        <w:t> </w:t>
      </w:r>
      <w:r>
        <w:rPr>
          <w:rFonts w:ascii="Times New Roman" w:eastAsia="Times New Roman"/>
          <w:b/>
          <w:sz w:val="21"/>
        </w:rPr>
        <w:t>5.4-13</w:t>
        <w:tab/>
      </w:r>
      <w:r>
        <w:rPr>
          <w:sz w:val="21"/>
        </w:rPr>
        <w:t>不同监测时</w:t>
      </w:r>
      <w:r>
        <w:rPr>
          <w:spacing w:val="-3"/>
          <w:sz w:val="21"/>
        </w:rPr>
        <w:t>段</w:t>
      </w:r>
      <w:r>
        <w:rPr>
          <w:sz w:val="21"/>
        </w:rPr>
        <w:t>的各监测点位浓度</w:t>
      </w:r>
      <w:r>
        <w:rPr>
          <w:spacing w:val="-3"/>
          <w:sz w:val="21"/>
        </w:rPr>
        <w:t>平</w:t>
      </w:r>
      <w:r>
        <w:rPr>
          <w:sz w:val="21"/>
        </w:rPr>
        <w:t>均值</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3"/>
        <w:gridCol w:w="1260"/>
        <w:gridCol w:w="1139"/>
        <w:gridCol w:w="1346"/>
        <w:gridCol w:w="998"/>
        <w:gridCol w:w="773"/>
        <w:gridCol w:w="820"/>
        <w:gridCol w:w="945"/>
      </w:tblGrid>
      <w:tr>
        <w:trPr>
          <w:trHeight w:val="311" w:hRule="atLeast"/>
        </w:trPr>
        <w:tc>
          <w:tcPr>
            <w:tcW w:w="1243" w:type="dxa"/>
            <w:vMerge w:val="restart"/>
            <w:tcBorders>
              <w:bottom w:val="single" w:sz="6" w:space="0" w:color="000000"/>
              <w:right w:val="single" w:sz="6" w:space="0" w:color="000000"/>
            </w:tcBorders>
          </w:tcPr>
          <w:p>
            <w:pPr>
              <w:pStyle w:val="TableParagraph"/>
              <w:spacing w:before="17"/>
              <w:jc w:val="left"/>
              <w:rPr>
                <w:sz w:val="18"/>
              </w:rPr>
            </w:pPr>
          </w:p>
          <w:p>
            <w:pPr>
              <w:pStyle w:val="TableParagraph"/>
              <w:ind w:left="200"/>
              <w:jc w:val="left"/>
              <w:rPr>
                <w:sz w:val="21"/>
              </w:rPr>
            </w:pPr>
            <w:r>
              <w:rPr>
                <w:sz w:val="21"/>
              </w:rPr>
              <w:t>评价时段</w:t>
            </w:r>
          </w:p>
        </w:tc>
        <w:tc>
          <w:tcPr>
            <w:tcW w:w="7281" w:type="dxa"/>
            <w:gridSpan w:val="7"/>
            <w:tcBorders>
              <w:left w:val="single" w:sz="6" w:space="0" w:color="000000"/>
              <w:bottom w:val="single" w:sz="6" w:space="0" w:color="000000"/>
            </w:tcBorders>
          </w:tcPr>
          <w:p>
            <w:pPr>
              <w:pStyle w:val="TableParagraph"/>
              <w:spacing w:line="291" w:lineRule="exact"/>
              <w:ind w:left="2597"/>
              <w:jc w:val="left"/>
              <w:rPr>
                <w:sz w:val="21"/>
              </w:rPr>
            </w:pPr>
            <w:r>
              <w:rPr>
                <w:sz w:val="21"/>
              </w:rPr>
              <w:t>相同时刻各监测点位平均值</w:t>
            </w:r>
          </w:p>
        </w:tc>
      </w:tr>
      <w:tr>
        <w:trPr>
          <w:trHeight w:val="937" w:hRule="atLeast"/>
        </w:trPr>
        <w:tc>
          <w:tcPr>
            <w:tcW w:w="1243" w:type="dxa"/>
            <w:vMerge/>
            <w:tcBorders>
              <w:top w:val="nil"/>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432" w:lineRule="exact" w:before="80"/>
              <w:ind w:left="321"/>
              <w:jc w:val="left"/>
              <w:rPr>
                <w:sz w:val="21"/>
              </w:rPr>
            </w:pPr>
            <w:r>
              <w:rPr>
                <w:sz w:val="21"/>
              </w:rPr>
              <w:t>氯化氢</w:t>
            </w:r>
          </w:p>
          <w:p>
            <w:pPr>
              <w:pStyle w:val="TableParagraph"/>
              <w:spacing w:line="233" w:lineRule="exact"/>
              <w:ind w:left="357"/>
              <w:jc w:val="left"/>
              <w:rPr>
                <w:rFonts w:ascii="Times New Roman"/>
                <w:sz w:val="14"/>
              </w:rPr>
            </w:pPr>
            <w:r>
              <w:rPr>
                <w:rFonts w:ascii="Times New Roman"/>
                <w:sz w:val="21"/>
              </w:rPr>
              <w:t>mg/m</w:t>
            </w:r>
            <w:r>
              <w:rPr>
                <w:rFonts w:ascii="Times New Roman"/>
                <w:position w:val="7"/>
                <w:sz w:val="14"/>
              </w:rPr>
              <w:t>3</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432" w:lineRule="exact" w:before="80"/>
              <w:ind w:left="365"/>
              <w:jc w:val="left"/>
              <w:rPr>
                <w:sz w:val="21"/>
              </w:rPr>
            </w:pPr>
            <w:r>
              <w:rPr>
                <w:sz w:val="21"/>
              </w:rPr>
              <w:t>甲醛</w:t>
            </w:r>
          </w:p>
          <w:p>
            <w:pPr>
              <w:pStyle w:val="TableParagraph"/>
              <w:spacing w:line="233" w:lineRule="exact"/>
              <w:ind w:left="295"/>
              <w:jc w:val="left"/>
              <w:rPr>
                <w:rFonts w:ascii="Times New Roman"/>
                <w:sz w:val="14"/>
              </w:rPr>
            </w:pPr>
            <w:r>
              <w:rPr>
                <w:rFonts w:ascii="Times New Roman"/>
                <w:sz w:val="21"/>
              </w:rPr>
              <w:t>mg/m</w:t>
            </w:r>
            <w:r>
              <w:rPr>
                <w:rFonts w:ascii="Times New Roman"/>
                <w:position w:val="7"/>
                <w:sz w:val="14"/>
              </w:rPr>
              <w:t>3</w:t>
            </w:r>
          </w:p>
        </w:tc>
        <w:tc>
          <w:tcPr>
            <w:tcW w:w="1346" w:type="dxa"/>
            <w:tcBorders>
              <w:top w:val="single" w:sz="6" w:space="0" w:color="000000"/>
              <w:left w:val="single" w:sz="6" w:space="0" w:color="000000"/>
              <w:bottom w:val="single" w:sz="6" w:space="0" w:color="000000"/>
              <w:right w:val="single" w:sz="6" w:space="0" w:color="000000"/>
            </w:tcBorders>
          </w:tcPr>
          <w:p>
            <w:pPr>
              <w:pStyle w:val="TableParagraph"/>
              <w:spacing w:line="432" w:lineRule="exact" w:before="80"/>
              <w:ind w:left="363"/>
              <w:jc w:val="left"/>
              <w:rPr>
                <w:sz w:val="21"/>
              </w:rPr>
            </w:pPr>
            <w:r>
              <w:rPr>
                <w:sz w:val="21"/>
              </w:rPr>
              <w:t>硫化氢</w:t>
            </w:r>
          </w:p>
          <w:p>
            <w:pPr>
              <w:pStyle w:val="TableParagraph"/>
              <w:spacing w:line="233" w:lineRule="exact"/>
              <w:ind w:left="399"/>
              <w:jc w:val="left"/>
              <w:rPr>
                <w:rFonts w:ascii="Times New Roman"/>
                <w:sz w:val="14"/>
              </w:rPr>
            </w:pPr>
            <w:r>
              <w:rPr>
                <w:rFonts w:ascii="Times New Roman"/>
                <w:sz w:val="21"/>
              </w:rPr>
              <w:t>mg/m</w:t>
            </w:r>
            <w:r>
              <w:rPr>
                <w:rFonts w:ascii="Times New Roman"/>
                <w:position w:val="7"/>
                <w:sz w:val="14"/>
              </w:rPr>
              <w:t>3</w:t>
            </w:r>
          </w:p>
        </w:tc>
        <w:tc>
          <w:tcPr>
            <w:tcW w:w="998" w:type="dxa"/>
            <w:tcBorders>
              <w:top w:val="single" w:sz="6" w:space="0" w:color="000000"/>
              <w:left w:val="single" w:sz="6" w:space="0" w:color="000000"/>
              <w:bottom w:val="single" w:sz="6" w:space="0" w:color="000000"/>
              <w:right w:val="single" w:sz="4" w:space="0" w:color="000000"/>
            </w:tcBorders>
          </w:tcPr>
          <w:p>
            <w:pPr>
              <w:pStyle w:val="TableParagraph"/>
              <w:spacing w:line="432" w:lineRule="exact" w:before="80"/>
              <w:ind w:left="31"/>
              <w:rPr>
                <w:sz w:val="21"/>
              </w:rPr>
            </w:pPr>
            <w:r>
              <w:rPr>
                <w:w w:val="100"/>
                <w:sz w:val="21"/>
              </w:rPr>
              <w:t>氨</w:t>
            </w:r>
          </w:p>
          <w:p>
            <w:pPr>
              <w:pStyle w:val="TableParagraph"/>
              <w:spacing w:line="233" w:lineRule="exact"/>
              <w:ind w:left="205" w:right="179"/>
              <w:rPr>
                <w:rFonts w:ascii="Times New Roman"/>
                <w:sz w:val="14"/>
              </w:rPr>
            </w:pPr>
            <w:r>
              <w:rPr>
                <w:rFonts w:ascii="Times New Roman"/>
                <w:sz w:val="21"/>
              </w:rPr>
              <w:t>mg/m</w:t>
            </w:r>
            <w:r>
              <w:rPr>
                <w:rFonts w:ascii="Times New Roman"/>
                <w:position w:val="7"/>
                <w:sz w:val="14"/>
              </w:rPr>
              <w:t>3</w:t>
            </w:r>
          </w:p>
        </w:tc>
        <w:tc>
          <w:tcPr>
            <w:tcW w:w="773" w:type="dxa"/>
            <w:tcBorders>
              <w:top w:val="single" w:sz="6" w:space="0" w:color="000000"/>
              <w:left w:val="single" w:sz="4" w:space="0" w:color="000000"/>
              <w:bottom w:val="single" w:sz="6" w:space="0" w:color="000000"/>
              <w:right w:val="single" w:sz="4" w:space="0" w:color="000000"/>
            </w:tcBorders>
          </w:tcPr>
          <w:p>
            <w:pPr>
              <w:pStyle w:val="TableParagraph"/>
              <w:spacing w:line="168" w:lineRule="auto" w:before="173"/>
              <w:ind w:left="187" w:right="151"/>
              <w:jc w:val="left"/>
              <w:rPr>
                <w:sz w:val="21"/>
              </w:rPr>
            </w:pPr>
            <w:r>
              <w:rPr>
                <w:sz w:val="21"/>
              </w:rPr>
              <w:t>臭气浓度</w:t>
            </w:r>
          </w:p>
        </w:tc>
        <w:tc>
          <w:tcPr>
            <w:tcW w:w="820" w:type="dxa"/>
            <w:tcBorders>
              <w:top w:val="single" w:sz="6" w:space="0" w:color="000000"/>
              <w:left w:val="single" w:sz="4" w:space="0" w:color="000000"/>
              <w:bottom w:val="single" w:sz="6" w:space="0" w:color="000000"/>
              <w:right w:val="single" w:sz="6" w:space="0" w:color="000000"/>
            </w:tcBorders>
          </w:tcPr>
          <w:p>
            <w:pPr>
              <w:pStyle w:val="TableParagraph"/>
              <w:spacing w:line="168" w:lineRule="auto" w:before="17"/>
              <w:ind w:left="317" w:right="171" w:hanging="106"/>
              <w:jc w:val="left"/>
              <w:rPr>
                <w:sz w:val="21"/>
              </w:rPr>
            </w:pPr>
            <w:r>
              <w:rPr>
                <w:sz w:val="21"/>
              </w:rPr>
              <w:t>硫酸雾</w:t>
            </w:r>
          </w:p>
          <w:p>
            <w:pPr>
              <w:pStyle w:val="TableParagraph"/>
              <w:spacing w:before="15"/>
              <w:ind w:left="142"/>
              <w:jc w:val="left"/>
              <w:rPr>
                <w:rFonts w:ascii="Times New Roman"/>
                <w:sz w:val="14"/>
              </w:rPr>
            </w:pPr>
            <w:r>
              <w:rPr>
                <w:rFonts w:ascii="Times New Roman"/>
                <w:sz w:val="21"/>
              </w:rPr>
              <w:t>mg/m</w:t>
            </w:r>
            <w:r>
              <w:rPr>
                <w:rFonts w:ascii="Times New Roman"/>
                <w:position w:val="7"/>
                <w:sz w:val="14"/>
              </w:rPr>
              <w:t>3</w:t>
            </w:r>
          </w:p>
        </w:tc>
        <w:tc>
          <w:tcPr>
            <w:tcW w:w="945" w:type="dxa"/>
            <w:tcBorders>
              <w:top w:val="single" w:sz="6" w:space="0" w:color="000000"/>
              <w:left w:val="single" w:sz="6" w:space="0" w:color="000000"/>
              <w:bottom w:val="single" w:sz="6" w:space="0" w:color="000000"/>
            </w:tcBorders>
          </w:tcPr>
          <w:p>
            <w:pPr>
              <w:pStyle w:val="TableParagraph"/>
              <w:spacing w:line="432" w:lineRule="exact" w:before="80"/>
              <w:ind w:left="275"/>
              <w:jc w:val="left"/>
              <w:rPr>
                <w:sz w:val="21"/>
              </w:rPr>
            </w:pPr>
            <w:r>
              <w:rPr>
                <w:sz w:val="21"/>
              </w:rPr>
              <w:t>甲苯</w:t>
            </w:r>
          </w:p>
          <w:p>
            <w:pPr>
              <w:pStyle w:val="TableParagraph"/>
              <w:spacing w:line="233" w:lineRule="exact"/>
              <w:ind w:left="205"/>
              <w:jc w:val="left"/>
              <w:rPr>
                <w:rFonts w:ascii="Times New Roman"/>
                <w:sz w:val="14"/>
              </w:rPr>
            </w:pPr>
            <w:r>
              <w:rPr>
                <w:rFonts w:ascii="Times New Roman"/>
                <w:sz w:val="21"/>
              </w:rPr>
              <w:t>mg/m</w:t>
            </w:r>
            <w:r>
              <w:rPr>
                <w:rFonts w:ascii="Times New Roman"/>
                <w:position w:val="7"/>
                <w:sz w:val="14"/>
              </w:rPr>
              <w:t>3</w:t>
            </w:r>
          </w:p>
        </w:tc>
      </w:tr>
      <w:tr>
        <w:trPr>
          <w:trHeight w:val="311" w:hRule="atLeast"/>
        </w:trPr>
        <w:tc>
          <w:tcPr>
            <w:tcW w:w="1243" w:type="dxa"/>
            <w:tcBorders>
              <w:top w:val="single" w:sz="6" w:space="0" w:color="000000"/>
              <w:bottom w:val="single" w:sz="6" w:space="0" w:color="000000"/>
              <w:right w:val="single" w:sz="6" w:space="0" w:color="000000"/>
            </w:tcBorders>
          </w:tcPr>
          <w:p>
            <w:pPr>
              <w:pStyle w:val="TableParagraph"/>
              <w:spacing w:before="34"/>
              <w:ind w:left="87" w:right="66"/>
              <w:rPr>
                <w:rFonts w:ascii="Times New Roman"/>
                <w:sz w:val="21"/>
              </w:rPr>
            </w:pPr>
            <w:r>
              <w:rPr>
                <w:rFonts w:ascii="Times New Roman"/>
                <w:sz w:val="21"/>
              </w:rPr>
              <w:t>02:00-03:00</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4"/>
              <w:ind w:right="367"/>
              <w:jc w:val="right"/>
              <w:rPr>
                <w:rFonts w:ascii="Times New Roman"/>
                <w:sz w:val="21"/>
              </w:rPr>
            </w:pPr>
            <w:r>
              <w:rPr>
                <w:rFonts w:ascii="Times New Roman"/>
                <w:sz w:val="21"/>
                <w:shd w:fill="FFFF00" w:color="auto" w:val="clear"/>
              </w:rPr>
              <w:t>0.085</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34"/>
              <w:ind w:right="307"/>
              <w:jc w:val="right"/>
              <w:rPr>
                <w:rFonts w:ascii="Times New Roman"/>
                <w:sz w:val="21"/>
              </w:rPr>
            </w:pPr>
            <w:r>
              <w:rPr>
                <w:rFonts w:ascii="Times New Roman"/>
                <w:sz w:val="21"/>
                <w:shd w:fill="FFFF00" w:color="auto" w:val="clear"/>
              </w:rPr>
              <w:t>0.183</w:t>
            </w:r>
          </w:p>
        </w:tc>
        <w:tc>
          <w:tcPr>
            <w:tcW w:w="1346" w:type="dxa"/>
            <w:tcBorders>
              <w:top w:val="single" w:sz="6" w:space="0" w:color="000000"/>
              <w:left w:val="single" w:sz="6" w:space="0" w:color="000000"/>
              <w:bottom w:val="single" w:sz="6" w:space="0" w:color="000000"/>
              <w:right w:val="single" w:sz="6" w:space="0" w:color="000000"/>
            </w:tcBorders>
          </w:tcPr>
          <w:p>
            <w:pPr>
              <w:pStyle w:val="TableParagraph"/>
              <w:spacing w:before="34"/>
              <w:ind w:left="443"/>
              <w:jc w:val="left"/>
              <w:rPr>
                <w:rFonts w:ascii="Times New Roman"/>
                <w:sz w:val="21"/>
              </w:rPr>
            </w:pPr>
            <w:r>
              <w:rPr>
                <w:rFonts w:ascii="Times New Roman"/>
                <w:sz w:val="21"/>
              </w:rPr>
              <w:t>0.002</w:t>
            </w:r>
          </w:p>
        </w:tc>
        <w:tc>
          <w:tcPr>
            <w:tcW w:w="998" w:type="dxa"/>
            <w:tcBorders>
              <w:top w:val="single" w:sz="6" w:space="0" w:color="000000"/>
              <w:left w:val="single" w:sz="6" w:space="0" w:color="000000"/>
              <w:bottom w:val="single" w:sz="6" w:space="0" w:color="000000"/>
              <w:right w:val="single" w:sz="4" w:space="0" w:color="000000"/>
            </w:tcBorders>
          </w:tcPr>
          <w:p>
            <w:pPr>
              <w:pStyle w:val="TableParagraph"/>
              <w:spacing w:before="34"/>
              <w:ind w:left="323"/>
              <w:jc w:val="left"/>
              <w:rPr>
                <w:rFonts w:ascii="Times New Roman"/>
                <w:sz w:val="21"/>
              </w:rPr>
            </w:pPr>
            <w:r>
              <w:rPr>
                <w:rFonts w:ascii="Times New Roman"/>
                <w:sz w:val="21"/>
              </w:rPr>
              <w:t>0.13</w:t>
            </w:r>
          </w:p>
        </w:tc>
        <w:tc>
          <w:tcPr>
            <w:tcW w:w="773" w:type="dxa"/>
            <w:tcBorders>
              <w:top w:val="single" w:sz="6" w:space="0" w:color="000000"/>
              <w:left w:val="single" w:sz="4" w:space="0" w:color="000000"/>
              <w:bottom w:val="single" w:sz="6" w:space="0" w:color="000000"/>
              <w:right w:val="single" w:sz="4" w:space="0" w:color="000000"/>
            </w:tcBorders>
          </w:tcPr>
          <w:p>
            <w:pPr>
              <w:pStyle w:val="TableParagraph"/>
              <w:spacing w:before="34"/>
              <w:ind w:left="293"/>
              <w:jc w:val="left"/>
              <w:rPr>
                <w:rFonts w:ascii="Times New Roman"/>
                <w:sz w:val="21"/>
              </w:rPr>
            </w:pPr>
            <w:r>
              <w:rPr>
                <w:rFonts w:ascii="Times New Roman"/>
                <w:sz w:val="21"/>
              </w:rPr>
              <w:t>31</w:t>
            </w:r>
          </w:p>
        </w:tc>
        <w:tc>
          <w:tcPr>
            <w:tcW w:w="820" w:type="dxa"/>
            <w:tcBorders>
              <w:top w:val="single" w:sz="6" w:space="0" w:color="000000"/>
              <w:left w:val="single" w:sz="4" w:space="0" w:color="000000"/>
              <w:bottom w:val="single" w:sz="6" w:space="0" w:color="000000"/>
              <w:right w:val="single" w:sz="6" w:space="0" w:color="000000"/>
            </w:tcBorders>
          </w:tcPr>
          <w:p>
            <w:pPr>
              <w:pStyle w:val="TableParagraph"/>
              <w:spacing w:before="34"/>
              <w:ind w:left="166" w:right="128"/>
              <w:rPr>
                <w:rFonts w:ascii="Times New Roman"/>
                <w:sz w:val="21"/>
              </w:rPr>
            </w:pPr>
            <w:r>
              <w:rPr>
                <w:rFonts w:ascii="Times New Roman"/>
                <w:sz w:val="21"/>
              </w:rPr>
              <w:t>0.140</w:t>
            </w:r>
          </w:p>
        </w:tc>
        <w:tc>
          <w:tcPr>
            <w:tcW w:w="945" w:type="dxa"/>
            <w:tcBorders>
              <w:top w:val="single" w:sz="6" w:space="0" w:color="000000"/>
              <w:left w:val="single" w:sz="6" w:space="0" w:color="000000"/>
              <w:bottom w:val="single" w:sz="6" w:space="0" w:color="000000"/>
            </w:tcBorders>
          </w:tcPr>
          <w:p>
            <w:pPr>
              <w:pStyle w:val="TableParagraph"/>
              <w:spacing w:before="34"/>
              <w:ind w:left="195"/>
              <w:jc w:val="left"/>
              <w:rPr>
                <w:rFonts w:ascii="Times New Roman"/>
                <w:sz w:val="21"/>
              </w:rPr>
            </w:pPr>
            <w:r>
              <w:rPr>
                <w:rFonts w:ascii="Times New Roman"/>
                <w:sz w:val="21"/>
              </w:rPr>
              <w:t>0.0246</w:t>
            </w:r>
          </w:p>
        </w:tc>
      </w:tr>
      <w:tr>
        <w:trPr>
          <w:trHeight w:val="311" w:hRule="atLeast"/>
        </w:trPr>
        <w:tc>
          <w:tcPr>
            <w:tcW w:w="1243" w:type="dxa"/>
            <w:tcBorders>
              <w:top w:val="single" w:sz="6" w:space="0" w:color="000000"/>
              <w:bottom w:val="single" w:sz="6" w:space="0" w:color="000000"/>
              <w:right w:val="single" w:sz="6" w:space="0" w:color="000000"/>
            </w:tcBorders>
          </w:tcPr>
          <w:p>
            <w:pPr>
              <w:pStyle w:val="TableParagraph"/>
              <w:spacing w:before="34"/>
              <w:ind w:left="87" w:right="66"/>
              <w:rPr>
                <w:rFonts w:ascii="Times New Roman"/>
                <w:sz w:val="21"/>
              </w:rPr>
            </w:pPr>
            <w:r>
              <w:rPr>
                <w:rFonts w:ascii="Times New Roman"/>
                <w:sz w:val="21"/>
              </w:rPr>
              <w:t>08:00-09:00</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4"/>
              <w:ind w:right="367"/>
              <w:jc w:val="right"/>
              <w:rPr>
                <w:rFonts w:ascii="Times New Roman"/>
                <w:sz w:val="21"/>
              </w:rPr>
            </w:pPr>
            <w:r>
              <w:rPr>
                <w:rFonts w:ascii="Times New Roman"/>
                <w:sz w:val="21"/>
                <w:shd w:fill="FFFF00" w:color="auto" w:val="clear"/>
              </w:rPr>
              <w:t>0.092</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34"/>
              <w:ind w:right="307"/>
              <w:jc w:val="right"/>
              <w:rPr>
                <w:rFonts w:ascii="Times New Roman"/>
                <w:sz w:val="21"/>
              </w:rPr>
            </w:pPr>
            <w:r>
              <w:rPr>
                <w:rFonts w:ascii="Times New Roman"/>
                <w:sz w:val="21"/>
                <w:shd w:fill="FFFF00" w:color="auto" w:val="clear"/>
              </w:rPr>
              <w:t>0.196</w:t>
            </w:r>
          </w:p>
        </w:tc>
        <w:tc>
          <w:tcPr>
            <w:tcW w:w="1346" w:type="dxa"/>
            <w:tcBorders>
              <w:top w:val="single" w:sz="6" w:space="0" w:color="000000"/>
              <w:left w:val="single" w:sz="6" w:space="0" w:color="000000"/>
              <w:bottom w:val="single" w:sz="6" w:space="0" w:color="000000"/>
              <w:right w:val="single" w:sz="6" w:space="0" w:color="000000"/>
            </w:tcBorders>
          </w:tcPr>
          <w:p>
            <w:pPr>
              <w:pStyle w:val="TableParagraph"/>
              <w:spacing w:before="34"/>
              <w:ind w:left="443"/>
              <w:jc w:val="left"/>
              <w:rPr>
                <w:rFonts w:ascii="Times New Roman"/>
                <w:sz w:val="21"/>
              </w:rPr>
            </w:pPr>
            <w:r>
              <w:rPr>
                <w:rFonts w:ascii="Times New Roman"/>
                <w:sz w:val="21"/>
              </w:rPr>
              <w:t>0.002</w:t>
            </w:r>
          </w:p>
        </w:tc>
        <w:tc>
          <w:tcPr>
            <w:tcW w:w="998" w:type="dxa"/>
            <w:tcBorders>
              <w:top w:val="single" w:sz="6" w:space="0" w:color="000000"/>
              <w:left w:val="single" w:sz="6" w:space="0" w:color="000000"/>
              <w:bottom w:val="single" w:sz="6" w:space="0" w:color="000000"/>
              <w:right w:val="single" w:sz="4" w:space="0" w:color="000000"/>
            </w:tcBorders>
          </w:tcPr>
          <w:p>
            <w:pPr>
              <w:pStyle w:val="TableParagraph"/>
              <w:spacing w:before="34"/>
              <w:ind w:left="323"/>
              <w:jc w:val="left"/>
              <w:rPr>
                <w:rFonts w:ascii="Times New Roman"/>
                <w:sz w:val="21"/>
              </w:rPr>
            </w:pPr>
            <w:r>
              <w:rPr>
                <w:rFonts w:ascii="Times New Roman"/>
                <w:sz w:val="21"/>
              </w:rPr>
              <w:t>0.15</w:t>
            </w:r>
          </w:p>
        </w:tc>
        <w:tc>
          <w:tcPr>
            <w:tcW w:w="773" w:type="dxa"/>
            <w:tcBorders>
              <w:top w:val="single" w:sz="6" w:space="0" w:color="000000"/>
              <w:left w:val="single" w:sz="4" w:space="0" w:color="000000"/>
              <w:bottom w:val="single" w:sz="6" w:space="0" w:color="000000"/>
              <w:right w:val="single" w:sz="4" w:space="0" w:color="000000"/>
            </w:tcBorders>
          </w:tcPr>
          <w:p>
            <w:pPr>
              <w:pStyle w:val="TableParagraph"/>
              <w:spacing w:before="34"/>
              <w:ind w:left="293"/>
              <w:jc w:val="left"/>
              <w:rPr>
                <w:rFonts w:ascii="Times New Roman"/>
                <w:sz w:val="21"/>
              </w:rPr>
            </w:pPr>
            <w:r>
              <w:rPr>
                <w:rFonts w:ascii="Times New Roman"/>
                <w:sz w:val="21"/>
              </w:rPr>
              <w:t>33</w:t>
            </w:r>
          </w:p>
        </w:tc>
        <w:tc>
          <w:tcPr>
            <w:tcW w:w="820" w:type="dxa"/>
            <w:tcBorders>
              <w:top w:val="single" w:sz="6" w:space="0" w:color="000000"/>
              <w:left w:val="single" w:sz="4" w:space="0" w:color="000000"/>
              <w:bottom w:val="single" w:sz="6" w:space="0" w:color="000000"/>
              <w:right w:val="single" w:sz="6" w:space="0" w:color="000000"/>
            </w:tcBorders>
          </w:tcPr>
          <w:p>
            <w:pPr>
              <w:pStyle w:val="TableParagraph"/>
              <w:spacing w:before="34"/>
              <w:ind w:left="166" w:right="128"/>
              <w:rPr>
                <w:rFonts w:ascii="Times New Roman"/>
                <w:sz w:val="21"/>
              </w:rPr>
            </w:pPr>
            <w:r>
              <w:rPr>
                <w:rFonts w:ascii="Times New Roman"/>
                <w:sz w:val="21"/>
              </w:rPr>
              <w:t>0.142</w:t>
            </w:r>
          </w:p>
        </w:tc>
        <w:tc>
          <w:tcPr>
            <w:tcW w:w="945" w:type="dxa"/>
            <w:tcBorders>
              <w:top w:val="single" w:sz="6" w:space="0" w:color="000000"/>
              <w:left w:val="single" w:sz="6" w:space="0" w:color="000000"/>
              <w:bottom w:val="single" w:sz="6" w:space="0" w:color="000000"/>
            </w:tcBorders>
          </w:tcPr>
          <w:p>
            <w:pPr>
              <w:pStyle w:val="TableParagraph"/>
              <w:spacing w:before="34"/>
              <w:ind w:left="195"/>
              <w:jc w:val="left"/>
              <w:rPr>
                <w:rFonts w:ascii="Times New Roman"/>
                <w:sz w:val="21"/>
              </w:rPr>
            </w:pPr>
            <w:r>
              <w:rPr>
                <w:rFonts w:ascii="Times New Roman"/>
                <w:sz w:val="21"/>
              </w:rPr>
              <w:t>0.0239</w:t>
            </w:r>
          </w:p>
        </w:tc>
      </w:tr>
      <w:tr>
        <w:trPr>
          <w:trHeight w:val="311" w:hRule="atLeast"/>
        </w:trPr>
        <w:tc>
          <w:tcPr>
            <w:tcW w:w="1243" w:type="dxa"/>
            <w:tcBorders>
              <w:top w:val="single" w:sz="6" w:space="0" w:color="000000"/>
              <w:bottom w:val="single" w:sz="6" w:space="0" w:color="000000"/>
              <w:right w:val="single" w:sz="6" w:space="0" w:color="000000"/>
            </w:tcBorders>
          </w:tcPr>
          <w:p>
            <w:pPr>
              <w:pStyle w:val="TableParagraph"/>
              <w:spacing w:before="34"/>
              <w:ind w:left="87" w:right="66"/>
              <w:rPr>
                <w:rFonts w:ascii="Times New Roman"/>
                <w:sz w:val="21"/>
              </w:rPr>
            </w:pPr>
            <w:r>
              <w:rPr>
                <w:rFonts w:ascii="Times New Roman"/>
                <w:sz w:val="21"/>
              </w:rPr>
              <w:t>14:00-15:00</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4"/>
              <w:ind w:right="367"/>
              <w:jc w:val="right"/>
              <w:rPr>
                <w:rFonts w:ascii="Times New Roman"/>
                <w:sz w:val="21"/>
              </w:rPr>
            </w:pPr>
            <w:r>
              <w:rPr>
                <w:rFonts w:ascii="Times New Roman"/>
                <w:sz w:val="21"/>
                <w:shd w:fill="FFFF00" w:color="auto" w:val="clear"/>
              </w:rPr>
              <w:t>0.092</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34"/>
              <w:ind w:right="307"/>
              <w:jc w:val="right"/>
              <w:rPr>
                <w:rFonts w:ascii="Times New Roman"/>
                <w:sz w:val="21"/>
              </w:rPr>
            </w:pPr>
            <w:r>
              <w:rPr>
                <w:rFonts w:ascii="Times New Roman"/>
                <w:sz w:val="21"/>
                <w:shd w:fill="FFFF00" w:color="auto" w:val="clear"/>
              </w:rPr>
              <w:t>0.179</w:t>
            </w:r>
          </w:p>
        </w:tc>
        <w:tc>
          <w:tcPr>
            <w:tcW w:w="1346" w:type="dxa"/>
            <w:tcBorders>
              <w:top w:val="single" w:sz="6" w:space="0" w:color="000000"/>
              <w:left w:val="single" w:sz="6" w:space="0" w:color="000000"/>
              <w:bottom w:val="single" w:sz="6" w:space="0" w:color="000000"/>
              <w:right w:val="single" w:sz="6" w:space="0" w:color="000000"/>
            </w:tcBorders>
          </w:tcPr>
          <w:p>
            <w:pPr>
              <w:pStyle w:val="TableParagraph"/>
              <w:spacing w:before="34"/>
              <w:ind w:left="443"/>
              <w:jc w:val="left"/>
              <w:rPr>
                <w:rFonts w:ascii="Times New Roman"/>
                <w:sz w:val="21"/>
              </w:rPr>
            </w:pPr>
            <w:r>
              <w:rPr>
                <w:rFonts w:ascii="Times New Roman"/>
                <w:sz w:val="21"/>
              </w:rPr>
              <w:t>0.002</w:t>
            </w:r>
          </w:p>
        </w:tc>
        <w:tc>
          <w:tcPr>
            <w:tcW w:w="998" w:type="dxa"/>
            <w:tcBorders>
              <w:top w:val="single" w:sz="6" w:space="0" w:color="000000"/>
              <w:left w:val="single" w:sz="6" w:space="0" w:color="000000"/>
              <w:bottom w:val="single" w:sz="6" w:space="0" w:color="000000"/>
              <w:right w:val="single" w:sz="4" w:space="0" w:color="000000"/>
            </w:tcBorders>
          </w:tcPr>
          <w:p>
            <w:pPr>
              <w:pStyle w:val="TableParagraph"/>
              <w:spacing w:before="34"/>
              <w:ind w:left="323"/>
              <w:jc w:val="left"/>
              <w:rPr>
                <w:rFonts w:ascii="Times New Roman"/>
                <w:sz w:val="21"/>
              </w:rPr>
            </w:pPr>
            <w:r>
              <w:rPr>
                <w:rFonts w:ascii="Times New Roman"/>
                <w:sz w:val="21"/>
              </w:rPr>
              <w:t>0.13</w:t>
            </w:r>
          </w:p>
        </w:tc>
        <w:tc>
          <w:tcPr>
            <w:tcW w:w="773" w:type="dxa"/>
            <w:tcBorders>
              <w:top w:val="single" w:sz="6" w:space="0" w:color="000000"/>
              <w:left w:val="single" w:sz="4" w:space="0" w:color="000000"/>
              <w:bottom w:val="single" w:sz="6" w:space="0" w:color="000000"/>
              <w:right w:val="single" w:sz="4" w:space="0" w:color="000000"/>
            </w:tcBorders>
          </w:tcPr>
          <w:p>
            <w:pPr>
              <w:pStyle w:val="TableParagraph"/>
              <w:spacing w:before="34"/>
              <w:ind w:left="293"/>
              <w:jc w:val="left"/>
              <w:rPr>
                <w:rFonts w:ascii="Times New Roman"/>
                <w:sz w:val="21"/>
              </w:rPr>
            </w:pPr>
            <w:r>
              <w:rPr>
                <w:rFonts w:ascii="Times New Roman"/>
                <w:sz w:val="21"/>
              </w:rPr>
              <w:t>31</w:t>
            </w:r>
          </w:p>
        </w:tc>
        <w:tc>
          <w:tcPr>
            <w:tcW w:w="820" w:type="dxa"/>
            <w:tcBorders>
              <w:top w:val="single" w:sz="6" w:space="0" w:color="000000"/>
              <w:left w:val="single" w:sz="4" w:space="0" w:color="000000"/>
              <w:bottom w:val="single" w:sz="6" w:space="0" w:color="000000"/>
              <w:right w:val="single" w:sz="6" w:space="0" w:color="000000"/>
            </w:tcBorders>
          </w:tcPr>
          <w:p>
            <w:pPr>
              <w:pStyle w:val="TableParagraph"/>
              <w:spacing w:before="34"/>
              <w:ind w:left="166" w:right="128"/>
              <w:rPr>
                <w:rFonts w:ascii="Times New Roman"/>
                <w:sz w:val="21"/>
              </w:rPr>
            </w:pPr>
            <w:r>
              <w:rPr>
                <w:rFonts w:ascii="Times New Roman"/>
                <w:sz w:val="21"/>
              </w:rPr>
              <w:t>0.150</w:t>
            </w:r>
          </w:p>
        </w:tc>
        <w:tc>
          <w:tcPr>
            <w:tcW w:w="945" w:type="dxa"/>
            <w:tcBorders>
              <w:top w:val="single" w:sz="6" w:space="0" w:color="000000"/>
              <w:left w:val="single" w:sz="6" w:space="0" w:color="000000"/>
              <w:bottom w:val="single" w:sz="6" w:space="0" w:color="000000"/>
            </w:tcBorders>
          </w:tcPr>
          <w:p>
            <w:pPr>
              <w:pStyle w:val="TableParagraph"/>
              <w:spacing w:before="34"/>
              <w:ind w:left="195"/>
              <w:jc w:val="left"/>
              <w:rPr>
                <w:rFonts w:ascii="Times New Roman"/>
                <w:sz w:val="21"/>
              </w:rPr>
            </w:pPr>
            <w:r>
              <w:rPr>
                <w:rFonts w:ascii="Times New Roman"/>
                <w:sz w:val="21"/>
              </w:rPr>
              <w:t>0.0176</w:t>
            </w:r>
          </w:p>
        </w:tc>
      </w:tr>
      <w:tr>
        <w:trPr>
          <w:trHeight w:val="314" w:hRule="atLeast"/>
        </w:trPr>
        <w:tc>
          <w:tcPr>
            <w:tcW w:w="1243" w:type="dxa"/>
            <w:tcBorders>
              <w:top w:val="single" w:sz="6" w:space="0" w:color="000000"/>
              <w:bottom w:val="single" w:sz="6" w:space="0" w:color="000000"/>
              <w:right w:val="single" w:sz="6" w:space="0" w:color="000000"/>
            </w:tcBorders>
          </w:tcPr>
          <w:p>
            <w:pPr>
              <w:pStyle w:val="TableParagraph"/>
              <w:spacing w:before="37"/>
              <w:ind w:left="87" w:right="66"/>
              <w:rPr>
                <w:rFonts w:ascii="Times New Roman"/>
                <w:sz w:val="21"/>
              </w:rPr>
            </w:pPr>
            <w:r>
              <w:rPr>
                <w:rFonts w:ascii="Times New Roman"/>
                <w:sz w:val="21"/>
              </w:rPr>
              <w:t>20:00-21:00</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7"/>
              <w:ind w:right="367"/>
              <w:jc w:val="right"/>
              <w:rPr>
                <w:rFonts w:ascii="Times New Roman"/>
                <w:sz w:val="21"/>
              </w:rPr>
            </w:pPr>
            <w:r>
              <w:rPr>
                <w:rFonts w:ascii="Times New Roman"/>
                <w:sz w:val="21"/>
                <w:shd w:fill="FFFF00" w:color="auto" w:val="clear"/>
              </w:rPr>
              <w:t>0.092</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37"/>
              <w:ind w:right="307"/>
              <w:jc w:val="right"/>
              <w:rPr>
                <w:rFonts w:ascii="Times New Roman"/>
                <w:sz w:val="21"/>
              </w:rPr>
            </w:pPr>
            <w:r>
              <w:rPr>
                <w:rFonts w:ascii="Times New Roman"/>
                <w:sz w:val="21"/>
                <w:shd w:fill="FFFF00" w:color="auto" w:val="clear"/>
              </w:rPr>
              <w:t>0.182</w:t>
            </w:r>
          </w:p>
        </w:tc>
        <w:tc>
          <w:tcPr>
            <w:tcW w:w="1346" w:type="dxa"/>
            <w:tcBorders>
              <w:top w:val="single" w:sz="6" w:space="0" w:color="000000"/>
              <w:left w:val="single" w:sz="6" w:space="0" w:color="000000"/>
              <w:bottom w:val="single" w:sz="6" w:space="0" w:color="000000"/>
              <w:right w:val="single" w:sz="6" w:space="0" w:color="000000"/>
            </w:tcBorders>
          </w:tcPr>
          <w:p>
            <w:pPr>
              <w:pStyle w:val="TableParagraph"/>
              <w:spacing w:before="37"/>
              <w:ind w:left="443"/>
              <w:jc w:val="left"/>
              <w:rPr>
                <w:rFonts w:ascii="Times New Roman"/>
                <w:sz w:val="21"/>
              </w:rPr>
            </w:pPr>
            <w:r>
              <w:rPr>
                <w:rFonts w:ascii="Times New Roman"/>
                <w:sz w:val="21"/>
              </w:rPr>
              <w:t>0.002</w:t>
            </w:r>
          </w:p>
        </w:tc>
        <w:tc>
          <w:tcPr>
            <w:tcW w:w="998" w:type="dxa"/>
            <w:tcBorders>
              <w:top w:val="single" w:sz="6" w:space="0" w:color="000000"/>
              <w:left w:val="single" w:sz="6" w:space="0" w:color="000000"/>
              <w:bottom w:val="single" w:sz="6" w:space="0" w:color="000000"/>
              <w:right w:val="single" w:sz="4" w:space="0" w:color="000000"/>
            </w:tcBorders>
          </w:tcPr>
          <w:p>
            <w:pPr>
              <w:pStyle w:val="TableParagraph"/>
              <w:spacing w:before="37"/>
              <w:ind w:left="323"/>
              <w:jc w:val="left"/>
              <w:rPr>
                <w:rFonts w:ascii="Times New Roman"/>
                <w:sz w:val="21"/>
              </w:rPr>
            </w:pPr>
            <w:r>
              <w:rPr>
                <w:rFonts w:ascii="Times New Roman"/>
                <w:sz w:val="21"/>
              </w:rPr>
              <w:t>0.13</w:t>
            </w:r>
          </w:p>
        </w:tc>
        <w:tc>
          <w:tcPr>
            <w:tcW w:w="773" w:type="dxa"/>
            <w:tcBorders>
              <w:top w:val="single" w:sz="6" w:space="0" w:color="000000"/>
              <w:left w:val="single" w:sz="4" w:space="0" w:color="000000"/>
              <w:bottom w:val="single" w:sz="6" w:space="0" w:color="000000"/>
              <w:right w:val="single" w:sz="4" w:space="0" w:color="000000"/>
            </w:tcBorders>
          </w:tcPr>
          <w:p>
            <w:pPr>
              <w:pStyle w:val="TableParagraph"/>
              <w:spacing w:before="37"/>
              <w:ind w:left="293"/>
              <w:jc w:val="left"/>
              <w:rPr>
                <w:rFonts w:ascii="Times New Roman"/>
                <w:sz w:val="21"/>
              </w:rPr>
            </w:pPr>
            <w:r>
              <w:rPr>
                <w:rFonts w:ascii="Times New Roman"/>
                <w:sz w:val="21"/>
              </w:rPr>
              <w:t>31</w:t>
            </w:r>
          </w:p>
        </w:tc>
        <w:tc>
          <w:tcPr>
            <w:tcW w:w="820" w:type="dxa"/>
            <w:tcBorders>
              <w:top w:val="single" w:sz="6" w:space="0" w:color="000000"/>
              <w:left w:val="single" w:sz="4" w:space="0" w:color="000000"/>
              <w:bottom w:val="single" w:sz="6" w:space="0" w:color="000000"/>
              <w:right w:val="single" w:sz="6" w:space="0" w:color="000000"/>
            </w:tcBorders>
          </w:tcPr>
          <w:p>
            <w:pPr>
              <w:pStyle w:val="TableParagraph"/>
              <w:spacing w:before="37"/>
              <w:ind w:left="166" w:right="128"/>
              <w:rPr>
                <w:rFonts w:ascii="Times New Roman"/>
                <w:sz w:val="21"/>
              </w:rPr>
            </w:pPr>
            <w:r>
              <w:rPr>
                <w:rFonts w:ascii="Times New Roman"/>
                <w:sz w:val="21"/>
              </w:rPr>
              <w:t>0.153</w:t>
            </w:r>
          </w:p>
        </w:tc>
        <w:tc>
          <w:tcPr>
            <w:tcW w:w="945" w:type="dxa"/>
            <w:tcBorders>
              <w:top w:val="single" w:sz="6" w:space="0" w:color="000000"/>
              <w:left w:val="single" w:sz="6" w:space="0" w:color="000000"/>
              <w:bottom w:val="single" w:sz="6" w:space="0" w:color="000000"/>
            </w:tcBorders>
          </w:tcPr>
          <w:p>
            <w:pPr>
              <w:pStyle w:val="TableParagraph"/>
              <w:spacing w:before="37"/>
              <w:ind w:left="195"/>
              <w:jc w:val="left"/>
              <w:rPr>
                <w:rFonts w:ascii="Times New Roman"/>
                <w:sz w:val="21"/>
              </w:rPr>
            </w:pPr>
            <w:r>
              <w:rPr>
                <w:rFonts w:ascii="Times New Roman"/>
                <w:sz w:val="21"/>
              </w:rPr>
              <w:t>0.0301</w:t>
            </w:r>
          </w:p>
        </w:tc>
      </w:tr>
      <w:tr>
        <w:trPr>
          <w:trHeight w:val="380" w:hRule="atLeast"/>
        </w:trPr>
        <w:tc>
          <w:tcPr>
            <w:tcW w:w="1243" w:type="dxa"/>
            <w:tcBorders>
              <w:top w:val="single" w:sz="6" w:space="0" w:color="000000"/>
              <w:right w:val="single" w:sz="6" w:space="0" w:color="000000"/>
            </w:tcBorders>
          </w:tcPr>
          <w:p>
            <w:pPr>
              <w:pStyle w:val="TableParagraph"/>
              <w:spacing w:before="67"/>
              <w:ind w:left="87" w:right="65"/>
              <w:rPr>
                <w:rFonts w:ascii="Times New Roman"/>
                <w:sz w:val="21"/>
              </w:rPr>
            </w:pPr>
            <w:r>
              <w:rPr>
                <w:rFonts w:ascii="Times New Roman"/>
                <w:sz w:val="21"/>
              </w:rPr>
              <w:t>MAX</w:t>
            </w:r>
          </w:p>
        </w:tc>
        <w:tc>
          <w:tcPr>
            <w:tcW w:w="1260" w:type="dxa"/>
            <w:tcBorders>
              <w:top w:val="single" w:sz="6" w:space="0" w:color="000000"/>
              <w:left w:val="single" w:sz="6" w:space="0" w:color="000000"/>
              <w:right w:val="single" w:sz="6" w:space="0" w:color="000000"/>
            </w:tcBorders>
          </w:tcPr>
          <w:p>
            <w:pPr>
              <w:pStyle w:val="TableParagraph"/>
              <w:spacing w:before="101"/>
              <w:ind w:right="367"/>
              <w:jc w:val="right"/>
              <w:rPr>
                <w:rFonts w:ascii="Times New Roman"/>
                <w:sz w:val="21"/>
              </w:rPr>
            </w:pPr>
            <w:r>
              <w:rPr>
                <w:rFonts w:ascii="Times New Roman"/>
                <w:sz w:val="21"/>
                <w:shd w:fill="FFFF00" w:color="auto" w:val="clear"/>
              </w:rPr>
              <w:t>0.092</w:t>
            </w:r>
          </w:p>
        </w:tc>
        <w:tc>
          <w:tcPr>
            <w:tcW w:w="1139" w:type="dxa"/>
            <w:tcBorders>
              <w:top w:val="single" w:sz="6" w:space="0" w:color="000000"/>
              <w:left w:val="single" w:sz="6" w:space="0" w:color="000000"/>
              <w:right w:val="single" w:sz="6" w:space="0" w:color="000000"/>
            </w:tcBorders>
          </w:tcPr>
          <w:p>
            <w:pPr>
              <w:pStyle w:val="TableParagraph"/>
              <w:spacing w:before="101"/>
              <w:ind w:right="307"/>
              <w:jc w:val="right"/>
              <w:rPr>
                <w:rFonts w:ascii="Times New Roman"/>
                <w:sz w:val="21"/>
              </w:rPr>
            </w:pPr>
            <w:r>
              <w:rPr>
                <w:rFonts w:ascii="Times New Roman"/>
                <w:sz w:val="21"/>
                <w:shd w:fill="FFFF00" w:color="auto" w:val="clear"/>
              </w:rPr>
              <w:t>0.196</w:t>
            </w:r>
          </w:p>
        </w:tc>
        <w:tc>
          <w:tcPr>
            <w:tcW w:w="1346" w:type="dxa"/>
            <w:tcBorders>
              <w:top w:val="single" w:sz="6" w:space="0" w:color="000000"/>
              <w:left w:val="single" w:sz="6" w:space="0" w:color="000000"/>
              <w:right w:val="single" w:sz="6" w:space="0" w:color="000000"/>
            </w:tcBorders>
          </w:tcPr>
          <w:p>
            <w:pPr>
              <w:pStyle w:val="TableParagraph"/>
              <w:spacing w:before="101"/>
              <w:ind w:left="443"/>
              <w:jc w:val="left"/>
              <w:rPr>
                <w:rFonts w:ascii="Times New Roman"/>
                <w:sz w:val="21"/>
              </w:rPr>
            </w:pPr>
            <w:r>
              <w:rPr>
                <w:rFonts w:ascii="Times New Roman"/>
                <w:sz w:val="21"/>
              </w:rPr>
              <w:t>0.002</w:t>
            </w:r>
          </w:p>
        </w:tc>
        <w:tc>
          <w:tcPr>
            <w:tcW w:w="998" w:type="dxa"/>
            <w:tcBorders>
              <w:top w:val="single" w:sz="6" w:space="0" w:color="000000"/>
              <w:left w:val="single" w:sz="6" w:space="0" w:color="000000"/>
              <w:right w:val="single" w:sz="4" w:space="0" w:color="000000"/>
            </w:tcBorders>
          </w:tcPr>
          <w:p>
            <w:pPr>
              <w:pStyle w:val="TableParagraph"/>
              <w:spacing w:before="101"/>
              <w:ind w:left="323"/>
              <w:jc w:val="left"/>
              <w:rPr>
                <w:rFonts w:ascii="Times New Roman"/>
                <w:sz w:val="21"/>
              </w:rPr>
            </w:pPr>
            <w:r>
              <w:rPr>
                <w:rFonts w:ascii="Times New Roman"/>
                <w:sz w:val="21"/>
              </w:rPr>
              <w:t>0.15</w:t>
            </w:r>
          </w:p>
        </w:tc>
        <w:tc>
          <w:tcPr>
            <w:tcW w:w="773" w:type="dxa"/>
            <w:tcBorders>
              <w:top w:val="single" w:sz="6" w:space="0" w:color="000000"/>
              <w:left w:val="single" w:sz="4" w:space="0" w:color="000000"/>
              <w:right w:val="single" w:sz="4" w:space="0" w:color="000000"/>
            </w:tcBorders>
          </w:tcPr>
          <w:p>
            <w:pPr>
              <w:pStyle w:val="TableParagraph"/>
              <w:spacing w:before="101"/>
              <w:ind w:left="293"/>
              <w:jc w:val="left"/>
              <w:rPr>
                <w:rFonts w:ascii="Times New Roman"/>
                <w:sz w:val="21"/>
              </w:rPr>
            </w:pPr>
            <w:r>
              <w:rPr>
                <w:rFonts w:ascii="Times New Roman"/>
                <w:sz w:val="21"/>
              </w:rPr>
              <w:t>33</w:t>
            </w:r>
          </w:p>
        </w:tc>
        <w:tc>
          <w:tcPr>
            <w:tcW w:w="820" w:type="dxa"/>
            <w:tcBorders>
              <w:top w:val="single" w:sz="6" w:space="0" w:color="000000"/>
              <w:left w:val="single" w:sz="4" w:space="0" w:color="000000"/>
              <w:right w:val="single" w:sz="6" w:space="0" w:color="000000"/>
            </w:tcBorders>
          </w:tcPr>
          <w:p>
            <w:pPr>
              <w:pStyle w:val="TableParagraph"/>
              <w:spacing w:before="101"/>
              <w:ind w:left="166" w:right="128"/>
              <w:rPr>
                <w:rFonts w:ascii="Times New Roman"/>
                <w:sz w:val="21"/>
              </w:rPr>
            </w:pPr>
            <w:r>
              <w:rPr>
                <w:rFonts w:ascii="Times New Roman"/>
                <w:sz w:val="21"/>
              </w:rPr>
              <w:t>0.153</w:t>
            </w:r>
          </w:p>
        </w:tc>
        <w:tc>
          <w:tcPr>
            <w:tcW w:w="945" w:type="dxa"/>
            <w:tcBorders>
              <w:top w:val="single" w:sz="6" w:space="0" w:color="000000"/>
              <w:left w:val="single" w:sz="6" w:space="0" w:color="000000"/>
            </w:tcBorders>
          </w:tcPr>
          <w:p>
            <w:pPr>
              <w:pStyle w:val="TableParagraph"/>
              <w:spacing w:before="101"/>
              <w:ind w:left="248"/>
              <w:jc w:val="left"/>
              <w:rPr>
                <w:rFonts w:ascii="Times New Roman"/>
                <w:sz w:val="21"/>
              </w:rPr>
            </w:pPr>
            <w:r>
              <w:rPr>
                <w:rFonts w:ascii="Times New Roman"/>
                <w:sz w:val="21"/>
              </w:rPr>
              <w:t>0.030</w:t>
            </w:r>
          </w:p>
        </w:tc>
      </w:tr>
    </w:tbl>
    <w:p>
      <w:pPr>
        <w:pStyle w:val="BodyText"/>
        <w:spacing w:line="488" w:lineRule="exact" w:before="120"/>
        <w:ind w:left="1058"/>
      </w:pPr>
      <w:r>
        <w:rPr>
          <w:spacing w:val="26"/>
        </w:rPr>
        <w:t>由上表可知，氯化氢不同监测时段的监测浓度平均值中的最大值为</w:t>
      </w:r>
    </w:p>
    <w:p>
      <w:pPr>
        <w:pStyle w:val="BodyText"/>
        <w:spacing w:line="220" w:lineRule="auto" w:before="8"/>
        <w:ind w:left="578" w:right="871"/>
        <w:jc w:val="both"/>
      </w:pPr>
      <w:r>
        <w:rPr>
          <w:rFonts w:ascii="Times New Roman" w:eastAsia="Times New Roman"/>
        </w:rPr>
        <w:t>0.092mg/m</w:t>
      </w:r>
      <w:r>
        <w:rPr>
          <w:rFonts w:ascii="Times New Roman" w:eastAsia="Times New Roman"/>
          <w:position w:val="9"/>
          <w:sz w:val="16"/>
        </w:rPr>
        <w:t>3</w:t>
      </w:r>
      <w:r>
        <w:rPr>
          <w:spacing w:val="1"/>
        </w:rPr>
        <w:t>，即环境质量现状浓度为 </w:t>
      </w:r>
      <w:r>
        <w:rPr>
          <w:rFonts w:ascii="Times New Roman" w:eastAsia="Times New Roman"/>
        </w:rPr>
        <w:t>0.092mg/m</w:t>
      </w:r>
      <w:r>
        <w:rPr>
          <w:rFonts w:ascii="Times New Roman" w:eastAsia="Times New Roman"/>
          <w:position w:val="9"/>
          <w:sz w:val="16"/>
        </w:rPr>
        <w:t>3</w:t>
      </w:r>
      <w:r>
        <w:rPr>
          <w:spacing w:val="-1"/>
        </w:rPr>
        <w:t>；甲醛不同监测时段的监测浓</w:t>
      </w:r>
      <w:r>
        <w:rPr/>
        <w:t>度平均值中的最大值为 </w:t>
      </w:r>
      <w:r>
        <w:rPr>
          <w:rFonts w:ascii="Times New Roman" w:eastAsia="Times New Roman"/>
          <w:spacing w:val="-3"/>
        </w:rPr>
        <w:t>0.196mg/m</w:t>
      </w:r>
      <w:r>
        <w:rPr>
          <w:rFonts w:ascii="Times New Roman" w:eastAsia="Times New Roman"/>
          <w:spacing w:val="-3"/>
          <w:position w:val="9"/>
          <w:sz w:val="16"/>
        </w:rPr>
        <w:t>3</w:t>
      </w:r>
      <w:r>
        <w:rPr>
          <w:spacing w:val="-1"/>
        </w:rPr>
        <w:t>，即环境质量现状浓度为 </w:t>
      </w:r>
      <w:r>
        <w:rPr>
          <w:rFonts w:ascii="Times New Roman" w:eastAsia="Times New Roman"/>
          <w:spacing w:val="-3"/>
        </w:rPr>
        <w:t>0.196mg/m</w:t>
      </w:r>
      <w:r>
        <w:rPr>
          <w:rFonts w:ascii="Times New Roman" w:eastAsia="Times New Roman"/>
          <w:spacing w:val="-3"/>
          <w:position w:val="9"/>
          <w:sz w:val="16"/>
        </w:rPr>
        <w:t>3</w:t>
      </w:r>
      <w:r>
        <w:rPr>
          <w:spacing w:val="-2"/>
        </w:rPr>
        <w:t>；硫化氢不同监测时段的监测浓度平均值中的最大值为 </w:t>
      </w:r>
      <w:r>
        <w:rPr>
          <w:rFonts w:ascii="Times New Roman" w:eastAsia="Times New Roman"/>
        </w:rPr>
        <w:t>0.002mg/m</w:t>
      </w:r>
      <w:r>
        <w:rPr>
          <w:rFonts w:ascii="Times New Roman" w:eastAsia="Times New Roman"/>
          <w:position w:val="9"/>
          <w:sz w:val="16"/>
        </w:rPr>
        <w:t>3</w:t>
      </w:r>
      <w:r>
        <w:rPr/>
        <w:t>，即环境质量现状</w:t>
      </w:r>
      <w:r>
        <w:rPr>
          <w:spacing w:val="29"/>
        </w:rPr>
        <w:t>浓度为 </w:t>
      </w:r>
      <w:r>
        <w:rPr>
          <w:rFonts w:ascii="Times New Roman" w:eastAsia="Times New Roman"/>
        </w:rPr>
        <w:t>0.002mg/m</w:t>
      </w:r>
      <w:r>
        <w:rPr>
          <w:rFonts w:ascii="Times New Roman" w:eastAsia="Times New Roman"/>
          <w:position w:val="9"/>
          <w:sz w:val="16"/>
        </w:rPr>
        <w:t>3</w:t>
      </w:r>
      <w:r>
        <w:rPr>
          <w:rFonts w:ascii="Times New Roman" w:eastAsia="Times New Roman"/>
          <w:spacing w:val="-3"/>
          <w:position w:val="9"/>
          <w:sz w:val="16"/>
        </w:rPr>
        <w:t> </w:t>
      </w:r>
      <w:r>
        <w:rPr>
          <w:spacing w:val="22"/>
        </w:rPr>
        <w:t>； 氨不同监测时段的监测浓度平均值中的最大值为</w:t>
      </w:r>
      <w:r>
        <w:rPr>
          <w:rFonts w:ascii="Times New Roman" w:eastAsia="Times New Roman"/>
          <w:spacing w:val="22"/>
        </w:rPr>
        <w:t>0.15mg/m</w:t>
      </w:r>
      <w:r>
        <w:rPr>
          <w:rFonts w:ascii="Times New Roman" w:eastAsia="Times New Roman"/>
          <w:spacing w:val="22"/>
          <w:position w:val="9"/>
          <w:sz w:val="16"/>
        </w:rPr>
        <w:t>3</w:t>
      </w:r>
      <w:r>
        <w:rPr>
          <w:spacing w:val="21"/>
        </w:rPr>
        <w:t>，即环境质量现状浓度为 </w:t>
      </w:r>
      <w:r>
        <w:rPr>
          <w:rFonts w:ascii="Times New Roman" w:eastAsia="Times New Roman"/>
        </w:rPr>
        <w:t>0.15mg/m</w:t>
      </w:r>
      <w:r>
        <w:rPr>
          <w:rFonts w:ascii="Times New Roman" w:eastAsia="Times New Roman"/>
          <w:position w:val="9"/>
          <w:sz w:val="16"/>
        </w:rPr>
        <w:t>3</w:t>
      </w:r>
      <w:r>
        <w:rPr>
          <w:spacing w:val="-1"/>
        </w:rPr>
        <w:t>；臭气浓度不同监测时段的监测</w:t>
      </w:r>
    </w:p>
    <w:p>
      <w:pPr>
        <w:spacing w:after="0" w:line="220" w:lineRule="auto"/>
        <w:jc w:val="both"/>
        <w:sectPr>
          <w:pgSz w:w="11910" w:h="16840"/>
          <w:pgMar w:header="877" w:footer="973" w:top="1340" w:bottom="1160" w:left="1220" w:right="1040"/>
        </w:sectPr>
      </w:pPr>
    </w:p>
    <w:p>
      <w:pPr>
        <w:pStyle w:val="BodyText"/>
        <w:spacing w:line="220" w:lineRule="auto" w:before="77"/>
        <w:ind w:left="578" w:right="798"/>
      </w:pPr>
      <w:r>
        <w:rPr/>
        <w:t>浓度平均值中的最大值为 </w:t>
      </w:r>
      <w:r>
        <w:rPr>
          <w:rFonts w:ascii="Times New Roman" w:eastAsia="Times New Roman"/>
        </w:rPr>
        <w:t>33</w:t>
      </w:r>
      <w:r>
        <w:rPr/>
        <w:t>，即环境质量现状浓度为 </w:t>
      </w:r>
      <w:r>
        <w:rPr>
          <w:rFonts w:ascii="Times New Roman" w:eastAsia="Times New Roman"/>
        </w:rPr>
        <w:t>33</w:t>
      </w:r>
      <w:r>
        <w:rPr/>
        <w:t>；硫酸雾不同监测时段的监测浓度平均值中的最大值为 </w:t>
      </w:r>
      <w:r>
        <w:rPr>
          <w:rFonts w:ascii="Times New Roman" w:eastAsia="Times New Roman"/>
        </w:rPr>
        <w:t>0.153mg/m</w:t>
      </w:r>
      <w:r>
        <w:rPr>
          <w:rFonts w:ascii="Times New Roman" w:eastAsia="Times New Roman"/>
          <w:position w:val="9"/>
          <w:sz w:val="16"/>
        </w:rPr>
        <w:t>3 </w:t>
      </w:r>
      <w:r>
        <w:rPr/>
        <w:t>，即环境质量现状浓度为</w:t>
      </w:r>
    </w:p>
    <w:p>
      <w:pPr>
        <w:pStyle w:val="BodyText"/>
        <w:spacing w:line="220" w:lineRule="auto"/>
        <w:ind w:left="578" w:right="928"/>
      </w:pPr>
      <w:r>
        <w:rPr>
          <w:rFonts w:ascii="Times New Roman" w:eastAsia="Times New Roman"/>
          <w:spacing w:val="-6"/>
        </w:rPr>
        <w:t>0.153mg/m</w:t>
      </w:r>
      <w:r>
        <w:rPr>
          <w:rFonts w:ascii="Times New Roman" w:eastAsia="Times New Roman"/>
          <w:spacing w:val="-6"/>
          <w:position w:val="9"/>
          <w:sz w:val="16"/>
        </w:rPr>
        <w:t>3</w:t>
      </w:r>
      <w:r>
        <w:rPr>
          <w:spacing w:val="-2"/>
        </w:rPr>
        <w:t>；甲苯不同监测时段的监测浓度平均值中的最大值为 </w:t>
      </w:r>
      <w:r>
        <w:rPr>
          <w:rFonts w:ascii="Times New Roman" w:eastAsia="Times New Roman"/>
          <w:spacing w:val="-6"/>
        </w:rPr>
        <w:t>0.03mg/m</w:t>
      </w:r>
      <w:r>
        <w:rPr>
          <w:rFonts w:ascii="Times New Roman" w:eastAsia="Times New Roman"/>
          <w:spacing w:val="-6"/>
          <w:position w:val="9"/>
          <w:sz w:val="16"/>
        </w:rPr>
        <w:t>3</w:t>
      </w:r>
      <w:r>
        <w:rPr>
          <w:spacing w:val="-31"/>
        </w:rPr>
        <w:t>，即</w:t>
      </w:r>
      <w:r>
        <w:rPr/>
        <w:t>环境质量现状浓度为 </w:t>
      </w:r>
      <w:r>
        <w:rPr>
          <w:rFonts w:ascii="Times New Roman" w:eastAsia="Times New Roman"/>
        </w:rPr>
        <w:t>0.03mg/m</w:t>
      </w:r>
      <w:r>
        <w:rPr>
          <w:rFonts w:ascii="Times New Roman" w:eastAsia="Times New Roman"/>
          <w:position w:val="9"/>
          <w:sz w:val="16"/>
        </w:rPr>
        <w:t>3</w:t>
      </w:r>
      <w:r>
        <w:rPr/>
        <w:t>。</w:t>
      </w:r>
    </w:p>
    <w:p>
      <w:pPr>
        <w:pStyle w:val="Heading3"/>
        <w:numPr>
          <w:ilvl w:val="2"/>
          <w:numId w:val="6"/>
        </w:numPr>
        <w:tabs>
          <w:tab w:pos="1378" w:val="left" w:leader="none"/>
        </w:tabs>
        <w:spacing w:line="240" w:lineRule="auto" w:before="150" w:after="0"/>
        <w:ind w:left="1377" w:right="0" w:hanging="799"/>
        <w:jc w:val="left"/>
      </w:pPr>
      <w:r>
        <w:rPr/>
        <w:t>地表水环境质量现状调查</w:t>
      </w:r>
    </w:p>
    <w:p>
      <w:pPr>
        <w:pStyle w:val="BodyText"/>
        <w:spacing w:line="220" w:lineRule="auto" w:before="196"/>
        <w:ind w:left="578" w:right="726" w:firstLine="479"/>
      </w:pPr>
      <w:r>
        <w:rPr/>
        <w:t>本项目生产、生活污水经厂区污水处理站处理后通过污水管网排入莒南卓澳水质净化有限公司， 经处理达到《城镇污水处理厂污染物排放标准》</w:t>
      </w:r>
    </w:p>
    <w:p>
      <w:pPr>
        <w:pStyle w:val="BodyText"/>
        <w:spacing w:line="460" w:lineRule="exact"/>
        <w:ind w:left="578"/>
      </w:pPr>
      <w:r>
        <w:rPr/>
        <w:t>（</w:t>
      </w:r>
      <w:r>
        <w:rPr>
          <w:rFonts w:ascii="Times New Roman" w:eastAsia="Times New Roman"/>
        </w:rPr>
        <w:t>GB18918-2002</w:t>
      </w:r>
      <w:r>
        <w:rPr/>
        <w:t>）中一级 </w:t>
      </w:r>
      <w:r>
        <w:rPr>
          <w:rFonts w:ascii="Times New Roman" w:eastAsia="Times New Roman"/>
        </w:rPr>
        <w:t>A </w:t>
      </w:r>
      <w:r>
        <w:rPr/>
        <w:t>标准后，流入白马河，经鸡龙河汇入沭河。</w:t>
      </w:r>
    </w:p>
    <w:p>
      <w:pPr>
        <w:pStyle w:val="BodyText"/>
        <w:spacing w:line="220" w:lineRule="auto" w:before="8"/>
        <w:ind w:left="578" w:right="878" w:firstLine="479"/>
      </w:pPr>
      <w:r>
        <w:rPr/>
        <w:t>为了解项目所在区域地表水环境质量现状，本次环评收集了山东白龙轮胎有限公司年产 </w:t>
      </w:r>
      <w:r>
        <w:rPr>
          <w:rFonts w:ascii="Times New Roman" w:eastAsia="Times New Roman"/>
        </w:rPr>
        <w:t>1000 </w:t>
      </w:r>
      <w:r>
        <w:rPr/>
        <w:t>万套摩托车内外轮胎生产线项目地表水体的监测数据及莒</w:t>
      </w:r>
    </w:p>
    <w:p>
      <w:pPr>
        <w:pStyle w:val="BodyText"/>
        <w:spacing w:line="460" w:lineRule="exact"/>
        <w:ind w:left="578"/>
      </w:pPr>
      <w:r>
        <w:rPr/>
        <w:t>南开发区鸡龙河大白常断面 </w:t>
      </w:r>
      <w:r>
        <w:rPr>
          <w:rFonts w:ascii="Times New Roman" w:eastAsia="Times New Roman"/>
        </w:rPr>
        <w:t>2018 </w:t>
      </w:r>
      <w:r>
        <w:rPr/>
        <w:t>年的例行监测数据。</w:t>
      </w:r>
    </w:p>
    <w:p>
      <w:pPr>
        <w:pStyle w:val="ListParagraph"/>
        <w:numPr>
          <w:ilvl w:val="3"/>
          <w:numId w:val="6"/>
        </w:numPr>
        <w:tabs>
          <w:tab w:pos="1358" w:val="left" w:leader="none"/>
        </w:tabs>
        <w:spacing w:line="468" w:lineRule="exact" w:before="0" w:after="0"/>
        <w:ind w:left="1358" w:right="0" w:hanging="780"/>
        <w:jc w:val="left"/>
        <w:rPr>
          <w:rFonts w:ascii="Times New Roman" w:eastAsia="Times New Roman"/>
          <w:sz w:val="24"/>
        </w:rPr>
      </w:pPr>
      <w:r>
        <w:rPr>
          <w:sz w:val="24"/>
        </w:rPr>
        <w:t>引用项目监测数据分析</w:t>
      </w:r>
    </w:p>
    <w:p>
      <w:pPr>
        <w:pStyle w:val="BodyText"/>
        <w:spacing w:line="220" w:lineRule="auto" w:before="9"/>
        <w:ind w:left="578" w:right="873" w:firstLine="479"/>
      </w:pPr>
      <w:r>
        <w:rPr/>
        <w:t>本次环评引用山东白龙轮胎有限公司年产 </w:t>
      </w:r>
      <w:r>
        <w:rPr>
          <w:rFonts w:ascii="Times New Roman" w:eastAsia="Times New Roman"/>
        </w:rPr>
        <w:t>1000 </w:t>
      </w:r>
      <w:r>
        <w:rPr/>
        <w:t>万套摩托车内外轮胎生产线项目地表水监测结果进行分析。</w:t>
      </w:r>
    </w:p>
    <w:p>
      <w:pPr>
        <w:pStyle w:val="BodyText"/>
        <w:spacing w:line="494" w:lineRule="exact" w:before="36"/>
        <w:ind w:left="1058"/>
      </w:pPr>
      <w:r>
        <w:rPr>
          <w:rFonts w:ascii="Times New Roman" w:eastAsia="Times New Roman"/>
        </w:rPr>
        <w:t>1</w:t>
      </w:r>
      <w:r>
        <w:rPr/>
        <w:t>、监测断面设置</w:t>
      </w:r>
    </w:p>
    <w:p>
      <w:pPr>
        <w:pStyle w:val="BodyText"/>
        <w:spacing w:line="225" w:lineRule="auto" w:before="7"/>
        <w:ind w:left="578" w:right="873" w:firstLine="479"/>
        <w:jc w:val="both"/>
      </w:pPr>
      <w:r>
        <w:rPr/>
        <w:t>项目所在莒南经济开发区主要有两条地表水体从东向西流经该区域，厂址</w:t>
      </w:r>
      <w:r>
        <w:rPr>
          <w:spacing w:val="1"/>
        </w:rPr>
        <w:t>北侧 </w:t>
      </w:r>
      <w:r>
        <w:rPr>
          <w:rFonts w:ascii="Times New Roman" w:eastAsia="Times New Roman"/>
        </w:rPr>
        <w:t>2500m </w:t>
      </w:r>
      <w:r>
        <w:rPr>
          <w:spacing w:val="-7"/>
        </w:rPr>
        <w:t>处的鸡龙河是开发区纳污河及工业区雨水排水河，厂址南侧 </w:t>
      </w:r>
      <w:r>
        <w:rPr>
          <w:rFonts w:ascii="Times New Roman" w:eastAsia="Times New Roman"/>
        </w:rPr>
        <w:t>20m </w:t>
      </w:r>
      <w:r>
        <w:rPr/>
        <w:t>处的白马河属鸡龙河支流，在前柴沟村汇入鸡龙河。</w:t>
      </w:r>
    </w:p>
    <w:p>
      <w:pPr>
        <w:pStyle w:val="BodyText"/>
        <w:spacing w:line="225" w:lineRule="auto" w:before="5"/>
        <w:ind w:left="578" w:right="873" w:firstLine="479"/>
      </w:pPr>
      <w:r>
        <w:rPr/>
        <w:t>为了解目前区域水质情况，据项目排水及地表水水系特点，设置 </w:t>
      </w:r>
      <w:r>
        <w:rPr>
          <w:rFonts w:ascii="Times New Roman" w:eastAsia="Times New Roman"/>
        </w:rPr>
        <w:t>1 </w:t>
      </w:r>
      <w:r>
        <w:rPr/>
        <w:t>个地表水环境质量现状监测断面，各监测断面名称、位置见表 </w:t>
      </w:r>
      <w:r>
        <w:rPr>
          <w:rFonts w:ascii="Times New Roman" w:eastAsia="Times New Roman"/>
        </w:rPr>
        <w:t>5.4-14</w:t>
      </w:r>
      <w:r>
        <w:rPr/>
        <w:t>。</w:t>
      </w:r>
    </w:p>
    <w:p>
      <w:pPr>
        <w:tabs>
          <w:tab w:pos="1017" w:val="left" w:leader="none"/>
        </w:tabs>
        <w:spacing w:before="109" w:after="24"/>
        <w:ind w:left="0" w:right="295" w:firstLine="0"/>
        <w:jc w:val="center"/>
        <w:rPr>
          <w:sz w:val="21"/>
        </w:rPr>
      </w:pPr>
      <w:r>
        <w:rPr>
          <w:sz w:val="21"/>
        </w:rPr>
        <w:t>表</w:t>
      </w:r>
      <w:r>
        <w:rPr>
          <w:spacing w:val="7"/>
          <w:sz w:val="21"/>
        </w:rPr>
        <w:t> </w:t>
      </w:r>
      <w:r>
        <w:rPr>
          <w:rFonts w:ascii="Times New Roman" w:eastAsia="Times New Roman"/>
          <w:b/>
          <w:sz w:val="21"/>
        </w:rPr>
        <w:t>5.4-14</w:t>
        <w:tab/>
      </w:r>
      <w:r>
        <w:rPr>
          <w:sz w:val="21"/>
        </w:rPr>
        <w:t>地表水引用</w:t>
      </w:r>
      <w:r>
        <w:rPr>
          <w:spacing w:val="-3"/>
          <w:sz w:val="21"/>
        </w:rPr>
        <w:t>监</w:t>
      </w:r>
      <w:r>
        <w:rPr>
          <w:sz w:val="21"/>
        </w:rPr>
        <w:t>测断面设置情况</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62"/>
        <w:gridCol w:w="2355"/>
        <w:gridCol w:w="2357"/>
        <w:gridCol w:w="2355"/>
      </w:tblGrid>
      <w:tr>
        <w:trPr>
          <w:trHeight w:val="339" w:hRule="atLeast"/>
        </w:trPr>
        <w:tc>
          <w:tcPr>
            <w:tcW w:w="1462" w:type="dxa"/>
            <w:tcBorders>
              <w:bottom w:val="single" w:sz="6" w:space="0" w:color="000000"/>
              <w:right w:val="single" w:sz="6" w:space="0" w:color="000000"/>
            </w:tcBorders>
          </w:tcPr>
          <w:p>
            <w:pPr>
              <w:pStyle w:val="TableParagraph"/>
              <w:spacing w:line="320" w:lineRule="exact"/>
              <w:ind w:left="289" w:right="269"/>
              <w:rPr>
                <w:sz w:val="21"/>
              </w:rPr>
            </w:pPr>
            <w:r>
              <w:rPr>
                <w:sz w:val="21"/>
              </w:rPr>
              <w:t>断面编号</w:t>
            </w:r>
          </w:p>
        </w:tc>
        <w:tc>
          <w:tcPr>
            <w:tcW w:w="2355" w:type="dxa"/>
            <w:tcBorders>
              <w:left w:val="single" w:sz="6" w:space="0" w:color="000000"/>
              <w:bottom w:val="single" w:sz="6" w:space="0" w:color="000000"/>
              <w:right w:val="single" w:sz="8" w:space="0" w:color="000000"/>
            </w:tcBorders>
          </w:tcPr>
          <w:p>
            <w:pPr>
              <w:pStyle w:val="TableParagraph"/>
              <w:spacing w:line="320" w:lineRule="exact"/>
              <w:ind w:left="639" w:right="608"/>
              <w:rPr>
                <w:sz w:val="21"/>
              </w:rPr>
            </w:pPr>
            <w:r>
              <w:rPr>
                <w:sz w:val="21"/>
              </w:rPr>
              <w:t>监测断面</w:t>
            </w:r>
          </w:p>
        </w:tc>
        <w:tc>
          <w:tcPr>
            <w:tcW w:w="2357" w:type="dxa"/>
            <w:tcBorders>
              <w:left w:val="single" w:sz="8" w:space="0" w:color="000000"/>
              <w:bottom w:val="single" w:sz="6" w:space="0" w:color="000000"/>
              <w:right w:val="single" w:sz="6" w:space="0" w:color="000000"/>
            </w:tcBorders>
          </w:tcPr>
          <w:p>
            <w:pPr>
              <w:pStyle w:val="TableParagraph"/>
              <w:spacing w:line="320" w:lineRule="exact"/>
              <w:ind w:left="741" w:right="718"/>
              <w:rPr>
                <w:sz w:val="21"/>
              </w:rPr>
            </w:pPr>
            <w:r>
              <w:rPr>
                <w:sz w:val="21"/>
              </w:rPr>
              <w:t>所在河流</w:t>
            </w:r>
          </w:p>
        </w:tc>
        <w:tc>
          <w:tcPr>
            <w:tcW w:w="2355" w:type="dxa"/>
            <w:tcBorders>
              <w:left w:val="single" w:sz="6" w:space="0" w:color="000000"/>
              <w:bottom w:val="single" w:sz="6" w:space="0" w:color="000000"/>
            </w:tcBorders>
          </w:tcPr>
          <w:p>
            <w:pPr>
              <w:pStyle w:val="TableParagraph"/>
              <w:spacing w:line="320" w:lineRule="exact"/>
              <w:ind w:left="218" w:right="182"/>
              <w:rPr>
                <w:sz w:val="21"/>
              </w:rPr>
            </w:pPr>
            <w:r>
              <w:rPr>
                <w:sz w:val="21"/>
              </w:rPr>
              <w:t>布点意义</w:t>
            </w:r>
          </w:p>
        </w:tc>
      </w:tr>
      <w:tr>
        <w:trPr>
          <w:trHeight w:val="342" w:hRule="atLeast"/>
        </w:trPr>
        <w:tc>
          <w:tcPr>
            <w:tcW w:w="1462" w:type="dxa"/>
            <w:tcBorders>
              <w:top w:val="single" w:sz="6" w:space="0" w:color="000000"/>
              <w:right w:val="single" w:sz="6" w:space="0" w:color="000000"/>
            </w:tcBorders>
          </w:tcPr>
          <w:p>
            <w:pPr>
              <w:pStyle w:val="TableParagraph"/>
              <w:spacing w:before="34"/>
              <w:ind w:left="287" w:right="269"/>
              <w:rPr>
                <w:rFonts w:ascii="Times New Roman"/>
                <w:sz w:val="21"/>
              </w:rPr>
            </w:pPr>
            <w:r>
              <w:rPr>
                <w:rFonts w:ascii="Times New Roman"/>
                <w:sz w:val="21"/>
              </w:rPr>
              <w:t>1#</w:t>
            </w:r>
          </w:p>
        </w:tc>
        <w:tc>
          <w:tcPr>
            <w:tcW w:w="2355" w:type="dxa"/>
            <w:tcBorders>
              <w:top w:val="single" w:sz="6" w:space="0" w:color="000000"/>
              <w:left w:val="single" w:sz="6" w:space="0" w:color="000000"/>
              <w:right w:val="single" w:sz="8" w:space="0" w:color="000000"/>
            </w:tcBorders>
          </w:tcPr>
          <w:p>
            <w:pPr>
              <w:pStyle w:val="TableParagraph"/>
              <w:spacing w:line="322" w:lineRule="exact"/>
              <w:ind w:left="639" w:right="608"/>
              <w:rPr>
                <w:sz w:val="21"/>
              </w:rPr>
            </w:pPr>
            <w:r>
              <w:rPr>
                <w:sz w:val="21"/>
              </w:rPr>
              <w:t>白马河断面</w:t>
            </w:r>
          </w:p>
        </w:tc>
        <w:tc>
          <w:tcPr>
            <w:tcW w:w="2357" w:type="dxa"/>
            <w:tcBorders>
              <w:top w:val="single" w:sz="6" w:space="0" w:color="000000"/>
              <w:left w:val="single" w:sz="8" w:space="0" w:color="000000"/>
              <w:right w:val="single" w:sz="6" w:space="0" w:color="000000"/>
            </w:tcBorders>
          </w:tcPr>
          <w:p>
            <w:pPr>
              <w:pStyle w:val="TableParagraph"/>
              <w:spacing w:line="322" w:lineRule="exact"/>
              <w:ind w:left="741" w:right="716"/>
              <w:rPr>
                <w:sz w:val="21"/>
              </w:rPr>
            </w:pPr>
            <w:r>
              <w:rPr>
                <w:sz w:val="21"/>
              </w:rPr>
              <w:t>白马河</w:t>
            </w:r>
          </w:p>
        </w:tc>
        <w:tc>
          <w:tcPr>
            <w:tcW w:w="2355" w:type="dxa"/>
            <w:tcBorders>
              <w:top w:val="single" w:sz="6" w:space="0" w:color="000000"/>
              <w:left w:val="single" w:sz="6" w:space="0" w:color="000000"/>
            </w:tcBorders>
          </w:tcPr>
          <w:p>
            <w:pPr>
              <w:pStyle w:val="TableParagraph"/>
              <w:spacing w:line="322" w:lineRule="exact"/>
              <w:ind w:left="218" w:right="183"/>
              <w:rPr>
                <w:sz w:val="21"/>
              </w:rPr>
            </w:pPr>
            <w:r>
              <w:rPr>
                <w:sz w:val="21"/>
              </w:rPr>
              <w:t>了解地表水水质现状</w:t>
            </w:r>
          </w:p>
        </w:tc>
      </w:tr>
    </w:tbl>
    <w:p>
      <w:pPr>
        <w:pStyle w:val="BodyText"/>
        <w:spacing w:line="494" w:lineRule="exact" w:before="29"/>
        <w:ind w:left="1058"/>
      </w:pPr>
      <w:r>
        <w:rPr>
          <w:rFonts w:ascii="Times New Roman" w:eastAsia="Times New Roman"/>
        </w:rPr>
        <w:t>2</w:t>
      </w:r>
      <w:r>
        <w:rPr/>
        <w:t>、监测项目</w:t>
      </w:r>
    </w:p>
    <w:p>
      <w:pPr>
        <w:pStyle w:val="BodyText"/>
        <w:spacing w:line="225" w:lineRule="auto" w:before="6"/>
        <w:ind w:left="578" w:right="813" w:firstLine="479"/>
      </w:pPr>
      <w:r>
        <w:rPr/>
        <w:t>地表水监测项目包括：</w:t>
      </w:r>
      <w:r>
        <w:rPr>
          <w:rFonts w:ascii="Times New Roman" w:eastAsia="Times New Roman"/>
        </w:rPr>
        <w:t>pH</w:t>
      </w:r>
      <w:r>
        <w:rPr/>
        <w:t>、</w:t>
      </w:r>
      <w:r>
        <w:rPr>
          <w:rFonts w:ascii="Times New Roman" w:eastAsia="Times New Roman"/>
        </w:rPr>
        <w:t>COD</w:t>
      </w:r>
      <w:r>
        <w:rPr/>
        <w:t>、氨氮、挥发酚、石油类、硫化物、氟化物、硫酸盐、锌、六价铬、铜、镉、镍、全盐量、粪大肠菌群、总磷、总氮共</w:t>
      </w:r>
    </w:p>
    <w:p>
      <w:pPr>
        <w:pStyle w:val="BodyText"/>
        <w:spacing w:line="477" w:lineRule="exact"/>
        <w:ind w:left="578"/>
      </w:pPr>
      <w:r>
        <w:rPr>
          <w:rFonts w:ascii="Times New Roman" w:eastAsia="Times New Roman"/>
        </w:rPr>
        <w:t>17 </w:t>
      </w:r>
      <w:r>
        <w:rPr/>
        <w:t>项。同时监测监测断面的流速、流量、水深及水温等水文参数。</w:t>
      </w:r>
    </w:p>
    <w:p>
      <w:pPr>
        <w:pStyle w:val="BodyText"/>
        <w:spacing w:line="495" w:lineRule="exact"/>
        <w:ind w:left="1058"/>
      </w:pPr>
      <w:r>
        <w:rPr>
          <w:rFonts w:ascii="Times New Roman" w:eastAsia="Times New Roman"/>
        </w:rPr>
        <w:t>3</w:t>
      </w:r>
      <w:r>
        <w:rPr/>
        <w:t>、监测单位、时间和频率</w:t>
      </w:r>
    </w:p>
    <w:p>
      <w:pPr>
        <w:spacing w:after="0" w:line="495" w:lineRule="exact"/>
        <w:sectPr>
          <w:pgSz w:w="11910" w:h="16840"/>
          <w:pgMar w:header="877" w:footer="973" w:top="1340" w:bottom="1160" w:left="1220" w:right="1040"/>
        </w:sectPr>
      </w:pPr>
    </w:p>
    <w:p>
      <w:pPr>
        <w:pStyle w:val="BodyText"/>
        <w:spacing w:before="6"/>
        <w:rPr>
          <w:sz w:val="7"/>
        </w:rPr>
      </w:pPr>
    </w:p>
    <w:p>
      <w:pPr>
        <w:pStyle w:val="BodyText"/>
        <w:spacing w:line="453" w:lineRule="exact"/>
        <w:ind w:left="1058"/>
        <w:rPr>
          <w:rFonts w:ascii="Times New Roman" w:eastAsia="Times New Roman"/>
        </w:rPr>
      </w:pPr>
      <w:r>
        <w:rPr/>
        <w:t>监测单位和时间：山东君成环境检测有限公司于 </w:t>
      </w:r>
      <w:r>
        <w:rPr>
          <w:rFonts w:ascii="Times New Roman" w:eastAsia="Times New Roman"/>
        </w:rPr>
        <w:t>2016 </w:t>
      </w:r>
      <w:r>
        <w:rPr/>
        <w:t>年 </w:t>
      </w:r>
      <w:r>
        <w:rPr>
          <w:rFonts w:ascii="Times New Roman" w:eastAsia="Times New Roman"/>
        </w:rPr>
        <w:t>12 </w:t>
      </w:r>
      <w:r>
        <w:rPr/>
        <w:t>月 </w:t>
      </w:r>
      <w:r>
        <w:rPr>
          <w:rFonts w:ascii="Times New Roman" w:eastAsia="Times New Roman"/>
        </w:rPr>
        <w:t>12 </w:t>
      </w:r>
      <w:r>
        <w:rPr/>
        <w:t>日和 </w:t>
      </w:r>
      <w:r>
        <w:rPr>
          <w:rFonts w:ascii="Times New Roman" w:eastAsia="Times New Roman"/>
        </w:rPr>
        <w:t>13</w:t>
      </w:r>
    </w:p>
    <w:p>
      <w:pPr>
        <w:pStyle w:val="BodyText"/>
        <w:spacing w:line="225" w:lineRule="auto" w:before="7"/>
        <w:ind w:left="578" w:right="766"/>
        <w:jc w:val="center"/>
        <w:rPr>
          <w:rFonts w:ascii="Times New Roman" w:eastAsia="Times New Roman"/>
        </w:rPr>
      </w:pPr>
      <w:r>
        <w:rPr/>
        <w:t>日进行了 </w:t>
      </w:r>
      <w:r>
        <w:rPr>
          <w:rFonts w:ascii="Times New Roman" w:eastAsia="Times New Roman"/>
        </w:rPr>
        <w:t>pH</w:t>
      </w:r>
      <w:r>
        <w:rPr/>
        <w:t>、</w:t>
      </w:r>
      <w:r>
        <w:rPr>
          <w:rFonts w:ascii="Times New Roman" w:eastAsia="Times New Roman"/>
        </w:rPr>
        <w:t>COD</w:t>
      </w:r>
      <w:r>
        <w:rPr/>
        <w:t>、氨氮、挥发酚、石油类、硫化物、氟化物、硫酸盐、锌、六价铬、铜、镉、镍、全盐量、粪大肠菌群 </w:t>
      </w:r>
      <w:r>
        <w:rPr>
          <w:rFonts w:ascii="Times New Roman" w:eastAsia="Times New Roman"/>
        </w:rPr>
        <w:t>15 </w:t>
      </w:r>
      <w:r>
        <w:rPr/>
        <w:t>项污染物监测，并在 </w:t>
      </w:r>
      <w:r>
        <w:rPr>
          <w:rFonts w:ascii="Times New Roman" w:eastAsia="Times New Roman"/>
        </w:rPr>
        <w:t>2017 </w:t>
      </w:r>
      <w:r>
        <w:rPr/>
        <w:t>年 </w:t>
      </w:r>
      <w:r>
        <w:rPr>
          <w:rFonts w:ascii="Times New Roman" w:eastAsia="Times New Roman"/>
        </w:rPr>
        <w:t>3</w:t>
      </w:r>
    </w:p>
    <w:p>
      <w:pPr>
        <w:pStyle w:val="BodyText"/>
        <w:spacing w:line="225" w:lineRule="auto" w:before="3"/>
        <w:ind w:left="1058" w:right="4385" w:hanging="480"/>
      </w:pPr>
      <w:r>
        <w:rPr/>
        <w:t>年 </w:t>
      </w:r>
      <w:r>
        <w:rPr>
          <w:rFonts w:ascii="Times New Roman" w:eastAsia="Times New Roman"/>
        </w:rPr>
        <w:t>10 </w:t>
      </w:r>
      <w:r>
        <w:rPr/>
        <w:t>日进行了总磷、总氮 </w:t>
      </w:r>
      <w:r>
        <w:rPr>
          <w:rFonts w:ascii="Times New Roman" w:eastAsia="Times New Roman"/>
        </w:rPr>
        <w:t>2 </w:t>
      </w:r>
      <w:r>
        <w:rPr/>
        <w:t>项污染物监测。频率：每天上下午各采样一次。</w:t>
      </w:r>
    </w:p>
    <w:p>
      <w:pPr>
        <w:pStyle w:val="BodyText"/>
        <w:spacing w:line="477" w:lineRule="exact"/>
        <w:ind w:left="1058"/>
      </w:pPr>
      <w:r>
        <w:rPr>
          <w:rFonts w:ascii="Times New Roman" w:eastAsia="Times New Roman"/>
        </w:rPr>
        <w:t>4</w:t>
      </w:r>
      <w:r>
        <w:rPr/>
        <w:t>、监测分析方法</w:t>
      </w:r>
    </w:p>
    <w:p>
      <w:pPr>
        <w:pStyle w:val="BodyText"/>
        <w:spacing w:line="225" w:lineRule="auto" w:before="7"/>
        <w:ind w:left="578" w:right="877" w:firstLine="479"/>
        <w:jc w:val="both"/>
      </w:pPr>
      <w:r>
        <w:rPr/>
        <w:t>按国家环保局《环境监测技术规范》、《水和废水监测分析方法》（第四版）和《地表水环境质量标准》（</w:t>
      </w:r>
      <w:r>
        <w:rPr>
          <w:rFonts w:ascii="Times New Roman" w:eastAsia="Times New Roman"/>
        </w:rPr>
        <w:t>GB3838-2002</w:t>
      </w:r>
      <w:r>
        <w:rPr/>
        <w:t>）中推荐方法进行，监测分析方法见表 </w:t>
      </w:r>
      <w:r>
        <w:rPr>
          <w:rFonts w:ascii="Times New Roman" w:eastAsia="Times New Roman"/>
        </w:rPr>
        <w:t>5.4-15</w:t>
      </w:r>
      <w:r>
        <w:rPr/>
        <w:t>。</w:t>
      </w:r>
    </w:p>
    <w:p>
      <w:pPr>
        <w:tabs>
          <w:tab w:pos="1017" w:val="left" w:leader="none"/>
        </w:tabs>
        <w:spacing w:before="110" w:after="25"/>
        <w:ind w:left="0" w:right="295" w:firstLine="0"/>
        <w:jc w:val="center"/>
        <w:rPr>
          <w:sz w:val="21"/>
        </w:rPr>
      </w:pPr>
      <w:r>
        <w:rPr>
          <w:sz w:val="21"/>
        </w:rPr>
        <w:t>表</w:t>
      </w:r>
      <w:r>
        <w:rPr>
          <w:spacing w:val="8"/>
          <w:sz w:val="21"/>
        </w:rPr>
        <w:t> </w:t>
      </w:r>
      <w:r>
        <w:rPr>
          <w:rFonts w:ascii="Times New Roman" w:eastAsia="Times New Roman"/>
          <w:b/>
          <w:sz w:val="21"/>
        </w:rPr>
        <w:t>5.4-15</w:t>
        <w:tab/>
      </w:r>
      <w:r>
        <w:rPr>
          <w:sz w:val="21"/>
        </w:rPr>
        <w:t>地表水监测</w:t>
      </w:r>
      <w:r>
        <w:rPr>
          <w:spacing w:val="-3"/>
          <w:sz w:val="21"/>
        </w:rPr>
        <w:t>分</w:t>
      </w:r>
      <w:r>
        <w:rPr>
          <w:sz w:val="21"/>
        </w:rPr>
        <w:t>析方法</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1325"/>
        <w:gridCol w:w="2789"/>
        <w:gridCol w:w="2410"/>
        <w:gridCol w:w="1329"/>
      </w:tblGrid>
      <w:tr>
        <w:trPr>
          <w:trHeight w:val="623" w:hRule="atLeast"/>
        </w:trPr>
        <w:tc>
          <w:tcPr>
            <w:tcW w:w="674" w:type="dxa"/>
            <w:tcBorders>
              <w:bottom w:val="single" w:sz="6" w:space="0" w:color="000000"/>
              <w:right w:val="single" w:sz="6" w:space="0" w:color="000000"/>
            </w:tcBorders>
          </w:tcPr>
          <w:p>
            <w:pPr>
              <w:pStyle w:val="TableParagraph"/>
              <w:spacing w:before="77"/>
              <w:ind w:left="102" w:right="83"/>
              <w:rPr>
                <w:sz w:val="21"/>
              </w:rPr>
            </w:pPr>
            <w:r>
              <w:rPr>
                <w:sz w:val="21"/>
              </w:rPr>
              <w:t>序号</w:t>
            </w:r>
          </w:p>
        </w:tc>
        <w:tc>
          <w:tcPr>
            <w:tcW w:w="1325" w:type="dxa"/>
            <w:tcBorders>
              <w:left w:val="single" w:sz="6" w:space="0" w:color="000000"/>
              <w:bottom w:val="single" w:sz="6" w:space="0" w:color="000000"/>
              <w:right w:val="single" w:sz="6" w:space="0" w:color="000000"/>
            </w:tcBorders>
          </w:tcPr>
          <w:p>
            <w:pPr>
              <w:pStyle w:val="TableParagraph"/>
              <w:spacing w:before="77"/>
              <w:ind w:left="123" w:right="94"/>
              <w:rPr>
                <w:sz w:val="21"/>
              </w:rPr>
            </w:pPr>
            <w:r>
              <w:rPr>
                <w:sz w:val="21"/>
              </w:rPr>
              <w:t>监测项目</w:t>
            </w:r>
          </w:p>
        </w:tc>
        <w:tc>
          <w:tcPr>
            <w:tcW w:w="2789" w:type="dxa"/>
            <w:tcBorders>
              <w:left w:val="single" w:sz="6" w:space="0" w:color="000000"/>
              <w:bottom w:val="single" w:sz="6" w:space="0" w:color="000000"/>
              <w:right w:val="single" w:sz="6" w:space="0" w:color="000000"/>
            </w:tcBorders>
          </w:tcPr>
          <w:p>
            <w:pPr>
              <w:pStyle w:val="TableParagraph"/>
              <w:spacing w:before="77"/>
              <w:ind w:left="121" w:right="91"/>
              <w:rPr>
                <w:sz w:val="21"/>
              </w:rPr>
            </w:pPr>
            <w:r>
              <w:rPr>
                <w:sz w:val="21"/>
              </w:rPr>
              <w:t>分析方法</w:t>
            </w:r>
          </w:p>
        </w:tc>
        <w:tc>
          <w:tcPr>
            <w:tcW w:w="2410" w:type="dxa"/>
            <w:tcBorders>
              <w:left w:val="single" w:sz="6" w:space="0" w:color="000000"/>
              <w:bottom w:val="single" w:sz="6" w:space="0" w:color="000000"/>
              <w:right w:val="single" w:sz="6" w:space="0" w:color="000000"/>
            </w:tcBorders>
          </w:tcPr>
          <w:p>
            <w:pPr>
              <w:pStyle w:val="TableParagraph"/>
              <w:spacing w:before="77"/>
              <w:ind w:left="1001"/>
              <w:jc w:val="left"/>
              <w:rPr>
                <w:sz w:val="21"/>
              </w:rPr>
            </w:pPr>
            <w:r>
              <w:rPr>
                <w:sz w:val="21"/>
              </w:rPr>
              <w:t>方法依据</w:t>
            </w:r>
          </w:p>
        </w:tc>
        <w:tc>
          <w:tcPr>
            <w:tcW w:w="1329" w:type="dxa"/>
            <w:tcBorders>
              <w:left w:val="single" w:sz="6" w:space="0" w:color="000000"/>
              <w:bottom w:val="single" w:sz="6" w:space="0" w:color="000000"/>
            </w:tcBorders>
          </w:tcPr>
          <w:p>
            <w:pPr>
              <w:pStyle w:val="TableParagraph"/>
              <w:spacing w:line="357" w:lineRule="exact"/>
              <w:ind w:left="127" w:right="88"/>
              <w:rPr>
                <w:sz w:val="21"/>
              </w:rPr>
            </w:pPr>
            <w:r>
              <w:rPr>
                <w:sz w:val="21"/>
              </w:rPr>
              <w:t>最低检出限</w:t>
            </w:r>
          </w:p>
          <w:p>
            <w:pPr>
              <w:pStyle w:val="TableParagraph"/>
              <w:spacing w:line="232" w:lineRule="exact"/>
              <w:ind w:left="125" w:right="88"/>
              <w:rPr>
                <w:rFonts w:ascii="Times New Roman"/>
                <w:b/>
                <w:sz w:val="21"/>
              </w:rPr>
            </w:pPr>
            <w:r>
              <w:rPr>
                <w:rFonts w:ascii="Times New Roman"/>
                <w:b/>
                <w:sz w:val="21"/>
              </w:rPr>
              <w:t>(mg/L)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51"/>
              <w:ind w:left="19"/>
              <w:rPr>
                <w:rFonts w:ascii="Times New Roman"/>
                <w:sz w:val="21"/>
              </w:rPr>
            </w:pPr>
            <w:r>
              <w:rPr>
                <w:rFonts w:ascii="Times New Roman"/>
                <w:w w:val="100"/>
                <w:sz w:val="21"/>
              </w:rPr>
              <w:t>1</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before="51"/>
              <w:ind w:left="122" w:right="94"/>
              <w:rPr>
                <w:rFonts w:ascii="Times New Roman"/>
                <w:sz w:val="21"/>
              </w:rPr>
            </w:pPr>
            <w:r>
              <w:rPr>
                <w:rFonts w:ascii="Times New Roman"/>
                <w:sz w:val="21"/>
              </w:rPr>
              <w:t>pH</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u w:val="single"/>
              </w:rPr>
              <w:t>玻璃电极法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51"/>
              <w:ind w:right="457"/>
              <w:jc w:val="right"/>
              <w:rPr>
                <w:rFonts w:ascii="Times New Roman"/>
                <w:sz w:val="21"/>
              </w:rPr>
            </w:pPr>
            <w:r>
              <w:rPr>
                <w:rFonts w:ascii="Times New Roman"/>
                <w:sz w:val="21"/>
              </w:rPr>
              <w:t>GB/T 6920-1986</w:t>
            </w:r>
          </w:p>
        </w:tc>
        <w:tc>
          <w:tcPr>
            <w:tcW w:w="1329" w:type="dxa"/>
            <w:tcBorders>
              <w:top w:val="single" w:sz="6" w:space="0" w:color="000000"/>
              <w:left w:val="single" w:sz="6" w:space="0" w:color="000000"/>
              <w:bottom w:val="single" w:sz="6" w:space="0" w:color="000000"/>
            </w:tcBorders>
          </w:tcPr>
          <w:p>
            <w:pPr>
              <w:pStyle w:val="TableParagraph"/>
              <w:spacing w:before="51"/>
              <w:ind w:left="127" w:right="88"/>
              <w:rPr>
                <w:rFonts w:ascii="Times New Roman"/>
                <w:sz w:val="21"/>
              </w:rPr>
            </w:pPr>
            <w:r>
              <w:rPr>
                <w:rFonts w:ascii="Times New Roman"/>
                <w:sz w:val="21"/>
              </w:rPr>
              <w:t>0.01</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9"/>
              <w:rPr>
                <w:rFonts w:ascii="Times New Roman"/>
                <w:sz w:val="21"/>
              </w:rPr>
            </w:pPr>
            <w:r>
              <w:rPr>
                <w:rFonts w:ascii="Times New Roman"/>
                <w:w w:val="100"/>
                <w:sz w:val="21"/>
              </w:rPr>
              <w:t>2</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before="47"/>
              <w:ind w:left="124" w:right="94"/>
              <w:rPr>
                <w:rFonts w:ascii="Times New Roman"/>
                <w:sz w:val="14"/>
              </w:rPr>
            </w:pPr>
            <w:r>
              <w:rPr>
                <w:rFonts w:ascii="Times New Roman"/>
                <w:position w:val="2"/>
                <w:sz w:val="21"/>
              </w:rPr>
              <w:t>COD</w:t>
            </w:r>
            <w:r>
              <w:rPr>
                <w:rFonts w:ascii="Times New Roman"/>
                <w:sz w:val="14"/>
              </w:rPr>
              <w:t>Cr</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u w:val="single"/>
              </w:rPr>
              <w:t>重铬酸盐法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8"/>
              <w:ind w:right="405"/>
              <w:jc w:val="right"/>
              <w:rPr>
                <w:rFonts w:ascii="Times New Roman"/>
                <w:sz w:val="21"/>
              </w:rPr>
            </w:pPr>
            <w:r>
              <w:rPr>
                <w:rFonts w:ascii="Times New Roman"/>
                <w:sz w:val="21"/>
              </w:rPr>
              <w:t>GB/T 11914-1989</w:t>
            </w:r>
          </w:p>
        </w:tc>
        <w:tc>
          <w:tcPr>
            <w:tcW w:w="1329" w:type="dxa"/>
            <w:tcBorders>
              <w:top w:val="single" w:sz="6" w:space="0" w:color="000000"/>
              <w:left w:val="single" w:sz="6" w:space="0" w:color="000000"/>
              <w:bottom w:val="single" w:sz="6" w:space="0" w:color="000000"/>
            </w:tcBorders>
          </w:tcPr>
          <w:p>
            <w:pPr>
              <w:pStyle w:val="TableParagraph"/>
              <w:spacing w:before="48"/>
              <w:ind w:left="126" w:right="88"/>
              <w:rPr>
                <w:rFonts w:ascii="Times New Roman"/>
                <w:sz w:val="21"/>
              </w:rPr>
            </w:pPr>
            <w:r>
              <w:rPr>
                <w:rFonts w:ascii="Times New Roman"/>
                <w:sz w:val="21"/>
              </w:rPr>
              <w:t>10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9"/>
              <w:rPr>
                <w:rFonts w:ascii="Times New Roman"/>
                <w:sz w:val="21"/>
              </w:rPr>
            </w:pPr>
            <w:r>
              <w:rPr>
                <w:rFonts w:ascii="Times New Roman"/>
                <w:w w:val="100"/>
                <w:sz w:val="21"/>
              </w:rPr>
              <w:t>3</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3" w:right="94"/>
              <w:rPr>
                <w:sz w:val="21"/>
              </w:rPr>
            </w:pPr>
            <w:r>
              <w:rPr>
                <w:sz w:val="21"/>
              </w:rPr>
              <w:t>氨氮</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91"/>
              <w:rPr>
                <w:sz w:val="21"/>
              </w:rPr>
            </w:pPr>
            <w:r>
              <w:rPr>
                <w:sz w:val="21"/>
              </w:rPr>
              <w:t>纳氏试剂比色法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8"/>
              <w:ind w:left="665"/>
              <w:jc w:val="left"/>
              <w:rPr>
                <w:rFonts w:ascii="Times New Roman"/>
                <w:sz w:val="21"/>
              </w:rPr>
            </w:pPr>
            <w:r>
              <w:rPr>
                <w:rFonts w:ascii="Times New Roman"/>
                <w:sz w:val="21"/>
              </w:rPr>
              <w:t>HJ 535-2009</w:t>
            </w:r>
          </w:p>
        </w:tc>
        <w:tc>
          <w:tcPr>
            <w:tcW w:w="1329" w:type="dxa"/>
            <w:tcBorders>
              <w:top w:val="single" w:sz="6" w:space="0" w:color="000000"/>
              <w:left w:val="single" w:sz="6" w:space="0" w:color="000000"/>
              <w:bottom w:val="single" w:sz="6" w:space="0" w:color="000000"/>
            </w:tcBorders>
          </w:tcPr>
          <w:p>
            <w:pPr>
              <w:pStyle w:val="TableParagraph"/>
              <w:spacing w:before="48"/>
              <w:ind w:left="183"/>
              <w:jc w:val="left"/>
              <w:rPr>
                <w:rFonts w:ascii="Times New Roman"/>
                <w:sz w:val="21"/>
              </w:rPr>
            </w:pPr>
            <w:r>
              <w:rPr>
                <w:rFonts w:ascii="Times New Roman"/>
                <w:sz w:val="21"/>
              </w:rPr>
              <w:t>0.025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9"/>
              <w:ind w:left="19"/>
              <w:rPr>
                <w:rFonts w:ascii="Times New Roman"/>
                <w:sz w:val="21"/>
              </w:rPr>
            </w:pPr>
            <w:r>
              <w:rPr>
                <w:rFonts w:ascii="Times New Roman"/>
                <w:w w:val="100"/>
                <w:sz w:val="21"/>
              </w:rPr>
              <w:t>4</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23" w:right="94"/>
              <w:rPr>
                <w:sz w:val="21"/>
              </w:rPr>
            </w:pPr>
            <w:r>
              <w:rPr>
                <w:sz w:val="21"/>
              </w:rPr>
              <w:t>挥发酚</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21" w:right="91"/>
              <w:rPr>
                <w:sz w:val="21"/>
              </w:rPr>
            </w:pPr>
            <w:r>
              <w:rPr>
                <w:rFonts w:ascii="Times New Roman" w:eastAsia="Times New Roman"/>
                <w:sz w:val="21"/>
              </w:rPr>
              <w:t>4-</w:t>
            </w:r>
            <w:r>
              <w:rPr>
                <w:sz w:val="21"/>
              </w:rPr>
              <w:t>氨基安替比林分光广度法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9"/>
              <w:ind w:left="665"/>
              <w:jc w:val="left"/>
              <w:rPr>
                <w:rFonts w:ascii="Times New Roman"/>
                <w:sz w:val="21"/>
              </w:rPr>
            </w:pPr>
            <w:r>
              <w:rPr>
                <w:rFonts w:ascii="Times New Roman"/>
                <w:sz w:val="21"/>
              </w:rPr>
              <w:t>HJ 503-2009</w:t>
            </w:r>
          </w:p>
        </w:tc>
        <w:tc>
          <w:tcPr>
            <w:tcW w:w="1329" w:type="dxa"/>
            <w:tcBorders>
              <w:top w:val="single" w:sz="6" w:space="0" w:color="000000"/>
              <w:left w:val="single" w:sz="6" w:space="0" w:color="000000"/>
              <w:bottom w:val="single" w:sz="6" w:space="0" w:color="000000"/>
            </w:tcBorders>
          </w:tcPr>
          <w:p>
            <w:pPr>
              <w:pStyle w:val="TableParagraph"/>
              <w:spacing w:before="49"/>
              <w:ind w:left="127" w:right="87"/>
              <w:rPr>
                <w:rFonts w:ascii="Times New Roman"/>
                <w:sz w:val="21"/>
              </w:rPr>
            </w:pPr>
            <w:r>
              <w:rPr>
                <w:rFonts w:ascii="Times New Roman"/>
                <w:sz w:val="21"/>
              </w:rPr>
              <w:t>0.0003mg/L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9"/>
              <w:rPr>
                <w:rFonts w:ascii="Times New Roman"/>
                <w:sz w:val="21"/>
              </w:rPr>
            </w:pPr>
            <w:r>
              <w:rPr>
                <w:rFonts w:ascii="Times New Roman"/>
                <w:w w:val="100"/>
                <w:sz w:val="21"/>
              </w:rPr>
              <w:t>5</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3" w:right="94"/>
              <w:rPr>
                <w:sz w:val="21"/>
              </w:rPr>
            </w:pPr>
            <w:r>
              <w:rPr>
                <w:sz w:val="21"/>
              </w:rPr>
              <w:t>氟化物</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rPr>
              <w:t>离子色谱法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8"/>
              <w:ind w:left="624"/>
              <w:jc w:val="left"/>
              <w:rPr>
                <w:rFonts w:ascii="Times New Roman"/>
                <w:sz w:val="21"/>
              </w:rPr>
            </w:pPr>
            <w:r>
              <w:rPr>
                <w:rFonts w:ascii="Times New Roman"/>
                <w:sz w:val="21"/>
              </w:rPr>
              <w:t>HJ/T 84-2001</w:t>
            </w:r>
          </w:p>
        </w:tc>
        <w:tc>
          <w:tcPr>
            <w:tcW w:w="1329" w:type="dxa"/>
            <w:tcBorders>
              <w:top w:val="single" w:sz="6" w:space="0" w:color="000000"/>
              <w:left w:val="single" w:sz="6" w:space="0" w:color="000000"/>
              <w:bottom w:val="single" w:sz="6" w:space="0" w:color="000000"/>
            </w:tcBorders>
          </w:tcPr>
          <w:p>
            <w:pPr>
              <w:pStyle w:val="TableParagraph"/>
              <w:spacing w:before="48"/>
              <w:ind w:left="233"/>
              <w:jc w:val="left"/>
              <w:rPr>
                <w:rFonts w:ascii="Times New Roman"/>
                <w:sz w:val="21"/>
              </w:rPr>
            </w:pPr>
            <w:r>
              <w:rPr>
                <w:rFonts w:ascii="Times New Roman"/>
                <w:sz w:val="21"/>
              </w:rPr>
              <w:t>0.02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9"/>
              <w:rPr>
                <w:rFonts w:ascii="Times New Roman"/>
                <w:sz w:val="21"/>
              </w:rPr>
            </w:pPr>
            <w:r>
              <w:rPr>
                <w:rFonts w:ascii="Times New Roman"/>
                <w:w w:val="100"/>
                <w:sz w:val="21"/>
              </w:rPr>
              <w:t>6</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3" w:right="94"/>
              <w:rPr>
                <w:sz w:val="21"/>
              </w:rPr>
            </w:pPr>
            <w:r>
              <w:rPr>
                <w:sz w:val="21"/>
              </w:rPr>
              <w:t>硫化物</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u w:val="single"/>
              </w:rPr>
              <w:t>亚甲基蓝分光光度法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8"/>
              <w:ind w:right="405"/>
              <w:jc w:val="right"/>
              <w:rPr>
                <w:rFonts w:ascii="Times New Roman"/>
                <w:sz w:val="21"/>
              </w:rPr>
            </w:pPr>
            <w:r>
              <w:rPr>
                <w:rFonts w:ascii="Times New Roman"/>
                <w:sz w:val="21"/>
              </w:rPr>
              <w:t>GB/T 16489-1996</w:t>
            </w:r>
          </w:p>
        </w:tc>
        <w:tc>
          <w:tcPr>
            <w:tcW w:w="1329" w:type="dxa"/>
            <w:tcBorders>
              <w:top w:val="single" w:sz="6" w:space="0" w:color="000000"/>
              <w:left w:val="single" w:sz="6" w:space="0" w:color="000000"/>
              <w:bottom w:val="single" w:sz="6" w:space="0" w:color="000000"/>
            </w:tcBorders>
          </w:tcPr>
          <w:p>
            <w:pPr>
              <w:pStyle w:val="TableParagraph"/>
              <w:spacing w:before="48"/>
              <w:ind w:left="183"/>
              <w:jc w:val="left"/>
              <w:rPr>
                <w:rFonts w:ascii="Times New Roman"/>
                <w:sz w:val="21"/>
              </w:rPr>
            </w:pPr>
            <w:r>
              <w:rPr>
                <w:rFonts w:ascii="Times New Roman"/>
                <w:sz w:val="21"/>
              </w:rPr>
              <w:t>0.005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9"/>
              <w:rPr>
                <w:rFonts w:ascii="Times New Roman"/>
                <w:sz w:val="21"/>
              </w:rPr>
            </w:pPr>
            <w:r>
              <w:rPr>
                <w:rFonts w:ascii="Times New Roman"/>
                <w:w w:val="100"/>
                <w:sz w:val="21"/>
              </w:rPr>
              <w:t>7</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3" w:right="94"/>
              <w:rPr>
                <w:sz w:val="21"/>
              </w:rPr>
            </w:pPr>
            <w:r>
              <w:rPr>
                <w:sz w:val="21"/>
              </w:rPr>
              <w:t>石油类</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u w:val="single"/>
              </w:rPr>
              <w:t>红外光度法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8"/>
              <w:ind w:left="665"/>
              <w:jc w:val="left"/>
              <w:rPr>
                <w:rFonts w:ascii="Times New Roman"/>
                <w:sz w:val="21"/>
              </w:rPr>
            </w:pPr>
            <w:r>
              <w:rPr>
                <w:rFonts w:ascii="Times New Roman"/>
                <w:sz w:val="21"/>
              </w:rPr>
              <w:t>HJ 637-2012</w:t>
            </w:r>
          </w:p>
        </w:tc>
        <w:tc>
          <w:tcPr>
            <w:tcW w:w="1329" w:type="dxa"/>
            <w:tcBorders>
              <w:top w:val="single" w:sz="6" w:space="0" w:color="000000"/>
              <w:left w:val="single" w:sz="6" w:space="0" w:color="000000"/>
              <w:bottom w:val="single" w:sz="6" w:space="0" w:color="000000"/>
            </w:tcBorders>
          </w:tcPr>
          <w:p>
            <w:pPr>
              <w:pStyle w:val="TableParagraph"/>
              <w:spacing w:before="48"/>
              <w:ind w:left="233"/>
              <w:jc w:val="left"/>
              <w:rPr>
                <w:rFonts w:ascii="Times New Roman"/>
                <w:sz w:val="21"/>
              </w:rPr>
            </w:pPr>
            <w:r>
              <w:rPr>
                <w:rFonts w:ascii="Times New Roman"/>
                <w:sz w:val="21"/>
              </w:rPr>
              <w:t>0.01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34"/>
              <w:ind w:left="19"/>
              <w:rPr>
                <w:rFonts w:ascii="Times New Roman"/>
                <w:sz w:val="21"/>
              </w:rPr>
            </w:pPr>
            <w:r>
              <w:rPr>
                <w:rFonts w:ascii="Times New Roman"/>
                <w:w w:val="100"/>
                <w:sz w:val="21"/>
              </w:rPr>
              <w:t>8</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3" w:right="94"/>
              <w:rPr>
                <w:sz w:val="21"/>
              </w:rPr>
            </w:pPr>
            <w:r>
              <w:rPr>
                <w:sz w:val="21"/>
              </w:rPr>
              <w:t>硫酸盐</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rPr>
              <w:t>离子色谱法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jc w:val="left"/>
              <w:rPr>
                <w:rFonts w:ascii="Times New Roman"/>
                <w:sz w:val="21"/>
              </w:rPr>
            </w:pPr>
            <w:r>
              <w:rPr>
                <w:rFonts w:ascii="Times New Roman"/>
                <w:sz w:val="21"/>
              </w:rPr>
              <w:t>HJ/T 84-2001</w:t>
            </w:r>
          </w:p>
        </w:tc>
        <w:tc>
          <w:tcPr>
            <w:tcW w:w="1329" w:type="dxa"/>
            <w:tcBorders>
              <w:top w:val="single" w:sz="6" w:space="0" w:color="000000"/>
              <w:left w:val="single" w:sz="6" w:space="0" w:color="000000"/>
              <w:bottom w:val="single" w:sz="6" w:space="0" w:color="000000"/>
            </w:tcBorders>
          </w:tcPr>
          <w:p>
            <w:pPr>
              <w:pStyle w:val="TableParagraph"/>
              <w:spacing w:before="34"/>
              <w:ind w:left="233"/>
              <w:jc w:val="left"/>
              <w:rPr>
                <w:rFonts w:ascii="Times New Roman"/>
                <w:sz w:val="21"/>
              </w:rPr>
            </w:pPr>
            <w:r>
              <w:rPr>
                <w:rFonts w:ascii="Times New Roman"/>
                <w:sz w:val="21"/>
              </w:rPr>
              <w:t>0.02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9"/>
              <w:rPr>
                <w:rFonts w:ascii="Times New Roman"/>
                <w:sz w:val="21"/>
              </w:rPr>
            </w:pPr>
            <w:r>
              <w:rPr>
                <w:rFonts w:ascii="Times New Roman"/>
                <w:w w:val="100"/>
                <w:sz w:val="21"/>
              </w:rPr>
              <w:t>9</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w w:val="100"/>
                <w:sz w:val="21"/>
              </w:rPr>
              <w:t>锌</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rPr>
              <w:t>原子吸收分光光度法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34"/>
              <w:ind w:right="457"/>
              <w:jc w:val="right"/>
              <w:rPr>
                <w:rFonts w:ascii="Times New Roman"/>
                <w:sz w:val="21"/>
              </w:rPr>
            </w:pPr>
            <w:r>
              <w:rPr>
                <w:rFonts w:ascii="Times New Roman"/>
                <w:sz w:val="21"/>
              </w:rPr>
              <w:t>GB/T 7475-1987</w:t>
            </w:r>
          </w:p>
        </w:tc>
        <w:tc>
          <w:tcPr>
            <w:tcW w:w="1329" w:type="dxa"/>
            <w:tcBorders>
              <w:top w:val="single" w:sz="6" w:space="0" w:color="000000"/>
              <w:left w:val="single" w:sz="6" w:space="0" w:color="000000"/>
              <w:bottom w:val="single" w:sz="6" w:space="0" w:color="000000"/>
            </w:tcBorders>
          </w:tcPr>
          <w:p>
            <w:pPr>
              <w:pStyle w:val="TableParagraph"/>
              <w:spacing w:before="34"/>
              <w:ind w:left="233"/>
              <w:jc w:val="left"/>
              <w:rPr>
                <w:rFonts w:ascii="Times New Roman"/>
                <w:sz w:val="21"/>
              </w:rPr>
            </w:pPr>
            <w:r>
              <w:rPr>
                <w:rFonts w:ascii="Times New Roman"/>
                <w:sz w:val="21"/>
              </w:rPr>
              <w:t>0.05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02" w:right="83"/>
              <w:rPr>
                <w:rFonts w:ascii="Times New Roman"/>
                <w:sz w:val="21"/>
              </w:rPr>
            </w:pPr>
            <w:r>
              <w:rPr>
                <w:rFonts w:ascii="Times New Roman"/>
                <w:sz w:val="21"/>
              </w:rPr>
              <w:t>10</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3" w:right="94"/>
              <w:rPr>
                <w:sz w:val="21"/>
              </w:rPr>
            </w:pPr>
            <w:r>
              <w:rPr>
                <w:sz w:val="21"/>
              </w:rPr>
              <w:t>六价铬</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91"/>
              <w:rPr>
                <w:sz w:val="21"/>
              </w:rPr>
            </w:pPr>
            <w:r>
              <w:rPr>
                <w:sz w:val="21"/>
              </w:rPr>
              <w:t>二苯碳酰二肼分光光度法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8"/>
              <w:ind w:right="457"/>
              <w:jc w:val="right"/>
              <w:rPr>
                <w:rFonts w:ascii="Times New Roman"/>
                <w:sz w:val="21"/>
              </w:rPr>
            </w:pPr>
            <w:r>
              <w:rPr>
                <w:rFonts w:ascii="Times New Roman"/>
                <w:sz w:val="21"/>
              </w:rPr>
              <w:t>GB/T 7467-1987</w:t>
            </w:r>
          </w:p>
        </w:tc>
        <w:tc>
          <w:tcPr>
            <w:tcW w:w="1329" w:type="dxa"/>
            <w:tcBorders>
              <w:top w:val="single" w:sz="6" w:space="0" w:color="000000"/>
              <w:left w:val="single" w:sz="6" w:space="0" w:color="000000"/>
              <w:bottom w:val="single" w:sz="6" w:space="0" w:color="000000"/>
            </w:tcBorders>
          </w:tcPr>
          <w:p>
            <w:pPr>
              <w:pStyle w:val="TableParagraph"/>
              <w:spacing w:before="48"/>
              <w:ind w:left="183"/>
              <w:jc w:val="left"/>
              <w:rPr>
                <w:rFonts w:ascii="Times New Roman"/>
                <w:sz w:val="21"/>
              </w:rPr>
            </w:pPr>
            <w:r>
              <w:rPr>
                <w:rFonts w:ascii="Times New Roman"/>
                <w:sz w:val="21"/>
              </w:rPr>
              <w:t>0.004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02" w:right="83"/>
              <w:rPr>
                <w:rFonts w:ascii="Times New Roman"/>
                <w:sz w:val="21"/>
              </w:rPr>
            </w:pPr>
            <w:r>
              <w:rPr>
                <w:rFonts w:ascii="Times New Roman"/>
                <w:sz w:val="21"/>
              </w:rPr>
              <w:t>11</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w w:val="100"/>
                <w:sz w:val="21"/>
              </w:rPr>
              <w:t>铜</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rPr>
              <w:t>原子吸收分光光度发</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8"/>
              <w:ind w:right="460"/>
              <w:jc w:val="right"/>
              <w:rPr>
                <w:rFonts w:ascii="Times New Roman"/>
                <w:sz w:val="21"/>
              </w:rPr>
            </w:pPr>
            <w:r>
              <w:rPr>
                <w:rFonts w:ascii="Times New Roman"/>
                <w:sz w:val="21"/>
              </w:rPr>
              <w:t>GB/T 7475-1987</w:t>
            </w:r>
          </w:p>
        </w:tc>
        <w:tc>
          <w:tcPr>
            <w:tcW w:w="1329" w:type="dxa"/>
            <w:tcBorders>
              <w:top w:val="single" w:sz="6" w:space="0" w:color="000000"/>
              <w:left w:val="single" w:sz="6" w:space="0" w:color="000000"/>
              <w:bottom w:val="single" w:sz="6" w:space="0" w:color="000000"/>
            </w:tcBorders>
          </w:tcPr>
          <w:p>
            <w:pPr>
              <w:pStyle w:val="TableParagraph"/>
              <w:spacing w:before="48"/>
              <w:ind w:left="233"/>
              <w:jc w:val="left"/>
              <w:rPr>
                <w:rFonts w:ascii="Times New Roman"/>
                <w:sz w:val="21"/>
              </w:rPr>
            </w:pPr>
            <w:r>
              <w:rPr>
                <w:rFonts w:ascii="Times New Roman"/>
                <w:sz w:val="21"/>
              </w:rPr>
              <w:t>0.05 mg/L</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12</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before="77"/>
              <w:ind w:left="29"/>
              <w:rPr>
                <w:sz w:val="21"/>
              </w:rPr>
            </w:pPr>
            <w:r>
              <w:rPr>
                <w:w w:val="100"/>
                <w:sz w:val="21"/>
              </w:rPr>
              <w:t>镉</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7"/>
              <w:ind w:left="121" w:right="89"/>
              <w:rPr>
                <w:sz w:val="21"/>
              </w:rPr>
            </w:pPr>
            <w:r>
              <w:rPr>
                <w:sz w:val="21"/>
              </w:rPr>
              <w:t>石墨炉原子吸收法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16" w:right="86"/>
              <w:rPr>
                <w:sz w:val="21"/>
              </w:rPr>
            </w:pPr>
            <w:r>
              <w:rPr>
                <w:sz w:val="21"/>
              </w:rPr>
              <w:t>国家环保总局（</w:t>
            </w:r>
            <w:r>
              <w:rPr>
                <w:rFonts w:ascii="Times New Roman" w:eastAsia="Times New Roman"/>
                <w:sz w:val="21"/>
              </w:rPr>
              <w:t>2002 </w:t>
            </w:r>
            <w:r>
              <w:rPr>
                <w:sz w:val="21"/>
              </w:rPr>
              <w:t>年</w:t>
            </w:r>
          </w:p>
          <w:p>
            <w:pPr>
              <w:pStyle w:val="TableParagraph"/>
              <w:spacing w:line="303" w:lineRule="exact"/>
              <w:ind w:left="116" w:right="86"/>
              <w:rPr>
                <w:sz w:val="21"/>
              </w:rPr>
            </w:pPr>
            <w:r>
              <w:rPr>
                <w:sz w:val="21"/>
              </w:rPr>
              <w:t>第四版增补版）</w:t>
            </w:r>
          </w:p>
        </w:tc>
        <w:tc>
          <w:tcPr>
            <w:tcW w:w="1329" w:type="dxa"/>
            <w:tcBorders>
              <w:top w:val="single" w:sz="6" w:space="0" w:color="000000"/>
              <w:left w:val="single" w:sz="6" w:space="0" w:color="000000"/>
              <w:bottom w:val="single" w:sz="6" w:space="0" w:color="000000"/>
            </w:tcBorders>
          </w:tcPr>
          <w:p>
            <w:pPr>
              <w:pStyle w:val="TableParagraph"/>
              <w:spacing w:before="190"/>
              <w:ind w:left="312"/>
              <w:jc w:val="left"/>
              <w:rPr>
                <w:rFonts w:ascii="Times New Roman" w:hAnsi="Times New Roman"/>
                <w:sz w:val="21"/>
              </w:rPr>
            </w:pPr>
            <w:r>
              <w:rPr>
                <w:rFonts w:ascii="Times New Roman" w:hAnsi="Times New Roman"/>
                <w:sz w:val="21"/>
              </w:rPr>
              <w:t>0.1 μg/L</w:t>
            </w:r>
          </w:p>
        </w:tc>
      </w:tr>
      <w:tr>
        <w:trPr>
          <w:trHeight w:val="400" w:hRule="atLeast"/>
        </w:trPr>
        <w:tc>
          <w:tcPr>
            <w:tcW w:w="674" w:type="dxa"/>
            <w:tcBorders>
              <w:top w:val="single" w:sz="6" w:space="0" w:color="000000"/>
              <w:bottom w:val="single" w:sz="6" w:space="0" w:color="000000"/>
              <w:right w:val="single" w:sz="6" w:space="0" w:color="000000"/>
            </w:tcBorders>
          </w:tcPr>
          <w:p>
            <w:pPr>
              <w:pStyle w:val="TableParagraph"/>
              <w:spacing w:before="77"/>
              <w:ind w:left="102" w:right="83"/>
              <w:rPr>
                <w:rFonts w:ascii="Times New Roman"/>
                <w:sz w:val="21"/>
              </w:rPr>
            </w:pPr>
            <w:r>
              <w:rPr>
                <w:rFonts w:ascii="Times New Roman"/>
                <w:sz w:val="21"/>
              </w:rPr>
              <w:t>13</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80" w:lineRule="exact"/>
              <w:ind w:left="29"/>
              <w:rPr>
                <w:sz w:val="21"/>
              </w:rPr>
            </w:pPr>
            <w:r>
              <w:rPr>
                <w:w w:val="100"/>
                <w:sz w:val="21"/>
              </w:rPr>
              <w:t>镍</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80" w:lineRule="exact"/>
              <w:ind w:left="121" w:right="91"/>
              <w:rPr>
                <w:sz w:val="21"/>
              </w:rPr>
            </w:pPr>
            <w:r>
              <w:rPr>
                <w:sz w:val="21"/>
              </w:rPr>
              <w:t>火焰原子吸收分光光度法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123"/>
              <w:ind w:right="405"/>
              <w:jc w:val="right"/>
              <w:rPr>
                <w:rFonts w:ascii="Times New Roman"/>
                <w:sz w:val="21"/>
              </w:rPr>
            </w:pPr>
            <w:r>
              <w:rPr>
                <w:rFonts w:ascii="Times New Roman"/>
                <w:sz w:val="21"/>
              </w:rPr>
              <w:t>GB/T 11912-1989</w:t>
            </w:r>
          </w:p>
        </w:tc>
        <w:tc>
          <w:tcPr>
            <w:tcW w:w="1329" w:type="dxa"/>
            <w:tcBorders>
              <w:top w:val="single" w:sz="6" w:space="0" w:color="000000"/>
              <w:left w:val="single" w:sz="6" w:space="0" w:color="000000"/>
              <w:bottom w:val="single" w:sz="6" w:space="0" w:color="000000"/>
            </w:tcBorders>
          </w:tcPr>
          <w:p>
            <w:pPr>
              <w:pStyle w:val="TableParagraph"/>
              <w:spacing w:before="123"/>
              <w:ind w:left="126" w:right="88"/>
              <w:rPr>
                <w:rFonts w:ascii="Times New Roman"/>
                <w:sz w:val="21"/>
              </w:rPr>
            </w:pPr>
            <w:r>
              <w:rPr>
                <w:rFonts w:ascii="Times New Roman"/>
                <w:sz w:val="21"/>
              </w:rPr>
              <w:t>0.05mg/L</w:t>
            </w:r>
          </w:p>
        </w:tc>
      </w:tr>
      <w:tr>
        <w:trPr>
          <w:trHeight w:val="400" w:hRule="atLeast"/>
        </w:trPr>
        <w:tc>
          <w:tcPr>
            <w:tcW w:w="674" w:type="dxa"/>
            <w:tcBorders>
              <w:top w:val="single" w:sz="6" w:space="0" w:color="000000"/>
              <w:bottom w:val="single" w:sz="6" w:space="0" w:color="000000"/>
              <w:right w:val="single" w:sz="6" w:space="0" w:color="000000"/>
            </w:tcBorders>
          </w:tcPr>
          <w:p>
            <w:pPr>
              <w:pStyle w:val="TableParagraph"/>
              <w:spacing w:before="77"/>
              <w:ind w:left="102" w:right="83"/>
              <w:rPr>
                <w:rFonts w:ascii="Times New Roman"/>
                <w:sz w:val="21"/>
              </w:rPr>
            </w:pPr>
            <w:r>
              <w:rPr>
                <w:rFonts w:ascii="Times New Roman"/>
                <w:sz w:val="21"/>
              </w:rPr>
              <w:t>14</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80" w:lineRule="exact"/>
              <w:ind w:left="123" w:right="94"/>
              <w:rPr>
                <w:sz w:val="21"/>
              </w:rPr>
            </w:pPr>
            <w:r>
              <w:rPr>
                <w:sz w:val="21"/>
              </w:rPr>
              <w:t>全盐量</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80" w:lineRule="exact"/>
              <w:ind w:left="121" w:right="91"/>
              <w:rPr>
                <w:sz w:val="21"/>
              </w:rPr>
            </w:pPr>
            <w:r>
              <w:rPr>
                <w:sz w:val="21"/>
              </w:rPr>
              <w:t>重量法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123"/>
              <w:ind w:left="627"/>
              <w:jc w:val="left"/>
              <w:rPr>
                <w:rFonts w:ascii="Times New Roman"/>
                <w:sz w:val="21"/>
              </w:rPr>
            </w:pPr>
            <w:r>
              <w:rPr>
                <w:rFonts w:ascii="Times New Roman"/>
                <w:sz w:val="21"/>
              </w:rPr>
              <w:t>HJ/T 51-1999</w:t>
            </w:r>
          </w:p>
        </w:tc>
        <w:tc>
          <w:tcPr>
            <w:tcW w:w="1329" w:type="dxa"/>
            <w:tcBorders>
              <w:top w:val="single" w:sz="6" w:space="0" w:color="000000"/>
              <w:left w:val="single" w:sz="6" w:space="0" w:color="000000"/>
              <w:bottom w:val="single" w:sz="6" w:space="0" w:color="000000"/>
            </w:tcBorders>
          </w:tcPr>
          <w:p>
            <w:pPr>
              <w:pStyle w:val="TableParagraph"/>
              <w:spacing w:before="123"/>
              <w:ind w:left="126" w:right="88"/>
              <w:rPr>
                <w:rFonts w:ascii="Times New Roman"/>
                <w:sz w:val="21"/>
              </w:rPr>
            </w:pPr>
            <w:r>
              <w:rPr>
                <w:rFonts w:ascii="Times New Roman"/>
                <w:sz w:val="21"/>
              </w:rPr>
              <w:t>10 mg/L</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8"/>
              <w:ind w:left="102" w:right="83"/>
              <w:rPr>
                <w:rFonts w:ascii="Times New Roman"/>
                <w:sz w:val="21"/>
              </w:rPr>
            </w:pPr>
            <w:r>
              <w:rPr>
                <w:rFonts w:ascii="Times New Roman"/>
                <w:sz w:val="21"/>
              </w:rPr>
              <w:t>15</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4" w:right="93"/>
              <w:rPr>
                <w:sz w:val="21"/>
              </w:rPr>
            </w:pPr>
            <w:r>
              <w:rPr>
                <w:sz w:val="21"/>
              </w:rPr>
              <w:t>粪大肠菌群</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89"/>
              <w:rPr>
                <w:sz w:val="21"/>
              </w:rPr>
            </w:pPr>
            <w:r>
              <w:rPr>
                <w:sz w:val="21"/>
              </w:rPr>
              <w:t>多管发酵法和滤膜法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34"/>
              <w:ind w:left="574"/>
              <w:jc w:val="left"/>
              <w:rPr>
                <w:rFonts w:ascii="Times New Roman"/>
                <w:sz w:val="21"/>
              </w:rPr>
            </w:pPr>
            <w:r>
              <w:rPr>
                <w:rFonts w:ascii="Times New Roman"/>
                <w:sz w:val="21"/>
              </w:rPr>
              <w:t>HJ/T 347-2007</w:t>
            </w:r>
          </w:p>
        </w:tc>
        <w:tc>
          <w:tcPr>
            <w:tcW w:w="1329" w:type="dxa"/>
            <w:tcBorders>
              <w:top w:val="single" w:sz="6" w:space="0" w:color="000000"/>
              <w:left w:val="single" w:sz="6" w:space="0" w:color="000000"/>
              <w:bottom w:val="single" w:sz="6" w:space="0" w:color="000000"/>
            </w:tcBorders>
          </w:tcPr>
          <w:p>
            <w:pPr>
              <w:pStyle w:val="TableParagraph"/>
              <w:spacing w:line="320" w:lineRule="exact"/>
              <w:ind w:left="125" w:right="88"/>
              <w:rPr>
                <w:rFonts w:ascii="Times New Roman" w:eastAsia="Times New Roman"/>
                <w:sz w:val="21"/>
              </w:rPr>
            </w:pPr>
            <w:r>
              <w:rPr>
                <w:rFonts w:ascii="Times New Roman" w:eastAsia="Times New Roman"/>
                <w:sz w:val="21"/>
              </w:rPr>
              <w:t>3 </w:t>
            </w:r>
            <w:r>
              <w:rPr>
                <w:sz w:val="21"/>
              </w:rPr>
              <w:t>个</w:t>
            </w:r>
            <w:r>
              <w:rPr>
                <w:rFonts w:ascii="Times New Roman" w:eastAsia="Times New Roman"/>
                <w:sz w:val="21"/>
              </w:rPr>
              <w:t>/L</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16</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before="77"/>
              <w:ind w:left="123" w:right="94"/>
              <w:rPr>
                <w:sz w:val="21"/>
              </w:rPr>
            </w:pPr>
            <w:r>
              <w:rPr>
                <w:sz w:val="21"/>
              </w:rPr>
              <w:t>总磷</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20" w:right="93"/>
              <w:rPr>
                <w:sz w:val="21"/>
              </w:rPr>
            </w:pPr>
            <w:r>
              <w:rPr>
                <w:sz w:val="21"/>
              </w:rPr>
              <w:t>水质 总磷的测定 钼酸铵分</w:t>
            </w:r>
          </w:p>
          <w:p>
            <w:pPr>
              <w:pStyle w:val="TableParagraph"/>
              <w:spacing w:line="303" w:lineRule="exact"/>
              <w:ind w:left="121" w:right="89"/>
              <w:rPr>
                <w:sz w:val="21"/>
              </w:rPr>
            </w:pPr>
            <w:r>
              <w:rPr>
                <w:sz w:val="21"/>
              </w:rPr>
              <w:t>光光度法</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jc w:val="left"/>
              <w:rPr>
                <w:sz w:val="11"/>
              </w:rPr>
            </w:pPr>
          </w:p>
          <w:p>
            <w:pPr>
              <w:pStyle w:val="TableParagraph"/>
              <w:ind w:right="503"/>
              <w:jc w:val="right"/>
              <w:rPr>
                <w:rFonts w:ascii="Times New Roman"/>
                <w:sz w:val="21"/>
              </w:rPr>
            </w:pPr>
            <w:r>
              <w:rPr>
                <w:rFonts w:ascii="Times New Roman"/>
                <w:sz w:val="21"/>
              </w:rPr>
              <w:t>GB 11893-1989</w:t>
            </w:r>
          </w:p>
        </w:tc>
        <w:tc>
          <w:tcPr>
            <w:tcW w:w="1329" w:type="dxa"/>
            <w:tcBorders>
              <w:top w:val="single" w:sz="6" w:space="0" w:color="000000"/>
              <w:left w:val="single" w:sz="6" w:space="0" w:color="000000"/>
              <w:bottom w:val="single" w:sz="6" w:space="0" w:color="000000"/>
            </w:tcBorders>
          </w:tcPr>
          <w:p>
            <w:pPr>
              <w:pStyle w:val="TableParagraph"/>
              <w:jc w:val="left"/>
              <w:rPr>
                <w:sz w:val="11"/>
              </w:rPr>
            </w:pPr>
          </w:p>
          <w:p>
            <w:pPr>
              <w:pStyle w:val="TableParagraph"/>
              <w:ind w:left="233"/>
              <w:jc w:val="left"/>
              <w:rPr>
                <w:rFonts w:ascii="Times New Roman"/>
                <w:sz w:val="21"/>
              </w:rPr>
            </w:pPr>
            <w:r>
              <w:rPr>
                <w:rFonts w:ascii="Times New Roman"/>
                <w:sz w:val="21"/>
              </w:rPr>
              <w:t>0.01 mg/L</w:t>
            </w:r>
          </w:p>
        </w:tc>
      </w:tr>
      <w:tr>
        <w:trPr>
          <w:trHeight w:val="599" w:hRule="atLeast"/>
        </w:trPr>
        <w:tc>
          <w:tcPr>
            <w:tcW w:w="674" w:type="dxa"/>
            <w:tcBorders>
              <w:top w:val="single" w:sz="6" w:space="0" w:color="000000"/>
              <w:right w:val="single" w:sz="6" w:space="0" w:color="000000"/>
            </w:tcBorders>
          </w:tcPr>
          <w:p>
            <w:pPr>
              <w:pStyle w:val="TableParagraph"/>
              <w:spacing w:before="178"/>
              <w:ind w:left="102" w:right="83"/>
              <w:rPr>
                <w:rFonts w:ascii="Times New Roman"/>
                <w:sz w:val="21"/>
              </w:rPr>
            </w:pPr>
            <w:r>
              <w:rPr>
                <w:rFonts w:ascii="Times New Roman"/>
                <w:sz w:val="21"/>
              </w:rPr>
              <w:t>17</w:t>
            </w:r>
          </w:p>
        </w:tc>
        <w:tc>
          <w:tcPr>
            <w:tcW w:w="1325" w:type="dxa"/>
            <w:tcBorders>
              <w:top w:val="single" w:sz="6" w:space="0" w:color="000000"/>
              <w:left w:val="single" w:sz="6" w:space="0" w:color="000000"/>
              <w:right w:val="single" w:sz="6" w:space="0" w:color="000000"/>
            </w:tcBorders>
          </w:tcPr>
          <w:p>
            <w:pPr>
              <w:pStyle w:val="TableParagraph"/>
              <w:spacing w:before="65"/>
              <w:ind w:left="123" w:right="94"/>
              <w:rPr>
                <w:sz w:val="21"/>
              </w:rPr>
            </w:pPr>
            <w:r>
              <w:rPr>
                <w:sz w:val="21"/>
              </w:rPr>
              <w:t>总氮</w:t>
            </w:r>
          </w:p>
        </w:tc>
        <w:tc>
          <w:tcPr>
            <w:tcW w:w="2789" w:type="dxa"/>
            <w:tcBorders>
              <w:top w:val="single" w:sz="6" w:space="0" w:color="000000"/>
              <w:left w:val="single" w:sz="6" w:space="0" w:color="000000"/>
              <w:right w:val="single" w:sz="6" w:space="0" w:color="000000"/>
            </w:tcBorders>
          </w:tcPr>
          <w:p>
            <w:pPr>
              <w:pStyle w:val="TableParagraph"/>
              <w:spacing w:line="301" w:lineRule="exact"/>
              <w:ind w:left="120" w:right="93"/>
              <w:rPr>
                <w:sz w:val="21"/>
              </w:rPr>
            </w:pPr>
            <w:r>
              <w:rPr>
                <w:sz w:val="21"/>
              </w:rPr>
              <w:t>水质 总氮的测定 碱性过硫</w:t>
            </w:r>
          </w:p>
          <w:p>
            <w:pPr>
              <w:pStyle w:val="TableParagraph"/>
              <w:spacing w:line="278" w:lineRule="exact"/>
              <w:ind w:left="121" w:right="91"/>
              <w:rPr>
                <w:sz w:val="21"/>
              </w:rPr>
            </w:pPr>
            <w:r>
              <w:rPr>
                <w:sz w:val="21"/>
              </w:rPr>
              <w:t>酸钾消解紫外分光光度法</w:t>
            </w:r>
          </w:p>
        </w:tc>
        <w:tc>
          <w:tcPr>
            <w:tcW w:w="2410" w:type="dxa"/>
            <w:tcBorders>
              <w:top w:val="single" w:sz="6" w:space="0" w:color="000000"/>
              <w:left w:val="single" w:sz="6" w:space="0" w:color="000000"/>
              <w:right w:val="single" w:sz="6" w:space="0" w:color="000000"/>
            </w:tcBorders>
          </w:tcPr>
          <w:p>
            <w:pPr>
              <w:pStyle w:val="TableParagraph"/>
              <w:spacing w:before="195"/>
              <w:ind w:left="665"/>
              <w:jc w:val="left"/>
              <w:rPr>
                <w:rFonts w:ascii="Times New Roman"/>
                <w:sz w:val="21"/>
              </w:rPr>
            </w:pPr>
            <w:r>
              <w:rPr>
                <w:rFonts w:ascii="Times New Roman"/>
                <w:sz w:val="21"/>
              </w:rPr>
              <w:t>HJ 636-2012</w:t>
            </w:r>
          </w:p>
        </w:tc>
        <w:tc>
          <w:tcPr>
            <w:tcW w:w="1329" w:type="dxa"/>
            <w:tcBorders>
              <w:top w:val="single" w:sz="6" w:space="0" w:color="000000"/>
              <w:left w:val="single" w:sz="6" w:space="0" w:color="000000"/>
            </w:tcBorders>
          </w:tcPr>
          <w:p>
            <w:pPr>
              <w:pStyle w:val="TableParagraph"/>
              <w:spacing w:before="195"/>
              <w:ind w:left="233"/>
              <w:jc w:val="left"/>
              <w:rPr>
                <w:rFonts w:ascii="Times New Roman"/>
                <w:sz w:val="21"/>
              </w:rPr>
            </w:pPr>
            <w:r>
              <w:rPr>
                <w:rFonts w:ascii="Times New Roman"/>
                <w:sz w:val="21"/>
              </w:rPr>
              <w:t>0.05 mg/L</w:t>
            </w:r>
          </w:p>
        </w:tc>
      </w:tr>
    </w:tbl>
    <w:p>
      <w:pPr>
        <w:pStyle w:val="BodyText"/>
        <w:spacing w:line="495" w:lineRule="exact" w:before="31"/>
        <w:ind w:left="1058"/>
      </w:pPr>
      <w:r>
        <w:rPr>
          <w:rFonts w:ascii="Times New Roman" w:eastAsia="Times New Roman"/>
        </w:rPr>
        <w:t>5</w:t>
      </w:r>
      <w:r>
        <w:rPr/>
        <w:t>、监测结果</w:t>
      </w:r>
    </w:p>
    <w:p>
      <w:pPr>
        <w:pStyle w:val="BodyText"/>
        <w:spacing w:line="495" w:lineRule="exact"/>
        <w:ind w:left="1058"/>
      </w:pPr>
      <w:r>
        <w:rPr/>
        <w:t>本项目监测期间的水文参数见表 </w:t>
      </w:r>
      <w:r>
        <w:rPr>
          <w:rFonts w:ascii="Times New Roman" w:eastAsia="Times New Roman"/>
        </w:rPr>
        <w:t>5.4-16</w:t>
      </w:r>
      <w:r>
        <w:rPr/>
        <w:t>，地表水现状监测结果见表 </w:t>
      </w:r>
      <w:r>
        <w:rPr>
          <w:rFonts w:ascii="Times New Roman" w:eastAsia="Times New Roman"/>
        </w:rPr>
        <w:t>5.4-17</w:t>
      </w:r>
      <w:r>
        <w:rPr/>
        <w:t>。</w:t>
      </w:r>
    </w:p>
    <w:p>
      <w:pPr>
        <w:spacing w:after="0" w:line="495" w:lineRule="exact"/>
        <w:sectPr>
          <w:pgSz w:w="11910" w:h="16840"/>
          <w:pgMar w:header="877" w:footer="973" w:top="1340" w:bottom="1160" w:left="1220" w:right="1040"/>
        </w:sectPr>
      </w:pPr>
    </w:p>
    <w:p>
      <w:pPr>
        <w:pStyle w:val="BodyText"/>
        <w:spacing w:before="21"/>
        <w:rPr>
          <w:sz w:val="4"/>
        </w:rPr>
      </w:pPr>
    </w:p>
    <w:p>
      <w:pPr>
        <w:tabs>
          <w:tab w:pos="1017" w:val="left" w:leader="none"/>
        </w:tabs>
        <w:spacing w:line="423" w:lineRule="exact" w:before="0" w:after="24"/>
        <w:ind w:left="0" w:right="295" w:firstLine="0"/>
        <w:jc w:val="center"/>
        <w:rPr>
          <w:sz w:val="21"/>
        </w:rPr>
      </w:pPr>
      <w:r>
        <w:rPr>
          <w:sz w:val="21"/>
        </w:rPr>
        <w:t>表</w:t>
      </w:r>
      <w:r>
        <w:rPr>
          <w:spacing w:val="8"/>
          <w:sz w:val="21"/>
        </w:rPr>
        <w:t> </w:t>
      </w:r>
      <w:r>
        <w:rPr>
          <w:rFonts w:ascii="Times New Roman" w:eastAsia="Times New Roman"/>
          <w:b/>
          <w:sz w:val="21"/>
        </w:rPr>
        <w:t>5.4-16</w:t>
        <w:tab/>
      </w:r>
      <w:r>
        <w:rPr>
          <w:sz w:val="21"/>
        </w:rPr>
        <w:t>地表水水文</w:t>
      </w:r>
      <w:r>
        <w:rPr>
          <w:spacing w:val="-3"/>
          <w:sz w:val="21"/>
        </w:rPr>
        <w:t>参</w:t>
      </w:r>
      <w:r>
        <w:rPr>
          <w:sz w:val="21"/>
        </w:rPr>
        <w:t>数一览表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64"/>
        <w:gridCol w:w="1016"/>
        <w:gridCol w:w="1080"/>
        <w:gridCol w:w="1296"/>
        <w:gridCol w:w="969"/>
        <w:gridCol w:w="969"/>
        <w:gridCol w:w="1094"/>
        <w:gridCol w:w="937"/>
      </w:tblGrid>
      <w:tr>
        <w:trPr>
          <w:trHeight w:val="800" w:hRule="atLeast"/>
        </w:trPr>
        <w:tc>
          <w:tcPr>
            <w:tcW w:w="1164" w:type="dxa"/>
            <w:tcBorders>
              <w:bottom w:val="single" w:sz="4" w:space="0" w:color="000000"/>
              <w:right w:val="single" w:sz="4" w:space="0" w:color="000000"/>
            </w:tcBorders>
          </w:tcPr>
          <w:p>
            <w:pPr>
              <w:pStyle w:val="TableParagraph"/>
              <w:spacing w:before="18"/>
              <w:jc w:val="left"/>
              <w:rPr>
                <w:sz w:val="9"/>
              </w:rPr>
            </w:pPr>
          </w:p>
          <w:p>
            <w:pPr>
              <w:pStyle w:val="TableParagraph"/>
              <w:ind w:left="160"/>
              <w:jc w:val="left"/>
              <w:rPr>
                <w:sz w:val="21"/>
              </w:rPr>
            </w:pPr>
            <w:r>
              <w:rPr>
                <w:sz w:val="21"/>
              </w:rPr>
              <w:t>检测日期</w:t>
            </w:r>
          </w:p>
        </w:tc>
        <w:tc>
          <w:tcPr>
            <w:tcW w:w="1016" w:type="dxa"/>
            <w:tcBorders>
              <w:left w:val="single" w:sz="4" w:space="0" w:color="000000"/>
              <w:bottom w:val="single" w:sz="4" w:space="0" w:color="000000"/>
              <w:right w:val="single" w:sz="4" w:space="0" w:color="000000"/>
            </w:tcBorders>
          </w:tcPr>
          <w:p>
            <w:pPr>
              <w:pStyle w:val="TableParagraph"/>
              <w:spacing w:line="423" w:lineRule="exact" w:before="8"/>
              <w:ind w:left="198"/>
              <w:jc w:val="left"/>
              <w:rPr>
                <w:sz w:val="21"/>
              </w:rPr>
            </w:pPr>
            <w:r>
              <w:rPr>
                <w:sz w:val="21"/>
              </w:rPr>
              <w:t>检测频</w:t>
            </w:r>
          </w:p>
          <w:p>
            <w:pPr>
              <w:pStyle w:val="TableParagraph"/>
              <w:spacing w:line="350" w:lineRule="exact"/>
              <w:ind w:left="227"/>
              <w:jc w:val="left"/>
              <w:rPr>
                <w:sz w:val="21"/>
              </w:rPr>
            </w:pPr>
            <w:r>
              <w:rPr>
                <w:w w:val="100"/>
                <w:sz w:val="21"/>
              </w:rPr>
              <w:t>次</w:t>
            </w:r>
          </w:p>
        </w:tc>
        <w:tc>
          <w:tcPr>
            <w:tcW w:w="1080" w:type="dxa"/>
            <w:tcBorders>
              <w:left w:val="single" w:sz="4" w:space="0" w:color="000000"/>
              <w:bottom w:val="single" w:sz="4" w:space="0" w:color="000000"/>
              <w:right w:val="single" w:sz="4" w:space="0" w:color="000000"/>
            </w:tcBorders>
          </w:tcPr>
          <w:p>
            <w:pPr>
              <w:pStyle w:val="TableParagraph"/>
              <w:spacing w:before="18"/>
              <w:jc w:val="left"/>
              <w:rPr>
                <w:sz w:val="9"/>
              </w:rPr>
            </w:pPr>
          </w:p>
          <w:p>
            <w:pPr>
              <w:pStyle w:val="TableParagraph"/>
              <w:ind w:left="335"/>
              <w:jc w:val="left"/>
              <w:rPr>
                <w:sz w:val="21"/>
              </w:rPr>
            </w:pPr>
            <w:r>
              <w:rPr>
                <w:sz w:val="21"/>
              </w:rPr>
              <w:t>点位</w:t>
            </w:r>
          </w:p>
        </w:tc>
        <w:tc>
          <w:tcPr>
            <w:tcW w:w="1296" w:type="dxa"/>
            <w:tcBorders>
              <w:left w:val="single" w:sz="4" w:space="0" w:color="000000"/>
              <w:bottom w:val="single" w:sz="4" w:space="0" w:color="000000"/>
              <w:right w:val="single" w:sz="4" w:space="0" w:color="000000"/>
            </w:tcBorders>
          </w:tcPr>
          <w:p>
            <w:pPr>
              <w:pStyle w:val="TableParagraph"/>
              <w:spacing w:before="180"/>
              <w:ind w:left="294"/>
              <w:jc w:val="left"/>
              <w:rPr>
                <w:rFonts w:ascii="Times New Roman" w:eastAsia="Times New Roman"/>
                <w:sz w:val="21"/>
              </w:rPr>
            </w:pPr>
            <w:r>
              <w:rPr>
                <w:sz w:val="21"/>
              </w:rPr>
              <w:t>河宽</w:t>
            </w:r>
            <w:r>
              <w:rPr>
                <w:rFonts w:ascii="Times New Roman" w:eastAsia="Times New Roman"/>
                <w:sz w:val="21"/>
              </w:rPr>
              <w:t>(m)</w:t>
            </w:r>
          </w:p>
        </w:tc>
        <w:tc>
          <w:tcPr>
            <w:tcW w:w="969" w:type="dxa"/>
            <w:tcBorders>
              <w:left w:val="single" w:sz="4" w:space="0" w:color="000000"/>
              <w:bottom w:val="single" w:sz="4" w:space="0" w:color="000000"/>
              <w:right w:val="single" w:sz="4" w:space="0" w:color="000000"/>
            </w:tcBorders>
          </w:tcPr>
          <w:p>
            <w:pPr>
              <w:pStyle w:val="TableParagraph"/>
              <w:spacing w:before="180"/>
              <w:ind w:left="131"/>
              <w:jc w:val="left"/>
              <w:rPr>
                <w:rFonts w:ascii="Times New Roman" w:eastAsia="Times New Roman"/>
                <w:sz w:val="21"/>
              </w:rPr>
            </w:pPr>
            <w:r>
              <w:rPr>
                <w:sz w:val="21"/>
              </w:rPr>
              <w:t>河深</w:t>
            </w:r>
            <w:r>
              <w:rPr>
                <w:rFonts w:ascii="Times New Roman" w:eastAsia="Times New Roman"/>
                <w:sz w:val="21"/>
              </w:rPr>
              <w:t>(m)</w:t>
            </w:r>
          </w:p>
        </w:tc>
        <w:tc>
          <w:tcPr>
            <w:tcW w:w="969" w:type="dxa"/>
            <w:tcBorders>
              <w:left w:val="single" w:sz="4" w:space="0" w:color="000000"/>
              <w:bottom w:val="single" w:sz="4" w:space="0" w:color="000000"/>
              <w:right w:val="single" w:sz="4" w:space="0" w:color="000000"/>
            </w:tcBorders>
          </w:tcPr>
          <w:p>
            <w:pPr>
              <w:pStyle w:val="TableParagraph"/>
              <w:spacing w:line="430" w:lineRule="exact" w:before="29"/>
              <w:ind w:left="283"/>
              <w:jc w:val="left"/>
              <w:rPr>
                <w:sz w:val="21"/>
              </w:rPr>
            </w:pPr>
            <w:r>
              <w:rPr>
                <w:sz w:val="21"/>
              </w:rPr>
              <w:t>流速</w:t>
            </w:r>
          </w:p>
          <w:p>
            <w:pPr>
              <w:pStyle w:val="TableParagraph"/>
              <w:spacing w:line="226" w:lineRule="exact"/>
              <w:ind w:left="271"/>
              <w:jc w:val="left"/>
              <w:rPr>
                <w:rFonts w:ascii="Times New Roman"/>
                <w:sz w:val="21"/>
              </w:rPr>
            </w:pPr>
            <w:r>
              <w:rPr>
                <w:rFonts w:ascii="Times New Roman"/>
                <w:sz w:val="21"/>
              </w:rPr>
              <w:t>(m/s)</w:t>
            </w:r>
          </w:p>
        </w:tc>
        <w:tc>
          <w:tcPr>
            <w:tcW w:w="1094" w:type="dxa"/>
            <w:tcBorders>
              <w:left w:val="single" w:sz="4" w:space="0" w:color="000000"/>
              <w:bottom w:val="single" w:sz="4" w:space="0" w:color="000000"/>
              <w:right w:val="single" w:sz="4" w:space="0" w:color="000000"/>
            </w:tcBorders>
          </w:tcPr>
          <w:p>
            <w:pPr>
              <w:pStyle w:val="TableParagraph"/>
              <w:spacing w:line="428" w:lineRule="exact" w:before="29"/>
              <w:ind w:left="347"/>
              <w:jc w:val="left"/>
              <w:rPr>
                <w:sz w:val="21"/>
              </w:rPr>
            </w:pPr>
            <w:r>
              <w:rPr>
                <w:sz w:val="21"/>
              </w:rPr>
              <w:t>流量</w:t>
            </w:r>
          </w:p>
          <w:p>
            <w:pPr>
              <w:pStyle w:val="TableParagraph"/>
              <w:spacing w:line="229" w:lineRule="exact"/>
              <w:ind w:left="299"/>
              <w:jc w:val="left"/>
              <w:rPr>
                <w:rFonts w:ascii="Times New Roman"/>
                <w:sz w:val="21"/>
              </w:rPr>
            </w:pPr>
            <w:r>
              <w:rPr>
                <w:rFonts w:ascii="Times New Roman"/>
                <w:sz w:val="21"/>
              </w:rPr>
              <w:t>(m</w:t>
            </w:r>
            <w:r>
              <w:rPr>
                <w:rFonts w:ascii="Times New Roman"/>
                <w:position w:val="7"/>
                <w:sz w:val="14"/>
              </w:rPr>
              <w:t>3</w:t>
            </w:r>
            <w:r>
              <w:rPr>
                <w:rFonts w:ascii="Times New Roman"/>
                <w:sz w:val="21"/>
              </w:rPr>
              <w:t>/s)</w:t>
            </w:r>
          </w:p>
        </w:tc>
        <w:tc>
          <w:tcPr>
            <w:tcW w:w="937" w:type="dxa"/>
            <w:tcBorders>
              <w:left w:val="single" w:sz="4" w:space="0" w:color="000000"/>
              <w:bottom w:val="single" w:sz="4" w:space="0" w:color="000000"/>
            </w:tcBorders>
          </w:tcPr>
          <w:p>
            <w:pPr>
              <w:pStyle w:val="TableParagraph"/>
              <w:spacing w:line="430" w:lineRule="exact" w:before="29"/>
              <w:ind w:left="268"/>
              <w:jc w:val="left"/>
              <w:rPr>
                <w:sz w:val="21"/>
              </w:rPr>
            </w:pPr>
            <w:r>
              <w:rPr>
                <w:sz w:val="21"/>
              </w:rPr>
              <w:t>水温</w:t>
            </w:r>
          </w:p>
          <w:p>
            <w:pPr>
              <w:pStyle w:val="TableParagraph"/>
              <w:spacing w:line="226" w:lineRule="exact"/>
              <w:ind w:left="297"/>
              <w:jc w:val="left"/>
              <w:rPr>
                <w:rFonts w:ascii="Times New Roman" w:hAnsi="Times New Roman"/>
                <w:sz w:val="21"/>
              </w:rPr>
            </w:pPr>
            <w:r>
              <w:rPr>
                <w:rFonts w:ascii="Times New Roman" w:hAnsi="Times New Roman"/>
                <w:spacing w:val="-11"/>
                <w:sz w:val="21"/>
              </w:rPr>
              <w:t>(°C)</w:t>
            </w:r>
          </w:p>
        </w:tc>
      </w:tr>
      <w:tr>
        <w:trPr>
          <w:trHeight w:val="330" w:hRule="atLeast"/>
        </w:trPr>
        <w:tc>
          <w:tcPr>
            <w:tcW w:w="1164" w:type="dxa"/>
            <w:vMerge w:val="restart"/>
            <w:tcBorders>
              <w:top w:val="single" w:sz="4" w:space="0" w:color="000000"/>
              <w:bottom w:val="single" w:sz="4" w:space="0" w:color="000000"/>
              <w:right w:val="single" w:sz="4" w:space="0" w:color="000000"/>
            </w:tcBorders>
          </w:tcPr>
          <w:p>
            <w:pPr>
              <w:pStyle w:val="TableParagraph"/>
              <w:spacing w:before="18"/>
              <w:jc w:val="left"/>
              <w:rPr>
                <w:sz w:val="10"/>
              </w:rPr>
            </w:pPr>
          </w:p>
          <w:p>
            <w:pPr>
              <w:pStyle w:val="TableParagraph"/>
              <w:spacing w:before="1"/>
              <w:ind w:left="107"/>
              <w:jc w:val="left"/>
              <w:rPr>
                <w:rFonts w:ascii="Times New Roman"/>
                <w:sz w:val="21"/>
              </w:rPr>
            </w:pPr>
            <w:r>
              <w:rPr>
                <w:rFonts w:ascii="Times New Roman"/>
                <w:sz w:val="21"/>
              </w:rPr>
              <w:t>2016.12.12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310" w:lineRule="exact"/>
              <w:ind w:left="106" w:right="81"/>
              <w:rPr>
                <w:sz w:val="21"/>
              </w:rPr>
            </w:pPr>
            <w:r>
              <w:rPr>
                <w:sz w:val="21"/>
              </w:rPr>
              <w:t>上午</w:t>
            </w:r>
          </w:p>
        </w:tc>
        <w:tc>
          <w:tcPr>
            <w:tcW w:w="1080" w:type="dxa"/>
            <w:vMerge w:val="restart"/>
            <w:tcBorders>
              <w:top w:val="single" w:sz="4" w:space="0" w:color="000000"/>
              <w:left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5"/>
              <w:jc w:val="left"/>
              <w:rPr>
                <w:sz w:val="17"/>
              </w:rPr>
            </w:pPr>
          </w:p>
          <w:p>
            <w:pPr>
              <w:pStyle w:val="TableParagraph"/>
              <w:spacing w:line="146" w:lineRule="auto" w:before="1"/>
              <w:ind w:left="441" w:right="98" w:hanging="315"/>
              <w:jc w:val="left"/>
              <w:rPr>
                <w:sz w:val="21"/>
              </w:rPr>
            </w:pPr>
            <w:r>
              <w:rPr>
                <w:sz w:val="21"/>
              </w:rPr>
              <w:t>白马河断面</w:t>
            </w:r>
          </w:p>
        </w:tc>
        <w:tc>
          <w:tcPr>
            <w:tcW w:w="129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jc w:val="left"/>
              <w:rPr>
                <w:sz w:val="28"/>
              </w:rPr>
            </w:pPr>
          </w:p>
          <w:p>
            <w:pPr>
              <w:pStyle w:val="TableParagraph"/>
              <w:ind w:left="532" w:right="504"/>
              <w:rPr>
                <w:rFonts w:ascii="Times New Roman"/>
                <w:sz w:val="21"/>
              </w:rPr>
            </w:pPr>
            <w:r>
              <w:rPr>
                <w:rFonts w:ascii="Times New Roman"/>
                <w:sz w:val="21"/>
              </w:rPr>
              <w:t>37</w:t>
            </w:r>
          </w:p>
        </w:tc>
        <w:tc>
          <w:tcPr>
            <w:tcW w:w="96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8"/>
              <w:jc w:val="left"/>
              <w:rPr>
                <w:sz w:val="28"/>
              </w:rPr>
            </w:pPr>
          </w:p>
          <w:p>
            <w:pPr>
              <w:pStyle w:val="TableParagraph"/>
              <w:spacing w:before="1"/>
              <w:ind w:left="342" w:right="313"/>
              <w:rPr>
                <w:rFonts w:ascii="Times New Roman"/>
                <w:sz w:val="21"/>
              </w:rPr>
            </w:pPr>
            <w:r>
              <w:rPr>
                <w:rFonts w:ascii="Times New Roman"/>
                <w:sz w:val="21"/>
              </w:rPr>
              <w:t>1.5</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43"/>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55"/>
              <w:ind w:left="117" w:right="84"/>
              <w:rPr>
                <w:rFonts w:ascii="Times New Roman"/>
                <w:sz w:val="21"/>
              </w:rPr>
            </w:pPr>
            <w:r>
              <w:rPr>
                <w:rFonts w:ascii="Times New Roman"/>
                <w:sz w:val="21"/>
              </w:rPr>
              <w:t>0.430</w:t>
            </w:r>
          </w:p>
        </w:tc>
        <w:tc>
          <w:tcPr>
            <w:tcW w:w="937" w:type="dxa"/>
            <w:tcBorders>
              <w:top w:val="single" w:sz="4" w:space="0" w:color="000000"/>
              <w:left w:val="single" w:sz="4" w:space="0" w:color="000000"/>
              <w:bottom w:val="single" w:sz="4" w:space="0" w:color="000000"/>
            </w:tcBorders>
          </w:tcPr>
          <w:p>
            <w:pPr>
              <w:pStyle w:val="TableParagraph"/>
              <w:spacing w:before="55"/>
              <w:ind w:left="274" w:right="232"/>
              <w:rPr>
                <w:rFonts w:ascii="Times New Roman"/>
                <w:sz w:val="21"/>
              </w:rPr>
            </w:pPr>
            <w:r>
              <w:rPr>
                <w:rFonts w:ascii="Times New Roman"/>
                <w:sz w:val="21"/>
              </w:rPr>
              <w:t>6.0</w:t>
            </w:r>
          </w:p>
        </w:tc>
      </w:tr>
      <w:tr>
        <w:trPr>
          <w:trHeight w:val="339" w:hRule="atLeast"/>
        </w:trPr>
        <w:tc>
          <w:tcPr>
            <w:tcW w:w="1164" w:type="dxa"/>
            <w:vMerge/>
            <w:tcBorders>
              <w:top w:val="nil"/>
              <w:bottom w:val="single" w:sz="4" w:space="0" w:color="000000"/>
              <w:right w:val="single" w:sz="4" w:space="0" w:color="000000"/>
            </w:tcBorders>
          </w:tcPr>
          <w:p>
            <w:pPr>
              <w:rPr>
                <w:sz w:val="2"/>
                <w:szCs w:val="2"/>
              </w:rPr>
            </w:pP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106" w:right="81"/>
              <w:rPr>
                <w:sz w:val="21"/>
              </w:rPr>
            </w:pPr>
            <w:r>
              <w:rPr>
                <w:sz w:val="21"/>
              </w:rPr>
              <w:t>下午</w:t>
            </w:r>
          </w:p>
        </w:tc>
        <w:tc>
          <w:tcPr>
            <w:tcW w:w="1080" w:type="dxa"/>
            <w:vMerge/>
            <w:tcBorders>
              <w:top w:val="nil"/>
              <w:left w:val="single" w:sz="4" w:space="0" w:color="000000"/>
              <w:right w:val="single" w:sz="4" w:space="0" w:color="000000"/>
            </w:tcBorders>
          </w:tcPr>
          <w:p>
            <w:pPr>
              <w:rPr>
                <w:sz w:val="2"/>
                <w:szCs w:val="2"/>
              </w:rPr>
            </w:pPr>
          </w:p>
        </w:tc>
        <w:tc>
          <w:tcPr>
            <w:tcW w:w="1296" w:type="dxa"/>
            <w:vMerge/>
            <w:tcBorders>
              <w:top w:val="nil"/>
              <w:left w:val="single" w:sz="4" w:space="0" w:color="000000"/>
              <w:bottom w:val="single" w:sz="4" w:space="0" w:color="000000"/>
              <w:right w:val="single" w:sz="4" w:space="0" w:color="000000"/>
            </w:tcBorders>
          </w:tcPr>
          <w:p>
            <w:pPr>
              <w:rPr>
                <w:sz w:val="2"/>
                <w:szCs w:val="2"/>
              </w:rPr>
            </w:pPr>
          </w:p>
        </w:tc>
        <w:tc>
          <w:tcPr>
            <w:tcW w:w="969" w:type="dxa"/>
            <w:vMerge/>
            <w:tcBorders>
              <w:top w:val="nil"/>
              <w:left w:val="single" w:sz="4" w:space="0" w:color="000000"/>
              <w:bottom w:val="single" w:sz="4" w:space="0" w:color="000000"/>
              <w:right w:val="single" w:sz="4" w:space="0" w:color="000000"/>
            </w:tcBorders>
          </w:tcPr>
          <w:p>
            <w:pPr>
              <w:rPr>
                <w:sz w:val="2"/>
                <w:szCs w:val="2"/>
              </w:rPr>
            </w:pP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53"/>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67"/>
              <w:ind w:left="117" w:right="84"/>
              <w:rPr>
                <w:rFonts w:ascii="Times New Roman"/>
                <w:sz w:val="21"/>
              </w:rPr>
            </w:pPr>
            <w:r>
              <w:rPr>
                <w:rFonts w:ascii="Times New Roman"/>
                <w:sz w:val="21"/>
              </w:rPr>
              <w:t>0.430</w:t>
            </w:r>
          </w:p>
        </w:tc>
        <w:tc>
          <w:tcPr>
            <w:tcW w:w="937" w:type="dxa"/>
            <w:tcBorders>
              <w:top w:val="single" w:sz="4" w:space="0" w:color="000000"/>
              <w:left w:val="single" w:sz="4" w:space="0" w:color="000000"/>
              <w:bottom w:val="single" w:sz="4" w:space="0" w:color="000000"/>
            </w:tcBorders>
          </w:tcPr>
          <w:p>
            <w:pPr>
              <w:pStyle w:val="TableParagraph"/>
              <w:spacing w:before="67"/>
              <w:ind w:left="274" w:right="232"/>
              <w:rPr>
                <w:rFonts w:ascii="Times New Roman"/>
                <w:sz w:val="21"/>
              </w:rPr>
            </w:pPr>
            <w:r>
              <w:rPr>
                <w:rFonts w:ascii="Times New Roman"/>
                <w:sz w:val="21"/>
              </w:rPr>
              <w:t>6.1</w:t>
            </w:r>
          </w:p>
        </w:tc>
      </w:tr>
      <w:tr>
        <w:trPr>
          <w:trHeight w:val="339" w:hRule="atLeast"/>
        </w:trPr>
        <w:tc>
          <w:tcPr>
            <w:tcW w:w="1164" w:type="dxa"/>
            <w:vMerge w:val="restart"/>
            <w:tcBorders>
              <w:top w:val="single" w:sz="4" w:space="0" w:color="000000"/>
              <w:bottom w:val="single" w:sz="4" w:space="0" w:color="000000"/>
              <w:right w:val="single" w:sz="4" w:space="0" w:color="000000"/>
            </w:tcBorders>
          </w:tcPr>
          <w:p>
            <w:pPr>
              <w:pStyle w:val="TableParagraph"/>
              <w:spacing w:before="6"/>
              <w:jc w:val="left"/>
              <w:rPr>
                <w:sz w:val="11"/>
              </w:rPr>
            </w:pPr>
          </w:p>
          <w:p>
            <w:pPr>
              <w:pStyle w:val="TableParagraph"/>
              <w:spacing w:before="1"/>
              <w:ind w:left="107"/>
              <w:jc w:val="left"/>
              <w:rPr>
                <w:rFonts w:ascii="Times New Roman"/>
                <w:sz w:val="21"/>
              </w:rPr>
            </w:pPr>
            <w:r>
              <w:rPr>
                <w:rFonts w:ascii="Times New Roman"/>
                <w:sz w:val="21"/>
              </w:rPr>
              <w:t>2016.12.13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106" w:right="81"/>
              <w:rPr>
                <w:sz w:val="21"/>
              </w:rPr>
            </w:pPr>
            <w:r>
              <w:rPr>
                <w:sz w:val="21"/>
              </w:rPr>
              <w:t>上午</w:t>
            </w:r>
          </w:p>
        </w:tc>
        <w:tc>
          <w:tcPr>
            <w:tcW w:w="1080" w:type="dxa"/>
            <w:vMerge/>
            <w:tcBorders>
              <w:top w:val="nil"/>
              <w:left w:val="single" w:sz="4" w:space="0" w:color="000000"/>
              <w:right w:val="single" w:sz="4" w:space="0" w:color="000000"/>
            </w:tcBorders>
          </w:tcPr>
          <w:p>
            <w:pPr>
              <w:rPr>
                <w:sz w:val="2"/>
                <w:szCs w:val="2"/>
              </w:rPr>
            </w:pPr>
          </w:p>
        </w:tc>
        <w:tc>
          <w:tcPr>
            <w:tcW w:w="1296" w:type="dxa"/>
            <w:vMerge/>
            <w:tcBorders>
              <w:top w:val="nil"/>
              <w:left w:val="single" w:sz="4" w:space="0" w:color="000000"/>
              <w:bottom w:val="single" w:sz="4" w:space="0" w:color="000000"/>
              <w:right w:val="single" w:sz="4" w:space="0" w:color="000000"/>
            </w:tcBorders>
          </w:tcPr>
          <w:p>
            <w:pPr>
              <w:rPr>
                <w:sz w:val="2"/>
                <w:szCs w:val="2"/>
              </w:rPr>
            </w:pPr>
          </w:p>
        </w:tc>
        <w:tc>
          <w:tcPr>
            <w:tcW w:w="969" w:type="dxa"/>
            <w:vMerge/>
            <w:tcBorders>
              <w:top w:val="nil"/>
              <w:left w:val="single" w:sz="4" w:space="0" w:color="000000"/>
              <w:bottom w:val="single" w:sz="4" w:space="0" w:color="000000"/>
              <w:right w:val="single" w:sz="4" w:space="0" w:color="000000"/>
            </w:tcBorders>
          </w:tcPr>
          <w:p>
            <w:pPr>
              <w:rPr>
                <w:sz w:val="2"/>
                <w:szCs w:val="2"/>
              </w:rPr>
            </w:pP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53"/>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67"/>
              <w:ind w:left="117" w:right="84"/>
              <w:rPr>
                <w:rFonts w:ascii="Times New Roman"/>
                <w:sz w:val="21"/>
              </w:rPr>
            </w:pPr>
            <w:r>
              <w:rPr>
                <w:rFonts w:ascii="Times New Roman"/>
                <w:sz w:val="21"/>
              </w:rPr>
              <w:t>0.430</w:t>
            </w:r>
          </w:p>
        </w:tc>
        <w:tc>
          <w:tcPr>
            <w:tcW w:w="937" w:type="dxa"/>
            <w:tcBorders>
              <w:top w:val="single" w:sz="4" w:space="0" w:color="000000"/>
              <w:left w:val="single" w:sz="4" w:space="0" w:color="000000"/>
              <w:bottom w:val="single" w:sz="4" w:space="0" w:color="000000"/>
            </w:tcBorders>
          </w:tcPr>
          <w:p>
            <w:pPr>
              <w:pStyle w:val="TableParagraph"/>
              <w:spacing w:before="67"/>
              <w:ind w:left="274" w:right="232"/>
              <w:rPr>
                <w:rFonts w:ascii="Times New Roman"/>
                <w:sz w:val="21"/>
              </w:rPr>
            </w:pPr>
            <w:r>
              <w:rPr>
                <w:rFonts w:ascii="Times New Roman"/>
                <w:sz w:val="21"/>
              </w:rPr>
              <w:t>6.1</w:t>
            </w:r>
          </w:p>
        </w:tc>
      </w:tr>
      <w:tr>
        <w:trPr>
          <w:trHeight w:val="339" w:hRule="atLeast"/>
        </w:trPr>
        <w:tc>
          <w:tcPr>
            <w:tcW w:w="1164" w:type="dxa"/>
            <w:vMerge/>
            <w:tcBorders>
              <w:top w:val="nil"/>
              <w:bottom w:val="single" w:sz="4" w:space="0" w:color="000000"/>
              <w:right w:val="single" w:sz="4" w:space="0" w:color="000000"/>
            </w:tcBorders>
          </w:tcPr>
          <w:p>
            <w:pPr>
              <w:rPr>
                <w:sz w:val="2"/>
                <w:szCs w:val="2"/>
              </w:rPr>
            </w:pP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106" w:right="81"/>
              <w:rPr>
                <w:sz w:val="21"/>
              </w:rPr>
            </w:pPr>
            <w:r>
              <w:rPr>
                <w:sz w:val="21"/>
              </w:rPr>
              <w:t>下午</w:t>
            </w:r>
          </w:p>
        </w:tc>
        <w:tc>
          <w:tcPr>
            <w:tcW w:w="1080" w:type="dxa"/>
            <w:vMerge/>
            <w:tcBorders>
              <w:top w:val="nil"/>
              <w:left w:val="single" w:sz="4" w:space="0" w:color="000000"/>
              <w:right w:val="single" w:sz="4" w:space="0" w:color="000000"/>
            </w:tcBorders>
          </w:tcPr>
          <w:p>
            <w:pPr>
              <w:rPr>
                <w:sz w:val="2"/>
                <w:szCs w:val="2"/>
              </w:rPr>
            </w:pPr>
          </w:p>
        </w:tc>
        <w:tc>
          <w:tcPr>
            <w:tcW w:w="1296" w:type="dxa"/>
            <w:vMerge/>
            <w:tcBorders>
              <w:top w:val="nil"/>
              <w:left w:val="single" w:sz="4" w:space="0" w:color="000000"/>
              <w:bottom w:val="single" w:sz="4" w:space="0" w:color="000000"/>
              <w:right w:val="single" w:sz="4" w:space="0" w:color="000000"/>
            </w:tcBorders>
          </w:tcPr>
          <w:p>
            <w:pPr>
              <w:rPr>
                <w:sz w:val="2"/>
                <w:szCs w:val="2"/>
              </w:rPr>
            </w:pPr>
          </w:p>
        </w:tc>
        <w:tc>
          <w:tcPr>
            <w:tcW w:w="969" w:type="dxa"/>
            <w:vMerge/>
            <w:tcBorders>
              <w:top w:val="nil"/>
              <w:left w:val="single" w:sz="4" w:space="0" w:color="000000"/>
              <w:bottom w:val="single" w:sz="4" w:space="0" w:color="000000"/>
              <w:right w:val="single" w:sz="4" w:space="0" w:color="000000"/>
            </w:tcBorders>
          </w:tcPr>
          <w:p>
            <w:pPr>
              <w:rPr>
                <w:sz w:val="2"/>
                <w:szCs w:val="2"/>
              </w:rPr>
            </w:pP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53"/>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67"/>
              <w:ind w:left="117" w:right="84"/>
              <w:rPr>
                <w:rFonts w:ascii="Times New Roman"/>
                <w:sz w:val="21"/>
              </w:rPr>
            </w:pPr>
            <w:r>
              <w:rPr>
                <w:rFonts w:ascii="Times New Roman"/>
                <w:sz w:val="21"/>
              </w:rPr>
              <w:t>0.430</w:t>
            </w:r>
          </w:p>
        </w:tc>
        <w:tc>
          <w:tcPr>
            <w:tcW w:w="937" w:type="dxa"/>
            <w:tcBorders>
              <w:top w:val="single" w:sz="4" w:space="0" w:color="000000"/>
              <w:left w:val="single" w:sz="4" w:space="0" w:color="000000"/>
              <w:bottom w:val="single" w:sz="4" w:space="0" w:color="000000"/>
            </w:tcBorders>
          </w:tcPr>
          <w:p>
            <w:pPr>
              <w:pStyle w:val="TableParagraph"/>
              <w:spacing w:before="67"/>
              <w:ind w:left="274" w:right="232"/>
              <w:rPr>
                <w:rFonts w:ascii="Times New Roman"/>
                <w:sz w:val="21"/>
              </w:rPr>
            </w:pPr>
            <w:r>
              <w:rPr>
                <w:rFonts w:ascii="Times New Roman"/>
                <w:sz w:val="21"/>
              </w:rPr>
              <w:t>6.2</w:t>
            </w:r>
          </w:p>
        </w:tc>
      </w:tr>
      <w:tr>
        <w:trPr>
          <w:trHeight w:val="339" w:hRule="atLeast"/>
        </w:trPr>
        <w:tc>
          <w:tcPr>
            <w:tcW w:w="1164" w:type="dxa"/>
            <w:vMerge w:val="restart"/>
            <w:tcBorders>
              <w:top w:val="single" w:sz="4" w:space="0" w:color="000000"/>
              <w:bottom w:val="single" w:sz="4" w:space="0" w:color="000000"/>
              <w:right w:val="single" w:sz="4" w:space="0" w:color="000000"/>
            </w:tcBorders>
          </w:tcPr>
          <w:p>
            <w:pPr>
              <w:pStyle w:val="TableParagraph"/>
              <w:spacing w:before="9"/>
              <w:jc w:val="left"/>
              <w:rPr>
                <w:sz w:val="11"/>
              </w:rPr>
            </w:pPr>
          </w:p>
          <w:p>
            <w:pPr>
              <w:pStyle w:val="TableParagraph"/>
              <w:ind w:left="160"/>
              <w:jc w:val="left"/>
              <w:rPr>
                <w:rFonts w:ascii="Times New Roman"/>
                <w:sz w:val="21"/>
              </w:rPr>
            </w:pPr>
            <w:r>
              <w:rPr>
                <w:rFonts w:ascii="Times New Roman"/>
                <w:sz w:val="21"/>
              </w:rPr>
              <w:t>2017.3.10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106" w:right="81"/>
              <w:rPr>
                <w:sz w:val="21"/>
              </w:rPr>
            </w:pPr>
            <w:r>
              <w:rPr>
                <w:sz w:val="21"/>
              </w:rPr>
              <w:t>上午</w:t>
            </w:r>
          </w:p>
        </w:tc>
        <w:tc>
          <w:tcPr>
            <w:tcW w:w="1080" w:type="dxa"/>
            <w:vMerge/>
            <w:tcBorders>
              <w:top w:val="nil"/>
              <w:left w:val="single" w:sz="4" w:space="0" w:color="000000"/>
              <w:right w:val="single" w:sz="4" w:space="0" w:color="000000"/>
            </w:tcBorders>
          </w:tcPr>
          <w:p>
            <w:pPr>
              <w:rPr>
                <w:sz w:val="2"/>
                <w:szCs w:val="2"/>
              </w:rPr>
            </w:pPr>
          </w:p>
        </w:tc>
        <w:tc>
          <w:tcPr>
            <w:tcW w:w="1296" w:type="dxa"/>
            <w:vMerge w:val="restart"/>
            <w:tcBorders>
              <w:top w:val="single" w:sz="4" w:space="0" w:color="000000"/>
              <w:left w:val="single" w:sz="4" w:space="0" w:color="000000"/>
              <w:right w:val="single" w:sz="4" w:space="0" w:color="000000"/>
            </w:tcBorders>
          </w:tcPr>
          <w:p>
            <w:pPr>
              <w:pStyle w:val="TableParagraph"/>
              <w:spacing w:before="14"/>
              <w:jc w:val="left"/>
              <w:rPr>
                <w:sz w:val="28"/>
              </w:rPr>
            </w:pPr>
          </w:p>
          <w:p>
            <w:pPr>
              <w:pStyle w:val="TableParagraph"/>
              <w:ind w:left="532" w:right="504"/>
              <w:rPr>
                <w:rFonts w:ascii="Times New Roman"/>
                <w:sz w:val="21"/>
              </w:rPr>
            </w:pPr>
            <w:r>
              <w:rPr>
                <w:rFonts w:ascii="Times New Roman"/>
                <w:sz w:val="21"/>
              </w:rPr>
              <w:t>35</w:t>
            </w:r>
          </w:p>
        </w:tc>
        <w:tc>
          <w:tcPr>
            <w:tcW w:w="969" w:type="dxa"/>
            <w:vMerge w:val="restart"/>
            <w:tcBorders>
              <w:top w:val="single" w:sz="4" w:space="0" w:color="000000"/>
              <w:left w:val="single" w:sz="4" w:space="0" w:color="000000"/>
              <w:right w:val="single" w:sz="4" w:space="0" w:color="000000"/>
            </w:tcBorders>
          </w:tcPr>
          <w:p>
            <w:pPr>
              <w:pStyle w:val="TableParagraph"/>
              <w:spacing w:before="7"/>
              <w:jc w:val="left"/>
              <w:rPr>
                <w:sz w:val="29"/>
              </w:rPr>
            </w:pPr>
          </w:p>
          <w:p>
            <w:pPr>
              <w:pStyle w:val="TableParagraph"/>
              <w:ind w:left="342" w:right="313"/>
              <w:rPr>
                <w:rFonts w:ascii="Times New Roman"/>
                <w:sz w:val="21"/>
              </w:rPr>
            </w:pPr>
            <w:r>
              <w:rPr>
                <w:rFonts w:ascii="Times New Roman"/>
                <w:sz w:val="21"/>
              </w:rPr>
              <w:t>1.2</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53"/>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67"/>
              <w:ind w:left="117" w:right="84"/>
              <w:rPr>
                <w:rFonts w:ascii="Times New Roman"/>
                <w:sz w:val="21"/>
              </w:rPr>
            </w:pPr>
            <w:r>
              <w:rPr>
                <w:rFonts w:ascii="Times New Roman"/>
                <w:sz w:val="21"/>
              </w:rPr>
              <w:t>0.336</w:t>
            </w:r>
          </w:p>
        </w:tc>
        <w:tc>
          <w:tcPr>
            <w:tcW w:w="937" w:type="dxa"/>
            <w:tcBorders>
              <w:top w:val="single" w:sz="4" w:space="0" w:color="000000"/>
              <w:left w:val="single" w:sz="4" w:space="0" w:color="000000"/>
              <w:bottom w:val="single" w:sz="4" w:space="0" w:color="000000"/>
            </w:tcBorders>
          </w:tcPr>
          <w:p>
            <w:pPr>
              <w:pStyle w:val="TableParagraph"/>
              <w:spacing w:before="67"/>
              <w:ind w:left="275" w:right="231"/>
              <w:rPr>
                <w:rFonts w:ascii="Times New Roman"/>
                <w:sz w:val="21"/>
              </w:rPr>
            </w:pPr>
            <w:r>
              <w:rPr>
                <w:rFonts w:ascii="Times New Roman"/>
                <w:sz w:val="21"/>
              </w:rPr>
              <w:t>11.2</w:t>
            </w:r>
          </w:p>
        </w:tc>
      </w:tr>
      <w:tr>
        <w:trPr>
          <w:trHeight w:val="340" w:hRule="atLeast"/>
        </w:trPr>
        <w:tc>
          <w:tcPr>
            <w:tcW w:w="1164" w:type="dxa"/>
            <w:vMerge/>
            <w:tcBorders>
              <w:top w:val="nil"/>
              <w:bottom w:val="single" w:sz="4" w:space="0" w:color="000000"/>
              <w:right w:val="single" w:sz="4" w:space="0" w:color="000000"/>
            </w:tcBorders>
          </w:tcPr>
          <w:p>
            <w:pPr>
              <w:rPr>
                <w:sz w:val="2"/>
                <w:szCs w:val="2"/>
              </w:rPr>
            </w:pP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106" w:right="81"/>
              <w:rPr>
                <w:sz w:val="21"/>
              </w:rPr>
            </w:pPr>
            <w:r>
              <w:rPr>
                <w:sz w:val="21"/>
              </w:rPr>
              <w:t>下午</w:t>
            </w:r>
          </w:p>
        </w:tc>
        <w:tc>
          <w:tcPr>
            <w:tcW w:w="1080" w:type="dxa"/>
            <w:vMerge/>
            <w:tcBorders>
              <w:top w:val="nil"/>
              <w:left w:val="single" w:sz="4" w:space="0" w:color="000000"/>
              <w:right w:val="single" w:sz="4" w:space="0" w:color="000000"/>
            </w:tcBorders>
          </w:tcPr>
          <w:p>
            <w:pPr>
              <w:rPr>
                <w:sz w:val="2"/>
                <w:szCs w:val="2"/>
              </w:rPr>
            </w:pPr>
          </w:p>
        </w:tc>
        <w:tc>
          <w:tcPr>
            <w:tcW w:w="1296" w:type="dxa"/>
            <w:vMerge/>
            <w:tcBorders>
              <w:top w:val="nil"/>
              <w:left w:val="single" w:sz="4" w:space="0" w:color="000000"/>
              <w:right w:val="single" w:sz="4" w:space="0" w:color="000000"/>
            </w:tcBorders>
          </w:tcPr>
          <w:p>
            <w:pPr>
              <w:rPr>
                <w:sz w:val="2"/>
                <w:szCs w:val="2"/>
              </w:rPr>
            </w:pPr>
          </w:p>
        </w:tc>
        <w:tc>
          <w:tcPr>
            <w:tcW w:w="969" w:type="dxa"/>
            <w:vMerge/>
            <w:tcBorders>
              <w:top w:val="nil"/>
              <w:left w:val="single" w:sz="4" w:space="0" w:color="000000"/>
              <w:right w:val="single" w:sz="4" w:space="0" w:color="000000"/>
            </w:tcBorders>
          </w:tcPr>
          <w:p>
            <w:pPr>
              <w:rPr>
                <w:sz w:val="2"/>
                <w:szCs w:val="2"/>
              </w:rPr>
            </w:pP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53"/>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67"/>
              <w:ind w:left="117" w:right="84"/>
              <w:rPr>
                <w:rFonts w:ascii="Times New Roman"/>
                <w:sz w:val="21"/>
              </w:rPr>
            </w:pPr>
            <w:r>
              <w:rPr>
                <w:rFonts w:ascii="Times New Roman"/>
                <w:sz w:val="21"/>
              </w:rPr>
              <w:t>0.336</w:t>
            </w:r>
          </w:p>
        </w:tc>
        <w:tc>
          <w:tcPr>
            <w:tcW w:w="937" w:type="dxa"/>
            <w:tcBorders>
              <w:top w:val="single" w:sz="4" w:space="0" w:color="000000"/>
              <w:left w:val="single" w:sz="4" w:space="0" w:color="000000"/>
              <w:bottom w:val="single" w:sz="4" w:space="0" w:color="000000"/>
            </w:tcBorders>
          </w:tcPr>
          <w:p>
            <w:pPr>
              <w:pStyle w:val="TableParagraph"/>
              <w:spacing w:before="67"/>
              <w:ind w:left="275" w:right="231"/>
              <w:rPr>
                <w:rFonts w:ascii="Times New Roman"/>
                <w:sz w:val="21"/>
              </w:rPr>
            </w:pPr>
            <w:r>
              <w:rPr>
                <w:rFonts w:ascii="Times New Roman"/>
                <w:sz w:val="21"/>
              </w:rPr>
              <w:t>11.4</w:t>
            </w:r>
          </w:p>
        </w:tc>
      </w:tr>
      <w:tr>
        <w:trPr>
          <w:trHeight w:val="342" w:hRule="atLeast"/>
        </w:trPr>
        <w:tc>
          <w:tcPr>
            <w:tcW w:w="1164" w:type="dxa"/>
            <w:vMerge w:val="restart"/>
            <w:tcBorders>
              <w:top w:val="single" w:sz="4" w:space="0" w:color="000000"/>
              <w:right w:val="single" w:sz="4" w:space="0" w:color="000000"/>
            </w:tcBorders>
          </w:tcPr>
          <w:p>
            <w:pPr>
              <w:pStyle w:val="TableParagraph"/>
              <w:spacing w:before="9"/>
              <w:jc w:val="left"/>
              <w:rPr>
                <w:sz w:val="11"/>
              </w:rPr>
            </w:pPr>
          </w:p>
          <w:p>
            <w:pPr>
              <w:pStyle w:val="TableParagraph"/>
              <w:ind w:left="165"/>
              <w:jc w:val="left"/>
              <w:rPr>
                <w:rFonts w:ascii="Times New Roman"/>
                <w:sz w:val="21"/>
              </w:rPr>
            </w:pPr>
            <w:r>
              <w:rPr>
                <w:rFonts w:ascii="Times New Roman"/>
                <w:sz w:val="21"/>
              </w:rPr>
              <w:t>2017.3.11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322" w:lineRule="exact"/>
              <w:ind w:left="106" w:right="81"/>
              <w:rPr>
                <w:sz w:val="21"/>
              </w:rPr>
            </w:pPr>
            <w:r>
              <w:rPr>
                <w:sz w:val="21"/>
              </w:rPr>
              <w:t>上午</w:t>
            </w:r>
          </w:p>
        </w:tc>
        <w:tc>
          <w:tcPr>
            <w:tcW w:w="1080" w:type="dxa"/>
            <w:vMerge/>
            <w:tcBorders>
              <w:top w:val="nil"/>
              <w:left w:val="single" w:sz="4" w:space="0" w:color="000000"/>
              <w:right w:val="single" w:sz="4" w:space="0" w:color="000000"/>
            </w:tcBorders>
          </w:tcPr>
          <w:p>
            <w:pPr>
              <w:rPr>
                <w:sz w:val="2"/>
                <w:szCs w:val="2"/>
              </w:rPr>
            </w:pPr>
          </w:p>
        </w:tc>
        <w:tc>
          <w:tcPr>
            <w:tcW w:w="1296" w:type="dxa"/>
            <w:vMerge/>
            <w:tcBorders>
              <w:top w:val="nil"/>
              <w:left w:val="single" w:sz="4" w:space="0" w:color="000000"/>
              <w:right w:val="single" w:sz="4" w:space="0" w:color="000000"/>
            </w:tcBorders>
          </w:tcPr>
          <w:p>
            <w:pPr>
              <w:rPr>
                <w:sz w:val="2"/>
                <w:szCs w:val="2"/>
              </w:rPr>
            </w:pPr>
          </w:p>
        </w:tc>
        <w:tc>
          <w:tcPr>
            <w:tcW w:w="969" w:type="dxa"/>
            <w:vMerge/>
            <w:tcBorders>
              <w:top w:val="nil"/>
              <w:left w:val="single" w:sz="4" w:space="0" w:color="000000"/>
              <w:right w:val="single" w:sz="4" w:space="0" w:color="000000"/>
            </w:tcBorders>
          </w:tcPr>
          <w:p>
            <w:pPr>
              <w:rPr>
                <w:sz w:val="2"/>
                <w:szCs w:val="2"/>
              </w:rPr>
            </w:pP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55"/>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before="67"/>
              <w:ind w:left="117" w:right="84"/>
              <w:rPr>
                <w:rFonts w:ascii="Times New Roman"/>
                <w:sz w:val="21"/>
              </w:rPr>
            </w:pPr>
            <w:r>
              <w:rPr>
                <w:rFonts w:ascii="Times New Roman"/>
                <w:sz w:val="21"/>
              </w:rPr>
              <w:t>0.336</w:t>
            </w:r>
          </w:p>
        </w:tc>
        <w:tc>
          <w:tcPr>
            <w:tcW w:w="937" w:type="dxa"/>
            <w:tcBorders>
              <w:top w:val="single" w:sz="4" w:space="0" w:color="000000"/>
              <w:left w:val="single" w:sz="4" w:space="0" w:color="000000"/>
              <w:bottom w:val="single" w:sz="4" w:space="0" w:color="000000"/>
            </w:tcBorders>
          </w:tcPr>
          <w:p>
            <w:pPr>
              <w:pStyle w:val="TableParagraph"/>
              <w:spacing w:before="67"/>
              <w:ind w:left="274" w:right="232"/>
              <w:rPr>
                <w:rFonts w:ascii="Times New Roman"/>
                <w:sz w:val="21"/>
              </w:rPr>
            </w:pPr>
            <w:r>
              <w:rPr>
                <w:rFonts w:ascii="Times New Roman"/>
                <w:sz w:val="21"/>
              </w:rPr>
              <w:t>10.7</w:t>
            </w:r>
          </w:p>
        </w:tc>
      </w:tr>
      <w:tr>
        <w:trPr>
          <w:trHeight w:val="349" w:hRule="atLeast"/>
        </w:trPr>
        <w:tc>
          <w:tcPr>
            <w:tcW w:w="1164" w:type="dxa"/>
            <w:vMerge/>
            <w:tcBorders>
              <w:top w:val="nil"/>
              <w:right w:val="single" w:sz="4" w:space="0" w:color="000000"/>
            </w:tcBorders>
          </w:tcPr>
          <w:p>
            <w:pPr>
              <w:rPr>
                <w:sz w:val="2"/>
                <w:szCs w:val="2"/>
              </w:rPr>
            </w:pPr>
          </w:p>
        </w:tc>
        <w:tc>
          <w:tcPr>
            <w:tcW w:w="1016" w:type="dxa"/>
            <w:tcBorders>
              <w:top w:val="single" w:sz="4" w:space="0" w:color="000000"/>
              <w:left w:val="single" w:sz="4" w:space="0" w:color="000000"/>
              <w:right w:val="single" w:sz="4" w:space="0" w:color="000000"/>
            </w:tcBorders>
          </w:tcPr>
          <w:p>
            <w:pPr>
              <w:pStyle w:val="TableParagraph"/>
              <w:spacing w:line="329" w:lineRule="exact"/>
              <w:ind w:left="106" w:right="81"/>
              <w:rPr>
                <w:sz w:val="21"/>
              </w:rPr>
            </w:pPr>
            <w:r>
              <w:rPr>
                <w:sz w:val="21"/>
              </w:rPr>
              <w:t>下午</w:t>
            </w:r>
          </w:p>
        </w:tc>
        <w:tc>
          <w:tcPr>
            <w:tcW w:w="1080" w:type="dxa"/>
            <w:vMerge/>
            <w:tcBorders>
              <w:top w:val="nil"/>
              <w:left w:val="single" w:sz="4" w:space="0" w:color="000000"/>
              <w:right w:val="single" w:sz="4" w:space="0" w:color="000000"/>
            </w:tcBorders>
          </w:tcPr>
          <w:p>
            <w:pPr>
              <w:rPr>
                <w:sz w:val="2"/>
                <w:szCs w:val="2"/>
              </w:rPr>
            </w:pPr>
          </w:p>
        </w:tc>
        <w:tc>
          <w:tcPr>
            <w:tcW w:w="1296" w:type="dxa"/>
            <w:vMerge/>
            <w:tcBorders>
              <w:top w:val="nil"/>
              <w:left w:val="single" w:sz="4" w:space="0" w:color="000000"/>
              <w:right w:val="single" w:sz="4" w:space="0" w:color="000000"/>
            </w:tcBorders>
          </w:tcPr>
          <w:p>
            <w:pPr>
              <w:rPr>
                <w:sz w:val="2"/>
                <w:szCs w:val="2"/>
              </w:rPr>
            </w:pPr>
          </w:p>
        </w:tc>
        <w:tc>
          <w:tcPr>
            <w:tcW w:w="969" w:type="dxa"/>
            <w:vMerge/>
            <w:tcBorders>
              <w:top w:val="nil"/>
              <w:left w:val="single" w:sz="4" w:space="0" w:color="000000"/>
              <w:right w:val="single" w:sz="4" w:space="0" w:color="000000"/>
            </w:tcBorders>
          </w:tcPr>
          <w:p>
            <w:pPr>
              <w:rPr>
                <w:sz w:val="2"/>
                <w:szCs w:val="2"/>
              </w:rPr>
            </w:pPr>
          </w:p>
        </w:tc>
        <w:tc>
          <w:tcPr>
            <w:tcW w:w="969" w:type="dxa"/>
            <w:tcBorders>
              <w:top w:val="single" w:sz="4" w:space="0" w:color="000000"/>
              <w:left w:val="single" w:sz="4" w:space="0" w:color="000000"/>
              <w:right w:val="single" w:sz="4" w:space="0" w:color="000000"/>
            </w:tcBorders>
          </w:tcPr>
          <w:p>
            <w:pPr>
              <w:pStyle w:val="TableParagraph"/>
              <w:spacing w:before="53"/>
              <w:ind w:right="277"/>
              <w:jc w:val="right"/>
              <w:rPr>
                <w:rFonts w:ascii="Times New Roman"/>
                <w:sz w:val="21"/>
              </w:rPr>
            </w:pPr>
            <w:r>
              <w:rPr>
                <w:rFonts w:ascii="Times New Roman"/>
                <w:sz w:val="21"/>
              </w:rPr>
              <w:t>0.01</w:t>
            </w:r>
          </w:p>
        </w:tc>
        <w:tc>
          <w:tcPr>
            <w:tcW w:w="1094" w:type="dxa"/>
            <w:tcBorders>
              <w:top w:val="single" w:sz="4" w:space="0" w:color="000000"/>
              <w:left w:val="single" w:sz="4" w:space="0" w:color="000000"/>
              <w:right w:val="single" w:sz="4" w:space="0" w:color="000000"/>
            </w:tcBorders>
          </w:tcPr>
          <w:p>
            <w:pPr>
              <w:pStyle w:val="TableParagraph"/>
              <w:spacing w:before="67"/>
              <w:ind w:left="117" w:right="84"/>
              <w:rPr>
                <w:rFonts w:ascii="Times New Roman"/>
                <w:sz w:val="21"/>
              </w:rPr>
            </w:pPr>
            <w:r>
              <w:rPr>
                <w:rFonts w:ascii="Times New Roman"/>
                <w:sz w:val="21"/>
              </w:rPr>
              <w:t>0.336</w:t>
            </w:r>
          </w:p>
        </w:tc>
        <w:tc>
          <w:tcPr>
            <w:tcW w:w="937" w:type="dxa"/>
            <w:tcBorders>
              <w:top w:val="single" w:sz="4" w:space="0" w:color="000000"/>
              <w:left w:val="single" w:sz="4" w:space="0" w:color="000000"/>
            </w:tcBorders>
          </w:tcPr>
          <w:p>
            <w:pPr>
              <w:pStyle w:val="TableParagraph"/>
              <w:spacing w:before="67"/>
              <w:ind w:left="275" w:right="231"/>
              <w:rPr>
                <w:rFonts w:ascii="Times New Roman"/>
                <w:sz w:val="21"/>
              </w:rPr>
            </w:pPr>
            <w:r>
              <w:rPr>
                <w:rFonts w:ascii="Times New Roman"/>
                <w:sz w:val="21"/>
              </w:rPr>
              <w:t>11.1</w:t>
            </w:r>
          </w:p>
        </w:tc>
      </w:tr>
    </w:tbl>
    <w:p>
      <w:pPr>
        <w:tabs>
          <w:tab w:pos="1017" w:val="left" w:leader="none"/>
        </w:tabs>
        <w:spacing w:before="155" w:after="24"/>
        <w:ind w:left="0" w:right="295" w:firstLine="0"/>
        <w:jc w:val="center"/>
        <w:rPr>
          <w:sz w:val="21"/>
        </w:rPr>
      </w:pPr>
      <w:r>
        <w:rPr>
          <w:sz w:val="21"/>
        </w:rPr>
        <w:t>表</w:t>
      </w:r>
      <w:r>
        <w:rPr>
          <w:spacing w:val="8"/>
          <w:sz w:val="21"/>
        </w:rPr>
        <w:t> </w:t>
      </w:r>
      <w:r>
        <w:rPr>
          <w:rFonts w:ascii="Times New Roman" w:eastAsia="Times New Roman"/>
          <w:b/>
          <w:sz w:val="21"/>
        </w:rPr>
        <w:t>5.4-17</w:t>
        <w:tab/>
      </w:r>
      <w:r>
        <w:rPr>
          <w:sz w:val="21"/>
        </w:rPr>
        <w:t>地表水水质</w:t>
      </w:r>
      <w:r>
        <w:rPr>
          <w:spacing w:val="-3"/>
          <w:sz w:val="21"/>
        </w:rPr>
        <w:t>量</w:t>
      </w:r>
      <w:r>
        <w:rPr>
          <w:sz w:val="21"/>
        </w:rPr>
        <w:t>监测结果一览表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6"/>
        <w:gridCol w:w="1089"/>
        <w:gridCol w:w="912"/>
        <w:gridCol w:w="911"/>
        <w:gridCol w:w="911"/>
        <w:gridCol w:w="911"/>
        <w:gridCol w:w="791"/>
        <w:gridCol w:w="816"/>
        <w:gridCol w:w="815"/>
        <w:gridCol w:w="798"/>
      </w:tblGrid>
      <w:tr>
        <w:trPr>
          <w:trHeight w:val="399" w:hRule="atLeast"/>
        </w:trPr>
        <w:tc>
          <w:tcPr>
            <w:tcW w:w="566" w:type="dxa"/>
            <w:vMerge w:val="restart"/>
            <w:tcBorders>
              <w:bottom w:val="single" w:sz="6" w:space="0" w:color="000000"/>
              <w:right w:val="single" w:sz="6" w:space="0" w:color="000000"/>
            </w:tcBorders>
          </w:tcPr>
          <w:p>
            <w:pPr>
              <w:pStyle w:val="TableParagraph"/>
              <w:spacing w:line="216" w:lineRule="auto" w:before="41"/>
              <w:ind w:left="176" w:right="153"/>
              <w:jc w:val="both"/>
              <w:rPr>
                <w:sz w:val="21"/>
              </w:rPr>
            </w:pPr>
            <w:r>
              <w:rPr>
                <w:sz w:val="21"/>
              </w:rPr>
              <w:t>检测点</w:t>
            </w:r>
          </w:p>
          <w:p>
            <w:pPr>
              <w:pStyle w:val="TableParagraph"/>
              <w:spacing w:line="399" w:lineRule="exact"/>
              <w:ind w:left="176"/>
              <w:jc w:val="both"/>
              <w:rPr>
                <w:sz w:val="21"/>
              </w:rPr>
            </w:pPr>
            <w:r>
              <w:rPr>
                <w:w w:val="100"/>
                <w:sz w:val="21"/>
              </w:rPr>
              <w:t>位</w:t>
            </w:r>
          </w:p>
        </w:tc>
        <w:tc>
          <w:tcPr>
            <w:tcW w:w="1089" w:type="dxa"/>
            <w:vMerge w:val="restart"/>
            <w:tcBorders>
              <w:left w:val="single" w:sz="6" w:space="0" w:color="000000"/>
              <w:bottom w:val="single" w:sz="6" w:space="0" w:color="000000"/>
              <w:right w:val="single" w:sz="6" w:space="0" w:color="000000"/>
            </w:tcBorders>
          </w:tcPr>
          <w:p>
            <w:pPr>
              <w:pStyle w:val="TableParagraph"/>
              <w:spacing w:before="19"/>
              <w:jc w:val="left"/>
              <w:rPr>
                <w:sz w:val="17"/>
              </w:rPr>
            </w:pPr>
          </w:p>
          <w:p>
            <w:pPr>
              <w:pStyle w:val="TableParagraph"/>
              <w:spacing w:line="249" w:lineRule="auto"/>
              <w:ind w:left="132" w:right="97"/>
              <w:jc w:val="left"/>
              <w:rPr>
                <w:sz w:val="21"/>
              </w:rPr>
            </w:pPr>
            <w:r>
              <w:rPr>
                <w:sz w:val="21"/>
              </w:rPr>
              <w:t>检测时间检测项目</w:t>
            </w:r>
          </w:p>
        </w:tc>
        <w:tc>
          <w:tcPr>
            <w:tcW w:w="1823" w:type="dxa"/>
            <w:gridSpan w:val="2"/>
            <w:tcBorders>
              <w:left w:val="single" w:sz="6" w:space="0" w:color="000000"/>
              <w:bottom w:val="single" w:sz="6" w:space="0" w:color="000000"/>
              <w:right w:val="single" w:sz="6" w:space="0" w:color="000000"/>
            </w:tcBorders>
          </w:tcPr>
          <w:p>
            <w:pPr>
              <w:pStyle w:val="TableParagraph"/>
              <w:spacing w:before="125"/>
              <w:ind w:left="447"/>
              <w:jc w:val="left"/>
              <w:rPr>
                <w:rFonts w:ascii="Times New Roman"/>
                <w:sz w:val="21"/>
              </w:rPr>
            </w:pPr>
            <w:r>
              <w:rPr>
                <w:rFonts w:ascii="Times New Roman"/>
                <w:sz w:val="21"/>
              </w:rPr>
              <w:t>2016.12.12</w:t>
            </w:r>
          </w:p>
        </w:tc>
        <w:tc>
          <w:tcPr>
            <w:tcW w:w="1822" w:type="dxa"/>
            <w:gridSpan w:val="2"/>
            <w:tcBorders>
              <w:left w:val="single" w:sz="6" w:space="0" w:color="000000"/>
              <w:bottom w:val="single" w:sz="6" w:space="0" w:color="000000"/>
              <w:right w:val="single" w:sz="6" w:space="0" w:color="000000"/>
            </w:tcBorders>
          </w:tcPr>
          <w:p>
            <w:pPr>
              <w:pStyle w:val="TableParagraph"/>
              <w:spacing w:before="125"/>
              <w:ind w:left="448"/>
              <w:jc w:val="left"/>
              <w:rPr>
                <w:rFonts w:ascii="Times New Roman"/>
                <w:sz w:val="21"/>
              </w:rPr>
            </w:pPr>
            <w:r>
              <w:rPr>
                <w:rFonts w:ascii="Times New Roman"/>
                <w:sz w:val="21"/>
              </w:rPr>
              <w:t>2016.12.13</w:t>
            </w:r>
          </w:p>
        </w:tc>
        <w:tc>
          <w:tcPr>
            <w:tcW w:w="1607" w:type="dxa"/>
            <w:gridSpan w:val="2"/>
            <w:tcBorders>
              <w:left w:val="single" w:sz="6" w:space="0" w:color="000000"/>
              <w:bottom w:val="single" w:sz="6" w:space="0" w:color="000000"/>
              <w:right w:val="single" w:sz="6" w:space="0" w:color="000000"/>
            </w:tcBorders>
          </w:tcPr>
          <w:p>
            <w:pPr>
              <w:pStyle w:val="TableParagraph"/>
              <w:spacing w:before="125"/>
              <w:ind w:left="395"/>
              <w:jc w:val="left"/>
              <w:rPr>
                <w:rFonts w:ascii="Times New Roman"/>
                <w:sz w:val="21"/>
              </w:rPr>
            </w:pPr>
            <w:r>
              <w:rPr>
                <w:rFonts w:ascii="Times New Roman"/>
                <w:sz w:val="21"/>
              </w:rPr>
              <w:t>2017.3.10</w:t>
            </w:r>
          </w:p>
        </w:tc>
        <w:tc>
          <w:tcPr>
            <w:tcW w:w="1613" w:type="dxa"/>
            <w:gridSpan w:val="2"/>
            <w:tcBorders>
              <w:left w:val="single" w:sz="6" w:space="0" w:color="000000"/>
              <w:bottom w:val="single" w:sz="6" w:space="0" w:color="000000"/>
            </w:tcBorders>
          </w:tcPr>
          <w:p>
            <w:pPr>
              <w:pStyle w:val="TableParagraph"/>
              <w:spacing w:before="125"/>
              <w:ind w:left="404"/>
              <w:jc w:val="left"/>
              <w:rPr>
                <w:rFonts w:ascii="Times New Roman"/>
                <w:sz w:val="21"/>
              </w:rPr>
            </w:pPr>
            <w:r>
              <w:rPr>
                <w:rFonts w:ascii="Times New Roman"/>
                <w:sz w:val="21"/>
              </w:rPr>
              <w:t>2017.3.11</w:t>
            </w:r>
          </w:p>
        </w:tc>
      </w:tr>
      <w:tr>
        <w:trPr>
          <w:trHeight w:val="1247" w:hRule="atLeast"/>
        </w:trPr>
        <w:tc>
          <w:tcPr>
            <w:tcW w:w="566" w:type="dxa"/>
            <w:vMerge/>
            <w:tcBorders>
              <w:top w:val="nil"/>
              <w:bottom w:val="single" w:sz="6" w:space="0" w:color="000000"/>
              <w:right w:val="single" w:sz="6" w:space="0" w:color="000000"/>
            </w:tcBorders>
          </w:tcPr>
          <w:p>
            <w:pPr>
              <w:rPr>
                <w:sz w:val="2"/>
                <w:szCs w:val="2"/>
              </w:rPr>
            </w:pPr>
          </w:p>
        </w:tc>
        <w:tc>
          <w:tcPr>
            <w:tcW w:w="1089" w:type="dxa"/>
            <w:vMerge/>
            <w:tcBorders>
              <w:top w:val="nil"/>
              <w:left w:val="single" w:sz="6" w:space="0" w:color="000000"/>
              <w:bottom w:val="single" w:sz="6" w:space="0" w:color="000000"/>
              <w:right w:val="single" w:sz="6" w:space="0" w:color="000000"/>
            </w:tcBorders>
          </w:tcPr>
          <w:p>
            <w:pPr>
              <w:rPr>
                <w:sz w:val="2"/>
                <w:szCs w:val="2"/>
              </w:rPr>
            </w:pP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0"/>
              </w:rPr>
            </w:pPr>
          </w:p>
          <w:p>
            <w:pPr>
              <w:pStyle w:val="TableParagraph"/>
              <w:ind w:left="199" w:right="168"/>
              <w:rPr>
                <w:sz w:val="21"/>
              </w:rPr>
            </w:pPr>
            <w:r>
              <w:rPr>
                <w:sz w:val="21"/>
              </w:rPr>
              <w:t>上午</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0"/>
              </w:rPr>
            </w:pPr>
          </w:p>
          <w:p>
            <w:pPr>
              <w:pStyle w:val="TableParagraph"/>
              <w:ind w:left="253"/>
              <w:jc w:val="left"/>
              <w:rPr>
                <w:sz w:val="21"/>
              </w:rPr>
            </w:pPr>
            <w:r>
              <w:rPr>
                <w:sz w:val="21"/>
              </w:rPr>
              <w:t>下午</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0"/>
              </w:rPr>
            </w:pPr>
          </w:p>
          <w:p>
            <w:pPr>
              <w:pStyle w:val="TableParagraph"/>
              <w:ind w:left="254"/>
              <w:jc w:val="left"/>
              <w:rPr>
                <w:sz w:val="21"/>
              </w:rPr>
            </w:pPr>
            <w:r>
              <w:rPr>
                <w:sz w:val="21"/>
              </w:rPr>
              <w:t>上午</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0"/>
              </w:rPr>
            </w:pPr>
          </w:p>
          <w:p>
            <w:pPr>
              <w:pStyle w:val="TableParagraph"/>
              <w:ind w:left="202" w:right="165"/>
              <w:rPr>
                <w:sz w:val="21"/>
              </w:rPr>
            </w:pPr>
            <w:r>
              <w:rPr>
                <w:sz w:val="21"/>
              </w:rPr>
              <w:t>下午</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0"/>
              </w:rPr>
            </w:pPr>
          </w:p>
          <w:p>
            <w:pPr>
              <w:pStyle w:val="TableParagraph"/>
              <w:ind w:left="151" w:right="112"/>
              <w:rPr>
                <w:sz w:val="21"/>
              </w:rPr>
            </w:pPr>
            <w:r>
              <w:rPr>
                <w:sz w:val="21"/>
              </w:rPr>
              <w:t>上午</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0"/>
              </w:rPr>
            </w:pPr>
          </w:p>
          <w:p>
            <w:pPr>
              <w:pStyle w:val="TableParagraph"/>
              <w:ind w:left="190" w:right="150"/>
              <w:rPr>
                <w:sz w:val="21"/>
              </w:rPr>
            </w:pPr>
            <w:r>
              <w:rPr>
                <w:sz w:val="21"/>
              </w:rPr>
              <w:t>下午</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0"/>
              </w:rPr>
            </w:pPr>
          </w:p>
          <w:p>
            <w:pPr>
              <w:pStyle w:val="TableParagraph"/>
              <w:ind w:left="164" w:right="122"/>
              <w:rPr>
                <w:sz w:val="21"/>
              </w:rPr>
            </w:pPr>
            <w:r>
              <w:rPr>
                <w:sz w:val="21"/>
              </w:rPr>
              <w:t>上午</w:t>
            </w:r>
          </w:p>
        </w:tc>
        <w:tc>
          <w:tcPr>
            <w:tcW w:w="798" w:type="dxa"/>
            <w:tcBorders>
              <w:top w:val="single" w:sz="6" w:space="0" w:color="000000"/>
              <w:left w:val="single" w:sz="6" w:space="0" w:color="000000"/>
              <w:bottom w:val="single" w:sz="6" w:space="0" w:color="000000"/>
            </w:tcBorders>
          </w:tcPr>
          <w:p>
            <w:pPr>
              <w:pStyle w:val="TableParagraph"/>
              <w:spacing w:before="16"/>
              <w:jc w:val="left"/>
              <w:rPr>
                <w:sz w:val="20"/>
              </w:rPr>
            </w:pPr>
          </w:p>
          <w:p>
            <w:pPr>
              <w:pStyle w:val="TableParagraph"/>
              <w:ind w:left="156" w:right="106"/>
              <w:rPr>
                <w:sz w:val="21"/>
              </w:rPr>
            </w:pPr>
            <w:r>
              <w:rPr>
                <w:sz w:val="21"/>
              </w:rPr>
              <w:t>下午</w:t>
            </w:r>
          </w:p>
        </w:tc>
      </w:tr>
      <w:tr>
        <w:trPr>
          <w:trHeight w:val="317" w:hRule="atLeast"/>
        </w:trPr>
        <w:tc>
          <w:tcPr>
            <w:tcW w:w="566" w:type="dxa"/>
            <w:tcBorders>
              <w:top w:val="single" w:sz="6" w:space="0" w:color="000000"/>
              <w:bottom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nil"/>
              <w:right w:val="single" w:sz="6" w:space="0" w:color="000000"/>
            </w:tcBorders>
          </w:tcPr>
          <w:p>
            <w:pPr>
              <w:pStyle w:val="TableParagraph"/>
              <w:spacing w:line="297" w:lineRule="exact"/>
              <w:ind w:left="115"/>
              <w:jc w:val="left"/>
              <w:rPr>
                <w:sz w:val="21"/>
              </w:rPr>
            </w:pPr>
            <w:r>
              <w:rPr>
                <w:rFonts w:ascii="Times New Roman" w:eastAsia="Times New Roman"/>
                <w:sz w:val="21"/>
              </w:rPr>
              <w:t>pH </w:t>
            </w:r>
            <w:r>
              <w:rPr>
                <w:spacing w:val="-65"/>
                <w:sz w:val="21"/>
              </w:rPr>
              <w:t>值</w:t>
            </w:r>
            <w:r>
              <w:rPr>
                <w:sz w:val="21"/>
              </w:rPr>
              <w:t>（无</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73"/>
              <w:ind w:left="279"/>
              <w:jc w:val="left"/>
              <w:rPr>
                <w:rFonts w:ascii="Times New Roman"/>
                <w:sz w:val="21"/>
              </w:rPr>
            </w:pPr>
            <w:r>
              <w:rPr>
                <w:rFonts w:ascii="Times New Roman"/>
                <w:sz w:val="21"/>
              </w:rPr>
              <w:t>7.65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73"/>
              <w:ind w:left="279"/>
              <w:jc w:val="left"/>
              <w:rPr>
                <w:rFonts w:ascii="Times New Roman"/>
                <w:sz w:val="21"/>
              </w:rPr>
            </w:pPr>
            <w:r>
              <w:rPr>
                <w:rFonts w:ascii="Times New Roman"/>
                <w:sz w:val="21"/>
              </w:rPr>
              <w:t>7.67</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73"/>
              <w:ind w:left="280"/>
              <w:jc w:val="left"/>
              <w:rPr>
                <w:rFonts w:ascii="Times New Roman"/>
                <w:sz w:val="21"/>
              </w:rPr>
            </w:pPr>
            <w:r>
              <w:rPr>
                <w:rFonts w:ascii="Times New Roman"/>
                <w:sz w:val="21"/>
              </w:rPr>
              <w:t>7.69</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73"/>
              <w:ind w:left="282"/>
              <w:jc w:val="left"/>
              <w:rPr>
                <w:rFonts w:ascii="Times New Roman"/>
                <w:sz w:val="21"/>
              </w:rPr>
            </w:pPr>
            <w:r>
              <w:rPr>
                <w:rFonts w:ascii="Times New Roman"/>
                <w:sz w:val="21"/>
              </w:rPr>
              <w:t>7.61</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1"/>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1"/>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1"/>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81"/>
              <w:ind w:left="156" w:right="106"/>
              <w:rPr>
                <w:rFonts w:ascii="Times New Roman"/>
                <w:sz w:val="21"/>
              </w:rPr>
            </w:pPr>
            <w:r>
              <w:rPr>
                <w:rFonts w:ascii="Times New Roman"/>
                <w:sz w:val="21"/>
              </w:rPr>
              <w:t>--</w:t>
            </w:r>
          </w:p>
        </w:tc>
      </w:tr>
      <w:tr>
        <w:trPr>
          <w:trHeight w:val="270"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nil"/>
              <w:left w:val="single" w:sz="6" w:space="0" w:color="000000"/>
              <w:bottom w:val="single" w:sz="6" w:space="0" w:color="000000"/>
              <w:right w:val="single" w:sz="6" w:space="0" w:color="000000"/>
            </w:tcBorders>
          </w:tcPr>
          <w:p>
            <w:pPr>
              <w:pStyle w:val="TableParagraph"/>
              <w:spacing w:line="250" w:lineRule="exact"/>
              <w:ind w:left="237"/>
              <w:jc w:val="left"/>
              <w:rPr>
                <w:sz w:val="21"/>
              </w:rPr>
            </w:pPr>
            <w:r>
              <w:rPr>
                <w:sz w:val="21"/>
              </w:rPr>
              <w:t>量纲）</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324"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nil"/>
              <w:right w:val="single" w:sz="6" w:space="0" w:color="000000"/>
            </w:tcBorders>
          </w:tcPr>
          <w:p>
            <w:pPr>
              <w:pStyle w:val="TableParagraph"/>
              <w:spacing w:before="47"/>
              <w:ind w:left="276"/>
              <w:jc w:val="left"/>
              <w:rPr>
                <w:rFonts w:ascii="Times New Roman"/>
                <w:sz w:val="14"/>
              </w:rPr>
            </w:pPr>
            <w:r>
              <w:rPr>
                <w:rFonts w:ascii="Times New Roman"/>
                <w:position w:val="2"/>
                <w:sz w:val="21"/>
              </w:rPr>
              <w:t>COD</w:t>
            </w:r>
            <w:r>
              <w:rPr>
                <w:rFonts w:ascii="Times New Roman"/>
                <w:sz w:val="14"/>
              </w:rPr>
              <w:t>cr</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279"/>
              <w:jc w:val="left"/>
              <w:rPr>
                <w:rFonts w:ascii="Times New Roman"/>
                <w:sz w:val="21"/>
              </w:rPr>
            </w:pPr>
            <w:r>
              <w:rPr>
                <w:rFonts w:ascii="Times New Roman"/>
                <w:sz w:val="21"/>
              </w:rPr>
              <w:t>29.8</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279"/>
              <w:jc w:val="left"/>
              <w:rPr>
                <w:rFonts w:ascii="Times New Roman"/>
                <w:sz w:val="21"/>
              </w:rPr>
            </w:pPr>
            <w:r>
              <w:rPr>
                <w:rFonts w:ascii="Times New Roman"/>
                <w:sz w:val="21"/>
              </w:rPr>
              <w:t>27.6</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80"/>
              <w:jc w:val="left"/>
              <w:rPr>
                <w:rFonts w:ascii="Times New Roman"/>
                <w:sz w:val="21"/>
              </w:rPr>
            </w:pPr>
            <w:r>
              <w:rPr>
                <w:rFonts w:ascii="Times New Roman"/>
                <w:sz w:val="21"/>
              </w:rPr>
              <w:t>24.8</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82"/>
              <w:jc w:val="left"/>
              <w:rPr>
                <w:rFonts w:ascii="Times New Roman"/>
                <w:sz w:val="21"/>
              </w:rPr>
            </w:pPr>
            <w:r>
              <w:rPr>
                <w:rFonts w:ascii="Times New Roman"/>
                <w:sz w:val="21"/>
              </w:rPr>
              <w:t>26.3</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3"/>
              <w:jc w:val="left"/>
              <w:rPr>
                <w:sz w:val="9"/>
              </w:rPr>
            </w:pPr>
          </w:p>
          <w:p>
            <w:pPr>
              <w:pStyle w:val="TableParagraph"/>
              <w:ind w:left="156" w:right="106"/>
              <w:rPr>
                <w:rFonts w:ascii="Times New Roman"/>
                <w:sz w:val="21"/>
              </w:rPr>
            </w:pPr>
            <w:r>
              <w:rPr>
                <w:rFonts w:ascii="Times New Roman"/>
                <w:sz w:val="21"/>
              </w:rPr>
              <w:t>--</w:t>
            </w:r>
          </w:p>
        </w:tc>
      </w:tr>
      <w:tr>
        <w:trPr>
          <w:trHeight w:val="298"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nil"/>
              <w:left w:val="single" w:sz="6" w:space="0" w:color="000000"/>
              <w:bottom w:val="single" w:sz="6" w:space="0" w:color="000000"/>
              <w:right w:val="single" w:sz="6" w:space="0" w:color="000000"/>
            </w:tcBorders>
          </w:tcPr>
          <w:p>
            <w:pPr>
              <w:pStyle w:val="TableParagraph"/>
              <w:spacing w:line="278" w:lineRule="exact"/>
              <w:ind w:left="115"/>
              <w:jc w:val="left"/>
              <w:rPr>
                <w:sz w:val="21"/>
              </w:rPr>
            </w:pPr>
            <w:r>
              <w:rPr>
                <w:sz w:val="21"/>
              </w:rPr>
              <w:t>（</w:t>
            </w:r>
            <w:r>
              <w:rPr>
                <w:rFonts w:ascii="Times New Roman" w:eastAsia="Times New Roman"/>
                <w:sz w:val="21"/>
              </w:rPr>
              <w:t>mg/L</w:t>
            </w:r>
            <w:r>
              <w:rPr>
                <w:sz w:val="21"/>
              </w:rPr>
              <w:t>）</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318"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nil"/>
              <w:right w:val="single" w:sz="6" w:space="0" w:color="000000"/>
            </w:tcBorders>
          </w:tcPr>
          <w:p>
            <w:pPr>
              <w:pStyle w:val="TableParagraph"/>
              <w:spacing w:line="299" w:lineRule="exact"/>
              <w:ind w:left="343"/>
              <w:jc w:val="left"/>
              <w:rPr>
                <w:sz w:val="21"/>
              </w:rPr>
            </w:pPr>
            <w:r>
              <w:rPr>
                <w:sz w:val="21"/>
              </w:rPr>
              <w:t>氨氮</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84"/>
              <w:jc w:val="left"/>
              <w:rPr>
                <w:rFonts w:ascii="Times New Roman"/>
                <w:sz w:val="21"/>
              </w:rPr>
            </w:pPr>
            <w:r>
              <w:rPr>
                <w:rFonts w:ascii="Times New Roman"/>
                <w:sz w:val="21"/>
              </w:rPr>
              <w:t>11.8</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84"/>
              <w:jc w:val="left"/>
              <w:rPr>
                <w:rFonts w:ascii="Times New Roman"/>
                <w:sz w:val="21"/>
              </w:rPr>
            </w:pPr>
            <w:r>
              <w:rPr>
                <w:rFonts w:ascii="Times New Roman"/>
                <w:sz w:val="21"/>
              </w:rPr>
              <w:t>11.6</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80"/>
              <w:jc w:val="left"/>
              <w:rPr>
                <w:rFonts w:ascii="Times New Roman"/>
                <w:sz w:val="21"/>
              </w:rPr>
            </w:pPr>
            <w:r>
              <w:rPr>
                <w:rFonts w:ascii="Times New Roman"/>
                <w:sz w:val="21"/>
              </w:rPr>
              <w:t>10.5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334"/>
              <w:jc w:val="left"/>
              <w:rPr>
                <w:rFonts w:ascii="Times New Roman"/>
                <w:sz w:val="21"/>
              </w:rPr>
            </w:pPr>
            <w:r>
              <w:rPr>
                <w:rFonts w:ascii="Times New Roman"/>
                <w:sz w:val="21"/>
              </w:rPr>
              <w:t>9.8</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6"/>
              <w:jc w:val="left"/>
              <w:rPr>
                <w:sz w:val="9"/>
              </w:rPr>
            </w:pPr>
          </w:p>
          <w:p>
            <w:pPr>
              <w:pStyle w:val="TableParagraph"/>
              <w:ind w:left="156" w:right="106"/>
              <w:rPr>
                <w:rFonts w:ascii="Times New Roman"/>
                <w:sz w:val="21"/>
              </w:rPr>
            </w:pPr>
            <w:r>
              <w:rPr>
                <w:rFonts w:ascii="Times New Roman"/>
                <w:sz w:val="21"/>
              </w:rPr>
              <w:t>--</w:t>
            </w:r>
          </w:p>
        </w:tc>
      </w:tr>
      <w:tr>
        <w:trPr>
          <w:trHeight w:val="306"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nil"/>
              <w:left w:val="single" w:sz="6" w:space="0" w:color="000000"/>
              <w:bottom w:val="single" w:sz="6" w:space="0" w:color="000000"/>
              <w:right w:val="single" w:sz="6" w:space="0" w:color="000000"/>
            </w:tcBorders>
          </w:tcPr>
          <w:p>
            <w:pPr>
              <w:pStyle w:val="TableParagraph"/>
              <w:spacing w:line="287" w:lineRule="exact"/>
              <w:ind w:left="115"/>
              <w:jc w:val="left"/>
              <w:rPr>
                <w:sz w:val="21"/>
              </w:rPr>
            </w:pPr>
            <w:r>
              <w:rPr>
                <w:sz w:val="21"/>
              </w:rPr>
              <w:t>（</w:t>
            </w:r>
            <w:r>
              <w:rPr>
                <w:rFonts w:ascii="Times New Roman" w:eastAsia="Times New Roman"/>
                <w:sz w:val="21"/>
              </w:rPr>
              <w:t>mg/L</w:t>
            </w:r>
            <w:r>
              <w:rPr>
                <w:sz w:val="21"/>
              </w:rPr>
              <w:t>）</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316"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nil"/>
              <w:right w:val="single" w:sz="6" w:space="0" w:color="000000"/>
            </w:tcBorders>
          </w:tcPr>
          <w:p>
            <w:pPr>
              <w:pStyle w:val="TableParagraph"/>
              <w:spacing w:line="296" w:lineRule="exact"/>
              <w:ind w:left="237"/>
              <w:jc w:val="left"/>
              <w:rPr>
                <w:sz w:val="21"/>
              </w:rPr>
            </w:pPr>
            <w:r>
              <w:rPr>
                <w:sz w:val="21"/>
              </w:rPr>
              <w:t>挥发酚</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15"/>
              <w:jc w:val="left"/>
              <w:rPr>
                <w:rFonts w:ascii="Times New Roman"/>
                <w:sz w:val="21"/>
              </w:rPr>
            </w:pPr>
            <w:r>
              <w:rPr>
                <w:rFonts w:ascii="Times New Roman"/>
                <w:sz w:val="21"/>
              </w:rPr>
              <w:t>&lt;0.0003</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16"/>
              <w:jc w:val="left"/>
              <w:rPr>
                <w:rFonts w:ascii="Times New Roman"/>
                <w:sz w:val="21"/>
              </w:rPr>
            </w:pPr>
            <w:r>
              <w:rPr>
                <w:rFonts w:ascii="Times New Roman"/>
                <w:sz w:val="21"/>
              </w:rPr>
              <w:t>&lt;0.0003</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17"/>
              <w:jc w:val="left"/>
              <w:rPr>
                <w:rFonts w:ascii="Times New Roman"/>
                <w:sz w:val="21"/>
              </w:rPr>
            </w:pPr>
            <w:r>
              <w:rPr>
                <w:rFonts w:ascii="Times New Roman"/>
                <w:sz w:val="21"/>
              </w:rPr>
              <w:t>&lt;0.0003</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18"/>
              <w:jc w:val="left"/>
              <w:rPr>
                <w:rFonts w:ascii="Times New Roman"/>
                <w:sz w:val="21"/>
              </w:rPr>
            </w:pPr>
            <w:r>
              <w:rPr>
                <w:rFonts w:ascii="Times New Roman"/>
                <w:sz w:val="21"/>
              </w:rPr>
              <w:t>&lt;0.0003</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3"/>
              <w:jc w:val="left"/>
              <w:rPr>
                <w:sz w:val="9"/>
              </w:rPr>
            </w:pPr>
          </w:p>
          <w:p>
            <w:pPr>
              <w:pStyle w:val="TableParagraph"/>
              <w:ind w:left="156" w:right="106"/>
              <w:rPr>
                <w:rFonts w:ascii="Times New Roman"/>
                <w:sz w:val="21"/>
              </w:rPr>
            </w:pPr>
            <w:r>
              <w:rPr>
                <w:rFonts w:ascii="Times New Roman"/>
                <w:sz w:val="21"/>
              </w:rPr>
              <w:t>--</w:t>
            </w:r>
          </w:p>
        </w:tc>
      </w:tr>
      <w:tr>
        <w:trPr>
          <w:trHeight w:val="306" w:hRule="atLeast"/>
        </w:trPr>
        <w:tc>
          <w:tcPr>
            <w:tcW w:w="566" w:type="dxa"/>
            <w:vMerge w:val="restart"/>
            <w:tcBorders>
              <w:top w:val="nil"/>
              <w:bottom w:val="nil"/>
              <w:right w:val="single" w:sz="6" w:space="0" w:color="000000"/>
            </w:tcBorders>
          </w:tcPr>
          <w:p>
            <w:pPr>
              <w:pStyle w:val="TableParagraph"/>
              <w:spacing w:before="168"/>
              <w:ind w:left="176"/>
              <w:jc w:val="left"/>
              <w:rPr>
                <w:rFonts w:ascii="Times New Roman"/>
                <w:sz w:val="21"/>
              </w:rPr>
            </w:pPr>
            <w:r>
              <w:rPr>
                <w:rFonts w:ascii="Times New Roman"/>
                <w:sz w:val="21"/>
              </w:rPr>
              <w:t>1#</w:t>
            </w:r>
          </w:p>
          <w:p>
            <w:pPr>
              <w:pStyle w:val="TableParagraph"/>
              <w:spacing w:before="45"/>
              <w:ind w:left="176"/>
              <w:jc w:val="left"/>
              <w:rPr>
                <w:sz w:val="21"/>
              </w:rPr>
            </w:pPr>
            <w:r>
              <w:rPr>
                <w:w w:val="100"/>
                <w:sz w:val="21"/>
              </w:rPr>
              <w:t>白</w:t>
            </w:r>
          </w:p>
        </w:tc>
        <w:tc>
          <w:tcPr>
            <w:tcW w:w="1089" w:type="dxa"/>
            <w:tcBorders>
              <w:top w:val="nil"/>
              <w:left w:val="single" w:sz="6" w:space="0" w:color="000000"/>
              <w:bottom w:val="single" w:sz="6" w:space="0" w:color="000000"/>
              <w:right w:val="single" w:sz="6" w:space="0" w:color="000000"/>
            </w:tcBorders>
          </w:tcPr>
          <w:p>
            <w:pPr>
              <w:pStyle w:val="TableParagraph"/>
              <w:spacing w:line="287" w:lineRule="exact"/>
              <w:ind w:left="115"/>
              <w:jc w:val="left"/>
              <w:rPr>
                <w:sz w:val="21"/>
              </w:rPr>
            </w:pPr>
            <w:r>
              <w:rPr>
                <w:sz w:val="21"/>
              </w:rPr>
              <w:t>（</w:t>
            </w:r>
            <w:r>
              <w:rPr>
                <w:rFonts w:ascii="Times New Roman" w:eastAsia="Times New Roman"/>
                <w:sz w:val="21"/>
              </w:rPr>
              <w:t>mg/L</w:t>
            </w:r>
            <w:r>
              <w:rPr>
                <w:sz w:val="21"/>
              </w:rPr>
              <w:t>）</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640" w:hRule="atLeast"/>
        </w:trPr>
        <w:tc>
          <w:tcPr>
            <w:tcW w:w="566" w:type="dxa"/>
            <w:vMerge/>
            <w:tcBorders>
              <w:top w:val="nil"/>
              <w:bottom w:val="nil"/>
              <w:right w:val="single" w:sz="6" w:space="0" w:color="000000"/>
            </w:tcBorders>
          </w:tcPr>
          <w:p>
            <w:pPr>
              <w:rPr>
                <w:sz w:val="2"/>
                <w:szCs w:val="2"/>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317" w:lineRule="exact"/>
              <w:ind w:left="94" w:right="60"/>
              <w:rPr>
                <w:sz w:val="21"/>
              </w:rPr>
            </w:pPr>
            <w:r>
              <w:rPr>
                <w:sz w:val="21"/>
              </w:rPr>
              <w:t>石油类</w:t>
            </w:r>
          </w:p>
          <w:p>
            <w:pPr>
              <w:pStyle w:val="TableParagraph"/>
              <w:spacing w:line="303" w:lineRule="exact"/>
              <w:ind w:left="94" w:right="64"/>
              <w:rPr>
                <w:sz w:val="21"/>
              </w:rPr>
            </w:pPr>
            <w:r>
              <w:rPr>
                <w:sz w:val="21"/>
              </w:rPr>
              <w:t>（</w:t>
            </w:r>
            <w:r>
              <w:rPr>
                <w:rFonts w:ascii="Times New Roman" w:eastAsia="Times New Roman"/>
                <w:sz w:val="21"/>
              </w:rPr>
              <w:t>mg/L</w:t>
            </w:r>
            <w:r>
              <w:rPr>
                <w:sz w:val="21"/>
              </w:rPr>
              <w:t>）</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99" w:right="168"/>
              <w:rPr>
                <w:rFonts w:ascii="Times New Roman"/>
                <w:sz w:val="21"/>
              </w:rPr>
            </w:pPr>
            <w:r>
              <w:rPr>
                <w:rFonts w:ascii="Times New Roman"/>
                <w:sz w:val="21"/>
              </w:rPr>
              <w:t>0.055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226"/>
              <w:jc w:val="left"/>
              <w:rPr>
                <w:rFonts w:ascii="Times New Roman"/>
                <w:sz w:val="21"/>
              </w:rPr>
            </w:pPr>
            <w:r>
              <w:rPr>
                <w:rFonts w:ascii="Times New Roman"/>
                <w:sz w:val="21"/>
              </w:rPr>
              <w:t>0.050</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27"/>
              <w:jc w:val="left"/>
              <w:rPr>
                <w:rFonts w:ascii="Times New Roman"/>
                <w:sz w:val="21"/>
              </w:rPr>
            </w:pPr>
            <w:r>
              <w:rPr>
                <w:rFonts w:ascii="Times New Roman"/>
                <w:sz w:val="21"/>
              </w:rPr>
              <w:t>0.043</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02" w:right="165"/>
              <w:rPr>
                <w:rFonts w:ascii="Times New Roman"/>
                <w:sz w:val="21"/>
              </w:rPr>
            </w:pPr>
            <w:r>
              <w:rPr>
                <w:rFonts w:ascii="Times New Roman"/>
                <w:sz w:val="21"/>
              </w:rPr>
              <w:t>0.051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51" w:right="112"/>
              <w:rPr>
                <w:rFonts w:ascii="Times New Roman"/>
                <w:sz w:val="21"/>
              </w:rPr>
            </w:pPr>
            <w:r>
              <w:rPr>
                <w:rFonts w:ascii="Times New Roman"/>
                <w:sz w:val="21"/>
              </w:rPr>
              <w:t>--</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90" w:right="150"/>
              <w:rPr>
                <w:rFonts w:ascii="Times New Roman"/>
                <w:sz w:val="21"/>
              </w:rPr>
            </w:pPr>
            <w:r>
              <w:rPr>
                <w:rFonts w:ascii="Times New Roman"/>
                <w:sz w:val="21"/>
              </w:rPr>
              <w:t>--</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64" w:right="122"/>
              <w:rPr>
                <w:rFonts w:ascii="Times New Roman"/>
                <w:sz w:val="21"/>
              </w:rPr>
            </w:pPr>
            <w:r>
              <w:rPr>
                <w:rFonts w:ascii="Times New Roman"/>
                <w:sz w:val="21"/>
              </w:rPr>
              <w:t>--</w:t>
            </w:r>
          </w:p>
        </w:tc>
        <w:tc>
          <w:tcPr>
            <w:tcW w:w="798" w:type="dxa"/>
            <w:tcBorders>
              <w:top w:val="single" w:sz="6" w:space="0" w:color="000000"/>
              <w:left w:val="single" w:sz="6" w:space="0" w:color="000000"/>
              <w:bottom w:val="single" w:sz="6" w:space="0" w:color="000000"/>
            </w:tcBorders>
          </w:tcPr>
          <w:p>
            <w:pPr>
              <w:pStyle w:val="TableParagraph"/>
              <w:spacing w:before="16"/>
              <w:jc w:val="left"/>
              <w:rPr>
                <w:sz w:val="9"/>
              </w:rPr>
            </w:pPr>
          </w:p>
          <w:p>
            <w:pPr>
              <w:pStyle w:val="TableParagraph"/>
              <w:ind w:left="156" w:right="106"/>
              <w:rPr>
                <w:rFonts w:ascii="Times New Roman"/>
                <w:sz w:val="21"/>
              </w:rPr>
            </w:pPr>
            <w:r>
              <w:rPr>
                <w:rFonts w:ascii="Times New Roman"/>
                <w:sz w:val="21"/>
              </w:rPr>
              <w:t>--</w:t>
            </w:r>
          </w:p>
        </w:tc>
      </w:tr>
      <w:tr>
        <w:trPr>
          <w:trHeight w:val="316" w:hRule="atLeast"/>
        </w:trPr>
        <w:tc>
          <w:tcPr>
            <w:tcW w:w="566" w:type="dxa"/>
            <w:tcBorders>
              <w:top w:val="nil"/>
              <w:bottom w:val="nil"/>
              <w:right w:val="single" w:sz="6" w:space="0" w:color="000000"/>
            </w:tcBorders>
          </w:tcPr>
          <w:p>
            <w:pPr>
              <w:pStyle w:val="TableParagraph"/>
              <w:spacing w:line="297" w:lineRule="exact"/>
              <w:ind w:left="21"/>
              <w:rPr>
                <w:sz w:val="21"/>
              </w:rPr>
            </w:pPr>
            <w:r>
              <w:rPr>
                <w:w w:val="100"/>
                <w:sz w:val="21"/>
              </w:rPr>
              <w:t>马</w:t>
            </w:r>
          </w:p>
        </w:tc>
        <w:tc>
          <w:tcPr>
            <w:tcW w:w="1089" w:type="dxa"/>
            <w:tcBorders>
              <w:top w:val="single" w:sz="6" w:space="0" w:color="000000"/>
              <w:left w:val="single" w:sz="6" w:space="0" w:color="000000"/>
              <w:bottom w:val="nil"/>
              <w:right w:val="single" w:sz="6" w:space="0" w:color="000000"/>
            </w:tcBorders>
          </w:tcPr>
          <w:p>
            <w:pPr>
              <w:pStyle w:val="TableParagraph"/>
              <w:spacing w:line="297" w:lineRule="exact"/>
              <w:ind w:left="237"/>
              <w:jc w:val="left"/>
              <w:rPr>
                <w:sz w:val="21"/>
              </w:rPr>
            </w:pPr>
            <w:r>
              <w:rPr>
                <w:sz w:val="21"/>
              </w:rPr>
              <w:t>硫化物</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9"/>
              </w:rPr>
            </w:pPr>
          </w:p>
          <w:p>
            <w:pPr>
              <w:pStyle w:val="TableParagraph"/>
              <w:ind w:left="168"/>
              <w:jc w:val="left"/>
              <w:rPr>
                <w:rFonts w:ascii="Times New Roman"/>
                <w:sz w:val="21"/>
              </w:rPr>
            </w:pPr>
            <w:r>
              <w:rPr>
                <w:rFonts w:ascii="Times New Roman"/>
                <w:sz w:val="21"/>
              </w:rPr>
              <w:t>&lt;0.005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9"/>
              </w:rPr>
            </w:pPr>
          </w:p>
          <w:p>
            <w:pPr>
              <w:pStyle w:val="TableParagraph"/>
              <w:ind w:left="169"/>
              <w:jc w:val="left"/>
              <w:rPr>
                <w:rFonts w:ascii="Times New Roman"/>
                <w:sz w:val="21"/>
              </w:rPr>
            </w:pPr>
            <w:r>
              <w:rPr>
                <w:rFonts w:ascii="Times New Roman"/>
                <w:sz w:val="21"/>
              </w:rPr>
              <w:t>&lt;0.005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9"/>
              </w:rPr>
            </w:pPr>
          </w:p>
          <w:p>
            <w:pPr>
              <w:pStyle w:val="TableParagraph"/>
              <w:ind w:left="170"/>
              <w:jc w:val="left"/>
              <w:rPr>
                <w:rFonts w:ascii="Times New Roman"/>
                <w:sz w:val="21"/>
              </w:rPr>
            </w:pPr>
            <w:r>
              <w:rPr>
                <w:rFonts w:ascii="Times New Roman"/>
                <w:sz w:val="21"/>
              </w:rPr>
              <w:t>&lt;0.005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9"/>
              </w:rPr>
            </w:pPr>
          </w:p>
          <w:p>
            <w:pPr>
              <w:pStyle w:val="TableParagraph"/>
              <w:ind w:left="171"/>
              <w:jc w:val="left"/>
              <w:rPr>
                <w:rFonts w:ascii="Times New Roman"/>
                <w:sz w:val="21"/>
              </w:rPr>
            </w:pPr>
            <w:r>
              <w:rPr>
                <w:rFonts w:ascii="Times New Roman"/>
                <w:sz w:val="21"/>
              </w:rPr>
              <w:t>&lt;0.005</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9"/>
              </w:rPr>
            </w:pPr>
          </w:p>
          <w:p>
            <w:pPr>
              <w:pStyle w:val="TableParagraph"/>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9"/>
              </w:rPr>
            </w:pPr>
          </w:p>
          <w:p>
            <w:pPr>
              <w:pStyle w:val="TableParagraph"/>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9"/>
              </w:rPr>
            </w:pPr>
          </w:p>
          <w:p>
            <w:pPr>
              <w:pStyle w:val="TableParagraph"/>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4"/>
              <w:jc w:val="left"/>
              <w:rPr>
                <w:sz w:val="9"/>
              </w:rPr>
            </w:pPr>
          </w:p>
          <w:p>
            <w:pPr>
              <w:pStyle w:val="TableParagraph"/>
              <w:ind w:left="156" w:right="106"/>
              <w:rPr>
                <w:rFonts w:ascii="Times New Roman"/>
                <w:sz w:val="21"/>
              </w:rPr>
            </w:pPr>
            <w:r>
              <w:rPr>
                <w:rFonts w:ascii="Times New Roman"/>
                <w:sz w:val="21"/>
              </w:rPr>
              <w:t>--</w:t>
            </w:r>
          </w:p>
        </w:tc>
      </w:tr>
      <w:tr>
        <w:trPr>
          <w:trHeight w:val="306" w:hRule="atLeast"/>
        </w:trPr>
        <w:tc>
          <w:tcPr>
            <w:tcW w:w="566" w:type="dxa"/>
            <w:tcBorders>
              <w:top w:val="nil"/>
              <w:bottom w:val="nil"/>
              <w:right w:val="single" w:sz="6" w:space="0" w:color="000000"/>
            </w:tcBorders>
          </w:tcPr>
          <w:p>
            <w:pPr>
              <w:pStyle w:val="TableParagraph"/>
              <w:spacing w:line="287" w:lineRule="exact"/>
              <w:ind w:left="21"/>
              <w:rPr>
                <w:sz w:val="21"/>
              </w:rPr>
            </w:pPr>
            <w:r>
              <w:rPr>
                <w:w w:val="100"/>
                <w:sz w:val="21"/>
              </w:rPr>
              <w:t>河</w:t>
            </w:r>
          </w:p>
        </w:tc>
        <w:tc>
          <w:tcPr>
            <w:tcW w:w="1089" w:type="dxa"/>
            <w:tcBorders>
              <w:top w:val="nil"/>
              <w:left w:val="single" w:sz="6" w:space="0" w:color="000000"/>
              <w:bottom w:val="single" w:sz="6" w:space="0" w:color="000000"/>
              <w:right w:val="single" w:sz="6" w:space="0" w:color="000000"/>
            </w:tcBorders>
          </w:tcPr>
          <w:p>
            <w:pPr>
              <w:pStyle w:val="TableParagraph"/>
              <w:spacing w:line="287" w:lineRule="exact"/>
              <w:ind w:left="115"/>
              <w:jc w:val="left"/>
              <w:rPr>
                <w:sz w:val="21"/>
              </w:rPr>
            </w:pPr>
            <w:r>
              <w:rPr>
                <w:sz w:val="21"/>
              </w:rPr>
              <w:t>（</w:t>
            </w:r>
            <w:r>
              <w:rPr>
                <w:rFonts w:ascii="Times New Roman" w:eastAsia="Times New Roman"/>
                <w:sz w:val="21"/>
              </w:rPr>
              <w:t>mg/L</w:t>
            </w:r>
            <w:r>
              <w:rPr>
                <w:sz w:val="21"/>
              </w:rPr>
              <w:t>）</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361" w:hRule="atLeast"/>
        </w:trPr>
        <w:tc>
          <w:tcPr>
            <w:tcW w:w="566" w:type="dxa"/>
            <w:tcBorders>
              <w:top w:val="nil"/>
              <w:bottom w:val="nil"/>
              <w:right w:val="single" w:sz="6" w:space="0" w:color="000000"/>
            </w:tcBorders>
          </w:tcPr>
          <w:p>
            <w:pPr>
              <w:pStyle w:val="TableParagraph"/>
              <w:spacing w:line="317" w:lineRule="exact" w:before="25"/>
              <w:ind w:left="21"/>
              <w:rPr>
                <w:sz w:val="21"/>
              </w:rPr>
            </w:pPr>
            <w:r>
              <w:rPr>
                <w:w w:val="100"/>
                <w:sz w:val="21"/>
              </w:rPr>
              <w:t>断</w:t>
            </w:r>
          </w:p>
        </w:tc>
        <w:tc>
          <w:tcPr>
            <w:tcW w:w="1089" w:type="dxa"/>
            <w:tcBorders>
              <w:top w:val="single" w:sz="6" w:space="0" w:color="000000"/>
              <w:left w:val="single" w:sz="6" w:space="0" w:color="000000"/>
              <w:bottom w:val="nil"/>
              <w:right w:val="single" w:sz="6" w:space="0" w:color="000000"/>
            </w:tcBorders>
          </w:tcPr>
          <w:p>
            <w:pPr>
              <w:pStyle w:val="TableParagraph"/>
              <w:spacing w:line="342" w:lineRule="exact"/>
              <w:ind w:left="237"/>
              <w:jc w:val="left"/>
              <w:rPr>
                <w:sz w:val="21"/>
              </w:rPr>
            </w:pPr>
            <w:r>
              <w:rPr>
                <w:sz w:val="21"/>
              </w:rPr>
              <w:t>氟化物</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226"/>
              <w:jc w:val="left"/>
              <w:rPr>
                <w:rFonts w:ascii="Times New Roman"/>
                <w:sz w:val="21"/>
              </w:rPr>
            </w:pPr>
            <w:r>
              <w:rPr>
                <w:rFonts w:ascii="Times New Roman"/>
                <w:sz w:val="21"/>
              </w:rPr>
              <w:t>0.389</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226"/>
              <w:jc w:val="left"/>
              <w:rPr>
                <w:rFonts w:ascii="Times New Roman"/>
                <w:sz w:val="21"/>
              </w:rPr>
            </w:pPr>
            <w:r>
              <w:rPr>
                <w:rFonts w:ascii="Times New Roman"/>
                <w:sz w:val="21"/>
              </w:rPr>
              <w:t>0.390</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27"/>
              <w:jc w:val="left"/>
              <w:rPr>
                <w:rFonts w:ascii="Times New Roman"/>
                <w:sz w:val="21"/>
              </w:rPr>
            </w:pPr>
            <w:r>
              <w:rPr>
                <w:rFonts w:ascii="Times New Roman"/>
                <w:sz w:val="21"/>
              </w:rPr>
              <w:t>0.325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229"/>
              <w:jc w:val="left"/>
              <w:rPr>
                <w:rFonts w:ascii="Times New Roman"/>
                <w:sz w:val="21"/>
              </w:rPr>
            </w:pPr>
            <w:r>
              <w:rPr>
                <w:rFonts w:ascii="Times New Roman"/>
                <w:sz w:val="21"/>
              </w:rPr>
              <w:t>0.367</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6"/>
              <w:jc w:val="left"/>
              <w:rPr>
                <w:sz w:val="9"/>
              </w:rPr>
            </w:pPr>
          </w:p>
          <w:p>
            <w:pPr>
              <w:pStyle w:val="TableParagraph"/>
              <w:ind w:left="156" w:right="106"/>
              <w:rPr>
                <w:rFonts w:ascii="Times New Roman"/>
                <w:sz w:val="21"/>
              </w:rPr>
            </w:pPr>
            <w:r>
              <w:rPr>
                <w:rFonts w:ascii="Times New Roman"/>
                <w:sz w:val="21"/>
              </w:rPr>
              <w:t>--</w:t>
            </w:r>
          </w:p>
        </w:tc>
      </w:tr>
      <w:tr>
        <w:trPr>
          <w:trHeight w:val="263" w:hRule="atLeast"/>
        </w:trPr>
        <w:tc>
          <w:tcPr>
            <w:tcW w:w="566" w:type="dxa"/>
            <w:vMerge w:val="restart"/>
            <w:tcBorders>
              <w:top w:val="nil"/>
              <w:bottom w:val="nil"/>
              <w:right w:val="single" w:sz="6" w:space="0" w:color="000000"/>
            </w:tcBorders>
          </w:tcPr>
          <w:p>
            <w:pPr>
              <w:pStyle w:val="TableParagraph"/>
              <w:spacing w:before="49"/>
              <w:ind w:left="176"/>
              <w:jc w:val="left"/>
              <w:rPr>
                <w:sz w:val="21"/>
              </w:rPr>
            </w:pPr>
            <w:r>
              <w:rPr>
                <w:w w:val="100"/>
                <w:sz w:val="21"/>
              </w:rPr>
              <w:t>面</w:t>
            </w:r>
          </w:p>
        </w:tc>
        <w:tc>
          <w:tcPr>
            <w:tcW w:w="1089" w:type="dxa"/>
            <w:tcBorders>
              <w:top w:val="nil"/>
              <w:left w:val="single" w:sz="6" w:space="0" w:color="000000"/>
              <w:bottom w:val="single" w:sz="6" w:space="0" w:color="000000"/>
              <w:right w:val="single" w:sz="6" w:space="0" w:color="000000"/>
            </w:tcBorders>
          </w:tcPr>
          <w:p>
            <w:pPr>
              <w:pStyle w:val="TableParagraph"/>
              <w:spacing w:line="243" w:lineRule="exact"/>
              <w:ind w:left="115"/>
              <w:jc w:val="left"/>
              <w:rPr>
                <w:sz w:val="21"/>
              </w:rPr>
            </w:pPr>
            <w:r>
              <w:rPr>
                <w:sz w:val="21"/>
              </w:rPr>
              <w:t>（</w:t>
            </w:r>
            <w:r>
              <w:rPr>
                <w:rFonts w:ascii="Times New Roman" w:eastAsia="Times New Roman"/>
                <w:sz w:val="21"/>
              </w:rPr>
              <w:t>mg/L</w:t>
            </w:r>
            <w:r>
              <w:rPr>
                <w:sz w:val="21"/>
              </w:rPr>
              <w:t>）</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316" w:hRule="atLeast"/>
        </w:trPr>
        <w:tc>
          <w:tcPr>
            <w:tcW w:w="566" w:type="dxa"/>
            <w:vMerge/>
            <w:tcBorders>
              <w:top w:val="nil"/>
              <w:bottom w:val="nil"/>
              <w:right w:val="single" w:sz="6" w:space="0" w:color="000000"/>
            </w:tcBorders>
          </w:tcPr>
          <w:p>
            <w:pPr>
              <w:rPr>
                <w:sz w:val="2"/>
                <w:szCs w:val="2"/>
              </w:rPr>
            </w:pPr>
          </w:p>
        </w:tc>
        <w:tc>
          <w:tcPr>
            <w:tcW w:w="1089" w:type="dxa"/>
            <w:tcBorders>
              <w:top w:val="single" w:sz="6" w:space="0" w:color="000000"/>
              <w:left w:val="single" w:sz="6" w:space="0" w:color="000000"/>
              <w:bottom w:val="nil"/>
              <w:right w:val="single" w:sz="6" w:space="0" w:color="000000"/>
            </w:tcBorders>
          </w:tcPr>
          <w:p>
            <w:pPr>
              <w:pStyle w:val="TableParagraph"/>
              <w:spacing w:line="296" w:lineRule="exact"/>
              <w:ind w:left="237"/>
              <w:jc w:val="left"/>
              <w:rPr>
                <w:sz w:val="21"/>
              </w:rPr>
            </w:pPr>
            <w:r>
              <w:rPr>
                <w:sz w:val="21"/>
              </w:rPr>
              <w:t>硫酸盐</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279"/>
              <w:jc w:val="left"/>
              <w:rPr>
                <w:rFonts w:ascii="Times New Roman"/>
                <w:sz w:val="21"/>
              </w:rPr>
            </w:pPr>
            <w:r>
              <w:rPr>
                <w:rFonts w:ascii="Times New Roman"/>
                <w:sz w:val="21"/>
              </w:rPr>
              <w:t>68.5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279"/>
              <w:jc w:val="left"/>
              <w:rPr>
                <w:rFonts w:ascii="Times New Roman"/>
                <w:sz w:val="21"/>
              </w:rPr>
            </w:pPr>
            <w:r>
              <w:rPr>
                <w:rFonts w:ascii="Times New Roman"/>
                <w:sz w:val="21"/>
              </w:rPr>
              <w:t>68.9</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321"/>
              <w:jc w:val="left"/>
              <w:rPr>
                <w:rFonts w:ascii="Times New Roman"/>
                <w:sz w:val="21"/>
              </w:rPr>
            </w:pPr>
            <w:r>
              <w:rPr>
                <w:rFonts w:ascii="Times New Roman"/>
                <w:sz w:val="21"/>
              </w:rPr>
              <w:t>67.5</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322"/>
              <w:jc w:val="left"/>
              <w:rPr>
                <w:rFonts w:ascii="Times New Roman"/>
                <w:sz w:val="21"/>
              </w:rPr>
            </w:pPr>
            <w:r>
              <w:rPr>
                <w:rFonts w:ascii="Times New Roman"/>
                <w:sz w:val="21"/>
              </w:rPr>
              <w:t>66.2</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
              <w:jc w:val="left"/>
              <w:rPr>
                <w:sz w:val="9"/>
              </w:rPr>
            </w:pPr>
          </w:p>
          <w:p>
            <w:pPr>
              <w:pStyle w:val="TableParagraph"/>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3"/>
              <w:jc w:val="left"/>
              <w:rPr>
                <w:sz w:val="9"/>
              </w:rPr>
            </w:pPr>
          </w:p>
          <w:p>
            <w:pPr>
              <w:pStyle w:val="TableParagraph"/>
              <w:ind w:left="156" w:right="106"/>
              <w:rPr>
                <w:rFonts w:ascii="Times New Roman"/>
                <w:sz w:val="21"/>
              </w:rPr>
            </w:pPr>
            <w:r>
              <w:rPr>
                <w:rFonts w:ascii="Times New Roman"/>
                <w:sz w:val="21"/>
              </w:rPr>
              <w:t>--</w:t>
            </w:r>
          </w:p>
        </w:tc>
      </w:tr>
      <w:tr>
        <w:trPr>
          <w:trHeight w:val="306"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nil"/>
              <w:left w:val="single" w:sz="6" w:space="0" w:color="000000"/>
              <w:bottom w:val="single" w:sz="6" w:space="0" w:color="000000"/>
              <w:right w:val="single" w:sz="6" w:space="0" w:color="000000"/>
            </w:tcBorders>
          </w:tcPr>
          <w:p>
            <w:pPr>
              <w:pStyle w:val="TableParagraph"/>
              <w:spacing w:line="287" w:lineRule="exact"/>
              <w:ind w:left="115"/>
              <w:jc w:val="left"/>
              <w:rPr>
                <w:sz w:val="21"/>
              </w:rPr>
            </w:pPr>
            <w:r>
              <w:rPr>
                <w:sz w:val="21"/>
              </w:rPr>
              <w:t>（</w:t>
            </w:r>
            <w:r>
              <w:rPr>
                <w:rFonts w:ascii="Times New Roman" w:eastAsia="Times New Roman"/>
                <w:sz w:val="21"/>
              </w:rPr>
              <w:t>mg/L</w:t>
            </w:r>
            <w:r>
              <w:rPr>
                <w:sz w:val="21"/>
              </w:rPr>
              <w:t>）</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354"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115" w:right="-29"/>
              <w:jc w:val="left"/>
              <w:rPr>
                <w:sz w:val="21"/>
              </w:rPr>
            </w:pPr>
            <w:r>
              <w:rPr>
                <w:spacing w:val="-106"/>
                <w:sz w:val="21"/>
              </w:rPr>
              <w:t>锌</w:t>
            </w:r>
            <w:r>
              <w:rPr>
                <w:spacing w:val="-1"/>
                <w:sz w:val="21"/>
              </w:rPr>
              <w:t>（</w:t>
            </w:r>
            <w:r>
              <w:rPr>
                <w:rFonts w:ascii="Times New Roman" w:eastAsia="Times New Roman"/>
                <w:spacing w:val="-1"/>
                <w:sz w:val="21"/>
              </w:rPr>
              <w:t>mg/L</w:t>
            </w:r>
            <w:r>
              <w:rPr>
                <w:spacing w:val="-1"/>
                <w:sz w:val="21"/>
              </w:rPr>
              <w:t>）</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63"/>
              <w:ind w:left="202" w:right="168"/>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3"/>
              <w:ind w:left="222"/>
              <w:jc w:val="left"/>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3"/>
              <w:ind w:left="223"/>
              <w:jc w:val="left"/>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3"/>
              <w:ind w:left="202" w:right="163"/>
              <w:rPr>
                <w:rFonts w:ascii="Times New Roman"/>
                <w:sz w:val="21"/>
              </w:rPr>
            </w:pPr>
            <w:r>
              <w:rPr>
                <w:rFonts w:ascii="Times New Roman"/>
                <w:sz w:val="21"/>
              </w:rPr>
              <w:t>&lt;0.05</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63"/>
              <w:ind w:left="151" w:right="112"/>
              <w:rPr>
                <w:rFonts w:ascii="Times New Roman"/>
                <w:sz w:val="21"/>
              </w:rPr>
            </w:pPr>
            <w:r>
              <w:rPr>
                <w:rFonts w:ascii="Times New Roman"/>
                <w:sz w:val="21"/>
              </w:rPr>
              <w:t>--</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63"/>
              <w:ind w:left="190" w:right="150"/>
              <w:rPr>
                <w:rFonts w:ascii="Times New Roman"/>
                <w:sz w:val="21"/>
              </w:rPr>
            </w:pPr>
            <w:r>
              <w:rPr>
                <w:rFonts w:ascii="Times New Roman"/>
                <w:sz w:val="21"/>
              </w:rPr>
              <w:t>--</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63"/>
              <w:ind w:left="164" w:right="122"/>
              <w:rPr>
                <w:rFonts w:ascii="Times New Roman"/>
                <w:sz w:val="21"/>
              </w:rPr>
            </w:pPr>
            <w:r>
              <w:rPr>
                <w:rFonts w:ascii="Times New Roman"/>
                <w:sz w:val="21"/>
              </w:rPr>
              <w:t>--</w:t>
            </w:r>
          </w:p>
        </w:tc>
        <w:tc>
          <w:tcPr>
            <w:tcW w:w="798" w:type="dxa"/>
            <w:tcBorders>
              <w:top w:val="single" w:sz="6" w:space="0" w:color="000000"/>
              <w:left w:val="single" w:sz="6" w:space="0" w:color="000000"/>
              <w:bottom w:val="single" w:sz="6" w:space="0" w:color="000000"/>
            </w:tcBorders>
          </w:tcPr>
          <w:p>
            <w:pPr>
              <w:pStyle w:val="TableParagraph"/>
              <w:spacing w:before="63"/>
              <w:ind w:left="156" w:right="106"/>
              <w:rPr>
                <w:rFonts w:ascii="Times New Roman"/>
                <w:sz w:val="21"/>
              </w:rPr>
            </w:pPr>
            <w:r>
              <w:rPr>
                <w:rFonts w:ascii="Times New Roman"/>
                <w:sz w:val="21"/>
              </w:rPr>
              <w:t>--</w:t>
            </w:r>
          </w:p>
        </w:tc>
      </w:tr>
      <w:tr>
        <w:trPr>
          <w:trHeight w:val="318"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nil"/>
              <w:right w:val="single" w:sz="6" w:space="0" w:color="000000"/>
            </w:tcBorders>
          </w:tcPr>
          <w:p>
            <w:pPr>
              <w:pStyle w:val="TableParagraph"/>
              <w:spacing w:line="299" w:lineRule="exact"/>
              <w:ind w:left="237"/>
              <w:jc w:val="left"/>
              <w:rPr>
                <w:sz w:val="21"/>
              </w:rPr>
            </w:pPr>
            <w:r>
              <w:rPr>
                <w:sz w:val="21"/>
              </w:rPr>
              <w:t>六价铬</w:t>
            </w:r>
          </w:p>
        </w:tc>
        <w:tc>
          <w:tcPr>
            <w:tcW w:w="91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68"/>
              <w:jc w:val="left"/>
              <w:rPr>
                <w:rFonts w:ascii="Times New Roman"/>
                <w:sz w:val="21"/>
              </w:rPr>
            </w:pPr>
            <w:r>
              <w:rPr>
                <w:rFonts w:ascii="Times New Roman"/>
                <w:sz w:val="21"/>
              </w:rPr>
              <w:t>&lt;0.004</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69"/>
              <w:jc w:val="left"/>
              <w:rPr>
                <w:rFonts w:ascii="Times New Roman"/>
                <w:sz w:val="21"/>
              </w:rPr>
            </w:pPr>
            <w:r>
              <w:rPr>
                <w:rFonts w:ascii="Times New Roman"/>
                <w:sz w:val="21"/>
              </w:rPr>
              <w:t>&lt;0.004</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70"/>
              <w:jc w:val="left"/>
              <w:rPr>
                <w:rFonts w:ascii="Times New Roman"/>
                <w:sz w:val="21"/>
              </w:rPr>
            </w:pPr>
            <w:r>
              <w:rPr>
                <w:rFonts w:ascii="Times New Roman"/>
                <w:sz w:val="21"/>
              </w:rPr>
              <w:t>&lt;0.004</w:t>
            </w:r>
          </w:p>
        </w:tc>
        <w:tc>
          <w:tcPr>
            <w:tcW w:w="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spacing w:before="1"/>
              <w:ind w:left="171"/>
              <w:jc w:val="left"/>
              <w:rPr>
                <w:rFonts w:ascii="Times New Roman"/>
                <w:sz w:val="21"/>
              </w:rPr>
            </w:pPr>
            <w:r>
              <w:rPr>
                <w:rFonts w:ascii="Times New Roman"/>
                <w:sz w:val="21"/>
              </w:rPr>
              <w:t>&lt;0.004</w:t>
            </w:r>
          </w:p>
        </w:tc>
        <w:tc>
          <w:tcPr>
            <w:tcW w:w="7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51" w:right="112"/>
              <w:rPr>
                <w:rFonts w:ascii="Times New Roman"/>
                <w:sz w:val="21"/>
              </w:rPr>
            </w:pPr>
            <w:r>
              <w:rPr>
                <w:rFonts w:ascii="Times New Roman"/>
                <w:sz w:val="21"/>
              </w:rPr>
              <w:t>--</w:t>
            </w:r>
          </w:p>
        </w:tc>
        <w:tc>
          <w:tcPr>
            <w:tcW w:w="8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90" w:right="150"/>
              <w:rPr>
                <w:rFonts w:ascii="Times New Roman"/>
                <w:sz w:val="21"/>
              </w:rPr>
            </w:pPr>
            <w:r>
              <w:rPr>
                <w:rFonts w:ascii="Times New Roman"/>
                <w:sz w:val="21"/>
              </w:rPr>
              <w:t>--</w:t>
            </w:r>
          </w:p>
        </w:tc>
        <w:tc>
          <w:tcPr>
            <w:tcW w:w="8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64" w:right="122"/>
              <w:rPr>
                <w:rFonts w:ascii="Times New Roman"/>
                <w:sz w:val="21"/>
              </w:rPr>
            </w:pPr>
            <w:r>
              <w:rPr>
                <w:rFonts w:ascii="Times New Roman"/>
                <w:sz w:val="21"/>
              </w:rPr>
              <w:t>--</w:t>
            </w:r>
          </w:p>
        </w:tc>
        <w:tc>
          <w:tcPr>
            <w:tcW w:w="798" w:type="dxa"/>
            <w:vMerge w:val="restart"/>
            <w:tcBorders>
              <w:top w:val="single" w:sz="6" w:space="0" w:color="000000"/>
              <w:left w:val="single" w:sz="6" w:space="0" w:color="000000"/>
              <w:bottom w:val="single" w:sz="6" w:space="0" w:color="000000"/>
            </w:tcBorders>
          </w:tcPr>
          <w:p>
            <w:pPr>
              <w:pStyle w:val="TableParagraph"/>
              <w:spacing w:before="16"/>
              <w:jc w:val="left"/>
              <w:rPr>
                <w:sz w:val="9"/>
              </w:rPr>
            </w:pPr>
          </w:p>
          <w:p>
            <w:pPr>
              <w:pStyle w:val="TableParagraph"/>
              <w:ind w:left="156" w:right="106"/>
              <w:rPr>
                <w:rFonts w:ascii="Times New Roman"/>
                <w:sz w:val="21"/>
              </w:rPr>
            </w:pPr>
            <w:r>
              <w:rPr>
                <w:rFonts w:ascii="Times New Roman"/>
                <w:sz w:val="21"/>
              </w:rPr>
              <w:t>--</w:t>
            </w:r>
          </w:p>
        </w:tc>
      </w:tr>
      <w:tr>
        <w:trPr>
          <w:trHeight w:val="306"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nil"/>
              <w:left w:val="single" w:sz="6" w:space="0" w:color="000000"/>
              <w:bottom w:val="single" w:sz="6" w:space="0" w:color="000000"/>
              <w:right w:val="single" w:sz="6" w:space="0" w:color="000000"/>
            </w:tcBorders>
          </w:tcPr>
          <w:p>
            <w:pPr>
              <w:pStyle w:val="TableParagraph"/>
              <w:spacing w:line="287" w:lineRule="exact"/>
              <w:ind w:left="115"/>
              <w:jc w:val="left"/>
              <w:rPr>
                <w:sz w:val="21"/>
              </w:rPr>
            </w:pPr>
            <w:r>
              <w:rPr>
                <w:sz w:val="21"/>
              </w:rPr>
              <w:t>（</w:t>
            </w:r>
            <w:r>
              <w:rPr>
                <w:rFonts w:ascii="Times New Roman" w:eastAsia="Times New Roman"/>
                <w:sz w:val="21"/>
              </w:rPr>
              <w:t>mg/L</w:t>
            </w:r>
            <w:r>
              <w:rPr>
                <w:sz w:val="21"/>
              </w:rPr>
              <w:t>）</w:t>
            </w:r>
          </w:p>
        </w:tc>
        <w:tc>
          <w:tcPr>
            <w:tcW w:w="912"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911" w:type="dxa"/>
            <w:vMerge/>
            <w:tcBorders>
              <w:top w:val="nil"/>
              <w:left w:val="single" w:sz="6" w:space="0" w:color="000000"/>
              <w:bottom w:val="single" w:sz="6" w:space="0" w:color="000000"/>
              <w:right w:val="single" w:sz="6" w:space="0" w:color="000000"/>
            </w:tcBorders>
          </w:tcPr>
          <w:p>
            <w:pPr>
              <w:rPr>
                <w:sz w:val="2"/>
                <w:szCs w:val="2"/>
              </w:rPr>
            </w:pPr>
          </w:p>
        </w:tc>
        <w:tc>
          <w:tcPr>
            <w:tcW w:w="791" w:type="dxa"/>
            <w:vMerge/>
            <w:tcBorders>
              <w:top w:val="nil"/>
              <w:left w:val="single" w:sz="6" w:space="0" w:color="000000"/>
              <w:bottom w:val="single" w:sz="6" w:space="0" w:color="000000"/>
              <w:right w:val="single" w:sz="6" w:space="0" w:color="000000"/>
            </w:tcBorders>
          </w:tcPr>
          <w:p>
            <w:pPr>
              <w:rPr>
                <w:sz w:val="2"/>
                <w:szCs w:val="2"/>
              </w:rPr>
            </w:pPr>
          </w:p>
        </w:tc>
        <w:tc>
          <w:tcPr>
            <w:tcW w:w="816" w:type="dxa"/>
            <w:vMerge/>
            <w:tcBorders>
              <w:top w:val="nil"/>
              <w:left w:val="single" w:sz="6" w:space="0" w:color="000000"/>
              <w:bottom w:val="single" w:sz="6" w:space="0" w:color="000000"/>
              <w:right w:val="single" w:sz="6" w:space="0" w:color="000000"/>
            </w:tcBorders>
          </w:tcPr>
          <w:p>
            <w:pPr>
              <w:rPr>
                <w:sz w:val="2"/>
                <w:szCs w:val="2"/>
              </w:rPr>
            </w:pPr>
          </w:p>
        </w:tc>
        <w:tc>
          <w:tcPr>
            <w:tcW w:w="815" w:type="dxa"/>
            <w:vMerge/>
            <w:tcBorders>
              <w:top w:val="nil"/>
              <w:left w:val="single" w:sz="6" w:space="0" w:color="000000"/>
              <w:bottom w:val="single" w:sz="6" w:space="0" w:color="000000"/>
              <w:right w:val="single" w:sz="6" w:space="0" w:color="000000"/>
            </w:tcBorders>
          </w:tcPr>
          <w:p>
            <w:pPr>
              <w:rPr>
                <w:sz w:val="2"/>
                <w:szCs w:val="2"/>
              </w:rPr>
            </w:pPr>
          </w:p>
        </w:tc>
        <w:tc>
          <w:tcPr>
            <w:tcW w:w="798" w:type="dxa"/>
            <w:vMerge/>
            <w:tcBorders>
              <w:top w:val="nil"/>
              <w:left w:val="single" w:sz="6" w:space="0" w:color="000000"/>
              <w:bottom w:val="single" w:sz="6" w:space="0" w:color="000000"/>
            </w:tcBorders>
          </w:tcPr>
          <w:p>
            <w:pPr>
              <w:rPr>
                <w:sz w:val="2"/>
                <w:szCs w:val="2"/>
              </w:rPr>
            </w:pPr>
          </w:p>
        </w:tc>
      </w:tr>
      <w:tr>
        <w:trPr>
          <w:trHeight w:val="354" w:hRule="atLeast"/>
        </w:trPr>
        <w:tc>
          <w:tcPr>
            <w:tcW w:w="566" w:type="dxa"/>
            <w:tcBorders>
              <w:top w:val="nil"/>
              <w:bottom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115" w:right="-29"/>
              <w:jc w:val="left"/>
              <w:rPr>
                <w:sz w:val="21"/>
              </w:rPr>
            </w:pPr>
            <w:r>
              <w:rPr>
                <w:spacing w:val="-106"/>
                <w:sz w:val="21"/>
              </w:rPr>
              <w:t>铜</w:t>
            </w:r>
            <w:r>
              <w:rPr>
                <w:spacing w:val="-1"/>
                <w:sz w:val="21"/>
              </w:rPr>
              <w:t>（</w:t>
            </w:r>
            <w:r>
              <w:rPr>
                <w:rFonts w:ascii="Times New Roman" w:eastAsia="Times New Roman"/>
                <w:spacing w:val="-1"/>
                <w:sz w:val="21"/>
              </w:rPr>
              <w:t>mg/L</w:t>
            </w:r>
            <w:r>
              <w:rPr>
                <w:spacing w:val="-1"/>
                <w:sz w:val="21"/>
              </w:rPr>
              <w:t>）</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63"/>
              <w:ind w:left="202" w:right="168"/>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3"/>
              <w:ind w:left="222"/>
              <w:jc w:val="left"/>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3"/>
              <w:ind w:left="223"/>
              <w:jc w:val="left"/>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3"/>
              <w:ind w:left="202" w:right="162"/>
              <w:rPr>
                <w:rFonts w:ascii="Times New Roman"/>
                <w:sz w:val="21"/>
              </w:rPr>
            </w:pPr>
            <w:r>
              <w:rPr>
                <w:rFonts w:ascii="Times New Roman"/>
                <w:sz w:val="21"/>
              </w:rPr>
              <w:t>&lt;0.05</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63"/>
              <w:ind w:left="151" w:right="112"/>
              <w:rPr>
                <w:rFonts w:ascii="Times New Roman"/>
                <w:sz w:val="21"/>
              </w:rPr>
            </w:pPr>
            <w:r>
              <w:rPr>
                <w:rFonts w:ascii="Times New Roman"/>
                <w:sz w:val="21"/>
              </w:rPr>
              <w:t>--</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63"/>
              <w:ind w:left="190" w:right="150"/>
              <w:rPr>
                <w:rFonts w:ascii="Times New Roman"/>
                <w:sz w:val="21"/>
              </w:rPr>
            </w:pPr>
            <w:r>
              <w:rPr>
                <w:rFonts w:ascii="Times New Roman"/>
                <w:sz w:val="21"/>
              </w:rPr>
              <w:t>--</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63"/>
              <w:ind w:left="164" w:right="122"/>
              <w:rPr>
                <w:rFonts w:ascii="Times New Roman"/>
                <w:sz w:val="21"/>
              </w:rPr>
            </w:pPr>
            <w:r>
              <w:rPr>
                <w:rFonts w:ascii="Times New Roman"/>
                <w:sz w:val="21"/>
              </w:rPr>
              <w:t>--</w:t>
            </w:r>
          </w:p>
        </w:tc>
        <w:tc>
          <w:tcPr>
            <w:tcW w:w="798" w:type="dxa"/>
            <w:tcBorders>
              <w:top w:val="single" w:sz="6" w:space="0" w:color="000000"/>
              <w:left w:val="single" w:sz="6" w:space="0" w:color="000000"/>
              <w:bottom w:val="single" w:sz="6" w:space="0" w:color="000000"/>
            </w:tcBorders>
          </w:tcPr>
          <w:p>
            <w:pPr>
              <w:pStyle w:val="TableParagraph"/>
              <w:spacing w:before="63"/>
              <w:ind w:left="156" w:right="106"/>
              <w:rPr>
                <w:rFonts w:ascii="Times New Roman"/>
                <w:sz w:val="21"/>
              </w:rPr>
            </w:pPr>
            <w:r>
              <w:rPr>
                <w:rFonts w:ascii="Times New Roman"/>
                <w:sz w:val="21"/>
              </w:rPr>
              <w:t>--</w:t>
            </w:r>
          </w:p>
        </w:tc>
      </w:tr>
      <w:tr>
        <w:trPr>
          <w:trHeight w:val="409" w:hRule="atLeast"/>
        </w:trPr>
        <w:tc>
          <w:tcPr>
            <w:tcW w:w="566" w:type="dxa"/>
            <w:tcBorders>
              <w:top w:val="nil"/>
              <w:right w:val="single" w:sz="6" w:space="0" w:color="000000"/>
            </w:tcBorders>
          </w:tcPr>
          <w:p>
            <w:pPr>
              <w:pStyle w:val="TableParagraph"/>
              <w:jc w:val="left"/>
              <w:rPr>
                <w:rFonts w:ascii="Times New Roman"/>
                <w:sz w:val="20"/>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390" w:lineRule="exact"/>
              <w:ind w:left="115" w:right="-29"/>
              <w:jc w:val="left"/>
              <w:rPr>
                <w:sz w:val="21"/>
              </w:rPr>
            </w:pPr>
            <w:r>
              <w:rPr>
                <w:spacing w:val="-106"/>
                <w:sz w:val="21"/>
              </w:rPr>
              <w:t>镉</w:t>
            </w:r>
            <w:r>
              <w:rPr>
                <w:spacing w:val="-1"/>
                <w:sz w:val="21"/>
              </w:rPr>
              <w:t>（</w:t>
            </w:r>
            <w:r>
              <w:rPr>
                <w:rFonts w:ascii="Times New Roman" w:eastAsia="Times New Roman"/>
                <w:spacing w:val="-1"/>
                <w:sz w:val="21"/>
              </w:rPr>
              <w:t>mg/L</w:t>
            </w:r>
            <w:r>
              <w:rPr>
                <w:spacing w:val="-1"/>
                <w:sz w:val="21"/>
              </w:rPr>
              <w:t>）</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87"/>
              <w:ind w:left="199" w:right="168"/>
              <w:rPr>
                <w:rFonts w:ascii="Times New Roman"/>
                <w:sz w:val="21"/>
              </w:rPr>
            </w:pPr>
            <w:r>
              <w:rPr>
                <w:rFonts w:ascii="Times New Roman"/>
                <w:sz w:val="21"/>
              </w:rPr>
              <w:t>&lt;0.1</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7"/>
              <w:ind w:left="272"/>
              <w:jc w:val="left"/>
              <w:rPr>
                <w:rFonts w:ascii="Times New Roman"/>
                <w:sz w:val="21"/>
              </w:rPr>
            </w:pPr>
            <w:r>
              <w:rPr>
                <w:rFonts w:ascii="Times New Roman"/>
                <w:sz w:val="21"/>
              </w:rPr>
              <w:t>&lt;0.1</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7"/>
              <w:ind w:left="273"/>
              <w:jc w:val="left"/>
              <w:rPr>
                <w:rFonts w:ascii="Times New Roman"/>
                <w:sz w:val="21"/>
              </w:rPr>
            </w:pPr>
            <w:r>
              <w:rPr>
                <w:rFonts w:ascii="Times New Roman"/>
                <w:sz w:val="21"/>
              </w:rPr>
              <w:t>&lt;0.1</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7"/>
              <w:ind w:left="202" w:right="165"/>
              <w:rPr>
                <w:rFonts w:ascii="Times New Roman"/>
                <w:sz w:val="21"/>
              </w:rPr>
            </w:pPr>
            <w:r>
              <w:rPr>
                <w:rFonts w:ascii="Times New Roman"/>
                <w:sz w:val="21"/>
              </w:rPr>
              <w:t>&lt;0.1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94"/>
              <w:ind w:left="151" w:right="112"/>
              <w:rPr>
                <w:rFonts w:ascii="Times New Roman"/>
                <w:sz w:val="21"/>
              </w:rPr>
            </w:pPr>
            <w:r>
              <w:rPr>
                <w:rFonts w:ascii="Times New Roman"/>
                <w:sz w:val="21"/>
              </w:rPr>
              <w:t>--</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94"/>
              <w:ind w:left="190" w:right="150"/>
              <w:rPr>
                <w:rFonts w:ascii="Times New Roman"/>
                <w:sz w:val="21"/>
              </w:rPr>
            </w:pPr>
            <w:r>
              <w:rPr>
                <w:rFonts w:ascii="Times New Roman"/>
                <w:sz w:val="21"/>
              </w:rPr>
              <w:t>--</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94"/>
              <w:ind w:left="164" w:right="122"/>
              <w:rPr>
                <w:rFonts w:ascii="Times New Roman"/>
                <w:sz w:val="21"/>
              </w:rPr>
            </w:pPr>
            <w:r>
              <w:rPr>
                <w:rFonts w:ascii="Times New Roman"/>
                <w:sz w:val="21"/>
              </w:rPr>
              <w:t>--</w:t>
            </w:r>
          </w:p>
        </w:tc>
        <w:tc>
          <w:tcPr>
            <w:tcW w:w="798" w:type="dxa"/>
            <w:tcBorders>
              <w:top w:val="single" w:sz="6" w:space="0" w:color="000000"/>
              <w:left w:val="single" w:sz="6" w:space="0" w:color="000000"/>
              <w:bottom w:val="single" w:sz="6" w:space="0" w:color="000000"/>
            </w:tcBorders>
          </w:tcPr>
          <w:p>
            <w:pPr>
              <w:pStyle w:val="TableParagraph"/>
              <w:spacing w:before="94"/>
              <w:ind w:left="156" w:right="106"/>
              <w:rPr>
                <w:rFonts w:ascii="Times New Roman"/>
                <w:sz w:val="21"/>
              </w:rPr>
            </w:pPr>
            <w:r>
              <w:rPr>
                <w:rFonts w:ascii="Times New Roman"/>
                <w:sz w:val="21"/>
              </w:rPr>
              <w:t>--</w:t>
            </w:r>
          </w:p>
        </w:tc>
      </w:tr>
    </w:tbl>
    <w:p>
      <w:pPr>
        <w:spacing w:after="0"/>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6"/>
        <w:gridCol w:w="1089"/>
        <w:gridCol w:w="912"/>
        <w:gridCol w:w="911"/>
        <w:gridCol w:w="911"/>
        <w:gridCol w:w="911"/>
        <w:gridCol w:w="791"/>
        <w:gridCol w:w="816"/>
        <w:gridCol w:w="815"/>
        <w:gridCol w:w="798"/>
      </w:tblGrid>
      <w:tr>
        <w:trPr>
          <w:trHeight w:val="392" w:hRule="atLeast"/>
        </w:trPr>
        <w:tc>
          <w:tcPr>
            <w:tcW w:w="566" w:type="dxa"/>
            <w:vMerge w:val="restart"/>
            <w:tcBorders>
              <w:right w:val="single" w:sz="6" w:space="0" w:color="000000"/>
            </w:tcBorders>
          </w:tcPr>
          <w:p>
            <w:pPr>
              <w:pStyle w:val="TableParagraph"/>
              <w:spacing w:line="216" w:lineRule="auto" w:before="41"/>
              <w:ind w:left="176" w:right="153"/>
              <w:jc w:val="both"/>
              <w:rPr>
                <w:sz w:val="21"/>
              </w:rPr>
            </w:pPr>
            <w:r>
              <w:rPr>
                <w:sz w:val="21"/>
              </w:rPr>
              <w:t>检测点位</w:t>
            </w:r>
          </w:p>
        </w:tc>
        <w:tc>
          <w:tcPr>
            <w:tcW w:w="1089" w:type="dxa"/>
            <w:vMerge w:val="restart"/>
            <w:tcBorders>
              <w:left w:val="single" w:sz="6" w:space="0" w:color="000000"/>
              <w:bottom w:val="single" w:sz="6" w:space="0" w:color="000000"/>
              <w:right w:val="single" w:sz="6" w:space="0" w:color="000000"/>
            </w:tcBorders>
          </w:tcPr>
          <w:p>
            <w:pPr>
              <w:pStyle w:val="TableParagraph"/>
              <w:spacing w:before="17"/>
              <w:jc w:val="left"/>
              <w:rPr>
                <w:sz w:val="17"/>
              </w:rPr>
            </w:pPr>
          </w:p>
          <w:p>
            <w:pPr>
              <w:pStyle w:val="TableParagraph"/>
              <w:spacing w:line="249" w:lineRule="auto"/>
              <w:ind w:left="132" w:right="97"/>
              <w:jc w:val="left"/>
              <w:rPr>
                <w:sz w:val="21"/>
              </w:rPr>
            </w:pPr>
            <w:r>
              <w:rPr>
                <w:sz w:val="21"/>
              </w:rPr>
              <w:t>检测时间检测项目</w:t>
            </w:r>
          </w:p>
        </w:tc>
        <w:tc>
          <w:tcPr>
            <w:tcW w:w="1823" w:type="dxa"/>
            <w:gridSpan w:val="2"/>
            <w:tcBorders>
              <w:left w:val="single" w:sz="6" w:space="0" w:color="000000"/>
              <w:bottom w:val="single" w:sz="6" w:space="0" w:color="000000"/>
              <w:right w:val="single" w:sz="6" w:space="0" w:color="000000"/>
            </w:tcBorders>
          </w:tcPr>
          <w:p>
            <w:pPr>
              <w:pStyle w:val="TableParagraph"/>
              <w:spacing w:before="125"/>
              <w:ind w:left="447"/>
              <w:jc w:val="left"/>
              <w:rPr>
                <w:rFonts w:ascii="Times New Roman"/>
                <w:sz w:val="21"/>
              </w:rPr>
            </w:pPr>
            <w:r>
              <w:rPr>
                <w:rFonts w:ascii="Times New Roman"/>
                <w:sz w:val="21"/>
              </w:rPr>
              <w:t>2016.12.12</w:t>
            </w:r>
          </w:p>
        </w:tc>
        <w:tc>
          <w:tcPr>
            <w:tcW w:w="1822" w:type="dxa"/>
            <w:gridSpan w:val="2"/>
            <w:tcBorders>
              <w:left w:val="single" w:sz="6" w:space="0" w:color="000000"/>
              <w:bottom w:val="single" w:sz="6" w:space="0" w:color="000000"/>
              <w:right w:val="single" w:sz="6" w:space="0" w:color="000000"/>
            </w:tcBorders>
          </w:tcPr>
          <w:p>
            <w:pPr>
              <w:pStyle w:val="TableParagraph"/>
              <w:spacing w:before="125"/>
              <w:ind w:left="448"/>
              <w:jc w:val="left"/>
              <w:rPr>
                <w:rFonts w:ascii="Times New Roman"/>
                <w:sz w:val="21"/>
              </w:rPr>
            </w:pPr>
            <w:r>
              <w:rPr>
                <w:rFonts w:ascii="Times New Roman"/>
                <w:sz w:val="21"/>
              </w:rPr>
              <w:t>2016.12.13</w:t>
            </w:r>
          </w:p>
        </w:tc>
        <w:tc>
          <w:tcPr>
            <w:tcW w:w="1607" w:type="dxa"/>
            <w:gridSpan w:val="2"/>
            <w:tcBorders>
              <w:left w:val="single" w:sz="6" w:space="0" w:color="000000"/>
              <w:bottom w:val="single" w:sz="6" w:space="0" w:color="000000"/>
              <w:right w:val="single" w:sz="6" w:space="0" w:color="000000"/>
            </w:tcBorders>
          </w:tcPr>
          <w:p>
            <w:pPr>
              <w:pStyle w:val="TableParagraph"/>
              <w:spacing w:before="125"/>
              <w:ind w:left="395"/>
              <w:jc w:val="left"/>
              <w:rPr>
                <w:rFonts w:ascii="Times New Roman"/>
                <w:sz w:val="21"/>
              </w:rPr>
            </w:pPr>
            <w:r>
              <w:rPr>
                <w:rFonts w:ascii="Times New Roman"/>
                <w:sz w:val="21"/>
              </w:rPr>
              <w:t>2017.3.10</w:t>
            </w:r>
          </w:p>
        </w:tc>
        <w:tc>
          <w:tcPr>
            <w:tcW w:w="1613" w:type="dxa"/>
            <w:gridSpan w:val="2"/>
            <w:tcBorders>
              <w:left w:val="single" w:sz="6" w:space="0" w:color="000000"/>
              <w:bottom w:val="single" w:sz="6" w:space="0" w:color="000000"/>
            </w:tcBorders>
          </w:tcPr>
          <w:p>
            <w:pPr>
              <w:pStyle w:val="TableParagraph"/>
              <w:spacing w:before="125"/>
              <w:ind w:left="404"/>
              <w:jc w:val="left"/>
              <w:rPr>
                <w:rFonts w:ascii="Times New Roman"/>
                <w:sz w:val="21"/>
              </w:rPr>
            </w:pPr>
            <w:r>
              <w:rPr>
                <w:rFonts w:ascii="Times New Roman"/>
                <w:sz w:val="21"/>
              </w:rPr>
              <w:t>2017.3.11</w:t>
            </w:r>
          </w:p>
        </w:tc>
      </w:tr>
      <w:tr>
        <w:trPr>
          <w:trHeight w:val="1232" w:hRule="atLeast"/>
        </w:trPr>
        <w:tc>
          <w:tcPr>
            <w:tcW w:w="566" w:type="dxa"/>
            <w:vMerge/>
            <w:tcBorders>
              <w:top w:val="nil"/>
              <w:right w:val="single" w:sz="6" w:space="0" w:color="000000"/>
            </w:tcBorders>
          </w:tcPr>
          <w:p>
            <w:pPr>
              <w:rPr>
                <w:sz w:val="2"/>
                <w:szCs w:val="2"/>
              </w:rPr>
            </w:pPr>
          </w:p>
        </w:tc>
        <w:tc>
          <w:tcPr>
            <w:tcW w:w="1089" w:type="dxa"/>
            <w:vMerge/>
            <w:tcBorders>
              <w:top w:val="nil"/>
              <w:left w:val="single" w:sz="6" w:space="0" w:color="000000"/>
              <w:bottom w:val="single" w:sz="6" w:space="0" w:color="000000"/>
              <w:right w:val="single" w:sz="6" w:space="0" w:color="000000"/>
            </w:tcBorders>
          </w:tcPr>
          <w:p>
            <w:pPr>
              <w:rPr>
                <w:sz w:val="2"/>
                <w:szCs w:val="2"/>
              </w:rPr>
            </w:pP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20"/>
              </w:rPr>
            </w:pPr>
          </w:p>
          <w:p>
            <w:pPr>
              <w:pStyle w:val="TableParagraph"/>
              <w:ind w:left="199" w:right="168"/>
              <w:rPr>
                <w:sz w:val="21"/>
              </w:rPr>
            </w:pPr>
            <w:r>
              <w:rPr>
                <w:sz w:val="21"/>
              </w:rPr>
              <w:t>上午</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20"/>
              </w:rPr>
            </w:pPr>
          </w:p>
          <w:p>
            <w:pPr>
              <w:pStyle w:val="TableParagraph"/>
              <w:ind w:left="197" w:right="165"/>
              <w:rPr>
                <w:sz w:val="21"/>
              </w:rPr>
            </w:pPr>
            <w:r>
              <w:rPr>
                <w:sz w:val="21"/>
              </w:rPr>
              <w:t>下午</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20"/>
              </w:rPr>
            </w:pPr>
          </w:p>
          <w:p>
            <w:pPr>
              <w:pStyle w:val="TableParagraph"/>
              <w:ind w:left="199" w:right="165"/>
              <w:rPr>
                <w:sz w:val="21"/>
              </w:rPr>
            </w:pPr>
            <w:r>
              <w:rPr>
                <w:sz w:val="21"/>
              </w:rPr>
              <w:t>上午</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20"/>
              </w:rPr>
            </w:pPr>
          </w:p>
          <w:p>
            <w:pPr>
              <w:pStyle w:val="TableParagraph"/>
              <w:ind w:left="202" w:right="165"/>
              <w:rPr>
                <w:sz w:val="21"/>
              </w:rPr>
            </w:pPr>
            <w:r>
              <w:rPr>
                <w:sz w:val="21"/>
              </w:rPr>
              <w:t>下午</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20"/>
              </w:rPr>
            </w:pPr>
          </w:p>
          <w:p>
            <w:pPr>
              <w:pStyle w:val="TableParagraph"/>
              <w:ind w:left="151" w:right="112"/>
              <w:rPr>
                <w:sz w:val="21"/>
              </w:rPr>
            </w:pPr>
            <w:r>
              <w:rPr>
                <w:sz w:val="21"/>
              </w:rPr>
              <w:t>上午</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20"/>
              </w:rPr>
            </w:pPr>
          </w:p>
          <w:p>
            <w:pPr>
              <w:pStyle w:val="TableParagraph"/>
              <w:ind w:right="166"/>
              <w:jc w:val="right"/>
              <w:rPr>
                <w:sz w:val="21"/>
              </w:rPr>
            </w:pPr>
            <w:r>
              <w:rPr>
                <w:sz w:val="21"/>
              </w:rPr>
              <w:t>下午</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20"/>
              </w:rPr>
            </w:pPr>
          </w:p>
          <w:p>
            <w:pPr>
              <w:pStyle w:val="TableParagraph"/>
              <w:ind w:left="164" w:right="122"/>
              <w:rPr>
                <w:sz w:val="21"/>
              </w:rPr>
            </w:pPr>
            <w:r>
              <w:rPr>
                <w:sz w:val="21"/>
              </w:rPr>
              <w:t>上午</w:t>
            </w:r>
          </w:p>
        </w:tc>
        <w:tc>
          <w:tcPr>
            <w:tcW w:w="798" w:type="dxa"/>
            <w:tcBorders>
              <w:top w:val="single" w:sz="6" w:space="0" w:color="000000"/>
              <w:left w:val="single" w:sz="6" w:space="0" w:color="000000"/>
              <w:bottom w:val="single" w:sz="6" w:space="0" w:color="000000"/>
            </w:tcBorders>
          </w:tcPr>
          <w:p>
            <w:pPr>
              <w:pStyle w:val="TableParagraph"/>
              <w:spacing w:before="8"/>
              <w:jc w:val="left"/>
              <w:rPr>
                <w:sz w:val="20"/>
              </w:rPr>
            </w:pPr>
          </w:p>
          <w:p>
            <w:pPr>
              <w:pStyle w:val="TableParagraph"/>
              <w:ind w:left="156" w:right="106"/>
              <w:rPr>
                <w:sz w:val="21"/>
              </w:rPr>
            </w:pPr>
            <w:r>
              <w:rPr>
                <w:sz w:val="21"/>
              </w:rPr>
              <w:t>下午</w:t>
            </w:r>
          </w:p>
        </w:tc>
      </w:tr>
      <w:tr>
        <w:trPr>
          <w:trHeight w:val="385" w:hRule="atLeast"/>
        </w:trPr>
        <w:tc>
          <w:tcPr>
            <w:tcW w:w="566" w:type="dxa"/>
            <w:vMerge/>
            <w:tcBorders>
              <w:top w:val="nil"/>
              <w:right w:val="single" w:sz="6" w:space="0" w:color="000000"/>
            </w:tcBorders>
          </w:tcPr>
          <w:p>
            <w:pPr>
              <w:rPr>
                <w:sz w:val="2"/>
                <w:szCs w:val="2"/>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115" w:right="-29"/>
              <w:rPr>
                <w:sz w:val="21"/>
              </w:rPr>
            </w:pPr>
            <w:r>
              <w:rPr>
                <w:spacing w:val="-106"/>
                <w:sz w:val="21"/>
              </w:rPr>
              <w:t>镍</w:t>
            </w:r>
            <w:r>
              <w:rPr>
                <w:spacing w:val="-1"/>
                <w:sz w:val="21"/>
              </w:rPr>
              <w:t>（</w:t>
            </w:r>
            <w:r>
              <w:rPr>
                <w:rFonts w:ascii="Times New Roman" w:eastAsia="Times New Roman"/>
                <w:spacing w:val="-1"/>
                <w:sz w:val="21"/>
              </w:rPr>
              <w:t>mg/L</w:t>
            </w:r>
            <w:r>
              <w:rPr>
                <w:spacing w:val="-1"/>
                <w:sz w:val="21"/>
              </w:rPr>
              <w:t>）</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65"/>
              <w:ind w:left="202" w:right="168"/>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5"/>
              <w:ind w:left="200" w:right="165"/>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5"/>
              <w:ind w:left="202" w:right="165"/>
              <w:rPr>
                <w:rFonts w:ascii="Times New Roman"/>
                <w:sz w:val="21"/>
              </w:rPr>
            </w:pPr>
            <w:r>
              <w:rPr>
                <w:rFonts w:ascii="Times New Roman"/>
                <w:sz w:val="21"/>
              </w:rPr>
              <w:t>&lt;0.05</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65"/>
              <w:ind w:left="202" w:right="163"/>
              <w:rPr>
                <w:rFonts w:ascii="Times New Roman"/>
                <w:sz w:val="21"/>
              </w:rPr>
            </w:pPr>
            <w:r>
              <w:rPr>
                <w:rFonts w:ascii="Times New Roman"/>
                <w:sz w:val="21"/>
              </w:rPr>
              <w:t>&lt;0.05</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72"/>
              <w:ind w:left="151" w:right="112"/>
              <w:rPr>
                <w:rFonts w:ascii="Times New Roman"/>
                <w:sz w:val="21"/>
              </w:rPr>
            </w:pPr>
            <w:r>
              <w:rPr>
                <w:rFonts w:ascii="Times New Roman"/>
                <w:sz w:val="21"/>
              </w:rPr>
              <w:t>--</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72"/>
              <w:ind w:left="190" w:right="150"/>
              <w:rPr>
                <w:rFonts w:ascii="Times New Roman"/>
                <w:sz w:val="21"/>
              </w:rPr>
            </w:pPr>
            <w:r>
              <w:rPr>
                <w:rFonts w:ascii="Times New Roman"/>
                <w:sz w:val="21"/>
              </w:rPr>
              <w:t>--</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72"/>
              <w:ind w:left="164" w:right="122"/>
              <w:rPr>
                <w:rFonts w:ascii="Times New Roman"/>
                <w:sz w:val="21"/>
              </w:rPr>
            </w:pPr>
            <w:r>
              <w:rPr>
                <w:rFonts w:ascii="Times New Roman"/>
                <w:sz w:val="21"/>
              </w:rPr>
              <w:t>--</w:t>
            </w:r>
          </w:p>
        </w:tc>
        <w:tc>
          <w:tcPr>
            <w:tcW w:w="798" w:type="dxa"/>
            <w:tcBorders>
              <w:top w:val="single" w:sz="6" w:space="0" w:color="000000"/>
              <w:left w:val="single" w:sz="6" w:space="0" w:color="000000"/>
              <w:bottom w:val="single" w:sz="6" w:space="0" w:color="000000"/>
            </w:tcBorders>
          </w:tcPr>
          <w:p>
            <w:pPr>
              <w:pStyle w:val="TableParagraph"/>
              <w:spacing w:before="72"/>
              <w:ind w:left="156" w:right="106"/>
              <w:rPr>
                <w:rFonts w:ascii="Times New Roman"/>
                <w:sz w:val="21"/>
              </w:rPr>
            </w:pPr>
            <w:r>
              <w:rPr>
                <w:rFonts w:ascii="Times New Roman"/>
                <w:sz w:val="21"/>
              </w:rPr>
              <w:t>--</w:t>
            </w:r>
          </w:p>
        </w:tc>
      </w:tr>
      <w:tr>
        <w:trPr>
          <w:trHeight w:val="622" w:hRule="atLeast"/>
        </w:trPr>
        <w:tc>
          <w:tcPr>
            <w:tcW w:w="566" w:type="dxa"/>
            <w:vMerge/>
            <w:tcBorders>
              <w:top w:val="nil"/>
              <w:right w:val="single" w:sz="6" w:space="0" w:color="000000"/>
            </w:tcBorders>
          </w:tcPr>
          <w:p>
            <w:pPr>
              <w:rPr>
                <w:sz w:val="2"/>
                <w:szCs w:val="2"/>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307" w:lineRule="exact"/>
              <w:ind w:left="94" w:right="60"/>
              <w:rPr>
                <w:sz w:val="21"/>
              </w:rPr>
            </w:pPr>
            <w:r>
              <w:rPr>
                <w:sz w:val="21"/>
              </w:rPr>
              <w:t>全盐量</w:t>
            </w:r>
          </w:p>
          <w:p>
            <w:pPr>
              <w:pStyle w:val="TableParagraph"/>
              <w:spacing w:line="296" w:lineRule="exact"/>
              <w:ind w:left="94" w:right="64"/>
              <w:rPr>
                <w:sz w:val="21"/>
              </w:rPr>
            </w:pPr>
            <w:r>
              <w:rPr>
                <w:sz w:val="21"/>
              </w:rPr>
              <w:t>（</w:t>
            </w:r>
            <w:r>
              <w:rPr>
                <w:rFonts w:ascii="Times New Roman" w:eastAsia="Times New Roman"/>
                <w:sz w:val="21"/>
              </w:rPr>
              <w:t>mg/L</w:t>
            </w:r>
            <w:r>
              <w:rPr>
                <w:sz w:val="21"/>
              </w:rPr>
              <w:t>）</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97"/>
              <w:ind w:left="199" w:right="168"/>
              <w:rPr>
                <w:rFonts w:ascii="Times New Roman"/>
                <w:sz w:val="21"/>
              </w:rPr>
            </w:pPr>
            <w:r>
              <w:rPr>
                <w:rFonts w:ascii="Times New Roman"/>
                <w:sz w:val="21"/>
              </w:rPr>
              <w:t>2510</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97"/>
              <w:ind w:left="197" w:right="165"/>
              <w:rPr>
                <w:rFonts w:ascii="Times New Roman"/>
                <w:sz w:val="21"/>
              </w:rPr>
            </w:pPr>
            <w:r>
              <w:rPr>
                <w:rFonts w:ascii="Times New Roman"/>
                <w:sz w:val="21"/>
              </w:rPr>
              <w:t>2231</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92"/>
              <w:ind w:left="199" w:right="165"/>
              <w:rPr>
                <w:rFonts w:ascii="Times New Roman"/>
                <w:sz w:val="21"/>
              </w:rPr>
            </w:pPr>
            <w:r>
              <w:rPr>
                <w:rFonts w:ascii="Times New Roman"/>
                <w:sz w:val="21"/>
              </w:rPr>
              <w:t>2018</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92"/>
              <w:ind w:left="202" w:right="165"/>
              <w:rPr>
                <w:rFonts w:ascii="Times New Roman"/>
                <w:sz w:val="21"/>
              </w:rPr>
            </w:pPr>
            <w:r>
              <w:rPr>
                <w:rFonts w:ascii="Times New Roman"/>
                <w:sz w:val="21"/>
              </w:rPr>
              <w:t>2141</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97"/>
              <w:ind w:left="151" w:right="112"/>
              <w:rPr>
                <w:rFonts w:ascii="Times New Roman"/>
                <w:sz w:val="21"/>
              </w:rPr>
            </w:pPr>
            <w:r>
              <w:rPr>
                <w:rFonts w:ascii="Times New Roman"/>
                <w:sz w:val="21"/>
              </w:rPr>
              <w:t>--</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97"/>
              <w:ind w:left="190" w:right="150"/>
              <w:rPr>
                <w:rFonts w:ascii="Times New Roman"/>
                <w:sz w:val="21"/>
              </w:rPr>
            </w:pPr>
            <w:r>
              <w:rPr>
                <w:rFonts w:ascii="Times New Roman"/>
                <w:sz w:val="21"/>
              </w:rPr>
              <w:t>--</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197"/>
              <w:ind w:left="164" w:right="122"/>
              <w:rPr>
                <w:rFonts w:ascii="Times New Roman"/>
                <w:sz w:val="21"/>
              </w:rPr>
            </w:pPr>
            <w:r>
              <w:rPr>
                <w:rFonts w:ascii="Times New Roman"/>
                <w:sz w:val="21"/>
              </w:rPr>
              <w:t>--</w:t>
            </w:r>
          </w:p>
        </w:tc>
        <w:tc>
          <w:tcPr>
            <w:tcW w:w="798" w:type="dxa"/>
            <w:tcBorders>
              <w:top w:val="single" w:sz="6" w:space="0" w:color="000000"/>
              <w:left w:val="single" w:sz="6" w:space="0" w:color="000000"/>
              <w:bottom w:val="single" w:sz="6" w:space="0" w:color="000000"/>
            </w:tcBorders>
          </w:tcPr>
          <w:p>
            <w:pPr>
              <w:pStyle w:val="TableParagraph"/>
              <w:spacing w:before="197"/>
              <w:ind w:left="156" w:right="106"/>
              <w:rPr>
                <w:rFonts w:ascii="Times New Roman"/>
                <w:sz w:val="21"/>
              </w:rPr>
            </w:pPr>
            <w:r>
              <w:rPr>
                <w:rFonts w:ascii="Times New Roman"/>
                <w:sz w:val="21"/>
              </w:rPr>
              <w:t>--</w:t>
            </w:r>
          </w:p>
        </w:tc>
      </w:tr>
      <w:tr>
        <w:trPr>
          <w:trHeight w:val="625" w:hRule="atLeast"/>
        </w:trPr>
        <w:tc>
          <w:tcPr>
            <w:tcW w:w="566" w:type="dxa"/>
            <w:vMerge/>
            <w:tcBorders>
              <w:top w:val="nil"/>
              <w:right w:val="single" w:sz="6" w:space="0" w:color="000000"/>
            </w:tcBorders>
          </w:tcPr>
          <w:p>
            <w:pPr>
              <w:rPr>
                <w:sz w:val="2"/>
                <w:szCs w:val="2"/>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132"/>
              <w:jc w:val="left"/>
              <w:rPr>
                <w:sz w:val="21"/>
              </w:rPr>
            </w:pPr>
            <w:r>
              <w:rPr>
                <w:sz w:val="21"/>
              </w:rPr>
              <w:t>粪大肠菌</w:t>
            </w:r>
          </w:p>
          <w:p>
            <w:pPr>
              <w:pStyle w:val="TableParagraph"/>
              <w:spacing w:line="296" w:lineRule="exact"/>
              <w:ind w:left="115" w:right="-29"/>
              <w:jc w:val="left"/>
              <w:rPr>
                <w:sz w:val="21"/>
              </w:rPr>
            </w:pPr>
            <w:r>
              <w:rPr>
                <w:spacing w:val="-46"/>
                <w:sz w:val="21"/>
              </w:rPr>
              <w:t>群</w:t>
            </w:r>
            <w:r>
              <w:rPr>
                <w:spacing w:val="-3"/>
                <w:sz w:val="21"/>
              </w:rPr>
              <w:t>（</w:t>
            </w:r>
            <w:r>
              <w:rPr>
                <w:sz w:val="21"/>
              </w:rPr>
              <w:t>个</w:t>
            </w:r>
            <w:r>
              <w:rPr>
                <w:rFonts w:ascii="Times New Roman" w:eastAsia="Times New Roman"/>
                <w:spacing w:val="-3"/>
                <w:sz w:val="21"/>
              </w:rPr>
              <w:t>/L</w:t>
            </w:r>
            <w:r>
              <w:rPr>
                <w:spacing w:val="-3"/>
                <w:sz w:val="21"/>
              </w:rPr>
              <w:t>）</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ind w:left="199" w:right="168"/>
              <w:rPr>
                <w:rFonts w:ascii="Times New Roman"/>
                <w:sz w:val="21"/>
              </w:rPr>
            </w:pPr>
            <w:r>
              <w:rPr>
                <w:rFonts w:ascii="Times New Roman"/>
                <w:sz w:val="21"/>
              </w:rPr>
              <w:t>2800</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ind w:left="197" w:right="165"/>
              <w:rPr>
                <w:rFonts w:ascii="Times New Roman"/>
                <w:sz w:val="21"/>
              </w:rPr>
            </w:pPr>
            <w:r>
              <w:rPr>
                <w:rFonts w:ascii="Times New Roman"/>
                <w:sz w:val="21"/>
              </w:rPr>
              <w:t>3500</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94"/>
              <w:ind w:left="199" w:right="165"/>
              <w:rPr>
                <w:rFonts w:ascii="Times New Roman"/>
                <w:sz w:val="21"/>
              </w:rPr>
            </w:pPr>
            <w:r>
              <w:rPr>
                <w:rFonts w:ascii="Times New Roman"/>
                <w:sz w:val="21"/>
              </w:rPr>
              <w:t>2600</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94"/>
              <w:ind w:left="202" w:right="165"/>
              <w:rPr>
                <w:rFonts w:ascii="Times New Roman"/>
                <w:sz w:val="21"/>
              </w:rPr>
            </w:pPr>
            <w:r>
              <w:rPr>
                <w:rFonts w:ascii="Times New Roman"/>
                <w:sz w:val="21"/>
              </w:rPr>
              <w:t>2500</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ind w:left="151" w:right="112"/>
              <w:rPr>
                <w:rFonts w:ascii="Times New Roman"/>
                <w:sz w:val="21"/>
              </w:rPr>
            </w:pPr>
            <w:r>
              <w:rPr>
                <w:rFonts w:ascii="Times New Roman"/>
                <w:sz w:val="21"/>
              </w:rPr>
              <w:t>--</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ind w:left="190" w:right="150"/>
              <w:rPr>
                <w:rFonts w:ascii="Times New Roman"/>
                <w:sz w:val="21"/>
              </w:rPr>
            </w:pPr>
            <w:r>
              <w:rPr>
                <w:rFonts w:ascii="Times New Roman"/>
                <w:sz w:val="21"/>
              </w:rPr>
              <w:t>--</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9"/>
              </w:rPr>
            </w:pPr>
          </w:p>
          <w:p>
            <w:pPr>
              <w:pStyle w:val="TableParagraph"/>
              <w:ind w:left="164" w:right="122"/>
              <w:rPr>
                <w:rFonts w:ascii="Times New Roman"/>
                <w:sz w:val="21"/>
              </w:rPr>
            </w:pPr>
            <w:r>
              <w:rPr>
                <w:rFonts w:ascii="Times New Roman"/>
                <w:sz w:val="21"/>
              </w:rPr>
              <w:t>--</w:t>
            </w:r>
          </w:p>
        </w:tc>
        <w:tc>
          <w:tcPr>
            <w:tcW w:w="798" w:type="dxa"/>
            <w:tcBorders>
              <w:top w:val="single" w:sz="6" w:space="0" w:color="000000"/>
              <w:left w:val="single" w:sz="6" w:space="0" w:color="000000"/>
              <w:bottom w:val="single" w:sz="6" w:space="0" w:color="000000"/>
            </w:tcBorders>
          </w:tcPr>
          <w:p>
            <w:pPr>
              <w:pStyle w:val="TableParagraph"/>
              <w:spacing w:before="8"/>
              <w:jc w:val="left"/>
              <w:rPr>
                <w:sz w:val="9"/>
              </w:rPr>
            </w:pPr>
          </w:p>
          <w:p>
            <w:pPr>
              <w:pStyle w:val="TableParagraph"/>
              <w:ind w:left="156" w:right="106"/>
              <w:rPr>
                <w:rFonts w:ascii="Times New Roman"/>
                <w:sz w:val="21"/>
              </w:rPr>
            </w:pPr>
            <w:r>
              <w:rPr>
                <w:rFonts w:ascii="Times New Roman"/>
                <w:sz w:val="21"/>
              </w:rPr>
              <w:t>--</w:t>
            </w:r>
          </w:p>
        </w:tc>
      </w:tr>
      <w:tr>
        <w:trPr>
          <w:trHeight w:val="467" w:hRule="atLeast"/>
        </w:trPr>
        <w:tc>
          <w:tcPr>
            <w:tcW w:w="566" w:type="dxa"/>
            <w:vMerge/>
            <w:tcBorders>
              <w:top w:val="nil"/>
              <w:right w:val="single" w:sz="6" w:space="0" w:color="000000"/>
            </w:tcBorders>
          </w:tcPr>
          <w:p>
            <w:pPr>
              <w:rPr>
                <w:sz w:val="2"/>
                <w:szCs w:val="2"/>
              </w:rPr>
            </w:pP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line="439" w:lineRule="exact" w:before="8"/>
              <w:ind w:left="94" w:right="60"/>
              <w:rPr>
                <w:sz w:val="21"/>
              </w:rPr>
            </w:pPr>
            <w:r>
              <w:rPr>
                <w:sz w:val="21"/>
              </w:rPr>
              <w:t>总磷</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20"/>
              <w:ind w:left="199" w:right="168"/>
              <w:rPr>
                <w:rFonts w:ascii="Times New Roman"/>
                <w:sz w:val="21"/>
              </w:rPr>
            </w:pPr>
            <w:r>
              <w:rPr>
                <w:rFonts w:ascii="Times New Roman"/>
                <w:sz w:val="21"/>
              </w:rPr>
              <w:t>--</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20"/>
              <w:ind w:left="197" w:right="165"/>
              <w:rPr>
                <w:rFonts w:ascii="Times New Roman"/>
                <w:sz w:val="21"/>
              </w:rPr>
            </w:pPr>
            <w:r>
              <w:rPr>
                <w:rFonts w:ascii="Times New Roman"/>
                <w:sz w:val="21"/>
              </w:rPr>
              <w:t>--</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20"/>
              <w:ind w:left="199" w:right="165"/>
              <w:rPr>
                <w:rFonts w:ascii="Times New Roman"/>
                <w:sz w:val="21"/>
              </w:rPr>
            </w:pPr>
            <w:r>
              <w:rPr>
                <w:rFonts w:ascii="Times New Roman"/>
                <w:sz w:val="21"/>
              </w:rPr>
              <w:t>--</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120"/>
              <w:ind w:left="202" w:right="165"/>
              <w:rPr>
                <w:rFonts w:ascii="Times New Roman"/>
                <w:sz w:val="21"/>
              </w:rPr>
            </w:pPr>
            <w:r>
              <w:rPr>
                <w:rFonts w:ascii="Times New Roman"/>
                <w:sz w:val="21"/>
              </w:rPr>
              <w:t>--</w:t>
            </w:r>
          </w:p>
        </w:tc>
        <w:tc>
          <w:tcPr>
            <w:tcW w:w="791" w:type="dxa"/>
            <w:tcBorders>
              <w:top w:val="single" w:sz="6" w:space="0" w:color="000000"/>
              <w:left w:val="single" w:sz="6" w:space="0" w:color="000000"/>
              <w:bottom w:val="single" w:sz="6" w:space="0" w:color="000000"/>
              <w:right w:val="single" w:sz="6" w:space="0" w:color="000000"/>
            </w:tcBorders>
          </w:tcPr>
          <w:p>
            <w:pPr>
              <w:pStyle w:val="TableParagraph"/>
              <w:spacing w:before="118"/>
              <w:ind w:left="151" w:right="112"/>
              <w:rPr>
                <w:rFonts w:ascii="Times New Roman"/>
                <w:sz w:val="21"/>
              </w:rPr>
            </w:pPr>
            <w:r>
              <w:rPr>
                <w:rFonts w:ascii="Times New Roman"/>
                <w:sz w:val="21"/>
              </w:rPr>
              <w:t>0.172</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18"/>
              <w:ind w:right="140"/>
              <w:jc w:val="right"/>
              <w:rPr>
                <w:rFonts w:ascii="Times New Roman"/>
                <w:sz w:val="21"/>
              </w:rPr>
            </w:pPr>
            <w:r>
              <w:rPr>
                <w:rFonts w:ascii="Times New Roman"/>
                <w:sz w:val="21"/>
              </w:rPr>
              <w:t>0.145</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spacing w:before="118"/>
              <w:ind w:left="164" w:right="122"/>
              <w:rPr>
                <w:rFonts w:ascii="Times New Roman"/>
                <w:sz w:val="21"/>
              </w:rPr>
            </w:pPr>
            <w:r>
              <w:rPr>
                <w:rFonts w:ascii="Times New Roman"/>
                <w:sz w:val="21"/>
              </w:rPr>
              <w:t>0.131</w:t>
            </w:r>
          </w:p>
        </w:tc>
        <w:tc>
          <w:tcPr>
            <w:tcW w:w="798" w:type="dxa"/>
            <w:tcBorders>
              <w:top w:val="single" w:sz="6" w:space="0" w:color="000000"/>
              <w:left w:val="single" w:sz="6" w:space="0" w:color="000000"/>
              <w:bottom w:val="single" w:sz="6" w:space="0" w:color="000000"/>
            </w:tcBorders>
          </w:tcPr>
          <w:p>
            <w:pPr>
              <w:pStyle w:val="TableParagraph"/>
              <w:spacing w:before="118"/>
              <w:ind w:left="156" w:right="106"/>
              <w:rPr>
                <w:rFonts w:ascii="Times New Roman"/>
                <w:sz w:val="21"/>
              </w:rPr>
            </w:pPr>
            <w:r>
              <w:rPr>
                <w:rFonts w:ascii="Times New Roman"/>
                <w:sz w:val="21"/>
              </w:rPr>
              <w:t>0.167</w:t>
            </w:r>
          </w:p>
        </w:tc>
      </w:tr>
      <w:tr>
        <w:trPr>
          <w:trHeight w:val="476" w:hRule="atLeast"/>
        </w:trPr>
        <w:tc>
          <w:tcPr>
            <w:tcW w:w="566" w:type="dxa"/>
            <w:vMerge/>
            <w:tcBorders>
              <w:top w:val="nil"/>
              <w:right w:val="single" w:sz="6" w:space="0" w:color="000000"/>
            </w:tcBorders>
          </w:tcPr>
          <w:p>
            <w:pPr>
              <w:rPr>
                <w:sz w:val="2"/>
                <w:szCs w:val="2"/>
              </w:rPr>
            </w:pPr>
          </w:p>
        </w:tc>
        <w:tc>
          <w:tcPr>
            <w:tcW w:w="1089" w:type="dxa"/>
            <w:tcBorders>
              <w:top w:val="single" w:sz="6" w:space="0" w:color="000000"/>
              <w:left w:val="single" w:sz="6" w:space="0" w:color="000000"/>
              <w:right w:val="single" w:sz="6" w:space="0" w:color="000000"/>
            </w:tcBorders>
          </w:tcPr>
          <w:p>
            <w:pPr>
              <w:pStyle w:val="TableParagraph"/>
              <w:spacing w:before="8"/>
              <w:ind w:left="94" w:right="60"/>
              <w:rPr>
                <w:sz w:val="21"/>
              </w:rPr>
            </w:pPr>
            <w:r>
              <w:rPr>
                <w:sz w:val="21"/>
              </w:rPr>
              <w:t>总氮</w:t>
            </w:r>
          </w:p>
        </w:tc>
        <w:tc>
          <w:tcPr>
            <w:tcW w:w="912" w:type="dxa"/>
            <w:tcBorders>
              <w:top w:val="single" w:sz="6" w:space="0" w:color="000000"/>
              <w:left w:val="single" w:sz="6" w:space="0" w:color="000000"/>
              <w:right w:val="single" w:sz="6" w:space="0" w:color="000000"/>
            </w:tcBorders>
          </w:tcPr>
          <w:p>
            <w:pPr>
              <w:pStyle w:val="TableParagraph"/>
              <w:spacing w:before="120"/>
              <w:ind w:left="199" w:right="168"/>
              <w:rPr>
                <w:rFonts w:ascii="Times New Roman"/>
                <w:sz w:val="21"/>
              </w:rPr>
            </w:pPr>
            <w:r>
              <w:rPr>
                <w:rFonts w:ascii="Times New Roman"/>
                <w:sz w:val="21"/>
              </w:rPr>
              <w:t>--</w:t>
            </w:r>
          </w:p>
        </w:tc>
        <w:tc>
          <w:tcPr>
            <w:tcW w:w="911" w:type="dxa"/>
            <w:tcBorders>
              <w:top w:val="single" w:sz="6" w:space="0" w:color="000000"/>
              <w:left w:val="single" w:sz="6" w:space="0" w:color="000000"/>
              <w:right w:val="single" w:sz="6" w:space="0" w:color="000000"/>
            </w:tcBorders>
          </w:tcPr>
          <w:p>
            <w:pPr>
              <w:pStyle w:val="TableParagraph"/>
              <w:spacing w:before="120"/>
              <w:ind w:left="197" w:right="165"/>
              <w:rPr>
                <w:rFonts w:ascii="Times New Roman"/>
                <w:sz w:val="21"/>
              </w:rPr>
            </w:pPr>
            <w:r>
              <w:rPr>
                <w:rFonts w:ascii="Times New Roman"/>
                <w:sz w:val="21"/>
              </w:rPr>
              <w:t>--</w:t>
            </w:r>
          </w:p>
        </w:tc>
        <w:tc>
          <w:tcPr>
            <w:tcW w:w="911" w:type="dxa"/>
            <w:tcBorders>
              <w:top w:val="single" w:sz="6" w:space="0" w:color="000000"/>
              <w:left w:val="single" w:sz="6" w:space="0" w:color="000000"/>
              <w:right w:val="single" w:sz="6" w:space="0" w:color="000000"/>
            </w:tcBorders>
          </w:tcPr>
          <w:p>
            <w:pPr>
              <w:pStyle w:val="TableParagraph"/>
              <w:spacing w:before="120"/>
              <w:ind w:left="199" w:right="165"/>
              <w:rPr>
                <w:rFonts w:ascii="Times New Roman"/>
                <w:sz w:val="21"/>
              </w:rPr>
            </w:pPr>
            <w:r>
              <w:rPr>
                <w:rFonts w:ascii="Times New Roman"/>
                <w:sz w:val="21"/>
              </w:rPr>
              <w:t>--</w:t>
            </w:r>
          </w:p>
        </w:tc>
        <w:tc>
          <w:tcPr>
            <w:tcW w:w="911" w:type="dxa"/>
            <w:tcBorders>
              <w:top w:val="single" w:sz="6" w:space="0" w:color="000000"/>
              <w:left w:val="single" w:sz="6" w:space="0" w:color="000000"/>
              <w:right w:val="single" w:sz="6" w:space="0" w:color="000000"/>
            </w:tcBorders>
          </w:tcPr>
          <w:p>
            <w:pPr>
              <w:pStyle w:val="TableParagraph"/>
              <w:spacing w:before="120"/>
              <w:ind w:left="202" w:right="165"/>
              <w:rPr>
                <w:rFonts w:ascii="Times New Roman"/>
                <w:sz w:val="21"/>
              </w:rPr>
            </w:pPr>
            <w:r>
              <w:rPr>
                <w:rFonts w:ascii="Times New Roman"/>
                <w:sz w:val="21"/>
              </w:rPr>
              <w:t>--</w:t>
            </w:r>
          </w:p>
        </w:tc>
        <w:tc>
          <w:tcPr>
            <w:tcW w:w="791" w:type="dxa"/>
            <w:tcBorders>
              <w:top w:val="single" w:sz="6" w:space="0" w:color="000000"/>
              <w:left w:val="single" w:sz="6" w:space="0" w:color="000000"/>
              <w:right w:val="single" w:sz="6" w:space="0" w:color="000000"/>
            </w:tcBorders>
          </w:tcPr>
          <w:p>
            <w:pPr>
              <w:pStyle w:val="TableParagraph"/>
              <w:spacing w:before="120"/>
              <w:ind w:left="151" w:right="112"/>
              <w:rPr>
                <w:rFonts w:ascii="Times New Roman"/>
                <w:sz w:val="21"/>
              </w:rPr>
            </w:pPr>
            <w:r>
              <w:rPr>
                <w:rFonts w:ascii="Times New Roman"/>
                <w:sz w:val="21"/>
              </w:rPr>
              <w:t>14.4</w:t>
            </w:r>
          </w:p>
        </w:tc>
        <w:tc>
          <w:tcPr>
            <w:tcW w:w="816" w:type="dxa"/>
            <w:tcBorders>
              <w:top w:val="single" w:sz="6" w:space="0" w:color="000000"/>
              <w:left w:val="single" w:sz="6" w:space="0" w:color="000000"/>
              <w:right w:val="single" w:sz="6" w:space="0" w:color="000000"/>
            </w:tcBorders>
          </w:tcPr>
          <w:p>
            <w:pPr>
              <w:pStyle w:val="TableParagraph"/>
              <w:spacing w:before="120"/>
              <w:ind w:right="193"/>
              <w:jc w:val="right"/>
              <w:rPr>
                <w:rFonts w:ascii="Times New Roman"/>
                <w:sz w:val="21"/>
              </w:rPr>
            </w:pPr>
            <w:r>
              <w:rPr>
                <w:rFonts w:ascii="Times New Roman"/>
                <w:sz w:val="21"/>
              </w:rPr>
              <w:t>12.7</w:t>
            </w:r>
          </w:p>
        </w:tc>
        <w:tc>
          <w:tcPr>
            <w:tcW w:w="815" w:type="dxa"/>
            <w:tcBorders>
              <w:top w:val="single" w:sz="6" w:space="0" w:color="000000"/>
              <w:left w:val="single" w:sz="6" w:space="0" w:color="000000"/>
              <w:right w:val="single" w:sz="6" w:space="0" w:color="000000"/>
            </w:tcBorders>
          </w:tcPr>
          <w:p>
            <w:pPr>
              <w:pStyle w:val="TableParagraph"/>
              <w:spacing w:before="120"/>
              <w:ind w:left="164" w:right="122"/>
              <w:rPr>
                <w:rFonts w:ascii="Times New Roman"/>
                <w:sz w:val="21"/>
              </w:rPr>
            </w:pPr>
            <w:r>
              <w:rPr>
                <w:rFonts w:ascii="Times New Roman"/>
                <w:sz w:val="21"/>
              </w:rPr>
              <w:t>13.2</w:t>
            </w:r>
          </w:p>
        </w:tc>
        <w:tc>
          <w:tcPr>
            <w:tcW w:w="798" w:type="dxa"/>
            <w:tcBorders>
              <w:top w:val="single" w:sz="6" w:space="0" w:color="000000"/>
              <w:left w:val="single" w:sz="6" w:space="0" w:color="000000"/>
            </w:tcBorders>
          </w:tcPr>
          <w:p>
            <w:pPr>
              <w:pStyle w:val="TableParagraph"/>
              <w:spacing w:before="120"/>
              <w:ind w:left="156" w:right="106"/>
              <w:rPr>
                <w:rFonts w:ascii="Times New Roman"/>
                <w:sz w:val="21"/>
              </w:rPr>
            </w:pPr>
            <w:r>
              <w:rPr>
                <w:rFonts w:ascii="Times New Roman"/>
                <w:sz w:val="21"/>
              </w:rPr>
              <w:t>10.9</w:t>
            </w:r>
          </w:p>
        </w:tc>
      </w:tr>
    </w:tbl>
    <w:p>
      <w:pPr>
        <w:pStyle w:val="BodyText"/>
        <w:spacing w:line="453" w:lineRule="exact"/>
        <w:ind w:left="1058"/>
      </w:pPr>
      <w:r>
        <w:rPr>
          <w:rFonts w:ascii="Times New Roman" w:eastAsia="Times New Roman"/>
        </w:rPr>
        <w:t>6</w:t>
      </w:r>
      <w:r>
        <w:rPr/>
        <w:t>、评价结果</w:t>
      </w:r>
    </w:p>
    <w:p>
      <w:pPr>
        <w:pStyle w:val="BodyText"/>
        <w:spacing w:line="488" w:lineRule="exact"/>
        <w:ind w:left="1058"/>
      </w:pPr>
      <w:r>
        <w:rPr/>
        <w:t>地表水环境质量现状评价结果见表 </w:t>
      </w:r>
      <w:r>
        <w:rPr>
          <w:rFonts w:ascii="Times New Roman" w:eastAsia="Times New Roman"/>
        </w:rPr>
        <w:t>5.4-18 </w:t>
      </w:r>
      <w:r>
        <w:rPr/>
        <w:t>及表 </w:t>
      </w:r>
      <w:r>
        <w:rPr>
          <w:rFonts w:ascii="Times New Roman" w:eastAsia="Times New Roman"/>
        </w:rPr>
        <w:t>5.4-19</w:t>
      </w:r>
      <w:r>
        <w:rPr/>
        <w:t>。</w:t>
      </w:r>
    </w:p>
    <w:p>
      <w:pPr>
        <w:tabs>
          <w:tab w:pos="3811" w:val="left" w:leader="none"/>
        </w:tabs>
        <w:spacing w:before="150" w:after="24"/>
        <w:ind w:left="2793" w:right="0" w:firstLine="0"/>
        <w:jc w:val="left"/>
        <w:rPr>
          <w:sz w:val="21"/>
        </w:rPr>
      </w:pPr>
      <w:r>
        <w:rPr/>
        <w:pict>
          <v:line style="position:absolute;mso-position-horizontal-relative:page;mso-position-vertical-relative:paragraph;z-index:-1114096" from="135.020004pt,32.520008pt" to="226.370004pt,78.740008pt" stroked="true" strokeweight=".48pt" strokecolor="#000000">
            <v:stroke dashstyle="solid"/>
            <w10:wrap type="none"/>
          </v:line>
        </w:pict>
      </w:r>
      <w:r>
        <w:rPr>
          <w:sz w:val="21"/>
        </w:rPr>
        <w:t>表</w:t>
      </w:r>
      <w:r>
        <w:rPr>
          <w:spacing w:val="8"/>
          <w:sz w:val="21"/>
        </w:rPr>
        <w:t> </w:t>
      </w:r>
      <w:r>
        <w:rPr>
          <w:rFonts w:ascii="Times New Roman" w:eastAsia="Times New Roman"/>
          <w:b/>
          <w:sz w:val="21"/>
        </w:rPr>
        <w:t>5.4-18</w:t>
        <w:tab/>
      </w:r>
      <w:r>
        <w:rPr>
          <w:sz w:val="21"/>
        </w:rPr>
        <w:t>地表水水质</w:t>
      </w:r>
      <w:r>
        <w:rPr>
          <w:spacing w:val="-3"/>
          <w:sz w:val="21"/>
        </w:rPr>
        <w:t>量</w:t>
      </w:r>
      <w:r>
        <w:rPr>
          <w:sz w:val="21"/>
        </w:rPr>
        <w:t>评价结果一览表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6"/>
        <w:gridCol w:w="1839"/>
        <w:gridCol w:w="1421"/>
        <w:gridCol w:w="1423"/>
        <w:gridCol w:w="1421"/>
        <w:gridCol w:w="1418"/>
      </w:tblGrid>
      <w:tr>
        <w:trPr>
          <w:trHeight w:val="402" w:hRule="atLeast"/>
        </w:trPr>
        <w:tc>
          <w:tcPr>
            <w:tcW w:w="1006" w:type="dxa"/>
            <w:vMerge w:val="restart"/>
            <w:tcBorders>
              <w:bottom w:val="single" w:sz="4" w:space="0" w:color="000000"/>
              <w:right w:val="single" w:sz="4" w:space="0" w:color="000000"/>
            </w:tcBorders>
          </w:tcPr>
          <w:p>
            <w:pPr>
              <w:pStyle w:val="TableParagraph"/>
              <w:spacing w:line="216" w:lineRule="auto" w:before="72"/>
              <w:ind w:left="395" w:right="163" w:hanging="209"/>
              <w:jc w:val="left"/>
              <w:rPr>
                <w:sz w:val="21"/>
              </w:rPr>
            </w:pPr>
            <w:r>
              <w:rPr>
                <w:sz w:val="21"/>
              </w:rPr>
              <w:t>检测点位</w:t>
            </w:r>
          </w:p>
        </w:tc>
        <w:tc>
          <w:tcPr>
            <w:tcW w:w="1839" w:type="dxa"/>
            <w:vMerge w:val="restart"/>
            <w:tcBorders>
              <w:left w:val="single" w:sz="4" w:space="0" w:color="000000"/>
              <w:bottom w:val="single" w:sz="4" w:space="0" w:color="000000"/>
              <w:right w:val="single" w:sz="4" w:space="0" w:color="000000"/>
            </w:tcBorders>
          </w:tcPr>
          <w:p>
            <w:pPr>
              <w:pStyle w:val="TableParagraph"/>
              <w:spacing w:before="10"/>
              <w:ind w:left="769"/>
              <w:jc w:val="left"/>
              <w:rPr>
                <w:sz w:val="21"/>
              </w:rPr>
            </w:pPr>
            <w:r>
              <w:rPr>
                <w:sz w:val="21"/>
              </w:rPr>
              <w:t>检测时间</w:t>
            </w:r>
          </w:p>
          <w:p>
            <w:pPr>
              <w:pStyle w:val="TableParagraph"/>
              <w:spacing w:line="435" w:lineRule="exact" w:before="16"/>
              <w:ind w:left="116"/>
              <w:jc w:val="left"/>
              <w:rPr>
                <w:sz w:val="21"/>
              </w:rPr>
            </w:pPr>
            <w:r>
              <w:rPr>
                <w:sz w:val="21"/>
              </w:rPr>
              <w:t>检测项目</w:t>
            </w:r>
          </w:p>
        </w:tc>
        <w:tc>
          <w:tcPr>
            <w:tcW w:w="2844" w:type="dxa"/>
            <w:gridSpan w:val="2"/>
            <w:tcBorders>
              <w:left w:val="single" w:sz="4" w:space="0" w:color="000000"/>
              <w:bottom w:val="single" w:sz="4" w:space="0" w:color="000000"/>
              <w:right w:val="single" w:sz="4" w:space="0" w:color="000000"/>
            </w:tcBorders>
          </w:tcPr>
          <w:p>
            <w:pPr>
              <w:pStyle w:val="TableParagraph"/>
              <w:spacing w:before="125"/>
              <w:ind w:left="954"/>
              <w:jc w:val="left"/>
              <w:rPr>
                <w:rFonts w:ascii="Times New Roman"/>
                <w:sz w:val="21"/>
              </w:rPr>
            </w:pPr>
            <w:r>
              <w:rPr>
                <w:rFonts w:ascii="Times New Roman"/>
                <w:sz w:val="21"/>
              </w:rPr>
              <w:t>2016.12.12</w:t>
            </w:r>
          </w:p>
        </w:tc>
        <w:tc>
          <w:tcPr>
            <w:tcW w:w="2839" w:type="dxa"/>
            <w:gridSpan w:val="2"/>
            <w:tcBorders>
              <w:left w:val="single" w:sz="4" w:space="0" w:color="000000"/>
              <w:bottom w:val="single" w:sz="4" w:space="0" w:color="000000"/>
            </w:tcBorders>
          </w:tcPr>
          <w:p>
            <w:pPr>
              <w:pStyle w:val="TableParagraph"/>
              <w:spacing w:before="125"/>
              <w:ind w:left="954"/>
              <w:jc w:val="left"/>
              <w:rPr>
                <w:rFonts w:ascii="Times New Roman"/>
                <w:sz w:val="21"/>
              </w:rPr>
            </w:pPr>
            <w:r>
              <w:rPr>
                <w:rFonts w:ascii="Times New Roman"/>
                <w:sz w:val="21"/>
              </w:rPr>
              <w:t>2016.12.13</w:t>
            </w:r>
          </w:p>
        </w:tc>
      </w:tr>
      <w:tr>
        <w:trPr>
          <w:trHeight w:val="513" w:hRule="atLeast"/>
        </w:trPr>
        <w:tc>
          <w:tcPr>
            <w:tcW w:w="1006" w:type="dxa"/>
            <w:vMerge/>
            <w:tcBorders>
              <w:top w:val="nil"/>
              <w:bottom w:val="single" w:sz="4" w:space="0" w:color="000000"/>
              <w:right w:val="single" w:sz="4" w:space="0" w:color="000000"/>
            </w:tcBorders>
          </w:tcPr>
          <w:p>
            <w:pPr>
              <w:rPr>
                <w:sz w:val="2"/>
                <w:szCs w:val="2"/>
              </w:rPr>
            </w:pPr>
          </w:p>
        </w:tc>
        <w:tc>
          <w:tcPr>
            <w:tcW w:w="1839" w:type="dxa"/>
            <w:vMerge/>
            <w:tcBorders>
              <w:top w:val="nil"/>
              <w:left w:val="single" w:sz="4" w:space="0" w:color="000000"/>
              <w:bottom w:val="single" w:sz="4" w:space="0" w:color="000000"/>
              <w:right w:val="single" w:sz="4" w:space="0" w:color="000000"/>
            </w:tcBorders>
          </w:tcPr>
          <w:p>
            <w:pPr>
              <w:rPr>
                <w:sz w:val="2"/>
                <w:szCs w:val="2"/>
              </w:rPr>
            </w:pP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line="418" w:lineRule="exact" w:before="75"/>
              <w:ind w:left="410" w:right="380"/>
              <w:rPr>
                <w:sz w:val="21"/>
              </w:rPr>
            </w:pPr>
            <w:r>
              <w:rPr>
                <w:sz w:val="21"/>
              </w:rPr>
              <w:t>上午</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line="418" w:lineRule="exact" w:before="75"/>
              <w:ind w:left="410" w:right="382"/>
              <w:rPr>
                <w:sz w:val="21"/>
              </w:rPr>
            </w:pPr>
            <w:r>
              <w:rPr>
                <w:sz w:val="21"/>
              </w:rPr>
              <w:t>下午</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line="418" w:lineRule="exact" w:before="75"/>
              <w:ind w:left="489" w:right="461"/>
              <w:rPr>
                <w:sz w:val="21"/>
              </w:rPr>
            </w:pPr>
            <w:r>
              <w:rPr>
                <w:sz w:val="21"/>
              </w:rPr>
              <w:t>上午</w:t>
            </w:r>
          </w:p>
        </w:tc>
        <w:tc>
          <w:tcPr>
            <w:tcW w:w="1418" w:type="dxa"/>
            <w:tcBorders>
              <w:top w:val="single" w:sz="4" w:space="0" w:color="000000"/>
              <w:left w:val="single" w:sz="4" w:space="0" w:color="000000"/>
              <w:bottom w:val="single" w:sz="4" w:space="0" w:color="000000"/>
            </w:tcBorders>
          </w:tcPr>
          <w:p>
            <w:pPr>
              <w:pStyle w:val="TableParagraph"/>
              <w:spacing w:line="418" w:lineRule="exact" w:before="75"/>
              <w:ind w:left="411" w:right="369"/>
              <w:rPr>
                <w:sz w:val="21"/>
              </w:rPr>
            </w:pPr>
            <w:r>
              <w:rPr>
                <w:sz w:val="21"/>
              </w:rPr>
              <w:t>下午</w:t>
            </w:r>
          </w:p>
        </w:tc>
      </w:tr>
      <w:tr>
        <w:trPr>
          <w:trHeight w:val="390" w:hRule="atLeast"/>
        </w:trPr>
        <w:tc>
          <w:tcPr>
            <w:tcW w:w="1006" w:type="dxa"/>
            <w:vMerge w:val="restart"/>
            <w:tcBorders>
              <w:top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6"/>
              <w:jc w:val="left"/>
              <w:rPr>
                <w:sz w:val="28"/>
              </w:rPr>
            </w:pPr>
          </w:p>
          <w:p>
            <w:pPr>
              <w:pStyle w:val="TableParagraph"/>
              <w:spacing w:line="216" w:lineRule="auto"/>
              <w:ind w:left="186" w:right="163"/>
              <w:jc w:val="left"/>
              <w:rPr>
                <w:sz w:val="21"/>
              </w:rPr>
            </w:pPr>
            <w:r>
              <w:rPr>
                <w:rFonts w:ascii="Times New Roman" w:eastAsia="Times New Roman"/>
                <w:sz w:val="21"/>
              </w:rPr>
              <w:t>1#</w:t>
            </w:r>
            <w:r>
              <w:rPr>
                <w:sz w:val="21"/>
              </w:rPr>
              <w:t>白马河断面</w:t>
            </w: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before="94"/>
              <w:ind w:left="381" w:right="355"/>
              <w:rPr>
                <w:rFonts w:ascii="Times New Roman"/>
                <w:sz w:val="21"/>
              </w:rPr>
            </w:pPr>
            <w:r>
              <w:rPr>
                <w:rFonts w:ascii="Times New Roman"/>
                <w:sz w:val="21"/>
              </w:rPr>
              <w:t>pH</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72"/>
              <w:ind w:left="410" w:right="380"/>
              <w:rPr>
                <w:rFonts w:ascii="Times New Roman"/>
                <w:sz w:val="21"/>
              </w:rPr>
            </w:pPr>
            <w:r>
              <w:rPr>
                <w:rFonts w:ascii="Times New Roman"/>
                <w:sz w:val="21"/>
              </w:rPr>
              <w:t>0.33</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72"/>
              <w:ind w:left="410" w:right="382"/>
              <w:rPr>
                <w:rFonts w:ascii="Times New Roman"/>
                <w:sz w:val="21"/>
              </w:rPr>
            </w:pPr>
            <w:r>
              <w:rPr>
                <w:rFonts w:ascii="Times New Roman"/>
                <w:sz w:val="21"/>
              </w:rPr>
              <w:t>0.34</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72"/>
              <w:ind w:left="489" w:right="461"/>
              <w:rPr>
                <w:rFonts w:ascii="Times New Roman"/>
                <w:sz w:val="21"/>
              </w:rPr>
            </w:pPr>
            <w:r>
              <w:rPr>
                <w:rFonts w:ascii="Times New Roman"/>
                <w:sz w:val="21"/>
              </w:rPr>
              <w:t>0.35</w:t>
            </w:r>
          </w:p>
        </w:tc>
        <w:tc>
          <w:tcPr>
            <w:tcW w:w="1418" w:type="dxa"/>
            <w:tcBorders>
              <w:top w:val="single" w:sz="4" w:space="0" w:color="000000"/>
              <w:left w:val="single" w:sz="4" w:space="0" w:color="000000"/>
              <w:bottom w:val="single" w:sz="4" w:space="0" w:color="000000"/>
            </w:tcBorders>
          </w:tcPr>
          <w:p>
            <w:pPr>
              <w:pStyle w:val="TableParagraph"/>
              <w:spacing w:before="72"/>
              <w:ind w:left="411" w:right="369"/>
              <w:rPr>
                <w:rFonts w:ascii="Times New Roman"/>
                <w:sz w:val="21"/>
              </w:rPr>
            </w:pPr>
            <w:r>
              <w:rPr>
                <w:rFonts w:ascii="Times New Roman"/>
                <w:sz w:val="21"/>
              </w:rPr>
              <w:t>0.31</w:t>
            </w:r>
          </w:p>
        </w:tc>
      </w:tr>
      <w:tr>
        <w:trPr>
          <w:trHeight w:val="39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before="88"/>
              <w:ind w:left="381" w:right="355"/>
              <w:rPr>
                <w:rFonts w:ascii="Times New Roman"/>
                <w:sz w:val="14"/>
              </w:rPr>
            </w:pPr>
            <w:r>
              <w:rPr>
                <w:rFonts w:ascii="Times New Roman"/>
                <w:position w:val="2"/>
                <w:sz w:val="21"/>
              </w:rPr>
              <w:t>COD</w:t>
            </w:r>
            <w:r>
              <w:rPr>
                <w:rFonts w:ascii="Times New Roman"/>
                <w:sz w:val="14"/>
              </w:rPr>
              <w:t>cr</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9"/>
              <w:ind w:left="410" w:right="380"/>
              <w:rPr>
                <w:rFonts w:ascii="Times New Roman"/>
                <w:sz w:val="21"/>
              </w:rPr>
            </w:pPr>
            <w:r>
              <w:rPr>
                <w:rFonts w:ascii="Times New Roman"/>
                <w:sz w:val="21"/>
              </w:rPr>
              <w:t>0.99</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9"/>
              <w:ind w:left="410" w:right="382"/>
              <w:rPr>
                <w:rFonts w:ascii="Times New Roman"/>
                <w:sz w:val="21"/>
              </w:rPr>
            </w:pPr>
            <w:r>
              <w:rPr>
                <w:rFonts w:ascii="Times New Roman"/>
                <w:sz w:val="21"/>
              </w:rPr>
              <w:t>0.92</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1"/>
              <w:ind w:left="489" w:right="461"/>
              <w:rPr>
                <w:rFonts w:ascii="Times New Roman"/>
                <w:sz w:val="21"/>
              </w:rPr>
            </w:pPr>
            <w:r>
              <w:rPr>
                <w:rFonts w:ascii="Times New Roman"/>
                <w:sz w:val="21"/>
              </w:rPr>
              <w:t>0.83</w:t>
            </w:r>
          </w:p>
        </w:tc>
        <w:tc>
          <w:tcPr>
            <w:tcW w:w="1418" w:type="dxa"/>
            <w:tcBorders>
              <w:top w:val="single" w:sz="4" w:space="0" w:color="000000"/>
              <w:left w:val="single" w:sz="4" w:space="0" w:color="000000"/>
              <w:bottom w:val="single" w:sz="4" w:space="0" w:color="000000"/>
            </w:tcBorders>
          </w:tcPr>
          <w:p>
            <w:pPr>
              <w:pStyle w:val="TableParagraph"/>
              <w:spacing w:before="81"/>
              <w:ind w:left="411" w:right="369"/>
              <w:rPr>
                <w:rFonts w:ascii="Times New Roman"/>
                <w:sz w:val="21"/>
              </w:rPr>
            </w:pPr>
            <w:r>
              <w:rPr>
                <w:rFonts w:ascii="Times New Roman"/>
                <w:sz w:val="21"/>
              </w:rPr>
              <w:t>0.88</w:t>
            </w:r>
          </w:p>
        </w:tc>
      </w:tr>
      <w:tr>
        <w:trPr>
          <w:trHeight w:val="39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0" w:lineRule="exact"/>
              <w:ind w:left="381" w:right="354"/>
              <w:rPr>
                <w:sz w:val="21"/>
              </w:rPr>
            </w:pPr>
            <w:r>
              <w:rPr>
                <w:sz w:val="21"/>
              </w:rPr>
              <w:t>氨氮</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1"/>
              <w:ind w:left="410" w:right="380"/>
              <w:rPr>
                <w:rFonts w:ascii="Times New Roman"/>
                <w:sz w:val="21"/>
              </w:rPr>
            </w:pPr>
            <w:r>
              <w:rPr>
                <w:rFonts w:ascii="Times New Roman"/>
                <w:sz w:val="21"/>
              </w:rPr>
              <w:t>7.87</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1"/>
              <w:ind w:left="410" w:right="382"/>
              <w:rPr>
                <w:rFonts w:ascii="Times New Roman"/>
                <w:sz w:val="21"/>
              </w:rPr>
            </w:pPr>
            <w:r>
              <w:rPr>
                <w:rFonts w:ascii="Times New Roman"/>
                <w:sz w:val="21"/>
              </w:rPr>
              <w:t>7.73</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1"/>
              <w:ind w:left="23"/>
              <w:rPr>
                <w:rFonts w:ascii="Times New Roman"/>
                <w:sz w:val="21"/>
              </w:rPr>
            </w:pPr>
            <w:r>
              <w:rPr>
                <w:rFonts w:ascii="Times New Roman"/>
                <w:w w:val="100"/>
                <w:sz w:val="21"/>
              </w:rPr>
              <w:t>7</w:t>
            </w:r>
          </w:p>
        </w:tc>
        <w:tc>
          <w:tcPr>
            <w:tcW w:w="1418" w:type="dxa"/>
            <w:tcBorders>
              <w:top w:val="single" w:sz="4" w:space="0" w:color="000000"/>
              <w:left w:val="single" w:sz="4" w:space="0" w:color="000000"/>
              <w:bottom w:val="single" w:sz="4" w:space="0" w:color="000000"/>
            </w:tcBorders>
          </w:tcPr>
          <w:p>
            <w:pPr>
              <w:pStyle w:val="TableParagraph"/>
              <w:spacing w:before="81"/>
              <w:ind w:left="411" w:right="369"/>
              <w:rPr>
                <w:rFonts w:ascii="Times New Roman"/>
                <w:sz w:val="21"/>
              </w:rPr>
            </w:pPr>
            <w:r>
              <w:rPr>
                <w:rFonts w:ascii="Times New Roman"/>
                <w:sz w:val="21"/>
              </w:rPr>
              <w:t>6.53</w:t>
            </w:r>
          </w:p>
        </w:tc>
      </w:tr>
      <w:tr>
        <w:trPr>
          <w:trHeight w:val="33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381" w:right="354"/>
              <w:rPr>
                <w:sz w:val="21"/>
              </w:rPr>
            </w:pPr>
            <w:r>
              <w:rPr>
                <w:sz w:val="21"/>
              </w:rPr>
              <w:t>挥发酚</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57"/>
              <w:ind w:left="410" w:right="380"/>
              <w:rPr>
                <w:rFonts w:ascii="Times New Roman"/>
                <w:sz w:val="21"/>
              </w:rPr>
            </w:pPr>
            <w:r>
              <w:rPr>
                <w:rFonts w:ascii="Times New Roman"/>
                <w:sz w:val="21"/>
              </w:rPr>
              <w:t>0.015</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57"/>
              <w:ind w:left="410" w:right="382"/>
              <w:rPr>
                <w:rFonts w:ascii="Times New Roman"/>
                <w:sz w:val="21"/>
              </w:rPr>
            </w:pPr>
            <w:r>
              <w:rPr>
                <w:rFonts w:ascii="Times New Roman"/>
                <w:sz w:val="21"/>
              </w:rPr>
              <w:t>0.015</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57"/>
              <w:ind w:right="451"/>
              <w:jc w:val="right"/>
              <w:rPr>
                <w:rFonts w:ascii="Times New Roman"/>
                <w:sz w:val="21"/>
              </w:rPr>
            </w:pPr>
            <w:r>
              <w:rPr>
                <w:rFonts w:ascii="Times New Roman"/>
                <w:sz w:val="21"/>
              </w:rPr>
              <w:t>0.015</w:t>
            </w:r>
          </w:p>
        </w:tc>
        <w:tc>
          <w:tcPr>
            <w:tcW w:w="1418" w:type="dxa"/>
            <w:tcBorders>
              <w:top w:val="single" w:sz="4" w:space="0" w:color="000000"/>
              <w:left w:val="single" w:sz="4" w:space="0" w:color="000000"/>
              <w:bottom w:val="single" w:sz="4" w:space="0" w:color="000000"/>
            </w:tcBorders>
          </w:tcPr>
          <w:p>
            <w:pPr>
              <w:pStyle w:val="TableParagraph"/>
              <w:spacing w:before="57"/>
              <w:ind w:left="411" w:right="369"/>
              <w:rPr>
                <w:rFonts w:ascii="Times New Roman"/>
                <w:sz w:val="21"/>
              </w:rPr>
            </w:pPr>
            <w:r>
              <w:rPr>
                <w:rFonts w:ascii="Times New Roman"/>
                <w:sz w:val="21"/>
              </w:rPr>
              <w:t>0.015</w:t>
            </w:r>
          </w:p>
        </w:tc>
      </w:tr>
      <w:tr>
        <w:trPr>
          <w:trHeight w:val="39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0" w:lineRule="exact"/>
              <w:ind w:left="381" w:right="354"/>
              <w:rPr>
                <w:sz w:val="21"/>
              </w:rPr>
            </w:pPr>
            <w:r>
              <w:rPr>
                <w:sz w:val="21"/>
              </w:rPr>
              <w:t>石油类</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9"/>
              <w:ind w:left="407" w:right="380"/>
              <w:rPr>
                <w:rFonts w:ascii="Times New Roman"/>
                <w:sz w:val="21"/>
              </w:rPr>
            </w:pPr>
            <w:r>
              <w:rPr>
                <w:rFonts w:ascii="Times New Roman"/>
                <w:sz w:val="21"/>
              </w:rPr>
              <w:t>0.11</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9"/>
              <w:ind w:left="410" w:right="382"/>
              <w:rPr>
                <w:rFonts w:ascii="Times New Roman"/>
                <w:sz w:val="21"/>
              </w:rPr>
            </w:pPr>
            <w:r>
              <w:rPr>
                <w:rFonts w:ascii="Times New Roman"/>
                <w:sz w:val="21"/>
              </w:rPr>
              <w:t>0.1</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4"/>
              <w:ind w:right="451"/>
              <w:jc w:val="right"/>
              <w:rPr>
                <w:rFonts w:ascii="Times New Roman"/>
                <w:sz w:val="21"/>
              </w:rPr>
            </w:pPr>
            <w:r>
              <w:rPr>
                <w:rFonts w:ascii="Times New Roman"/>
                <w:sz w:val="21"/>
              </w:rPr>
              <w:t>0.086</w:t>
            </w:r>
          </w:p>
        </w:tc>
        <w:tc>
          <w:tcPr>
            <w:tcW w:w="1418" w:type="dxa"/>
            <w:tcBorders>
              <w:top w:val="single" w:sz="4" w:space="0" w:color="000000"/>
              <w:left w:val="single" w:sz="4" w:space="0" w:color="000000"/>
              <w:bottom w:val="single" w:sz="4" w:space="0" w:color="000000"/>
            </w:tcBorders>
          </w:tcPr>
          <w:p>
            <w:pPr>
              <w:pStyle w:val="TableParagraph"/>
              <w:spacing w:before="84"/>
              <w:ind w:left="411" w:right="369"/>
              <w:rPr>
                <w:rFonts w:ascii="Times New Roman"/>
                <w:sz w:val="21"/>
              </w:rPr>
            </w:pPr>
            <w:r>
              <w:rPr>
                <w:rFonts w:ascii="Times New Roman"/>
                <w:sz w:val="21"/>
              </w:rPr>
              <w:t>0.102</w:t>
            </w:r>
          </w:p>
        </w:tc>
      </w:tr>
      <w:tr>
        <w:trPr>
          <w:trHeight w:val="342"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22" w:lineRule="exact"/>
              <w:ind w:left="381" w:right="354"/>
              <w:rPr>
                <w:sz w:val="21"/>
              </w:rPr>
            </w:pPr>
            <w:r>
              <w:rPr>
                <w:sz w:val="21"/>
              </w:rPr>
              <w:t>硫化物</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60"/>
              <w:ind w:left="410" w:right="380"/>
              <w:rPr>
                <w:rFonts w:ascii="Times New Roman"/>
                <w:sz w:val="21"/>
              </w:rPr>
            </w:pPr>
            <w:r>
              <w:rPr>
                <w:rFonts w:ascii="Times New Roman"/>
                <w:sz w:val="21"/>
              </w:rPr>
              <w:t>0.005</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60"/>
              <w:ind w:left="410" w:right="382"/>
              <w:rPr>
                <w:rFonts w:ascii="Times New Roman"/>
                <w:sz w:val="21"/>
              </w:rPr>
            </w:pPr>
            <w:r>
              <w:rPr>
                <w:rFonts w:ascii="Times New Roman"/>
                <w:sz w:val="21"/>
              </w:rPr>
              <w:t>0.005</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60"/>
              <w:ind w:right="451"/>
              <w:jc w:val="right"/>
              <w:rPr>
                <w:rFonts w:ascii="Times New Roman"/>
                <w:sz w:val="21"/>
              </w:rPr>
            </w:pPr>
            <w:r>
              <w:rPr>
                <w:rFonts w:ascii="Times New Roman"/>
                <w:sz w:val="21"/>
              </w:rPr>
              <w:t>0.005</w:t>
            </w:r>
          </w:p>
        </w:tc>
        <w:tc>
          <w:tcPr>
            <w:tcW w:w="1418" w:type="dxa"/>
            <w:tcBorders>
              <w:top w:val="single" w:sz="4" w:space="0" w:color="000000"/>
              <w:left w:val="single" w:sz="4" w:space="0" w:color="000000"/>
              <w:bottom w:val="single" w:sz="4" w:space="0" w:color="000000"/>
            </w:tcBorders>
          </w:tcPr>
          <w:p>
            <w:pPr>
              <w:pStyle w:val="TableParagraph"/>
              <w:spacing w:before="60"/>
              <w:ind w:left="411" w:right="369"/>
              <w:rPr>
                <w:rFonts w:ascii="Times New Roman"/>
                <w:sz w:val="21"/>
              </w:rPr>
            </w:pPr>
            <w:r>
              <w:rPr>
                <w:rFonts w:ascii="Times New Roman"/>
                <w:sz w:val="21"/>
              </w:rPr>
              <w:t>0.005</w:t>
            </w:r>
          </w:p>
        </w:tc>
      </w:tr>
      <w:tr>
        <w:trPr>
          <w:trHeight w:val="39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0" w:lineRule="exact"/>
              <w:ind w:left="381" w:right="354"/>
              <w:rPr>
                <w:sz w:val="21"/>
              </w:rPr>
            </w:pPr>
            <w:r>
              <w:rPr>
                <w:sz w:val="21"/>
              </w:rPr>
              <w:t>氟化物</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6"/>
              <w:ind w:left="410" w:right="380"/>
              <w:rPr>
                <w:rFonts w:ascii="Times New Roman"/>
                <w:sz w:val="21"/>
              </w:rPr>
            </w:pPr>
            <w:r>
              <w:rPr>
                <w:rFonts w:ascii="Times New Roman"/>
                <w:sz w:val="21"/>
              </w:rPr>
              <w:t>0.26</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6"/>
              <w:ind w:left="410" w:right="382"/>
              <w:rPr>
                <w:rFonts w:ascii="Times New Roman"/>
                <w:sz w:val="21"/>
              </w:rPr>
            </w:pPr>
            <w:r>
              <w:rPr>
                <w:rFonts w:ascii="Times New Roman"/>
                <w:sz w:val="21"/>
              </w:rPr>
              <w:t>0.26</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1"/>
              <w:ind w:left="489" w:right="461"/>
              <w:rPr>
                <w:rFonts w:ascii="Times New Roman"/>
                <w:sz w:val="21"/>
              </w:rPr>
            </w:pPr>
            <w:r>
              <w:rPr>
                <w:rFonts w:ascii="Times New Roman"/>
                <w:sz w:val="21"/>
              </w:rPr>
              <w:t>0.22</w:t>
            </w:r>
          </w:p>
        </w:tc>
        <w:tc>
          <w:tcPr>
            <w:tcW w:w="1418" w:type="dxa"/>
            <w:tcBorders>
              <w:top w:val="single" w:sz="4" w:space="0" w:color="000000"/>
              <w:left w:val="single" w:sz="4" w:space="0" w:color="000000"/>
              <w:bottom w:val="single" w:sz="4" w:space="0" w:color="000000"/>
            </w:tcBorders>
          </w:tcPr>
          <w:p>
            <w:pPr>
              <w:pStyle w:val="TableParagraph"/>
              <w:spacing w:before="81"/>
              <w:ind w:left="411" w:right="369"/>
              <w:rPr>
                <w:rFonts w:ascii="Times New Roman"/>
                <w:sz w:val="21"/>
              </w:rPr>
            </w:pPr>
            <w:r>
              <w:rPr>
                <w:rFonts w:ascii="Times New Roman"/>
                <w:sz w:val="21"/>
              </w:rPr>
              <w:t>0.24</w:t>
            </w:r>
          </w:p>
        </w:tc>
      </w:tr>
      <w:tr>
        <w:trPr>
          <w:trHeight w:val="400"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0" w:lineRule="exact"/>
              <w:ind w:left="381" w:right="354"/>
              <w:rPr>
                <w:sz w:val="21"/>
              </w:rPr>
            </w:pPr>
            <w:r>
              <w:rPr>
                <w:sz w:val="21"/>
              </w:rPr>
              <w:t>硫酸盐</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9"/>
              <w:ind w:left="410" w:right="380"/>
              <w:rPr>
                <w:rFonts w:ascii="Times New Roman"/>
                <w:sz w:val="21"/>
              </w:rPr>
            </w:pPr>
            <w:r>
              <w:rPr>
                <w:rFonts w:ascii="Times New Roman"/>
                <w:sz w:val="21"/>
              </w:rPr>
              <w:t>0.274</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9"/>
              <w:ind w:left="410" w:right="382"/>
              <w:rPr>
                <w:rFonts w:ascii="Times New Roman"/>
                <w:sz w:val="21"/>
              </w:rPr>
            </w:pPr>
            <w:r>
              <w:rPr>
                <w:rFonts w:ascii="Times New Roman"/>
                <w:sz w:val="21"/>
              </w:rPr>
              <w:t>0.28</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2"/>
              <w:ind w:left="489" w:right="444"/>
              <w:rPr>
                <w:rFonts w:ascii="Times New Roman"/>
                <w:sz w:val="21"/>
              </w:rPr>
            </w:pPr>
            <w:r>
              <w:rPr>
                <w:rFonts w:ascii="Times New Roman"/>
                <w:sz w:val="21"/>
              </w:rPr>
              <w:t>0.27</w:t>
            </w:r>
          </w:p>
        </w:tc>
        <w:tc>
          <w:tcPr>
            <w:tcW w:w="1418" w:type="dxa"/>
            <w:tcBorders>
              <w:top w:val="single" w:sz="4" w:space="0" w:color="000000"/>
              <w:left w:val="single" w:sz="4" w:space="0" w:color="000000"/>
              <w:bottom w:val="single" w:sz="4" w:space="0" w:color="000000"/>
            </w:tcBorders>
          </w:tcPr>
          <w:p>
            <w:pPr>
              <w:pStyle w:val="TableParagraph"/>
              <w:spacing w:before="82"/>
              <w:ind w:left="411" w:right="352"/>
              <w:rPr>
                <w:rFonts w:ascii="Times New Roman"/>
                <w:sz w:val="21"/>
              </w:rPr>
            </w:pPr>
            <w:r>
              <w:rPr>
                <w:rFonts w:ascii="Times New Roman"/>
                <w:sz w:val="21"/>
              </w:rPr>
              <w:t>0.26</w:t>
            </w:r>
          </w:p>
        </w:tc>
      </w:tr>
      <w:tr>
        <w:trPr>
          <w:trHeight w:val="33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2"/>
              <w:rPr>
                <w:sz w:val="21"/>
              </w:rPr>
            </w:pPr>
            <w:r>
              <w:rPr>
                <w:w w:val="100"/>
                <w:sz w:val="21"/>
              </w:rPr>
              <w:t>锌</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57"/>
              <w:ind w:left="410" w:right="380"/>
              <w:rPr>
                <w:rFonts w:ascii="Times New Roman"/>
                <w:sz w:val="21"/>
              </w:rPr>
            </w:pPr>
            <w:r>
              <w:rPr>
                <w:rFonts w:ascii="Times New Roman"/>
                <w:sz w:val="21"/>
              </w:rPr>
              <w:t>0.0125</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57"/>
              <w:ind w:left="410" w:right="382"/>
              <w:rPr>
                <w:rFonts w:ascii="Times New Roman"/>
                <w:sz w:val="21"/>
              </w:rPr>
            </w:pPr>
            <w:r>
              <w:rPr>
                <w:rFonts w:ascii="Times New Roman"/>
                <w:sz w:val="21"/>
              </w:rPr>
              <w:t>0.0125</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57"/>
              <w:ind w:right="398"/>
              <w:jc w:val="right"/>
              <w:rPr>
                <w:rFonts w:ascii="Times New Roman"/>
                <w:sz w:val="21"/>
              </w:rPr>
            </w:pPr>
            <w:r>
              <w:rPr>
                <w:rFonts w:ascii="Times New Roman"/>
                <w:sz w:val="21"/>
              </w:rPr>
              <w:t>0.0125</w:t>
            </w:r>
          </w:p>
        </w:tc>
        <w:tc>
          <w:tcPr>
            <w:tcW w:w="1418" w:type="dxa"/>
            <w:tcBorders>
              <w:top w:val="single" w:sz="4" w:space="0" w:color="000000"/>
              <w:left w:val="single" w:sz="4" w:space="0" w:color="000000"/>
              <w:bottom w:val="single" w:sz="4" w:space="0" w:color="000000"/>
            </w:tcBorders>
          </w:tcPr>
          <w:p>
            <w:pPr>
              <w:pStyle w:val="TableParagraph"/>
              <w:spacing w:before="57"/>
              <w:ind w:left="411" w:right="369"/>
              <w:rPr>
                <w:rFonts w:ascii="Times New Roman"/>
                <w:sz w:val="21"/>
              </w:rPr>
            </w:pPr>
            <w:r>
              <w:rPr>
                <w:rFonts w:ascii="Times New Roman"/>
                <w:sz w:val="21"/>
              </w:rPr>
              <w:t>0.0125</w:t>
            </w:r>
          </w:p>
        </w:tc>
      </w:tr>
      <w:tr>
        <w:trPr>
          <w:trHeight w:val="39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0" w:lineRule="exact"/>
              <w:ind w:left="381" w:right="354"/>
              <w:rPr>
                <w:sz w:val="21"/>
              </w:rPr>
            </w:pPr>
            <w:r>
              <w:rPr>
                <w:sz w:val="21"/>
              </w:rPr>
              <w:t>六价铬</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9"/>
              <w:ind w:left="410" w:right="380"/>
              <w:rPr>
                <w:rFonts w:ascii="Times New Roman"/>
                <w:sz w:val="21"/>
              </w:rPr>
            </w:pPr>
            <w:r>
              <w:rPr>
                <w:rFonts w:ascii="Times New Roman"/>
                <w:sz w:val="21"/>
              </w:rPr>
              <w:t>0.04</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9"/>
              <w:ind w:left="410" w:right="382"/>
              <w:rPr>
                <w:rFonts w:ascii="Times New Roman"/>
                <w:sz w:val="21"/>
              </w:rPr>
            </w:pPr>
            <w:r>
              <w:rPr>
                <w:rFonts w:ascii="Times New Roman"/>
                <w:sz w:val="21"/>
              </w:rPr>
              <w:t>0.04</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9"/>
              <w:ind w:left="489" w:right="461"/>
              <w:rPr>
                <w:rFonts w:ascii="Times New Roman"/>
                <w:sz w:val="21"/>
              </w:rPr>
            </w:pPr>
            <w:r>
              <w:rPr>
                <w:rFonts w:ascii="Times New Roman"/>
                <w:sz w:val="21"/>
              </w:rPr>
              <w:t>0.04</w:t>
            </w:r>
          </w:p>
        </w:tc>
        <w:tc>
          <w:tcPr>
            <w:tcW w:w="1418" w:type="dxa"/>
            <w:tcBorders>
              <w:top w:val="single" w:sz="4" w:space="0" w:color="000000"/>
              <w:left w:val="single" w:sz="4" w:space="0" w:color="000000"/>
              <w:bottom w:val="single" w:sz="4" w:space="0" w:color="000000"/>
            </w:tcBorders>
          </w:tcPr>
          <w:p>
            <w:pPr>
              <w:pStyle w:val="TableParagraph"/>
              <w:spacing w:before="84"/>
              <w:ind w:left="411" w:right="369"/>
              <w:rPr>
                <w:rFonts w:ascii="Times New Roman"/>
                <w:sz w:val="21"/>
              </w:rPr>
            </w:pPr>
            <w:r>
              <w:rPr>
                <w:rFonts w:ascii="Times New Roman"/>
                <w:sz w:val="21"/>
              </w:rPr>
              <w:t>0.04</w:t>
            </w:r>
          </w:p>
        </w:tc>
      </w:tr>
      <w:tr>
        <w:trPr>
          <w:trHeight w:val="33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2"/>
              <w:rPr>
                <w:sz w:val="21"/>
              </w:rPr>
            </w:pPr>
            <w:r>
              <w:rPr>
                <w:w w:val="100"/>
                <w:sz w:val="21"/>
              </w:rPr>
              <w:t>铜</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60"/>
              <w:ind w:left="410" w:right="380"/>
              <w:rPr>
                <w:rFonts w:ascii="Times New Roman"/>
                <w:sz w:val="21"/>
              </w:rPr>
            </w:pPr>
            <w:r>
              <w:rPr>
                <w:rFonts w:ascii="Times New Roman"/>
                <w:sz w:val="21"/>
              </w:rPr>
              <w:t>0.025</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60"/>
              <w:ind w:left="410" w:right="382"/>
              <w:rPr>
                <w:rFonts w:ascii="Times New Roman"/>
                <w:sz w:val="21"/>
              </w:rPr>
            </w:pPr>
            <w:r>
              <w:rPr>
                <w:rFonts w:ascii="Times New Roman"/>
                <w:sz w:val="21"/>
              </w:rPr>
              <w:t>0.025</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60"/>
              <w:ind w:right="451"/>
              <w:jc w:val="right"/>
              <w:rPr>
                <w:rFonts w:ascii="Times New Roman"/>
                <w:sz w:val="21"/>
              </w:rPr>
            </w:pPr>
            <w:r>
              <w:rPr>
                <w:rFonts w:ascii="Times New Roman"/>
                <w:sz w:val="21"/>
              </w:rPr>
              <w:t>0.025</w:t>
            </w:r>
          </w:p>
        </w:tc>
        <w:tc>
          <w:tcPr>
            <w:tcW w:w="1418" w:type="dxa"/>
            <w:tcBorders>
              <w:top w:val="single" w:sz="4" w:space="0" w:color="000000"/>
              <w:left w:val="single" w:sz="4" w:space="0" w:color="000000"/>
              <w:bottom w:val="single" w:sz="4" w:space="0" w:color="000000"/>
            </w:tcBorders>
          </w:tcPr>
          <w:p>
            <w:pPr>
              <w:pStyle w:val="TableParagraph"/>
              <w:spacing w:before="60"/>
              <w:ind w:left="411" w:right="369"/>
              <w:rPr>
                <w:rFonts w:ascii="Times New Roman"/>
                <w:sz w:val="21"/>
              </w:rPr>
            </w:pPr>
            <w:r>
              <w:rPr>
                <w:rFonts w:ascii="Times New Roman"/>
                <w:sz w:val="21"/>
              </w:rPr>
              <w:t>0.025</w:t>
            </w:r>
          </w:p>
        </w:tc>
      </w:tr>
      <w:tr>
        <w:trPr>
          <w:trHeight w:val="401"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2" w:lineRule="exact"/>
              <w:ind w:left="22"/>
              <w:rPr>
                <w:sz w:val="21"/>
              </w:rPr>
            </w:pPr>
            <w:r>
              <w:rPr>
                <w:w w:val="100"/>
                <w:sz w:val="21"/>
              </w:rPr>
              <w:t>镉</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4"/>
              <w:ind w:left="410" w:right="380"/>
              <w:rPr>
                <w:rFonts w:ascii="Times New Roman"/>
                <w:sz w:val="21"/>
              </w:rPr>
            </w:pPr>
            <w:r>
              <w:rPr>
                <w:rFonts w:ascii="Times New Roman"/>
                <w:sz w:val="21"/>
              </w:rPr>
              <w:t>0.01</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4"/>
              <w:ind w:left="410" w:right="382"/>
              <w:rPr>
                <w:rFonts w:ascii="Times New Roman"/>
                <w:sz w:val="21"/>
              </w:rPr>
            </w:pPr>
            <w:r>
              <w:rPr>
                <w:rFonts w:ascii="Times New Roman"/>
                <w:sz w:val="21"/>
              </w:rPr>
              <w:t>0.01</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4"/>
              <w:ind w:left="489" w:right="461"/>
              <w:rPr>
                <w:rFonts w:ascii="Times New Roman"/>
                <w:sz w:val="21"/>
              </w:rPr>
            </w:pPr>
            <w:r>
              <w:rPr>
                <w:rFonts w:ascii="Times New Roman"/>
                <w:sz w:val="21"/>
              </w:rPr>
              <w:t>0.01</w:t>
            </w:r>
          </w:p>
        </w:tc>
        <w:tc>
          <w:tcPr>
            <w:tcW w:w="1418" w:type="dxa"/>
            <w:tcBorders>
              <w:top w:val="single" w:sz="4" w:space="0" w:color="000000"/>
              <w:left w:val="single" w:sz="4" w:space="0" w:color="000000"/>
              <w:bottom w:val="single" w:sz="4" w:space="0" w:color="000000"/>
            </w:tcBorders>
          </w:tcPr>
          <w:p>
            <w:pPr>
              <w:pStyle w:val="TableParagraph"/>
              <w:spacing w:before="84"/>
              <w:ind w:left="411" w:right="369"/>
              <w:rPr>
                <w:rFonts w:ascii="Times New Roman"/>
                <w:sz w:val="21"/>
              </w:rPr>
            </w:pPr>
            <w:r>
              <w:rPr>
                <w:rFonts w:ascii="Times New Roman"/>
                <w:sz w:val="21"/>
              </w:rPr>
              <w:t>0.01</w:t>
            </w:r>
          </w:p>
        </w:tc>
      </w:tr>
      <w:tr>
        <w:trPr>
          <w:trHeight w:val="39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0" w:lineRule="exact"/>
              <w:ind w:left="22"/>
              <w:rPr>
                <w:sz w:val="21"/>
              </w:rPr>
            </w:pPr>
            <w:r>
              <w:rPr>
                <w:w w:val="100"/>
                <w:sz w:val="21"/>
              </w:rPr>
              <w:t>镍</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1"/>
              <w:ind w:left="405" w:right="380"/>
              <w:rPr>
                <w:rFonts w:ascii="Times New Roman"/>
                <w:sz w:val="21"/>
              </w:rPr>
            </w:pPr>
            <w:r>
              <w:rPr>
                <w:rFonts w:ascii="Times New Roman"/>
                <w:sz w:val="21"/>
              </w:rPr>
              <w:t>--</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1"/>
              <w:ind w:left="405" w:right="382"/>
              <w:rPr>
                <w:rFonts w:ascii="Times New Roman"/>
                <w:sz w:val="21"/>
              </w:rPr>
            </w:pPr>
            <w:r>
              <w:rPr>
                <w:rFonts w:ascii="Times New Roman"/>
                <w:sz w:val="21"/>
              </w:rPr>
              <w:t>--</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1"/>
              <w:ind w:left="484" w:right="461"/>
              <w:rPr>
                <w:rFonts w:ascii="Times New Roman"/>
                <w:sz w:val="21"/>
              </w:rPr>
            </w:pPr>
            <w:r>
              <w:rPr>
                <w:rFonts w:ascii="Times New Roman"/>
                <w:sz w:val="21"/>
              </w:rPr>
              <w:t>--</w:t>
            </w:r>
          </w:p>
        </w:tc>
        <w:tc>
          <w:tcPr>
            <w:tcW w:w="1418" w:type="dxa"/>
            <w:tcBorders>
              <w:top w:val="single" w:sz="4" w:space="0" w:color="000000"/>
              <w:left w:val="single" w:sz="4" w:space="0" w:color="000000"/>
              <w:bottom w:val="single" w:sz="4" w:space="0" w:color="000000"/>
            </w:tcBorders>
          </w:tcPr>
          <w:p>
            <w:pPr>
              <w:pStyle w:val="TableParagraph"/>
              <w:spacing w:before="81"/>
              <w:ind w:left="406" w:right="369"/>
              <w:rPr>
                <w:rFonts w:ascii="Times New Roman"/>
                <w:sz w:val="21"/>
              </w:rPr>
            </w:pPr>
            <w:r>
              <w:rPr>
                <w:rFonts w:ascii="Times New Roman"/>
                <w:sz w:val="21"/>
              </w:rPr>
              <w:t>--</w:t>
            </w:r>
          </w:p>
        </w:tc>
      </w:tr>
      <w:tr>
        <w:trPr>
          <w:trHeight w:val="399"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bottom w:val="single" w:sz="4" w:space="0" w:color="000000"/>
              <w:right w:val="single" w:sz="4" w:space="0" w:color="000000"/>
            </w:tcBorders>
          </w:tcPr>
          <w:p>
            <w:pPr>
              <w:pStyle w:val="TableParagraph"/>
              <w:spacing w:line="380" w:lineRule="exact"/>
              <w:ind w:left="381" w:right="354"/>
              <w:rPr>
                <w:sz w:val="21"/>
              </w:rPr>
            </w:pPr>
            <w:r>
              <w:rPr>
                <w:sz w:val="21"/>
              </w:rPr>
              <w:t>全盐量</w:t>
            </w:r>
          </w:p>
        </w:tc>
        <w:tc>
          <w:tcPr>
            <w:tcW w:w="1421" w:type="dxa"/>
            <w:tcBorders>
              <w:top w:val="single" w:sz="4" w:space="0" w:color="000000"/>
              <w:left w:val="single" w:sz="4" w:space="0" w:color="000000"/>
              <w:bottom w:val="single" w:sz="4" w:space="0" w:color="000000"/>
              <w:right w:val="single" w:sz="6" w:space="0" w:color="000000"/>
            </w:tcBorders>
          </w:tcPr>
          <w:p>
            <w:pPr>
              <w:pStyle w:val="TableParagraph"/>
              <w:spacing w:before="89"/>
              <w:ind w:left="410" w:right="380"/>
              <w:rPr>
                <w:rFonts w:ascii="Times New Roman"/>
                <w:sz w:val="21"/>
              </w:rPr>
            </w:pPr>
            <w:r>
              <w:rPr>
                <w:rFonts w:ascii="Times New Roman"/>
                <w:sz w:val="21"/>
              </w:rPr>
              <w:t>2.5</w:t>
            </w:r>
          </w:p>
        </w:tc>
        <w:tc>
          <w:tcPr>
            <w:tcW w:w="1423" w:type="dxa"/>
            <w:tcBorders>
              <w:top w:val="single" w:sz="4" w:space="0" w:color="000000"/>
              <w:left w:val="single" w:sz="6" w:space="0" w:color="000000"/>
              <w:bottom w:val="single" w:sz="4" w:space="0" w:color="000000"/>
              <w:right w:val="single" w:sz="4" w:space="0" w:color="000000"/>
            </w:tcBorders>
          </w:tcPr>
          <w:p>
            <w:pPr>
              <w:pStyle w:val="TableParagraph"/>
              <w:spacing w:before="89"/>
              <w:ind w:left="410" w:right="382"/>
              <w:rPr>
                <w:rFonts w:ascii="Times New Roman"/>
                <w:sz w:val="21"/>
              </w:rPr>
            </w:pPr>
            <w:r>
              <w:rPr>
                <w:rFonts w:ascii="Times New Roman"/>
                <w:sz w:val="21"/>
              </w:rPr>
              <w:t>2.2</w:t>
            </w:r>
          </w:p>
        </w:tc>
        <w:tc>
          <w:tcPr>
            <w:tcW w:w="1421" w:type="dxa"/>
            <w:tcBorders>
              <w:top w:val="single" w:sz="4" w:space="0" w:color="000000"/>
              <w:left w:val="single" w:sz="4" w:space="0" w:color="000000"/>
              <w:bottom w:val="single" w:sz="4" w:space="0" w:color="000000"/>
              <w:right w:val="single" w:sz="4" w:space="0" w:color="000000"/>
            </w:tcBorders>
          </w:tcPr>
          <w:p>
            <w:pPr>
              <w:pStyle w:val="TableParagraph"/>
              <w:spacing w:before="81"/>
              <w:ind w:left="489" w:right="461"/>
              <w:rPr>
                <w:rFonts w:ascii="Times New Roman"/>
                <w:sz w:val="21"/>
              </w:rPr>
            </w:pPr>
            <w:r>
              <w:rPr>
                <w:rFonts w:ascii="Times New Roman"/>
                <w:sz w:val="21"/>
              </w:rPr>
              <w:t>2.0</w:t>
            </w:r>
          </w:p>
        </w:tc>
        <w:tc>
          <w:tcPr>
            <w:tcW w:w="1418" w:type="dxa"/>
            <w:tcBorders>
              <w:top w:val="single" w:sz="4" w:space="0" w:color="000000"/>
              <w:left w:val="single" w:sz="4" w:space="0" w:color="000000"/>
              <w:bottom w:val="single" w:sz="4" w:space="0" w:color="000000"/>
            </w:tcBorders>
          </w:tcPr>
          <w:p>
            <w:pPr>
              <w:pStyle w:val="TableParagraph"/>
              <w:spacing w:before="81"/>
              <w:ind w:left="411" w:right="369"/>
              <w:rPr>
                <w:rFonts w:ascii="Times New Roman"/>
                <w:sz w:val="21"/>
              </w:rPr>
            </w:pPr>
            <w:r>
              <w:rPr>
                <w:rFonts w:ascii="Times New Roman"/>
                <w:sz w:val="21"/>
              </w:rPr>
              <w:t>2.1</w:t>
            </w:r>
          </w:p>
        </w:tc>
      </w:tr>
      <w:tr>
        <w:trPr>
          <w:trHeight w:val="411" w:hRule="atLeast"/>
        </w:trPr>
        <w:tc>
          <w:tcPr>
            <w:tcW w:w="1006" w:type="dxa"/>
            <w:vMerge/>
            <w:tcBorders>
              <w:top w:val="nil"/>
              <w:right w:val="single" w:sz="4" w:space="0" w:color="000000"/>
            </w:tcBorders>
          </w:tcPr>
          <w:p>
            <w:pPr>
              <w:rPr>
                <w:sz w:val="2"/>
                <w:szCs w:val="2"/>
              </w:rPr>
            </w:pPr>
          </w:p>
        </w:tc>
        <w:tc>
          <w:tcPr>
            <w:tcW w:w="1839" w:type="dxa"/>
            <w:tcBorders>
              <w:top w:val="single" w:sz="4" w:space="0" w:color="000000"/>
              <w:left w:val="single" w:sz="4" w:space="0" w:color="000000"/>
              <w:right w:val="single" w:sz="4" w:space="0" w:color="000000"/>
            </w:tcBorders>
          </w:tcPr>
          <w:p>
            <w:pPr>
              <w:pStyle w:val="TableParagraph"/>
              <w:spacing w:line="392" w:lineRule="exact"/>
              <w:ind w:left="381" w:right="357"/>
              <w:rPr>
                <w:sz w:val="21"/>
              </w:rPr>
            </w:pPr>
            <w:r>
              <w:rPr>
                <w:sz w:val="21"/>
              </w:rPr>
              <w:t>粪大肠菌群</w:t>
            </w:r>
          </w:p>
        </w:tc>
        <w:tc>
          <w:tcPr>
            <w:tcW w:w="1421" w:type="dxa"/>
            <w:tcBorders>
              <w:top w:val="single" w:sz="4" w:space="0" w:color="000000"/>
              <w:left w:val="single" w:sz="4" w:space="0" w:color="000000"/>
              <w:right w:val="single" w:sz="6" w:space="0" w:color="000000"/>
            </w:tcBorders>
          </w:tcPr>
          <w:p>
            <w:pPr>
              <w:pStyle w:val="TableParagraph"/>
              <w:spacing w:before="89"/>
              <w:ind w:left="410" w:right="380"/>
              <w:rPr>
                <w:rFonts w:ascii="Times New Roman"/>
                <w:sz w:val="21"/>
              </w:rPr>
            </w:pPr>
            <w:r>
              <w:rPr>
                <w:rFonts w:ascii="Times New Roman"/>
                <w:sz w:val="21"/>
              </w:rPr>
              <w:t>0.14</w:t>
            </w:r>
          </w:p>
        </w:tc>
        <w:tc>
          <w:tcPr>
            <w:tcW w:w="1423" w:type="dxa"/>
            <w:tcBorders>
              <w:top w:val="single" w:sz="4" w:space="0" w:color="000000"/>
              <w:left w:val="single" w:sz="6" w:space="0" w:color="000000"/>
              <w:right w:val="single" w:sz="4" w:space="0" w:color="000000"/>
            </w:tcBorders>
          </w:tcPr>
          <w:p>
            <w:pPr>
              <w:pStyle w:val="TableParagraph"/>
              <w:spacing w:before="89"/>
              <w:ind w:left="410" w:right="382"/>
              <w:rPr>
                <w:rFonts w:ascii="Times New Roman"/>
                <w:sz w:val="21"/>
              </w:rPr>
            </w:pPr>
            <w:r>
              <w:rPr>
                <w:rFonts w:ascii="Times New Roman"/>
                <w:sz w:val="21"/>
              </w:rPr>
              <w:t>0.18</w:t>
            </w:r>
          </w:p>
        </w:tc>
        <w:tc>
          <w:tcPr>
            <w:tcW w:w="1421" w:type="dxa"/>
            <w:tcBorders>
              <w:top w:val="single" w:sz="4" w:space="0" w:color="000000"/>
              <w:left w:val="single" w:sz="4" w:space="0" w:color="000000"/>
              <w:right w:val="single" w:sz="4" w:space="0" w:color="000000"/>
            </w:tcBorders>
          </w:tcPr>
          <w:p>
            <w:pPr>
              <w:pStyle w:val="TableParagraph"/>
              <w:spacing w:before="81"/>
              <w:ind w:left="489" w:right="461"/>
              <w:rPr>
                <w:rFonts w:ascii="Times New Roman"/>
                <w:sz w:val="21"/>
              </w:rPr>
            </w:pPr>
            <w:r>
              <w:rPr>
                <w:rFonts w:ascii="Times New Roman"/>
                <w:sz w:val="21"/>
              </w:rPr>
              <w:t>0.13</w:t>
            </w:r>
          </w:p>
        </w:tc>
        <w:tc>
          <w:tcPr>
            <w:tcW w:w="1418" w:type="dxa"/>
            <w:tcBorders>
              <w:top w:val="single" w:sz="4" w:space="0" w:color="000000"/>
              <w:left w:val="single" w:sz="4" w:space="0" w:color="000000"/>
            </w:tcBorders>
          </w:tcPr>
          <w:p>
            <w:pPr>
              <w:pStyle w:val="TableParagraph"/>
              <w:spacing w:before="81"/>
              <w:ind w:left="411" w:right="369"/>
              <w:rPr>
                <w:rFonts w:ascii="Times New Roman"/>
                <w:sz w:val="21"/>
              </w:rPr>
            </w:pPr>
            <w:r>
              <w:rPr>
                <w:rFonts w:ascii="Times New Roman"/>
                <w:sz w:val="21"/>
              </w:rPr>
              <w:t>0.13</w:t>
            </w:r>
          </w:p>
        </w:tc>
      </w:tr>
    </w:tbl>
    <w:p>
      <w:pPr>
        <w:spacing w:after="0"/>
        <w:rPr>
          <w:rFonts w:ascii="Times New Roman"/>
          <w:sz w:val="21"/>
        </w:rPr>
        <w:sectPr>
          <w:pgSz w:w="11910" w:h="16840"/>
          <w:pgMar w:header="877" w:footer="973" w:top="1340" w:bottom="1160" w:left="1220" w:right="1040"/>
        </w:sectPr>
      </w:pPr>
    </w:p>
    <w:p>
      <w:pPr>
        <w:pStyle w:val="BodyText"/>
        <w:spacing w:before="21"/>
        <w:rPr>
          <w:sz w:val="4"/>
        </w:rPr>
      </w:pPr>
    </w:p>
    <w:p>
      <w:pPr>
        <w:tabs>
          <w:tab w:pos="3811" w:val="left" w:leader="none"/>
        </w:tabs>
        <w:spacing w:line="423" w:lineRule="exact" w:before="0" w:after="20"/>
        <w:ind w:left="2793" w:right="0" w:firstLine="0"/>
        <w:jc w:val="left"/>
        <w:rPr>
          <w:sz w:val="21"/>
        </w:rPr>
      </w:pPr>
      <w:r>
        <w:rPr>
          <w:sz w:val="21"/>
        </w:rPr>
        <w:t>表</w:t>
      </w:r>
      <w:r>
        <w:rPr>
          <w:spacing w:val="7"/>
          <w:sz w:val="21"/>
        </w:rPr>
        <w:t> </w:t>
      </w:r>
      <w:r>
        <w:rPr>
          <w:rFonts w:ascii="Times New Roman" w:eastAsia="Times New Roman"/>
          <w:b/>
          <w:sz w:val="21"/>
        </w:rPr>
        <w:t>5.4-19</w:t>
        <w:tab/>
      </w:r>
      <w:r>
        <w:rPr>
          <w:sz w:val="21"/>
        </w:rPr>
        <w:t>地表水水质</w:t>
      </w:r>
      <w:r>
        <w:rPr>
          <w:spacing w:val="-3"/>
          <w:sz w:val="21"/>
        </w:rPr>
        <w:t>量</w:t>
      </w:r>
      <w:r>
        <w:rPr>
          <w:sz w:val="21"/>
        </w:rPr>
        <w:t>评价结果一览表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6"/>
        <w:gridCol w:w="1839"/>
        <w:gridCol w:w="1421"/>
        <w:gridCol w:w="1423"/>
        <w:gridCol w:w="1421"/>
        <w:gridCol w:w="1418"/>
      </w:tblGrid>
      <w:tr>
        <w:trPr>
          <w:trHeight w:val="399" w:hRule="atLeast"/>
        </w:trPr>
        <w:tc>
          <w:tcPr>
            <w:tcW w:w="1006" w:type="dxa"/>
            <w:vMerge w:val="restart"/>
            <w:tcBorders>
              <w:bottom w:val="single" w:sz="6" w:space="0" w:color="000000"/>
              <w:right w:val="single" w:sz="6" w:space="0" w:color="000000"/>
            </w:tcBorders>
          </w:tcPr>
          <w:p>
            <w:pPr>
              <w:pStyle w:val="TableParagraph"/>
              <w:spacing w:line="216" w:lineRule="auto" w:before="74"/>
              <w:ind w:left="395" w:right="161" w:hanging="209"/>
              <w:jc w:val="left"/>
              <w:rPr>
                <w:sz w:val="21"/>
              </w:rPr>
            </w:pPr>
            <w:r>
              <w:rPr>
                <w:sz w:val="21"/>
              </w:rPr>
              <w:t>检测点位</w:t>
            </w:r>
          </w:p>
        </w:tc>
        <w:tc>
          <w:tcPr>
            <w:tcW w:w="1839" w:type="dxa"/>
            <w:vMerge w:val="restart"/>
            <w:tcBorders>
              <w:left w:val="single" w:sz="6" w:space="0" w:color="000000"/>
              <w:bottom w:val="single" w:sz="6" w:space="0" w:color="000000"/>
              <w:right w:val="single" w:sz="6" w:space="0" w:color="000000"/>
            </w:tcBorders>
          </w:tcPr>
          <w:p>
            <w:pPr>
              <w:pStyle w:val="TableParagraph"/>
              <w:spacing w:before="11"/>
              <w:ind w:left="767"/>
              <w:jc w:val="left"/>
              <w:rPr>
                <w:sz w:val="21"/>
              </w:rPr>
            </w:pPr>
            <w:r>
              <w:rPr>
                <w:sz w:val="21"/>
              </w:rPr>
              <w:t>检测时间</w:t>
            </w:r>
          </w:p>
          <w:p>
            <w:pPr>
              <w:pStyle w:val="TableParagraph"/>
              <w:spacing w:line="428" w:lineRule="exact" w:before="18"/>
              <w:ind w:left="114"/>
              <w:jc w:val="left"/>
              <w:rPr>
                <w:sz w:val="21"/>
              </w:rPr>
            </w:pPr>
            <w:r>
              <w:rPr>
                <w:sz w:val="21"/>
              </w:rPr>
              <w:t>检测项目</w:t>
            </w:r>
          </w:p>
        </w:tc>
        <w:tc>
          <w:tcPr>
            <w:tcW w:w="2844" w:type="dxa"/>
            <w:gridSpan w:val="2"/>
            <w:tcBorders>
              <w:left w:val="single" w:sz="6" w:space="0" w:color="000000"/>
              <w:bottom w:val="single" w:sz="6" w:space="0" w:color="000000"/>
              <w:right w:val="single" w:sz="6" w:space="0" w:color="000000"/>
            </w:tcBorders>
          </w:tcPr>
          <w:p>
            <w:pPr>
              <w:pStyle w:val="TableParagraph"/>
              <w:spacing w:before="126"/>
              <w:ind w:left="772" w:right="749"/>
              <w:rPr>
                <w:rFonts w:ascii="Times New Roman"/>
                <w:sz w:val="21"/>
              </w:rPr>
            </w:pPr>
            <w:r>
              <w:rPr>
                <w:rFonts w:ascii="Times New Roman"/>
                <w:sz w:val="21"/>
              </w:rPr>
              <w:t>2017.3.10</w:t>
            </w:r>
          </w:p>
        </w:tc>
        <w:tc>
          <w:tcPr>
            <w:tcW w:w="2839" w:type="dxa"/>
            <w:gridSpan w:val="2"/>
            <w:tcBorders>
              <w:left w:val="single" w:sz="6" w:space="0" w:color="000000"/>
              <w:bottom w:val="single" w:sz="6" w:space="0" w:color="000000"/>
            </w:tcBorders>
          </w:tcPr>
          <w:p>
            <w:pPr>
              <w:pStyle w:val="TableParagraph"/>
              <w:spacing w:before="126"/>
              <w:ind w:left="985" w:right="950"/>
              <w:rPr>
                <w:rFonts w:ascii="Times New Roman"/>
                <w:sz w:val="21"/>
              </w:rPr>
            </w:pPr>
            <w:r>
              <w:rPr>
                <w:rFonts w:ascii="Times New Roman"/>
                <w:sz w:val="21"/>
              </w:rPr>
              <w:t>2017.3.11</w:t>
            </w:r>
          </w:p>
        </w:tc>
      </w:tr>
      <w:tr>
        <w:trPr>
          <w:trHeight w:val="508" w:hRule="atLeast"/>
        </w:trPr>
        <w:tc>
          <w:tcPr>
            <w:tcW w:w="1006" w:type="dxa"/>
            <w:vMerge/>
            <w:tcBorders>
              <w:top w:val="nil"/>
              <w:bottom w:val="single" w:sz="6" w:space="0" w:color="000000"/>
              <w:right w:val="single" w:sz="6" w:space="0" w:color="000000"/>
            </w:tcBorders>
          </w:tcPr>
          <w:p>
            <w:pPr>
              <w:rPr>
                <w:sz w:val="2"/>
                <w:szCs w:val="2"/>
              </w:rPr>
            </w:pPr>
          </w:p>
        </w:tc>
        <w:tc>
          <w:tcPr>
            <w:tcW w:w="1839" w:type="dxa"/>
            <w:vMerge/>
            <w:tcBorders>
              <w:top w:val="nil"/>
              <w:left w:val="single" w:sz="6" w:space="0" w:color="000000"/>
              <w:bottom w:val="single" w:sz="6" w:space="0" w:color="000000"/>
              <w:right w:val="single" w:sz="6" w:space="0" w:color="000000"/>
            </w:tcBorders>
          </w:tcPr>
          <w:p>
            <w:pPr>
              <w:rPr>
                <w:sz w:val="2"/>
                <w:szCs w:val="2"/>
              </w:rPr>
            </w:pP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414" w:lineRule="exact" w:before="74"/>
              <w:ind w:left="486" w:right="459"/>
              <w:rPr>
                <w:sz w:val="21"/>
              </w:rPr>
            </w:pPr>
            <w:r>
              <w:rPr>
                <w:sz w:val="21"/>
              </w:rPr>
              <w:t>上午</w:t>
            </w:r>
          </w:p>
        </w:tc>
        <w:tc>
          <w:tcPr>
            <w:tcW w:w="1423" w:type="dxa"/>
            <w:tcBorders>
              <w:top w:val="single" w:sz="6" w:space="0" w:color="000000"/>
              <w:left w:val="single" w:sz="6" w:space="0" w:color="000000"/>
              <w:bottom w:val="single" w:sz="6" w:space="0" w:color="000000"/>
              <w:right w:val="single" w:sz="6" w:space="0" w:color="000000"/>
            </w:tcBorders>
          </w:tcPr>
          <w:p>
            <w:pPr>
              <w:pStyle w:val="TableParagraph"/>
              <w:spacing w:line="414" w:lineRule="exact" w:before="74"/>
              <w:ind w:right="475"/>
              <w:jc w:val="right"/>
              <w:rPr>
                <w:sz w:val="21"/>
              </w:rPr>
            </w:pPr>
            <w:r>
              <w:rPr>
                <w:sz w:val="21"/>
              </w:rPr>
              <w:t>下午</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414" w:lineRule="exact" w:before="74"/>
              <w:ind w:right="475"/>
              <w:jc w:val="right"/>
              <w:rPr>
                <w:sz w:val="21"/>
              </w:rPr>
            </w:pPr>
            <w:r>
              <w:rPr>
                <w:sz w:val="21"/>
              </w:rPr>
              <w:t>上午</w:t>
            </w:r>
          </w:p>
        </w:tc>
        <w:tc>
          <w:tcPr>
            <w:tcW w:w="1418" w:type="dxa"/>
            <w:tcBorders>
              <w:top w:val="single" w:sz="6" w:space="0" w:color="000000"/>
              <w:left w:val="single" w:sz="6" w:space="0" w:color="000000"/>
              <w:bottom w:val="single" w:sz="6" w:space="0" w:color="000000"/>
            </w:tcBorders>
          </w:tcPr>
          <w:p>
            <w:pPr>
              <w:pStyle w:val="TableParagraph"/>
              <w:spacing w:line="414" w:lineRule="exact" w:before="74"/>
              <w:ind w:left="506"/>
              <w:jc w:val="left"/>
              <w:rPr>
                <w:sz w:val="21"/>
              </w:rPr>
            </w:pPr>
            <w:r>
              <w:rPr>
                <w:sz w:val="21"/>
              </w:rPr>
              <w:t>下午</w:t>
            </w:r>
          </w:p>
        </w:tc>
      </w:tr>
      <w:tr>
        <w:trPr>
          <w:trHeight w:val="462" w:hRule="atLeast"/>
        </w:trPr>
        <w:tc>
          <w:tcPr>
            <w:tcW w:w="1006" w:type="dxa"/>
            <w:vMerge w:val="restart"/>
            <w:tcBorders>
              <w:top w:val="single" w:sz="6" w:space="0" w:color="000000"/>
              <w:right w:val="single" w:sz="6" w:space="0" w:color="000000"/>
            </w:tcBorders>
          </w:tcPr>
          <w:p>
            <w:pPr>
              <w:pStyle w:val="TableParagraph"/>
              <w:spacing w:line="216" w:lineRule="auto" w:before="127"/>
              <w:ind w:left="186" w:right="161"/>
              <w:jc w:val="left"/>
              <w:rPr>
                <w:sz w:val="21"/>
              </w:rPr>
            </w:pPr>
            <w:r>
              <w:rPr>
                <w:rFonts w:ascii="Times New Roman" w:eastAsia="Times New Roman"/>
                <w:sz w:val="21"/>
              </w:rPr>
              <w:t>1#</w:t>
            </w:r>
            <w:r>
              <w:rPr>
                <w:sz w:val="21"/>
              </w:rPr>
              <w:t>白马河断面</w:t>
            </w:r>
          </w:p>
        </w:tc>
        <w:tc>
          <w:tcPr>
            <w:tcW w:w="1839" w:type="dxa"/>
            <w:tcBorders>
              <w:top w:val="single" w:sz="6" w:space="0" w:color="000000"/>
              <w:left w:val="single" w:sz="6" w:space="0" w:color="000000"/>
              <w:bottom w:val="single" w:sz="6" w:space="0" w:color="000000"/>
              <w:right w:val="single" w:sz="6" w:space="0" w:color="000000"/>
            </w:tcBorders>
          </w:tcPr>
          <w:p>
            <w:pPr>
              <w:pStyle w:val="TableParagraph"/>
              <w:spacing w:line="437" w:lineRule="exact" w:before="5"/>
              <w:ind w:left="695" w:right="668"/>
              <w:rPr>
                <w:sz w:val="21"/>
              </w:rPr>
            </w:pPr>
            <w:r>
              <w:rPr>
                <w:sz w:val="21"/>
              </w:rPr>
              <w:t>总磷</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117"/>
              <w:ind w:left="486" w:right="459"/>
              <w:rPr>
                <w:rFonts w:ascii="Times New Roman"/>
                <w:sz w:val="21"/>
              </w:rPr>
            </w:pPr>
            <w:r>
              <w:rPr>
                <w:rFonts w:ascii="Times New Roman"/>
                <w:sz w:val="21"/>
              </w:rPr>
              <w:t>0.57</w:t>
            </w:r>
          </w:p>
        </w:tc>
        <w:tc>
          <w:tcPr>
            <w:tcW w:w="1423" w:type="dxa"/>
            <w:tcBorders>
              <w:top w:val="single" w:sz="6" w:space="0" w:color="000000"/>
              <w:left w:val="single" w:sz="6" w:space="0" w:color="000000"/>
              <w:bottom w:val="single" w:sz="6" w:space="0" w:color="000000"/>
              <w:right w:val="single" w:sz="6" w:space="0" w:color="000000"/>
            </w:tcBorders>
          </w:tcPr>
          <w:p>
            <w:pPr>
              <w:pStyle w:val="TableParagraph"/>
              <w:spacing w:before="117"/>
              <w:ind w:right="501"/>
              <w:jc w:val="right"/>
              <w:rPr>
                <w:rFonts w:ascii="Times New Roman"/>
                <w:sz w:val="21"/>
              </w:rPr>
            </w:pPr>
            <w:r>
              <w:rPr>
                <w:rFonts w:ascii="Times New Roman"/>
                <w:sz w:val="21"/>
              </w:rPr>
              <w:t>0.48</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117"/>
              <w:ind w:right="501"/>
              <w:jc w:val="right"/>
              <w:rPr>
                <w:rFonts w:ascii="Times New Roman"/>
                <w:sz w:val="21"/>
              </w:rPr>
            </w:pPr>
            <w:r>
              <w:rPr>
                <w:rFonts w:ascii="Times New Roman"/>
                <w:sz w:val="21"/>
              </w:rPr>
              <w:t>0.44</w:t>
            </w:r>
          </w:p>
        </w:tc>
        <w:tc>
          <w:tcPr>
            <w:tcW w:w="1418" w:type="dxa"/>
            <w:tcBorders>
              <w:top w:val="single" w:sz="6" w:space="0" w:color="000000"/>
              <w:left w:val="single" w:sz="6" w:space="0" w:color="000000"/>
              <w:bottom w:val="single" w:sz="6" w:space="0" w:color="000000"/>
            </w:tcBorders>
          </w:tcPr>
          <w:p>
            <w:pPr>
              <w:pStyle w:val="TableParagraph"/>
              <w:spacing w:before="117"/>
              <w:ind w:left="532"/>
              <w:jc w:val="left"/>
              <w:rPr>
                <w:rFonts w:ascii="Times New Roman"/>
                <w:sz w:val="21"/>
              </w:rPr>
            </w:pPr>
            <w:r>
              <w:rPr>
                <w:rFonts w:ascii="Times New Roman"/>
                <w:sz w:val="21"/>
              </w:rPr>
              <w:t>0.56</w:t>
            </w:r>
          </w:p>
        </w:tc>
      </w:tr>
      <w:tr>
        <w:trPr>
          <w:trHeight w:val="476" w:hRule="atLeast"/>
        </w:trPr>
        <w:tc>
          <w:tcPr>
            <w:tcW w:w="1006" w:type="dxa"/>
            <w:vMerge/>
            <w:tcBorders>
              <w:top w:val="nil"/>
              <w:right w:val="single" w:sz="6" w:space="0" w:color="000000"/>
            </w:tcBorders>
          </w:tcPr>
          <w:p>
            <w:pPr>
              <w:rPr>
                <w:sz w:val="2"/>
                <w:szCs w:val="2"/>
              </w:rPr>
            </w:pPr>
          </w:p>
        </w:tc>
        <w:tc>
          <w:tcPr>
            <w:tcW w:w="1839" w:type="dxa"/>
            <w:tcBorders>
              <w:top w:val="single" w:sz="6" w:space="0" w:color="000000"/>
              <w:left w:val="single" w:sz="6" w:space="0" w:color="000000"/>
              <w:right w:val="single" w:sz="6" w:space="0" w:color="000000"/>
            </w:tcBorders>
          </w:tcPr>
          <w:p>
            <w:pPr>
              <w:pStyle w:val="TableParagraph"/>
              <w:spacing w:line="445" w:lineRule="exact" w:before="11"/>
              <w:ind w:left="695" w:right="668"/>
              <w:rPr>
                <w:sz w:val="21"/>
              </w:rPr>
            </w:pPr>
            <w:r>
              <w:rPr>
                <w:sz w:val="21"/>
              </w:rPr>
              <w:t>总氮</w:t>
            </w:r>
          </w:p>
        </w:tc>
        <w:tc>
          <w:tcPr>
            <w:tcW w:w="1421" w:type="dxa"/>
            <w:tcBorders>
              <w:top w:val="single" w:sz="6" w:space="0" w:color="000000"/>
              <w:left w:val="single" w:sz="6" w:space="0" w:color="000000"/>
              <w:right w:val="single" w:sz="6" w:space="0" w:color="000000"/>
            </w:tcBorders>
          </w:tcPr>
          <w:p>
            <w:pPr>
              <w:pStyle w:val="TableParagraph"/>
              <w:spacing w:before="121"/>
              <w:ind w:left="486" w:right="459"/>
              <w:rPr>
                <w:rFonts w:ascii="Times New Roman"/>
                <w:sz w:val="21"/>
              </w:rPr>
            </w:pPr>
            <w:r>
              <w:rPr>
                <w:rFonts w:ascii="Times New Roman"/>
                <w:sz w:val="21"/>
              </w:rPr>
              <w:t>9.6</w:t>
            </w:r>
          </w:p>
        </w:tc>
        <w:tc>
          <w:tcPr>
            <w:tcW w:w="1423" w:type="dxa"/>
            <w:tcBorders>
              <w:top w:val="single" w:sz="6" w:space="0" w:color="000000"/>
              <w:left w:val="single" w:sz="6" w:space="0" w:color="000000"/>
              <w:right w:val="single" w:sz="6" w:space="0" w:color="000000"/>
            </w:tcBorders>
          </w:tcPr>
          <w:p>
            <w:pPr>
              <w:pStyle w:val="TableParagraph"/>
              <w:spacing w:before="121"/>
              <w:ind w:right="501"/>
              <w:jc w:val="right"/>
              <w:rPr>
                <w:rFonts w:ascii="Times New Roman"/>
                <w:sz w:val="21"/>
              </w:rPr>
            </w:pPr>
            <w:r>
              <w:rPr>
                <w:rFonts w:ascii="Times New Roman"/>
                <w:sz w:val="21"/>
              </w:rPr>
              <w:t>8.47</w:t>
            </w:r>
          </w:p>
        </w:tc>
        <w:tc>
          <w:tcPr>
            <w:tcW w:w="1421" w:type="dxa"/>
            <w:tcBorders>
              <w:top w:val="single" w:sz="6" w:space="0" w:color="000000"/>
              <w:left w:val="single" w:sz="6" w:space="0" w:color="000000"/>
              <w:right w:val="single" w:sz="6" w:space="0" w:color="000000"/>
            </w:tcBorders>
          </w:tcPr>
          <w:p>
            <w:pPr>
              <w:pStyle w:val="TableParagraph"/>
              <w:spacing w:before="121"/>
              <w:ind w:right="554"/>
              <w:jc w:val="right"/>
              <w:rPr>
                <w:rFonts w:ascii="Times New Roman"/>
                <w:sz w:val="21"/>
              </w:rPr>
            </w:pPr>
            <w:r>
              <w:rPr>
                <w:rFonts w:ascii="Times New Roman"/>
                <w:sz w:val="21"/>
              </w:rPr>
              <w:t>8.8</w:t>
            </w:r>
          </w:p>
        </w:tc>
        <w:tc>
          <w:tcPr>
            <w:tcW w:w="1418" w:type="dxa"/>
            <w:tcBorders>
              <w:top w:val="single" w:sz="6" w:space="0" w:color="000000"/>
              <w:left w:val="single" w:sz="6" w:space="0" w:color="000000"/>
            </w:tcBorders>
          </w:tcPr>
          <w:p>
            <w:pPr>
              <w:pStyle w:val="TableParagraph"/>
              <w:spacing w:before="121"/>
              <w:ind w:left="532"/>
              <w:jc w:val="left"/>
              <w:rPr>
                <w:rFonts w:ascii="Times New Roman"/>
                <w:sz w:val="21"/>
              </w:rPr>
            </w:pPr>
            <w:r>
              <w:rPr>
                <w:rFonts w:ascii="Times New Roman"/>
                <w:sz w:val="21"/>
              </w:rPr>
              <w:t>7.27</w:t>
            </w:r>
          </w:p>
        </w:tc>
      </w:tr>
    </w:tbl>
    <w:p>
      <w:pPr>
        <w:pStyle w:val="BodyText"/>
        <w:spacing w:line="220" w:lineRule="auto"/>
        <w:ind w:left="578" w:right="871" w:firstLine="479"/>
        <w:jc w:val="both"/>
      </w:pPr>
      <w:r>
        <w:rPr/>
        <w:t>由上表可见，除总氮、氨氮、全盐量超标外，其余各指标均符合《地表水环境质量标准》（</w:t>
      </w:r>
      <w:r>
        <w:rPr>
          <w:rFonts w:ascii="Times New Roman" w:eastAsia="Times New Roman"/>
        </w:rPr>
        <w:t>GB3838-2002</w:t>
      </w:r>
      <w:r>
        <w:rPr/>
        <w:t>）中 </w:t>
      </w:r>
      <w:r>
        <w:rPr>
          <w:rFonts w:ascii="Times New Roman" w:eastAsia="Times New Roman"/>
        </w:rPr>
        <w:t>IV </w:t>
      </w:r>
      <w:r>
        <w:rPr/>
        <w:t>类标准要求。总氮最大超标 </w:t>
      </w:r>
      <w:r>
        <w:rPr>
          <w:rFonts w:ascii="Times New Roman" w:eastAsia="Times New Roman"/>
        </w:rPr>
        <w:t>9.6 </w:t>
      </w:r>
      <w:r>
        <w:rPr/>
        <w:t>倍，氨氮最大超标 </w:t>
      </w:r>
      <w:r>
        <w:rPr>
          <w:rFonts w:ascii="Times New Roman" w:eastAsia="Times New Roman"/>
        </w:rPr>
        <w:t>7.87 </w:t>
      </w:r>
      <w:r>
        <w:rPr/>
        <w:t>倍，全盐量最大超标 </w:t>
      </w:r>
      <w:r>
        <w:rPr>
          <w:rFonts w:ascii="Times New Roman" w:eastAsia="Times New Roman"/>
        </w:rPr>
        <w:t>2.5 </w:t>
      </w:r>
      <w:r>
        <w:rPr/>
        <w:t>倍。</w:t>
      </w:r>
    </w:p>
    <w:p>
      <w:pPr>
        <w:pStyle w:val="BodyText"/>
        <w:spacing w:line="220" w:lineRule="auto"/>
        <w:ind w:left="578" w:right="880" w:firstLine="479"/>
        <w:jc w:val="both"/>
      </w:pPr>
      <w:r>
        <w:rPr/>
        <w:t>超标原因可能是由于沿途排入未经处理的生活污水、农业面源污染等因素造成。</w:t>
      </w:r>
    </w:p>
    <w:p>
      <w:pPr>
        <w:pStyle w:val="ListParagraph"/>
        <w:numPr>
          <w:ilvl w:val="3"/>
          <w:numId w:val="6"/>
        </w:numPr>
        <w:tabs>
          <w:tab w:pos="1418" w:val="left" w:leader="none"/>
        </w:tabs>
        <w:spacing w:line="592" w:lineRule="exact" w:before="6" w:after="0"/>
        <w:ind w:left="1417" w:right="0" w:hanging="839"/>
        <w:jc w:val="left"/>
        <w:rPr>
          <w:rFonts w:ascii="Times New Roman" w:eastAsia="Times New Roman"/>
          <w:sz w:val="28"/>
        </w:rPr>
      </w:pPr>
      <w:r>
        <w:rPr>
          <w:rFonts w:ascii="Times New Roman" w:eastAsia="Times New Roman"/>
          <w:b/>
          <w:sz w:val="28"/>
        </w:rPr>
        <w:t>2017</w:t>
      </w:r>
      <w:r>
        <w:rPr>
          <w:rFonts w:ascii="Times New Roman" w:eastAsia="Times New Roman"/>
          <w:b/>
          <w:spacing w:val="-1"/>
          <w:sz w:val="28"/>
        </w:rPr>
        <w:t> </w:t>
      </w:r>
      <w:r>
        <w:rPr>
          <w:sz w:val="28"/>
        </w:rPr>
        <w:t>年莒南境内地表水环境现状分析</w:t>
      </w:r>
    </w:p>
    <w:p>
      <w:pPr>
        <w:pStyle w:val="BodyText"/>
        <w:spacing w:line="220" w:lineRule="auto" w:before="26"/>
        <w:ind w:left="578" w:right="873" w:firstLine="479"/>
        <w:jc w:val="both"/>
      </w:pPr>
      <w:r>
        <w:rPr>
          <w:spacing w:val="-16"/>
        </w:rPr>
        <w:t>根据《莒南县地表水环境功能区划方案》，确定评价区内地表水环境功能为地表水Ⅳ类水体。</w:t>
      </w:r>
      <w:r>
        <w:rPr>
          <w:rFonts w:ascii="Times New Roman" w:hAnsi="Times New Roman" w:eastAsia="Times New Roman"/>
          <w:spacing w:val="-16"/>
        </w:rPr>
        <w:t>2017 </w:t>
      </w:r>
      <w:r>
        <w:rPr/>
        <w:t>年评价区内的监测结果见表 </w:t>
      </w:r>
      <w:r>
        <w:rPr>
          <w:rFonts w:ascii="Times New Roman" w:hAnsi="Times New Roman" w:eastAsia="Times New Roman"/>
        </w:rPr>
        <w:t>5.4-20</w:t>
      </w:r>
      <w:r>
        <w:rPr/>
        <w:t>。</w:t>
      </w:r>
    </w:p>
    <w:p>
      <w:pPr>
        <w:tabs>
          <w:tab w:pos="3391" w:val="left" w:leader="none"/>
        </w:tabs>
        <w:spacing w:before="163" w:after="20"/>
        <w:ind w:left="2373" w:right="0" w:firstLine="0"/>
        <w:jc w:val="left"/>
        <w:rPr>
          <w:sz w:val="21"/>
        </w:rPr>
      </w:pPr>
      <w:r>
        <w:rPr>
          <w:sz w:val="21"/>
        </w:rPr>
        <w:t>表</w:t>
      </w:r>
      <w:r>
        <w:rPr>
          <w:spacing w:val="7"/>
          <w:sz w:val="21"/>
        </w:rPr>
        <w:t> </w:t>
      </w:r>
      <w:r>
        <w:rPr>
          <w:rFonts w:ascii="Times New Roman" w:eastAsia="Times New Roman"/>
          <w:b/>
          <w:sz w:val="21"/>
        </w:rPr>
        <w:t>5.4-20</w:t>
        <w:tab/>
      </w:r>
      <w:r>
        <w:rPr>
          <w:sz w:val="21"/>
        </w:rPr>
        <w:t>项目所在区</w:t>
      </w:r>
      <w:r>
        <w:rPr>
          <w:spacing w:val="-3"/>
          <w:sz w:val="21"/>
        </w:rPr>
        <w:t>域</w:t>
      </w:r>
      <w:r>
        <w:rPr>
          <w:sz w:val="21"/>
        </w:rPr>
        <w:t>地表水环境质量监</w:t>
      </w:r>
      <w:r>
        <w:rPr>
          <w:spacing w:val="-3"/>
          <w:sz w:val="21"/>
        </w:rPr>
        <w:t>测</w:t>
      </w:r>
      <w:r>
        <w:rPr>
          <w:sz w:val="21"/>
        </w:rPr>
        <w:t>结果</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71"/>
        <w:gridCol w:w="2578"/>
        <w:gridCol w:w="1784"/>
        <w:gridCol w:w="1596"/>
      </w:tblGrid>
      <w:tr>
        <w:trPr>
          <w:trHeight w:val="339" w:hRule="atLeast"/>
        </w:trPr>
        <w:tc>
          <w:tcPr>
            <w:tcW w:w="2571" w:type="dxa"/>
            <w:vMerge w:val="restart"/>
            <w:tcBorders>
              <w:bottom w:val="single" w:sz="6" w:space="0" w:color="000000"/>
              <w:right w:val="single" w:sz="6" w:space="0" w:color="000000"/>
            </w:tcBorders>
          </w:tcPr>
          <w:p>
            <w:pPr>
              <w:pStyle w:val="TableParagraph"/>
              <w:spacing w:before="117"/>
              <w:ind w:left="863"/>
              <w:jc w:val="left"/>
              <w:rPr>
                <w:sz w:val="21"/>
              </w:rPr>
            </w:pPr>
            <w:r>
              <w:rPr>
                <w:sz w:val="21"/>
              </w:rPr>
              <w:t>点位名称</w:t>
            </w:r>
          </w:p>
        </w:tc>
        <w:tc>
          <w:tcPr>
            <w:tcW w:w="2578" w:type="dxa"/>
            <w:vMerge w:val="restart"/>
            <w:tcBorders>
              <w:left w:val="single" w:sz="6" w:space="0" w:color="000000"/>
              <w:bottom w:val="single" w:sz="6" w:space="0" w:color="000000"/>
              <w:right w:val="single" w:sz="6" w:space="0" w:color="000000"/>
            </w:tcBorders>
          </w:tcPr>
          <w:p>
            <w:pPr>
              <w:pStyle w:val="TableParagraph"/>
              <w:spacing w:before="117"/>
              <w:ind w:left="875"/>
              <w:jc w:val="left"/>
              <w:rPr>
                <w:sz w:val="21"/>
              </w:rPr>
            </w:pPr>
            <w:r>
              <w:rPr>
                <w:sz w:val="21"/>
              </w:rPr>
              <w:t>断面名称</w:t>
            </w:r>
          </w:p>
        </w:tc>
        <w:tc>
          <w:tcPr>
            <w:tcW w:w="3380" w:type="dxa"/>
            <w:gridSpan w:val="2"/>
            <w:tcBorders>
              <w:left w:val="single" w:sz="6" w:space="0" w:color="000000"/>
              <w:bottom w:val="single" w:sz="6" w:space="0" w:color="000000"/>
            </w:tcBorders>
          </w:tcPr>
          <w:p>
            <w:pPr>
              <w:pStyle w:val="TableParagraph"/>
              <w:spacing w:before="52"/>
              <w:ind w:left="1466" w:right="1431"/>
              <w:rPr>
                <w:rFonts w:ascii="Times New Roman"/>
                <w:sz w:val="21"/>
              </w:rPr>
            </w:pPr>
            <w:r>
              <w:rPr>
                <w:rFonts w:ascii="Times New Roman"/>
                <w:sz w:val="21"/>
              </w:rPr>
              <w:t>2017</w:t>
            </w:r>
          </w:p>
        </w:tc>
      </w:tr>
      <w:tr>
        <w:trPr>
          <w:trHeight w:val="340" w:hRule="atLeast"/>
        </w:trPr>
        <w:tc>
          <w:tcPr>
            <w:tcW w:w="2571" w:type="dxa"/>
            <w:vMerge/>
            <w:tcBorders>
              <w:top w:val="nil"/>
              <w:bottom w:val="single" w:sz="6" w:space="0" w:color="000000"/>
              <w:right w:val="single" w:sz="6" w:space="0" w:color="000000"/>
            </w:tcBorders>
          </w:tcPr>
          <w:p>
            <w:pPr>
              <w:rPr>
                <w:sz w:val="2"/>
                <w:szCs w:val="2"/>
              </w:rPr>
            </w:pPr>
          </w:p>
        </w:tc>
        <w:tc>
          <w:tcPr>
            <w:tcW w:w="2578" w:type="dxa"/>
            <w:vMerge/>
            <w:tcBorders>
              <w:top w:val="nil"/>
              <w:left w:val="single" w:sz="6" w:space="0" w:color="000000"/>
              <w:bottom w:val="single" w:sz="6" w:space="0" w:color="000000"/>
              <w:right w:val="single" w:sz="6" w:space="0" w:color="000000"/>
            </w:tcBorders>
          </w:tcPr>
          <w:p>
            <w:pPr>
              <w:rPr>
                <w:sz w:val="2"/>
                <w:szCs w:val="2"/>
              </w:rPr>
            </w:pPr>
          </w:p>
        </w:tc>
        <w:tc>
          <w:tcPr>
            <w:tcW w:w="178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8" w:right="205"/>
              <w:rPr>
                <w:sz w:val="21"/>
              </w:rPr>
            </w:pPr>
            <w:r>
              <w:rPr>
                <w:sz w:val="21"/>
              </w:rPr>
              <w:t>氨氮（</w:t>
            </w:r>
            <w:r>
              <w:rPr>
                <w:rFonts w:ascii="Times New Roman" w:eastAsia="Times New Roman"/>
                <w:position w:val="1"/>
                <w:sz w:val="21"/>
              </w:rPr>
              <w:t>mg/L</w:t>
            </w:r>
            <w:r>
              <w:rPr>
                <w:sz w:val="21"/>
              </w:rPr>
              <w:t>）</w:t>
            </w:r>
          </w:p>
        </w:tc>
        <w:tc>
          <w:tcPr>
            <w:tcW w:w="1596" w:type="dxa"/>
            <w:tcBorders>
              <w:top w:val="single" w:sz="6" w:space="0" w:color="000000"/>
              <w:left w:val="single" w:sz="6" w:space="0" w:color="000000"/>
              <w:bottom w:val="single" w:sz="6" w:space="0" w:color="000000"/>
            </w:tcBorders>
          </w:tcPr>
          <w:p>
            <w:pPr>
              <w:pStyle w:val="TableParagraph"/>
              <w:spacing w:line="320" w:lineRule="exact"/>
              <w:ind w:left="114" w:right="-29"/>
              <w:rPr>
                <w:sz w:val="21"/>
              </w:rPr>
            </w:pPr>
            <w:r>
              <w:rPr>
                <w:rFonts w:ascii="Times New Roman" w:eastAsia="Times New Roman"/>
                <w:spacing w:val="-1"/>
                <w:position w:val="1"/>
                <w:sz w:val="21"/>
              </w:rPr>
              <w:t>CODcr</w:t>
            </w:r>
            <w:r>
              <w:rPr>
                <w:spacing w:val="-1"/>
                <w:sz w:val="21"/>
              </w:rPr>
              <w:t>（</w:t>
            </w:r>
            <w:r>
              <w:rPr>
                <w:rFonts w:ascii="Times New Roman" w:eastAsia="Times New Roman"/>
                <w:spacing w:val="-1"/>
                <w:position w:val="1"/>
                <w:sz w:val="21"/>
              </w:rPr>
              <w:t>mg/L</w:t>
            </w:r>
            <w:r>
              <w:rPr>
                <w:spacing w:val="-1"/>
                <w:sz w:val="21"/>
              </w:rPr>
              <w:t>）</w:t>
            </w:r>
          </w:p>
        </w:tc>
      </w:tr>
      <w:tr>
        <w:trPr>
          <w:trHeight w:val="340" w:hRule="atLeast"/>
        </w:trPr>
        <w:tc>
          <w:tcPr>
            <w:tcW w:w="2571" w:type="dxa"/>
            <w:tcBorders>
              <w:top w:val="single" w:sz="6" w:space="0" w:color="000000"/>
              <w:bottom w:val="single" w:sz="6" w:space="0" w:color="000000"/>
              <w:right w:val="single" w:sz="6" w:space="0" w:color="000000"/>
            </w:tcBorders>
          </w:tcPr>
          <w:p>
            <w:pPr>
              <w:pStyle w:val="TableParagraph"/>
              <w:spacing w:line="320" w:lineRule="exact"/>
              <w:ind w:left="950" w:right="928"/>
              <w:rPr>
                <w:sz w:val="21"/>
              </w:rPr>
            </w:pPr>
            <w:r>
              <w:rPr>
                <w:sz w:val="21"/>
              </w:rPr>
              <w:t>鸡龙河</w:t>
            </w:r>
          </w:p>
        </w:tc>
        <w:tc>
          <w:tcPr>
            <w:tcW w:w="257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51" w:right="721"/>
              <w:rPr>
                <w:sz w:val="21"/>
              </w:rPr>
            </w:pPr>
            <w:r>
              <w:rPr>
                <w:sz w:val="21"/>
              </w:rPr>
              <w:t>于家湖坝</w:t>
            </w:r>
          </w:p>
        </w:tc>
        <w:tc>
          <w:tcPr>
            <w:tcW w:w="1784" w:type="dxa"/>
            <w:tcBorders>
              <w:top w:val="single" w:sz="6" w:space="0" w:color="000000"/>
              <w:left w:val="single" w:sz="6" w:space="0" w:color="000000"/>
              <w:bottom w:val="single" w:sz="6" w:space="0" w:color="000000"/>
              <w:right w:val="single" w:sz="6" w:space="0" w:color="000000"/>
            </w:tcBorders>
          </w:tcPr>
          <w:p>
            <w:pPr>
              <w:pStyle w:val="TableParagraph"/>
              <w:spacing w:before="52"/>
              <w:ind w:left="228" w:right="198"/>
              <w:rPr>
                <w:rFonts w:ascii="Times New Roman"/>
                <w:sz w:val="21"/>
              </w:rPr>
            </w:pPr>
            <w:r>
              <w:rPr>
                <w:rFonts w:ascii="Times New Roman"/>
                <w:sz w:val="21"/>
              </w:rPr>
              <w:t>1.788</w:t>
            </w:r>
          </w:p>
        </w:tc>
        <w:tc>
          <w:tcPr>
            <w:tcW w:w="1596" w:type="dxa"/>
            <w:tcBorders>
              <w:top w:val="single" w:sz="6" w:space="0" w:color="000000"/>
              <w:left w:val="single" w:sz="6" w:space="0" w:color="000000"/>
              <w:bottom w:val="single" w:sz="6" w:space="0" w:color="000000"/>
            </w:tcBorders>
          </w:tcPr>
          <w:p>
            <w:pPr>
              <w:pStyle w:val="TableParagraph"/>
              <w:spacing w:before="52"/>
              <w:ind w:left="114" w:right="76"/>
              <w:rPr>
                <w:rFonts w:ascii="Times New Roman"/>
                <w:sz w:val="21"/>
              </w:rPr>
            </w:pPr>
            <w:r>
              <w:rPr>
                <w:rFonts w:ascii="Times New Roman"/>
                <w:sz w:val="21"/>
              </w:rPr>
              <w:t>35.5</w:t>
            </w:r>
          </w:p>
        </w:tc>
      </w:tr>
      <w:tr>
        <w:trPr>
          <w:trHeight w:val="340" w:hRule="atLeast"/>
        </w:trPr>
        <w:tc>
          <w:tcPr>
            <w:tcW w:w="2571" w:type="dxa"/>
            <w:tcBorders>
              <w:top w:val="single" w:sz="6" w:space="0" w:color="000000"/>
              <w:bottom w:val="single" w:sz="6" w:space="0" w:color="000000"/>
              <w:right w:val="single" w:sz="6" w:space="0" w:color="000000"/>
            </w:tcBorders>
          </w:tcPr>
          <w:p>
            <w:pPr>
              <w:pStyle w:val="TableParagraph"/>
              <w:spacing w:line="320" w:lineRule="exact"/>
              <w:ind w:left="950" w:right="928"/>
              <w:rPr>
                <w:sz w:val="21"/>
              </w:rPr>
            </w:pPr>
            <w:r>
              <w:rPr>
                <w:sz w:val="21"/>
              </w:rPr>
              <w:t>鸡龙河</w:t>
            </w:r>
          </w:p>
        </w:tc>
        <w:tc>
          <w:tcPr>
            <w:tcW w:w="257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51" w:right="721"/>
              <w:rPr>
                <w:sz w:val="21"/>
              </w:rPr>
            </w:pPr>
            <w:r>
              <w:rPr>
                <w:sz w:val="21"/>
              </w:rPr>
              <w:t>大白常村北</w:t>
            </w:r>
          </w:p>
        </w:tc>
        <w:tc>
          <w:tcPr>
            <w:tcW w:w="1784" w:type="dxa"/>
            <w:tcBorders>
              <w:top w:val="single" w:sz="6" w:space="0" w:color="000000"/>
              <w:left w:val="single" w:sz="6" w:space="0" w:color="000000"/>
              <w:bottom w:val="single" w:sz="6" w:space="0" w:color="000000"/>
              <w:right w:val="single" w:sz="6" w:space="0" w:color="000000"/>
            </w:tcBorders>
          </w:tcPr>
          <w:p>
            <w:pPr>
              <w:pStyle w:val="TableParagraph"/>
              <w:spacing w:before="52"/>
              <w:ind w:left="228" w:right="198"/>
              <w:rPr>
                <w:rFonts w:ascii="Times New Roman"/>
                <w:sz w:val="21"/>
              </w:rPr>
            </w:pPr>
            <w:r>
              <w:rPr>
                <w:rFonts w:ascii="Times New Roman"/>
                <w:sz w:val="21"/>
              </w:rPr>
              <w:t>3.213</w:t>
            </w:r>
          </w:p>
        </w:tc>
        <w:tc>
          <w:tcPr>
            <w:tcW w:w="1596" w:type="dxa"/>
            <w:tcBorders>
              <w:top w:val="single" w:sz="6" w:space="0" w:color="000000"/>
              <w:left w:val="single" w:sz="6" w:space="0" w:color="000000"/>
              <w:bottom w:val="single" w:sz="6" w:space="0" w:color="000000"/>
            </w:tcBorders>
          </w:tcPr>
          <w:p>
            <w:pPr>
              <w:pStyle w:val="TableParagraph"/>
              <w:spacing w:before="52"/>
              <w:ind w:left="114" w:right="76"/>
              <w:rPr>
                <w:rFonts w:ascii="Times New Roman"/>
                <w:sz w:val="21"/>
              </w:rPr>
            </w:pPr>
            <w:r>
              <w:rPr>
                <w:rFonts w:ascii="Times New Roman"/>
                <w:sz w:val="21"/>
              </w:rPr>
              <w:t>49.7</w:t>
            </w:r>
          </w:p>
        </w:tc>
      </w:tr>
      <w:tr>
        <w:trPr>
          <w:trHeight w:val="340" w:hRule="atLeast"/>
        </w:trPr>
        <w:tc>
          <w:tcPr>
            <w:tcW w:w="2571" w:type="dxa"/>
            <w:tcBorders>
              <w:top w:val="single" w:sz="6" w:space="0" w:color="000000"/>
              <w:bottom w:val="single" w:sz="6" w:space="0" w:color="000000"/>
              <w:right w:val="single" w:sz="6" w:space="0" w:color="000000"/>
            </w:tcBorders>
          </w:tcPr>
          <w:p>
            <w:pPr>
              <w:pStyle w:val="TableParagraph"/>
              <w:spacing w:line="320" w:lineRule="exact"/>
              <w:ind w:left="950" w:right="928"/>
              <w:rPr>
                <w:sz w:val="21"/>
              </w:rPr>
            </w:pPr>
            <w:r>
              <w:rPr>
                <w:sz w:val="21"/>
              </w:rPr>
              <w:t>龙王河</w:t>
            </w:r>
          </w:p>
        </w:tc>
        <w:tc>
          <w:tcPr>
            <w:tcW w:w="257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51" w:right="721"/>
              <w:rPr>
                <w:sz w:val="21"/>
              </w:rPr>
            </w:pPr>
            <w:r>
              <w:rPr>
                <w:sz w:val="21"/>
              </w:rPr>
              <w:t>朱家洼子闸</w:t>
            </w:r>
          </w:p>
        </w:tc>
        <w:tc>
          <w:tcPr>
            <w:tcW w:w="1784" w:type="dxa"/>
            <w:tcBorders>
              <w:top w:val="single" w:sz="6" w:space="0" w:color="000000"/>
              <w:left w:val="single" w:sz="6" w:space="0" w:color="000000"/>
              <w:bottom w:val="single" w:sz="6" w:space="0" w:color="000000"/>
              <w:right w:val="single" w:sz="6" w:space="0" w:color="000000"/>
            </w:tcBorders>
          </w:tcPr>
          <w:p>
            <w:pPr>
              <w:pStyle w:val="TableParagraph"/>
              <w:spacing w:before="52"/>
              <w:ind w:left="228" w:right="198"/>
              <w:rPr>
                <w:rFonts w:ascii="Times New Roman"/>
                <w:sz w:val="21"/>
              </w:rPr>
            </w:pPr>
            <w:r>
              <w:rPr>
                <w:rFonts w:ascii="Times New Roman"/>
                <w:sz w:val="21"/>
              </w:rPr>
              <w:t>0.705</w:t>
            </w:r>
          </w:p>
        </w:tc>
        <w:tc>
          <w:tcPr>
            <w:tcW w:w="1596" w:type="dxa"/>
            <w:tcBorders>
              <w:top w:val="single" w:sz="6" w:space="0" w:color="000000"/>
              <w:left w:val="single" w:sz="6" w:space="0" w:color="000000"/>
              <w:bottom w:val="single" w:sz="6" w:space="0" w:color="000000"/>
            </w:tcBorders>
          </w:tcPr>
          <w:p>
            <w:pPr>
              <w:pStyle w:val="TableParagraph"/>
              <w:spacing w:before="52"/>
              <w:ind w:left="114" w:right="76"/>
              <w:rPr>
                <w:rFonts w:ascii="Times New Roman"/>
                <w:sz w:val="21"/>
              </w:rPr>
            </w:pPr>
            <w:r>
              <w:rPr>
                <w:rFonts w:ascii="Times New Roman"/>
                <w:sz w:val="21"/>
              </w:rPr>
              <w:t>25.3</w:t>
            </w:r>
          </w:p>
        </w:tc>
      </w:tr>
      <w:tr>
        <w:trPr>
          <w:trHeight w:val="337" w:hRule="atLeast"/>
        </w:trPr>
        <w:tc>
          <w:tcPr>
            <w:tcW w:w="2571" w:type="dxa"/>
            <w:tcBorders>
              <w:top w:val="single" w:sz="6" w:space="0" w:color="000000"/>
              <w:bottom w:val="single" w:sz="6" w:space="0" w:color="000000"/>
              <w:right w:val="single" w:sz="6" w:space="0" w:color="000000"/>
            </w:tcBorders>
          </w:tcPr>
          <w:p>
            <w:pPr>
              <w:pStyle w:val="TableParagraph"/>
              <w:spacing w:line="318" w:lineRule="exact"/>
              <w:ind w:left="950" w:right="928"/>
              <w:rPr>
                <w:sz w:val="21"/>
              </w:rPr>
            </w:pPr>
            <w:r>
              <w:rPr>
                <w:sz w:val="21"/>
              </w:rPr>
              <w:t>洙溪河</w:t>
            </w:r>
          </w:p>
        </w:tc>
        <w:tc>
          <w:tcPr>
            <w:tcW w:w="2578"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751" w:right="721"/>
              <w:rPr>
                <w:sz w:val="21"/>
              </w:rPr>
            </w:pPr>
            <w:r>
              <w:rPr>
                <w:sz w:val="21"/>
              </w:rPr>
              <w:t>东高家庄</w:t>
            </w:r>
          </w:p>
        </w:tc>
        <w:tc>
          <w:tcPr>
            <w:tcW w:w="1784" w:type="dxa"/>
            <w:tcBorders>
              <w:top w:val="single" w:sz="6" w:space="0" w:color="000000"/>
              <w:left w:val="single" w:sz="6" w:space="0" w:color="000000"/>
              <w:bottom w:val="single" w:sz="6" w:space="0" w:color="000000"/>
              <w:right w:val="single" w:sz="6" w:space="0" w:color="000000"/>
            </w:tcBorders>
          </w:tcPr>
          <w:p>
            <w:pPr>
              <w:pStyle w:val="TableParagraph"/>
              <w:spacing w:before="52"/>
              <w:ind w:left="228" w:right="198"/>
              <w:rPr>
                <w:rFonts w:ascii="Times New Roman"/>
                <w:sz w:val="21"/>
              </w:rPr>
            </w:pPr>
            <w:r>
              <w:rPr>
                <w:rFonts w:ascii="Times New Roman"/>
                <w:sz w:val="21"/>
              </w:rPr>
              <w:t>1.71</w:t>
            </w:r>
          </w:p>
        </w:tc>
        <w:tc>
          <w:tcPr>
            <w:tcW w:w="1596" w:type="dxa"/>
            <w:tcBorders>
              <w:top w:val="single" w:sz="6" w:space="0" w:color="000000"/>
              <w:left w:val="single" w:sz="6" w:space="0" w:color="000000"/>
              <w:bottom w:val="single" w:sz="6" w:space="0" w:color="000000"/>
            </w:tcBorders>
          </w:tcPr>
          <w:p>
            <w:pPr>
              <w:pStyle w:val="TableParagraph"/>
              <w:spacing w:before="52"/>
              <w:ind w:left="114" w:right="81"/>
              <w:rPr>
                <w:rFonts w:ascii="Times New Roman"/>
                <w:sz w:val="21"/>
              </w:rPr>
            </w:pPr>
            <w:r>
              <w:rPr>
                <w:rFonts w:ascii="Times New Roman"/>
                <w:sz w:val="21"/>
              </w:rPr>
              <w:t>30</w:t>
            </w:r>
          </w:p>
        </w:tc>
      </w:tr>
      <w:tr>
        <w:trPr>
          <w:trHeight w:val="342" w:hRule="atLeast"/>
        </w:trPr>
        <w:tc>
          <w:tcPr>
            <w:tcW w:w="5149" w:type="dxa"/>
            <w:gridSpan w:val="2"/>
            <w:tcBorders>
              <w:top w:val="single" w:sz="6" w:space="0" w:color="000000"/>
              <w:right w:val="single" w:sz="6" w:space="0" w:color="000000"/>
            </w:tcBorders>
          </w:tcPr>
          <w:p>
            <w:pPr>
              <w:pStyle w:val="TableParagraph"/>
              <w:spacing w:line="322" w:lineRule="exact"/>
              <w:ind w:left="239"/>
              <w:jc w:val="left"/>
              <w:rPr>
                <w:sz w:val="21"/>
              </w:rPr>
            </w:pPr>
            <w:r>
              <w:rPr>
                <w:sz w:val="21"/>
              </w:rPr>
              <w:t>《地表水环境质量标准》（</w:t>
            </w:r>
            <w:r>
              <w:rPr>
                <w:rFonts w:ascii="Times New Roman" w:hAnsi="Times New Roman" w:eastAsia="Times New Roman"/>
                <w:sz w:val="21"/>
              </w:rPr>
              <w:t>GB3838-2002</w:t>
            </w:r>
            <w:r>
              <w:rPr>
                <w:sz w:val="21"/>
              </w:rPr>
              <w:t>）Ⅳ类标准</w:t>
            </w:r>
          </w:p>
        </w:tc>
        <w:tc>
          <w:tcPr>
            <w:tcW w:w="1784" w:type="dxa"/>
            <w:tcBorders>
              <w:top w:val="single" w:sz="6" w:space="0" w:color="000000"/>
              <w:left w:val="single" w:sz="6" w:space="0" w:color="000000"/>
              <w:right w:val="single" w:sz="6" w:space="0" w:color="000000"/>
            </w:tcBorders>
          </w:tcPr>
          <w:p>
            <w:pPr>
              <w:pStyle w:val="TableParagraph"/>
              <w:spacing w:before="54"/>
              <w:ind w:left="228" w:right="198"/>
              <w:rPr>
                <w:rFonts w:ascii="Times New Roman"/>
                <w:sz w:val="21"/>
              </w:rPr>
            </w:pPr>
            <w:r>
              <w:rPr>
                <w:rFonts w:ascii="Times New Roman"/>
                <w:sz w:val="21"/>
              </w:rPr>
              <w:t>1.5</w:t>
            </w:r>
          </w:p>
        </w:tc>
        <w:tc>
          <w:tcPr>
            <w:tcW w:w="1596" w:type="dxa"/>
            <w:tcBorders>
              <w:top w:val="single" w:sz="6" w:space="0" w:color="000000"/>
              <w:left w:val="single" w:sz="6" w:space="0" w:color="000000"/>
            </w:tcBorders>
          </w:tcPr>
          <w:p>
            <w:pPr>
              <w:pStyle w:val="TableParagraph"/>
              <w:spacing w:before="54"/>
              <w:ind w:left="114" w:right="81"/>
              <w:rPr>
                <w:rFonts w:ascii="Times New Roman"/>
                <w:sz w:val="21"/>
              </w:rPr>
            </w:pPr>
            <w:r>
              <w:rPr>
                <w:rFonts w:ascii="Times New Roman"/>
                <w:sz w:val="21"/>
              </w:rPr>
              <w:t>30</w:t>
            </w:r>
          </w:p>
        </w:tc>
      </w:tr>
    </w:tbl>
    <w:p>
      <w:pPr>
        <w:pStyle w:val="BodyText"/>
        <w:spacing w:line="220" w:lineRule="auto"/>
        <w:ind w:left="578" w:right="753" w:firstLine="479"/>
        <w:jc w:val="both"/>
      </w:pPr>
      <w:r>
        <w:rPr>
          <w:spacing w:val="-20"/>
        </w:rPr>
        <w:t>由上表可见，</w:t>
      </w:r>
      <w:r>
        <w:rPr>
          <w:rFonts w:ascii="Times New Roman" w:hAnsi="Times New Roman" w:eastAsia="Times New Roman"/>
        </w:rPr>
        <w:t>2017 </w:t>
      </w:r>
      <w:r>
        <w:rPr>
          <w:spacing w:val="-7"/>
        </w:rPr>
        <w:t>年莒南境内鸡龙河于家湖坝断面断面、大白常村北 </w:t>
      </w:r>
      <w:r>
        <w:rPr>
          <w:rFonts w:ascii="Times New Roman" w:hAnsi="Times New Roman" w:eastAsia="Times New Roman"/>
        </w:rPr>
        <w:t>C</w:t>
      </w:r>
      <w:r>
        <w:rPr>
          <w:rFonts w:ascii="Times New Roman" w:hAnsi="Times New Roman" w:eastAsia="Times New Roman"/>
          <w:w w:val="99"/>
        </w:rPr>
        <w:t>O</w:t>
      </w:r>
      <w:r>
        <w:rPr>
          <w:rFonts w:ascii="Times New Roman" w:hAnsi="Times New Roman" w:eastAsia="Times New Roman"/>
          <w:spacing w:val="-1"/>
          <w:w w:val="99"/>
        </w:rPr>
        <w:t>D</w:t>
      </w:r>
      <w:r>
        <w:rPr/>
        <w:t>、氨氮均超标，洙溪河东高家庄断面氨氮超标，说明鸡龙河、洙溪河水质不能满</w:t>
      </w:r>
      <w:r>
        <w:rPr>
          <w:spacing w:val="-10"/>
        </w:rPr>
        <w:t>足《地表水环境质量标准》</w:t>
      </w:r>
      <w:r>
        <w:rPr/>
        <w:t>（</w:t>
      </w:r>
      <w:r>
        <w:rPr>
          <w:rFonts w:ascii="Times New Roman" w:hAnsi="Times New Roman" w:eastAsia="Times New Roman"/>
        </w:rPr>
        <w:t>GB3838-2002</w:t>
      </w:r>
      <w:r>
        <w:rPr/>
        <w:t>）Ⅳ类标准要求。</w:t>
      </w:r>
    </w:p>
    <w:p>
      <w:pPr>
        <w:pStyle w:val="ListParagraph"/>
        <w:numPr>
          <w:ilvl w:val="3"/>
          <w:numId w:val="6"/>
        </w:numPr>
        <w:tabs>
          <w:tab w:pos="1299" w:val="left" w:leader="none"/>
        </w:tabs>
        <w:spacing w:line="460" w:lineRule="exact" w:before="0" w:after="0"/>
        <w:ind w:left="1298" w:right="0" w:hanging="720"/>
        <w:jc w:val="left"/>
        <w:rPr>
          <w:rFonts w:ascii="Times New Roman" w:eastAsia="Times New Roman"/>
          <w:sz w:val="24"/>
        </w:rPr>
      </w:pPr>
      <w:r>
        <w:rPr>
          <w:rFonts w:ascii="Times New Roman" w:eastAsia="Times New Roman"/>
          <w:b/>
          <w:sz w:val="24"/>
        </w:rPr>
        <w:t>2018</w:t>
      </w:r>
      <w:r>
        <w:rPr>
          <w:rFonts w:ascii="Times New Roman" w:eastAsia="Times New Roman"/>
          <w:b/>
          <w:spacing w:val="-1"/>
          <w:sz w:val="24"/>
        </w:rPr>
        <w:t> </w:t>
      </w:r>
      <w:r>
        <w:rPr>
          <w:sz w:val="24"/>
        </w:rPr>
        <w:t>年鸡龙河大白常断面环境现状分析</w:t>
      </w:r>
    </w:p>
    <w:p>
      <w:pPr>
        <w:pStyle w:val="BodyText"/>
        <w:spacing w:line="220" w:lineRule="auto" w:before="8"/>
        <w:ind w:left="578" w:right="874" w:firstLine="479"/>
        <w:jc w:val="both"/>
      </w:pPr>
      <w:r>
        <w:rPr>
          <w:spacing w:val="-1"/>
        </w:rPr>
        <w:t>根据莒南县环境监测站提供资料，</w:t>
      </w:r>
      <w:r>
        <w:rPr>
          <w:rFonts w:ascii="Times New Roman" w:eastAsia="Times New Roman"/>
          <w:spacing w:val="-6"/>
        </w:rPr>
        <w:t>2018 </w:t>
      </w:r>
      <w:r>
        <w:rPr>
          <w:spacing w:val="-6"/>
        </w:rPr>
        <w:t>年评价区内鸡龙河大白常断面例行监测数据的结果见表 </w:t>
      </w:r>
      <w:r>
        <w:rPr>
          <w:rFonts w:ascii="Times New Roman" w:eastAsia="Times New Roman"/>
        </w:rPr>
        <w:t>5.4-21</w:t>
      </w:r>
      <w:r>
        <w:rPr/>
        <w:t>。</w:t>
      </w:r>
    </w:p>
    <w:p>
      <w:pPr>
        <w:tabs>
          <w:tab w:pos="1018" w:val="left" w:leader="none"/>
          <w:tab w:pos="4812" w:val="left" w:leader="none"/>
        </w:tabs>
        <w:spacing w:before="162" w:after="24"/>
        <w:ind w:left="0" w:right="296" w:firstLine="0"/>
        <w:jc w:val="center"/>
        <w:rPr>
          <w:rFonts w:ascii="Times New Roman" w:eastAsia="Times New Roman"/>
          <w:b/>
          <w:sz w:val="21"/>
        </w:rPr>
      </w:pPr>
      <w:r>
        <w:rPr>
          <w:sz w:val="21"/>
        </w:rPr>
        <w:t>表</w:t>
      </w:r>
      <w:r>
        <w:rPr>
          <w:spacing w:val="8"/>
          <w:sz w:val="21"/>
        </w:rPr>
        <w:t> </w:t>
      </w:r>
      <w:r>
        <w:rPr>
          <w:rFonts w:ascii="Times New Roman" w:eastAsia="Times New Roman"/>
          <w:b/>
          <w:sz w:val="21"/>
        </w:rPr>
        <w:t>5.2-21</w:t>
        <w:tab/>
      </w:r>
      <w:r>
        <w:rPr>
          <w:sz w:val="21"/>
        </w:rPr>
        <w:t>鸡龙河大白</w:t>
      </w:r>
      <w:r>
        <w:rPr>
          <w:spacing w:val="-3"/>
          <w:sz w:val="21"/>
        </w:rPr>
        <w:t>常</w:t>
      </w:r>
      <w:r>
        <w:rPr>
          <w:sz w:val="21"/>
        </w:rPr>
        <w:t>断面例行监测数据</w:t>
      </w:r>
      <w:r>
        <w:rPr>
          <w:spacing w:val="-3"/>
          <w:sz w:val="21"/>
        </w:rPr>
        <w:t>一</w:t>
      </w:r>
      <w:r>
        <w:rPr>
          <w:sz w:val="21"/>
        </w:rPr>
        <w:t>览表</w:t>
        <w:tab/>
        <w:t>单位：</w:t>
      </w:r>
      <w:r>
        <w:rPr>
          <w:rFonts w:ascii="Times New Roman" w:eastAsia="Times New Roman"/>
          <w:b/>
          <w:sz w:val="21"/>
        </w:rPr>
        <w:t>mg/L</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9"/>
        <w:gridCol w:w="2153"/>
        <w:gridCol w:w="2153"/>
        <w:gridCol w:w="2144"/>
      </w:tblGrid>
      <w:tr>
        <w:trPr>
          <w:trHeight w:val="311" w:hRule="atLeast"/>
        </w:trPr>
        <w:tc>
          <w:tcPr>
            <w:tcW w:w="2079" w:type="dxa"/>
            <w:tcBorders>
              <w:bottom w:val="single" w:sz="6" w:space="0" w:color="000000"/>
              <w:right w:val="single" w:sz="6" w:space="0" w:color="000000"/>
            </w:tcBorders>
          </w:tcPr>
          <w:p>
            <w:pPr>
              <w:pStyle w:val="TableParagraph"/>
              <w:spacing w:line="291" w:lineRule="exact"/>
              <w:ind w:left="599" w:right="576"/>
              <w:rPr>
                <w:sz w:val="21"/>
              </w:rPr>
            </w:pPr>
            <w:r>
              <w:rPr>
                <w:sz w:val="21"/>
              </w:rPr>
              <w:t>监测时间</w:t>
            </w:r>
          </w:p>
        </w:tc>
        <w:tc>
          <w:tcPr>
            <w:tcW w:w="2153" w:type="dxa"/>
            <w:tcBorders>
              <w:left w:val="single" w:sz="6" w:space="0" w:color="000000"/>
              <w:bottom w:val="single" w:sz="6" w:space="0" w:color="000000"/>
              <w:right w:val="single" w:sz="6" w:space="0" w:color="000000"/>
            </w:tcBorders>
          </w:tcPr>
          <w:p>
            <w:pPr>
              <w:pStyle w:val="TableParagraph"/>
              <w:spacing w:before="33"/>
              <w:ind w:left="761" w:right="730"/>
              <w:rPr>
                <w:rFonts w:ascii="Times New Roman"/>
                <w:sz w:val="21"/>
              </w:rPr>
            </w:pPr>
            <w:r>
              <w:rPr>
                <w:rFonts w:ascii="Times New Roman"/>
                <w:sz w:val="21"/>
              </w:rPr>
              <w:t>CODcr</w:t>
            </w:r>
          </w:p>
        </w:tc>
        <w:tc>
          <w:tcPr>
            <w:tcW w:w="2153" w:type="dxa"/>
            <w:tcBorders>
              <w:left w:val="single" w:sz="6" w:space="0" w:color="000000"/>
              <w:bottom w:val="single" w:sz="6" w:space="0" w:color="000000"/>
              <w:right w:val="single" w:sz="6" w:space="0" w:color="000000"/>
            </w:tcBorders>
          </w:tcPr>
          <w:p>
            <w:pPr>
              <w:pStyle w:val="TableParagraph"/>
              <w:spacing w:line="291" w:lineRule="exact"/>
              <w:ind w:left="761" w:right="730"/>
              <w:rPr>
                <w:sz w:val="21"/>
              </w:rPr>
            </w:pPr>
            <w:r>
              <w:rPr>
                <w:sz w:val="21"/>
              </w:rPr>
              <w:t>氨氮</w:t>
            </w:r>
          </w:p>
        </w:tc>
        <w:tc>
          <w:tcPr>
            <w:tcW w:w="2144" w:type="dxa"/>
            <w:tcBorders>
              <w:left w:val="single" w:sz="6" w:space="0" w:color="000000"/>
              <w:bottom w:val="single" w:sz="6" w:space="0" w:color="000000"/>
            </w:tcBorders>
          </w:tcPr>
          <w:p>
            <w:pPr>
              <w:pStyle w:val="TableParagraph"/>
              <w:spacing w:line="291" w:lineRule="exact"/>
              <w:ind w:left="849" w:right="811"/>
              <w:rPr>
                <w:sz w:val="21"/>
              </w:rPr>
            </w:pPr>
            <w:r>
              <w:rPr>
                <w:sz w:val="21"/>
              </w:rPr>
              <w:t>总磷</w:t>
            </w:r>
          </w:p>
        </w:tc>
      </w:tr>
      <w:tr>
        <w:trPr>
          <w:trHeight w:val="314" w:hRule="atLeast"/>
        </w:trPr>
        <w:tc>
          <w:tcPr>
            <w:tcW w:w="2079" w:type="dxa"/>
            <w:tcBorders>
              <w:top w:val="single" w:sz="6" w:space="0" w:color="000000"/>
              <w:bottom w:val="single" w:sz="6" w:space="0" w:color="000000"/>
              <w:right w:val="single" w:sz="6" w:space="0" w:color="000000"/>
            </w:tcBorders>
          </w:tcPr>
          <w:p>
            <w:pPr>
              <w:pStyle w:val="TableParagraph"/>
              <w:spacing w:before="37"/>
              <w:ind w:left="596" w:right="576"/>
              <w:rPr>
                <w:rFonts w:ascii="Times New Roman"/>
                <w:sz w:val="21"/>
              </w:rPr>
            </w:pPr>
            <w:r>
              <w:rPr>
                <w:rFonts w:ascii="Times New Roman"/>
                <w:sz w:val="21"/>
              </w:rPr>
              <w:t>2018.1</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7"/>
              <w:ind w:left="756" w:right="730"/>
              <w:rPr>
                <w:rFonts w:ascii="Times New Roman"/>
                <w:sz w:val="21"/>
              </w:rPr>
            </w:pPr>
            <w:r>
              <w:rPr>
                <w:rFonts w:ascii="Times New Roman"/>
                <w:sz w:val="21"/>
              </w:rPr>
              <w:t>36</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7"/>
              <w:ind w:left="761" w:right="730"/>
              <w:rPr>
                <w:rFonts w:ascii="Times New Roman"/>
                <w:sz w:val="21"/>
              </w:rPr>
            </w:pPr>
            <w:r>
              <w:rPr>
                <w:rFonts w:ascii="Times New Roman"/>
                <w:sz w:val="21"/>
              </w:rPr>
              <w:t>2.09</w:t>
            </w:r>
          </w:p>
        </w:tc>
        <w:tc>
          <w:tcPr>
            <w:tcW w:w="2144" w:type="dxa"/>
            <w:tcBorders>
              <w:top w:val="single" w:sz="6" w:space="0" w:color="000000"/>
              <w:left w:val="single" w:sz="6" w:space="0" w:color="000000"/>
              <w:bottom w:val="single" w:sz="6" w:space="0" w:color="000000"/>
            </w:tcBorders>
          </w:tcPr>
          <w:p>
            <w:pPr>
              <w:pStyle w:val="TableParagraph"/>
              <w:spacing w:before="37"/>
              <w:ind w:left="849" w:right="811"/>
              <w:rPr>
                <w:rFonts w:ascii="Times New Roman"/>
                <w:sz w:val="21"/>
              </w:rPr>
            </w:pPr>
            <w:r>
              <w:rPr>
                <w:rFonts w:ascii="Times New Roman"/>
                <w:sz w:val="21"/>
              </w:rPr>
              <w:t>0.21</w:t>
            </w:r>
          </w:p>
        </w:tc>
      </w:tr>
      <w:tr>
        <w:trPr>
          <w:trHeight w:val="308" w:hRule="atLeast"/>
        </w:trPr>
        <w:tc>
          <w:tcPr>
            <w:tcW w:w="2079" w:type="dxa"/>
            <w:tcBorders>
              <w:top w:val="single" w:sz="6" w:space="0" w:color="000000"/>
              <w:right w:val="single" w:sz="6" w:space="0" w:color="000000"/>
            </w:tcBorders>
          </w:tcPr>
          <w:p>
            <w:pPr>
              <w:pStyle w:val="TableParagraph"/>
              <w:spacing w:before="34"/>
              <w:ind w:left="596" w:right="576"/>
              <w:rPr>
                <w:rFonts w:ascii="Times New Roman"/>
                <w:sz w:val="21"/>
              </w:rPr>
            </w:pPr>
            <w:r>
              <w:rPr>
                <w:rFonts w:ascii="Times New Roman"/>
                <w:sz w:val="21"/>
              </w:rPr>
              <w:t>2018.2</w:t>
            </w:r>
          </w:p>
        </w:tc>
        <w:tc>
          <w:tcPr>
            <w:tcW w:w="2153" w:type="dxa"/>
            <w:tcBorders>
              <w:top w:val="single" w:sz="6" w:space="0" w:color="000000"/>
              <w:left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44</w:t>
            </w:r>
          </w:p>
        </w:tc>
        <w:tc>
          <w:tcPr>
            <w:tcW w:w="2153" w:type="dxa"/>
            <w:tcBorders>
              <w:top w:val="single" w:sz="6" w:space="0" w:color="000000"/>
              <w:left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1.17</w:t>
            </w:r>
          </w:p>
        </w:tc>
        <w:tc>
          <w:tcPr>
            <w:tcW w:w="2144" w:type="dxa"/>
            <w:tcBorders>
              <w:top w:val="single" w:sz="6" w:space="0" w:color="000000"/>
              <w:left w:val="single" w:sz="6" w:space="0" w:color="000000"/>
            </w:tcBorders>
          </w:tcPr>
          <w:p>
            <w:pPr>
              <w:pStyle w:val="TableParagraph"/>
              <w:spacing w:before="34"/>
              <w:ind w:left="849" w:right="811"/>
              <w:rPr>
                <w:rFonts w:ascii="Times New Roman"/>
                <w:sz w:val="21"/>
              </w:rPr>
            </w:pPr>
            <w:r>
              <w:rPr>
                <w:rFonts w:ascii="Times New Roman"/>
                <w:sz w:val="21"/>
              </w:rPr>
              <w:t>0.25</w:t>
            </w:r>
          </w:p>
        </w:tc>
      </w:tr>
    </w:tbl>
    <w:p>
      <w:pPr>
        <w:spacing w:after="0"/>
        <w:rPr>
          <w:rFonts w:ascii="Times New Roman"/>
          <w:sz w:val="21"/>
        </w:rPr>
        <w:sectPr>
          <w:pgSz w:w="11910" w:h="16840"/>
          <w:pgMar w:header="877" w:footer="973" w:top="1340" w:bottom="1160" w:left="1220" w:right="1040"/>
        </w:sectPr>
      </w:pPr>
    </w:p>
    <w:p>
      <w:pPr>
        <w:pStyle w:val="BodyText"/>
        <w:spacing w:before="3"/>
        <w:rPr>
          <w:rFonts w:ascii="Times New Roman"/>
          <w:b/>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9"/>
        <w:gridCol w:w="2153"/>
        <w:gridCol w:w="2153"/>
        <w:gridCol w:w="2144"/>
      </w:tblGrid>
      <w:tr>
        <w:trPr>
          <w:trHeight w:val="311" w:hRule="atLeast"/>
        </w:trPr>
        <w:tc>
          <w:tcPr>
            <w:tcW w:w="2079" w:type="dxa"/>
            <w:tcBorders>
              <w:bottom w:val="single" w:sz="6" w:space="0" w:color="000000"/>
              <w:right w:val="single" w:sz="6" w:space="0" w:color="000000"/>
            </w:tcBorders>
          </w:tcPr>
          <w:p>
            <w:pPr>
              <w:pStyle w:val="TableParagraph"/>
              <w:spacing w:before="36"/>
              <w:ind w:left="596" w:right="576"/>
              <w:rPr>
                <w:rFonts w:ascii="Times New Roman"/>
                <w:sz w:val="21"/>
              </w:rPr>
            </w:pPr>
            <w:r>
              <w:rPr>
                <w:rFonts w:ascii="Times New Roman"/>
                <w:sz w:val="21"/>
              </w:rPr>
              <w:t>2018.3</w:t>
            </w:r>
          </w:p>
        </w:tc>
        <w:tc>
          <w:tcPr>
            <w:tcW w:w="2153" w:type="dxa"/>
            <w:tcBorders>
              <w:left w:val="single" w:sz="6" w:space="0" w:color="000000"/>
              <w:bottom w:val="single" w:sz="6" w:space="0" w:color="000000"/>
              <w:right w:val="single" w:sz="6" w:space="0" w:color="000000"/>
            </w:tcBorders>
          </w:tcPr>
          <w:p>
            <w:pPr>
              <w:pStyle w:val="TableParagraph"/>
              <w:spacing w:before="36"/>
              <w:ind w:left="756" w:right="730"/>
              <w:rPr>
                <w:rFonts w:ascii="Times New Roman"/>
                <w:sz w:val="21"/>
              </w:rPr>
            </w:pPr>
            <w:r>
              <w:rPr>
                <w:rFonts w:ascii="Times New Roman"/>
                <w:sz w:val="21"/>
              </w:rPr>
              <w:t>66</w:t>
            </w:r>
          </w:p>
        </w:tc>
        <w:tc>
          <w:tcPr>
            <w:tcW w:w="2153" w:type="dxa"/>
            <w:tcBorders>
              <w:left w:val="single" w:sz="6" w:space="0" w:color="000000"/>
              <w:bottom w:val="single" w:sz="6" w:space="0" w:color="000000"/>
              <w:right w:val="single" w:sz="6" w:space="0" w:color="000000"/>
            </w:tcBorders>
          </w:tcPr>
          <w:p>
            <w:pPr>
              <w:pStyle w:val="TableParagraph"/>
              <w:spacing w:before="36"/>
              <w:ind w:left="761" w:right="730"/>
              <w:rPr>
                <w:rFonts w:ascii="Times New Roman"/>
                <w:sz w:val="21"/>
              </w:rPr>
            </w:pPr>
            <w:r>
              <w:rPr>
                <w:rFonts w:ascii="Times New Roman"/>
                <w:sz w:val="21"/>
              </w:rPr>
              <w:t>0.90</w:t>
            </w:r>
          </w:p>
        </w:tc>
        <w:tc>
          <w:tcPr>
            <w:tcW w:w="2144" w:type="dxa"/>
            <w:tcBorders>
              <w:left w:val="single" w:sz="6" w:space="0" w:color="000000"/>
              <w:bottom w:val="single" w:sz="6" w:space="0" w:color="000000"/>
            </w:tcBorders>
          </w:tcPr>
          <w:p>
            <w:pPr>
              <w:pStyle w:val="TableParagraph"/>
              <w:spacing w:before="36"/>
              <w:ind w:left="895"/>
              <w:jc w:val="left"/>
              <w:rPr>
                <w:rFonts w:ascii="Times New Roman"/>
                <w:sz w:val="21"/>
              </w:rPr>
            </w:pPr>
            <w:r>
              <w:rPr>
                <w:rFonts w:ascii="Times New Roman"/>
                <w:sz w:val="21"/>
              </w:rPr>
              <w:t>0.01</w:t>
            </w:r>
          </w:p>
        </w:tc>
      </w:tr>
      <w:tr>
        <w:trPr>
          <w:trHeight w:val="313" w:hRule="atLeast"/>
        </w:trPr>
        <w:tc>
          <w:tcPr>
            <w:tcW w:w="2079" w:type="dxa"/>
            <w:tcBorders>
              <w:top w:val="single" w:sz="6" w:space="0" w:color="000000"/>
              <w:bottom w:val="single" w:sz="6" w:space="0" w:color="000000"/>
              <w:right w:val="single" w:sz="6" w:space="0" w:color="000000"/>
            </w:tcBorders>
          </w:tcPr>
          <w:p>
            <w:pPr>
              <w:pStyle w:val="TableParagraph"/>
              <w:spacing w:before="36"/>
              <w:ind w:left="596" w:right="576"/>
              <w:rPr>
                <w:rFonts w:ascii="Times New Roman"/>
                <w:sz w:val="21"/>
              </w:rPr>
            </w:pPr>
            <w:r>
              <w:rPr>
                <w:rFonts w:ascii="Times New Roman"/>
                <w:sz w:val="21"/>
              </w:rPr>
              <w:t>2018.4</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6"/>
              <w:ind w:left="756" w:right="730"/>
              <w:rPr>
                <w:rFonts w:ascii="Times New Roman"/>
                <w:sz w:val="21"/>
              </w:rPr>
            </w:pPr>
            <w:r>
              <w:rPr>
                <w:rFonts w:ascii="Times New Roman"/>
                <w:sz w:val="21"/>
              </w:rPr>
              <w:t>24</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6"/>
              <w:ind w:left="761" w:right="730"/>
              <w:rPr>
                <w:rFonts w:ascii="Times New Roman"/>
                <w:sz w:val="21"/>
              </w:rPr>
            </w:pPr>
            <w:r>
              <w:rPr>
                <w:rFonts w:ascii="Times New Roman"/>
                <w:sz w:val="21"/>
              </w:rPr>
              <w:t>1.38</w:t>
            </w:r>
          </w:p>
        </w:tc>
        <w:tc>
          <w:tcPr>
            <w:tcW w:w="2144" w:type="dxa"/>
            <w:tcBorders>
              <w:top w:val="single" w:sz="6" w:space="0" w:color="000000"/>
              <w:left w:val="single" w:sz="6" w:space="0" w:color="000000"/>
              <w:bottom w:val="single" w:sz="6" w:space="0" w:color="000000"/>
            </w:tcBorders>
          </w:tcPr>
          <w:p>
            <w:pPr>
              <w:pStyle w:val="TableParagraph"/>
              <w:spacing w:before="36"/>
              <w:ind w:left="895"/>
              <w:jc w:val="left"/>
              <w:rPr>
                <w:rFonts w:ascii="Times New Roman"/>
                <w:sz w:val="21"/>
              </w:rPr>
            </w:pPr>
            <w:r>
              <w:rPr>
                <w:rFonts w:ascii="Times New Roman"/>
                <w:sz w:val="21"/>
              </w:rPr>
              <w:t>0.37</w:t>
            </w:r>
          </w:p>
        </w:tc>
      </w:tr>
      <w:tr>
        <w:trPr>
          <w:trHeight w:val="311" w:hRule="atLeast"/>
        </w:trPr>
        <w:tc>
          <w:tcPr>
            <w:tcW w:w="2079" w:type="dxa"/>
            <w:tcBorders>
              <w:top w:val="single" w:sz="6" w:space="0" w:color="000000"/>
              <w:bottom w:val="single" w:sz="6" w:space="0" w:color="000000"/>
              <w:right w:val="single" w:sz="6" w:space="0" w:color="000000"/>
            </w:tcBorders>
          </w:tcPr>
          <w:p>
            <w:pPr>
              <w:pStyle w:val="TableParagraph"/>
              <w:spacing w:before="34"/>
              <w:ind w:left="596" w:right="576"/>
              <w:rPr>
                <w:rFonts w:ascii="Times New Roman"/>
                <w:sz w:val="21"/>
              </w:rPr>
            </w:pPr>
            <w:r>
              <w:rPr>
                <w:rFonts w:ascii="Times New Roman"/>
                <w:sz w:val="21"/>
              </w:rPr>
              <w:t>2018.5</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38</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1.51</w:t>
            </w:r>
          </w:p>
        </w:tc>
        <w:tc>
          <w:tcPr>
            <w:tcW w:w="2144" w:type="dxa"/>
            <w:tcBorders>
              <w:top w:val="single" w:sz="6" w:space="0" w:color="000000"/>
              <w:left w:val="single" w:sz="6" w:space="0" w:color="000000"/>
              <w:bottom w:val="single" w:sz="6" w:space="0" w:color="000000"/>
            </w:tcBorders>
          </w:tcPr>
          <w:p>
            <w:pPr>
              <w:pStyle w:val="TableParagraph"/>
              <w:spacing w:before="34"/>
              <w:ind w:left="895"/>
              <w:jc w:val="left"/>
              <w:rPr>
                <w:rFonts w:ascii="Times New Roman"/>
                <w:sz w:val="21"/>
              </w:rPr>
            </w:pPr>
            <w:r>
              <w:rPr>
                <w:rFonts w:ascii="Times New Roman"/>
                <w:sz w:val="21"/>
              </w:rPr>
              <w:t>0.45</w:t>
            </w:r>
          </w:p>
        </w:tc>
      </w:tr>
      <w:tr>
        <w:trPr>
          <w:trHeight w:val="311" w:hRule="atLeast"/>
        </w:trPr>
        <w:tc>
          <w:tcPr>
            <w:tcW w:w="2079" w:type="dxa"/>
            <w:tcBorders>
              <w:top w:val="single" w:sz="6" w:space="0" w:color="000000"/>
              <w:bottom w:val="single" w:sz="6" w:space="0" w:color="000000"/>
              <w:right w:val="single" w:sz="6" w:space="0" w:color="000000"/>
            </w:tcBorders>
          </w:tcPr>
          <w:p>
            <w:pPr>
              <w:pStyle w:val="TableParagraph"/>
              <w:spacing w:before="34"/>
              <w:ind w:left="596" w:right="576"/>
              <w:rPr>
                <w:rFonts w:ascii="Times New Roman"/>
                <w:sz w:val="21"/>
              </w:rPr>
            </w:pPr>
            <w:r>
              <w:rPr>
                <w:rFonts w:ascii="Times New Roman"/>
                <w:sz w:val="21"/>
              </w:rPr>
              <w:t>2018.6</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44</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0.789</w:t>
            </w:r>
          </w:p>
        </w:tc>
        <w:tc>
          <w:tcPr>
            <w:tcW w:w="2144" w:type="dxa"/>
            <w:tcBorders>
              <w:top w:val="single" w:sz="6" w:space="0" w:color="000000"/>
              <w:left w:val="single" w:sz="6" w:space="0" w:color="000000"/>
              <w:bottom w:val="single" w:sz="6" w:space="0" w:color="000000"/>
            </w:tcBorders>
          </w:tcPr>
          <w:p>
            <w:pPr>
              <w:pStyle w:val="TableParagraph"/>
              <w:spacing w:before="34"/>
              <w:ind w:left="895"/>
              <w:jc w:val="left"/>
              <w:rPr>
                <w:rFonts w:ascii="Times New Roman"/>
                <w:sz w:val="21"/>
              </w:rPr>
            </w:pPr>
            <w:r>
              <w:rPr>
                <w:rFonts w:ascii="Times New Roman"/>
                <w:sz w:val="21"/>
              </w:rPr>
              <w:t>0.57</w:t>
            </w:r>
          </w:p>
        </w:tc>
      </w:tr>
      <w:tr>
        <w:trPr>
          <w:trHeight w:val="311" w:hRule="atLeast"/>
        </w:trPr>
        <w:tc>
          <w:tcPr>
            <w:tcW w:w="2079" w:type="dxa"/>
            <w:tcBorders>
              <w:top w:val="single" w:sz="6" w:space="0" w:color="000000"/>
              <w:bottom w:val="single" w:sz="6" w:space="0" w:color="000000"/>
              <w:right w:val="single" w:sz="6" w:space="0" w:color="000000"/>
            </w:tcBorders>
          </w:tcPr>
          <w:p>
            <w:pPr>
              <w:pStyle w:val="TableParagraph"/>
              <w:spacing w:before="34"/>
              <w:ind w:left="596" w:right="576"/>
              <w:rPr>
                <w:rFonts w:ascii="Times New Roman"/>
                <w:sz w:val="21"/>
              </w:rPr>
            </w:pPr>
            <w:r>
              <w:rPr>
                <w:rFonts w:ascii="Times New Roman"/>
                <w:sz w:val="21"/>
              </w:rPr>
              <w:t>2018.7</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24</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0.912</w:t>
            </w:r>
          </w:p>
        </w:tc>
        <w:tc>
          <w:tcPr>
            <w:tcW w:w="2144" w:type="dxa"/>
            <w:tcBorders>
              <w:top w:val="single" w:sz="6" w:space="0" w:color="000000"/>
              <w:left w:val="single" w:sz="6" w:space="0" w:color="000000"/>
              <w:bottom w:val="single" w:sz="6" w:space="0" w:color="000000"/>
            </w:tcBorders>
          </w:tcPr>
          <w:p>
            <w:pPr>
              <w:pStyle w:val="TableParagraph"/>
              <w:spacing w:before="34"/>
              <w:ind w:left="895"/>
              <w:jc w:val="left"/>
              <w:rPr>
                <w:rFonts w:ascii="Times New Roman"/>
                <w:sz w:val="21"/>
              </w:rPr>
            </w:pPr>
            <w:r>
              <w:rPr>
                <w:rFonts w:ascii="Times New Roman"/>
                <w:sz w:val="21"/>
              </w:rPr>
              <w:t>0.69</w:t>
            </w:r>
          </w:p>
        </w:tc>
      </w:tr>
      <w:tr>
        <w:trPr>
          <w:trHeight w:val="313" w:hRule="atLeast"/>
        </w:trPr>
        <w:tc>
          <w:tcPr>
            <w:tcW w:w="2079" w:type="dxa"/>
            <w:tcBorders>
              <w:top w:val="single" w:sz="6" w:space="0" w:color="000000"/>
              <w:bottom w:val="single" w:sz="6" w:space="0" w:color="000000"/>
              <w:right w:val="single" w:sz="6" w:space="0" w:color="000000"/>
            </w:tcBorders>
          </w:tcPr>
          <w:p>
            <w:pPr>
              <w:pStyle w:val="TableParagraph"/>
              <w:spacing w:before="36"/>
              <w:ind w:left="596" w:right="576"/>
              <w:rPr>
                <w:rFonts w:ascii="Times New Roman"/>
                <w:sz w:val="21"/>
              </w:rPr>
            </w:pPr>
            <w:r>
              <w:rPr>
                <w:rFonts w:ascii="Times New Roman"/>
                <w:sz w:val="21"/>
              </w:rPr>
              <w:t>2018.8</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6"/>
              <w:ind w:left="756" w:right="730"/>
              <w:rPr>
                <w:rFonts w:ascii="Times New Roman"/>
                <w:sz w:val="21"/>
              </w:rPr>
            </w:pPr>
            <w:r>
              <w:rPr>
                <w:rFonts w:ascii="Times New Roman"/>
                <w:sz w:val="21"/>
              </w:rPr>
              <w:t>22</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6"/>
              <w:ind w:left="761" w:right="730"/>
              <w:rPr>
                <w:rFonts w:ascii="Times New Roman"/>
                <w:sz w:val="21"/>
              </w:rPr>
            </w:pPr>
            <w:r>
              <w:rPr>
                <w:rFonts w:ascii="Times New Roman"/>
                <w:sz w:val="21"/>
              </w:rPr>
              <w:t>0.820</w:t>
            </w:r>
          </w:p>
        </w:tc>
        <w:tc>
          <w:tcPr>
            <w:tcW w:w="2144" w:type="dxa"/>
            <w:tcBorders>
              <w:top w:val="single" w:sz="6" w:space="0" w:color="000000"/>
              <w:left w:val="single" w:sz="6" w:space="0" w:color="000000"/>
              <w:bottom w:val="single" w:sz="6" w:space="0" w:color="000000"/>
            </w:tcBorders>
          </w:tcPr>
          <w:p>
            <w:pPr>
              <w:pStyle w:val="TableParagraph"/>
              <w:spacing w:before="36"/>
              <w:ind w:left="895"/>
              <w:jc w:val="left"/>
              <w:rPr>
                <w:rFonts w:ascii="Times New Roman"/>
                <w:sz w:val="21"/>
              </w:rPr>
            </w:pPr>
            <w:r>
              <w:rPr>
                <w:rFonts w:ascii="Times New Roman"/>
                <w:sz w:val="21"/>
              </w:rPr>
              <w:t>0.91</w:t>
            </w:r>
          </w:p>
        </w:tc>
      </w:tr>
      <w:tr>
        <w:trPr>
          <w:trHeight w:val="311" w:hRule="atLeast"/>
        </w:trPr>
        <w:tc>
          <w:tcPr>
            <w:tcW w:w="2079" w:type="dxa"/>
            <w:tcBorders>
              <w:top w:val="single" w:sz="6" w:space="0" w:color="000000"/>
              <w:bottom w:val="single" w:sz="6" w:space="0" w:color="000000"/>
              <w:right w:val="single" w:sz="6" w:space="0" w:color="000000"/>
            </w:tcBorders>
          </w:tcPr>
          <w:p>
            <w:pPr>
              <w:pStyle w:val="TableParagraph"/>
              <w:spacing w:before="34"/>
              <w:ind w:left="596" w:right="576"/>
              <w:rPr>
                <w:rFonts w:ascii="Times New Roman"/>
                <w:sz w:val="21"/>
              </w:rPr>
            </w:pPr>
            <w:r>
              <w:rPr>
                <w:rFonts w:ascii="Times New Roman"/>
                <w:sz w:val="21"/>
              </w:rPr>
              <w:t>2018.9</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36</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1.97</w:t>
            </w:r>
          </w:p>
        </w:tc>
        <w:tc>
          <w:tcPr>
            <w:tcW w:w="2144" w:type="dxa"/>
            <w:tcBorders>
              <w:top w:val="single" w:sz="6" w:space="0" w:color="000000"/>
              <w:left w:val="single" w:sz="6" w:space="0" w:color="000000"/>
              <w:bottom w:val="single" w:sz="6" w:space="0" w:color="000000"/>
            </w:tcBorders>
          </w:tcPr>
          <w:p>
            <w:pPr>
              <w:pStyle w:val="TableParagraph"/>
              <w:spacing w:before="34"/>
              <w:ind w:left="895"/>
              <w:jc w:val="left"/>
              <w:rPr>
                <w:rFonts w:ascii="Times New Roman"/>
                <w:sz w:val="21"/>
              </w:rPr>
            </w:pPr>
            <w:r>
              <w:rPr>
                <w:rFonts w:ascii="Times New Roman"/>
                <w:sz w:val="21"/>
              </w:rPr>
              <w:t>0.79</w:t>
            </w:r>
          </w:p>
        </w:tc>
      </w:tr>
      <w:tr>
        <w:trPr>
          <w:trHeight w:val="311" w:hRule="atLeast"/>
        </w:trPr>
        <w:tc>
          <w:tcPr>
            <w:tcW w:w="2079" w:type="dxa"/>
            <w:tcBorders>
              <w:top w:val="single" w:sz="6" w:space="0" w:color="000000"/>
              <w:bottom w:val="single" w:sz="6" w:space="0" w:color="000000"/>
              <w:right w:val="single" w:sz="6" w:space="0" w:color="000000"/>
            </w:tcBorders>
          </w:tcPr>
          <w:p>
            <w:pPr>
              <w:pStyle w:val="TableParagraph"/>
              <w:spacing w:before="34"/>
              <w:ind w:left="599" w:right="576"/>
              <w:rPr>
                <w:rFonts w:ascii="Times New Roman"/>
                <w:sz w:val="21"/>
              </w:rPr>
            </w:pPr>
            <w:r>
              <w:rPr>
                <w:rFonts w:ascii="Times New Roman"/>
                <w:sz w:val="21"/>
              </w:rPr>
              <w:t>2018.10</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44</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1.62</w:t>
            </w:r>
          </w:p>
        </w:tc>
        <w:tc>
          <w:tcPr>
            <w:tcW w:w="2144" w:type="dxa"/>
            <w:tcBorders>
              <w:top w:val="single" w:sz="6" w:space="0" w:color="000000"/>
              <w:left w:val="single" w:sz="6" w:space="0" w:color="000000"/>
              <w:bottom w:val="single" w:sz="6" w:space="0" w:color="000000"/>
            </w:tcBorders>
          </w:tcPr>
          <w:p>
            <w:pPr>
              <w:pStyle w:val="TableParagraph"/>
              <w:spacing w:before="34"/>
              <w:ind w:left="895"/>
              <w:jc w:val="left"/>
              <w:rPr>
                <w:rFonts w:ascii="Times New Roman"/>
                <w:sz w:val="21"/>
              </w:rPr>
            </w:pPr>
            <w:r>
              <w:rPr>
                <w:rFonts w:ascii="Times New Roman"/>
                <w:sz w:val="21"/>
              </w:rPr>
              <w:t>0.19</w:t>
            </w:r>
          </w:p>
        </w:tc>
      </w:tr>
      <w:tr>
        <w:trPr>
          <w:trHeight w:val="311" w:hRule="atLeast"/>
        </w:trPr>
        <w:tc>
          <w:tcPr>
            <w:tcW w:w="2079" w:type="dxa"/>
            <w:tcBorders>
              <w:top w:val="single" w:sz="6" w:space="0" w:color="000000"/>
              <w:bottom w:val="single" w:sz="6" w:space="0" w:color="000000"/>
              <w:right w:val="single" w:sz="6" w:space="0" w:color="000000"/>
            </w:tcBorders>
          </w:tcPr>
          <w:p>
            <w:pPr>
              <w:pStyle w:val="TableParagraph"/>
              <w:spacing w:before="34"/>
              <w:ind w:left="589" w:right="576"/>
              <w:rPr>
                <w:rFonts w:ascii="Times New Roman"/>
                <w:sz w:val="21"/>
              </w:rPr>
            </w:pPr>
            <w:r>
              <w:rPr>
                <w:rFonts w:ascii="Times New Roman"/>
                <w:sz w:val="21"/>
              </w:rPr>
              <w:t>2018.11</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20</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0.887</w:t>
            </w:r>
          </w:p>
        </w:tc>
        <w:tc>
          <w:tcPr>
            <w:tcW w:w="2144" w:type="dxa"/>
            <w:tcBorders>
              <w:top w:val="single" w:sz="6" w:space="0" w:color="000000"/>
              <w:left w:val="single" w:sz="6" w:space="0" w:color="000000"/>
              <w:bottom w:val="single" w:sz="6" w:space="0" w:color="000000"/>
            </w:tcBorders>
          </w:tcPr>
          <w:p>
            <w:pPr>
              <w:pStyle w:val="TableParagraph"/>
              <w:spacing w:before="34"/>
              <w:ind w:left="895"/>
              <w:jc w:val="left"/>
              <w:rPr>
                <w:rFonts w:ascii="Times New Roman"/>
                <w:sz w:val="21"/>
              </w:rPr>
            </w:pPr>
            <w:r>
              <w:rPr>
                <w:rFonts w:ascii="Times New Roman"/>
                <w:sz w:val="21"/>
              </w:rPr>
              <w:t>0.29</w:t>
            </w:r>
          </w:p>
        </w:tc>
      </w:tr>
      <w:tr>
        <w:trPr>
          <w:trHeight w:val="313" w:hRule="atLeast"/>
        </w:trPr>
        <w:tc>
          <w:tcPr>
            <w:tcW w:w="2079" w:type="dxa"/>
            <w:tcBorders>
              <w:top w:val="single" w:sz="6" w:space="0" w:color="000000"/>
              <w:bottom w:val="single" w:sz="6" w:space="0" w:color="000000"/>
              <w:right w:val="single" w:sz="6" w:space="0" w:color="000000"/>
            </w:tcBorders>
          </w:tcPr>
          <w:p>
            <w:pPr>
              <w:pStyle w:val="TableParagraph"/>
              <w:spacing w:before="36"/>
              <w:ind w:left="599" w:right="576"/>
              <w:rPr>
                <w:rFonts w:ascii="Times New Roman"/>
                <w:sz w:val="21"/>
              </w:rPr>
            </w:pPr>
            <w:r>
              <w:rPr>
                <w:rFonts w:ascii="Times New Roman"/>
                <w:sz w:val="21"/>
              </w:rPr>
              <w:t>2018.12</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6"/>
              <w:ind w:left="756" w:right="730"/>
              <w:rPr>
                <w:rFonts w:ascii="Times New Roman"/>
                <w:sz w:val="21"/>
              </w:rPr>
            </w:pPr>
            <w:r>
              <w:rPr>
                <w:rFonts w:ascii="Times New Roman"/>
                <w:sz w:val="21"/>
              </w:rPr>
              <w:t>40</w:t>
            </w:r>
          </w:p>
        </w:tc>
        <w:tc>
          <w:tcPr>
            <w:tcW w:w="2153" w:type="dxa"/>
            <w:tcBorders>
              <w:top w:val="single" w:sz="6" w:space="0" w:color="000000"/>
              <w:left w:val="single" w:sz="6" w:space="0" w:color="000000"/>
              <w:bottom w:val="single" w:sz="6" w:space="0" w:color="000000"/>
              <w:right w:val="single" w:sz="6" w:space="0" w:color="000000"/>
            </w:tcBorders>
          </w:tcPr>
          <w:p>
            <w:pPr>
              <w:pStyle w:val="TableParagraph"/>
              <w:spacing w:before="36"/>
              <w:ind w:left="761" w:right="730"/>
              <w:rPr>
                <w:rFonts w:ascii="Times New Roman"/>
                <w:sz w:val="21"/>
              </w:rPr>
            </w:pPr>
            <w:r>
              <w:rPr>
                <w:rFonts w:ascii="Times New Roman"/>
                <w:sz w:val="21"/>
              </w:rPr>
              <w:t>0.964</w:t>
            </w:r>
          </w:p>
        </w:tc>
        <w:tc>
          <w:tcPr>
            <w:tcW w:w="2144" w:type="dxa"/>
            <w:tcBorders>
              <w:top w:val="single" w:sz="6" w:space="0" w:color="000000"/>
              <w:left w:val="single" w:sz="6" w:space="0" w:color="000000"/>
              <w:bottom w:val="single" w:sz="6" w:space="0" w:color="000000"/>
            </w:tcBorders>
          </w:tcPr>
          <w:p>
            <w:pPr>
              <w:pStyle w:val="TableParagraph"/>
              <w:spacing w:before="36"/>
              <w:ind w:left="895"/>
              <w:jc w:val="left"/>
              <w:rPr>
                <w:rFonts w:ascii="Times New Roman"/>
                <w:sz w:val="21"/>
              </w:rPr>
            </w:pPr>
            <w:r>
              <w:rPr>
                <w:rFonts w:ascii="Times New Roman"/>
                <w:sz w:val="21"/>
              </w:rPr>
              <w:t>0.24</w:t>
            </w:r>
          </w:p>
        </w:tc>
      </w:tr>
      <w:tr>
        <w:trPr>
          <w:trHeight w:val="309" w:hRule="atLeast"/>
        </w:trPr>
        <w:tc>
          <w:tcPr>
            <w:tcW w:w="2079" w:type="dxa"/>
            <w:tcBorders>
              <w:top w:val="single" w:sz="6" w:space="0" w:color="000000"/>
              <w:right w:val="single" w:sz="6" w:space="0" w:color="000000"/>
            </w:tcBorders>
          </w:tcPr>
          <w:p>
            <w:pPr>
              <w:pStyle w:val="TableParagraph"/>
              <w:spacing w:line="289" w:lineRule="exact"/>
              <w:ind w:left="596" w:right="576"/>
              <w:rPr>
                <w:sz w:val="21"/>
              </w:rPr>
            </w:pPr>
            <w:r>
              <w:rPr>
                <w:sz w:val="21"/>
              </w:rPr>
              <w:t>标准值</w:t>
            </w:r>
          </w:p>
        </w:tc>
        <w:tc>
          <w:tcPr>
            <w:tcW w:w="2153" w:type="dxa"/>
            <w:tcBorders>
              <w:top w:val="single" w:sz="6" w:space="0" w:color="000000"/>
              <w:left w:val="single" w:sz="6" w:space="0" w:color="000000"/>
              <w:right w:val="single" w:sz="6" w:space="0" w:color="000000"/>
            </w:tcBorders>
          </w:tcPr>
          <w:p>
            <w:pPr>
              <w:pStyle w:val="TableParagraph"/>
              <w:spacing w:before="34"/>
              <w:ind w:left="756" w:right="730"/>
              <w:rPr>
                <w:rFonts w:ascii="Times New Roman"/>
                <w:sz w:val="21"/>
              </w:rPr>
            </w:pPr>
            <w:r>
              <w:rPr>
                <w:rFonts w:ascii="Times New Roman"/>
                <w:sz w:val="21"/>
              </w:rPr>
              <w:t>30</w:t>
            </w:r>
          </w:p>
        </w:tc>
        <w:tc>
          <w:tcPr>
            <w:tcW w:w="2153" w:type="dxa"/>
            <w:tcBorders>
              <w:top w:val="single" w:sz="6" w:space="0" w:color="000000"/>
              <w:left w:val="single" w:sz="6" w:space="0" w:color="000000"/>
              <w:right w:val="single" w:sz="6" w:space="0" w:color="000000"/>
            </w:tcBorders>
          </w:tcPr>
          <w:p>
            <w:pPr>
              <w:pStyle w:val="TableParagraph"/>
              <w:spacing w:before="34"/>
              <w:ind w:left="761" w:right="730"/>
              <w:rPr>
                <w:rFonts w:ascii="Times New Roman"/>
                <w:sz w:val="21"/>
              </w:rPr>
            </w:pPr>
            <w:r>
              <w:rPr>
                <w:rFonts w:ascii="Times New Roman"/>
                <w:sz w:val="21"/>
              </w:rPr>
              <w:t>1.5</w:t>
            </w:r>
          </w:p>
        </w:tc>
        <w:tc>
          <w:tcPr>
            <w:tcW w:w="2144" w:type="dxa"/>
            <w:tcBorders>
              <w:top w:val="single" w:sz="6" w:space="0" w:color="000000"/>
              <w:left w:val="single" w:sz="6" w:space="0" w:color="000000"/>
            </w:tcBorders>
          </w:tcPr>
          <w:p>
            <w:pPr>
              <w:pStyle w:val="TableParagraph"/>
              <w:spacing w:before="34"/>
              <w:ind w:left="948"/>
              <w:jc w:val="left"/>
              <w:rPr>
                <w:rFonts w:ascii="Times New Roman"/>
                <w:sz w:val="21"/>
              </w:rPr>
            </w:pPr>
            <w:r>
              <w:rPr>
                <w:rFonts w:ascii="Times New Roman"/>
                <w:sz w:val="21"/>
              </w:rPr>
              <w:t>0.3</w:t>
            </w:r>
          </w:p>
        </w:tc>
      </w:tr>
    </w:tbl>
    <w:p>
      <w:pPr>
        <w:pStyle w:val="BodyText"/>
        <w:spacing w:before="3"/>
        <w:rPr>
          <w:rFonts w:ascii="Times New Roman"/>
          <w:b/>
          <w:sz w:val="14"/>
        </w:rPr>
      </w:pPr>
    </w:p>
    <w:p>
      <w:pPr>
        <w:pStyle w:val="BodyText"/>
        <w:spacing w:line="220" w:lineRule="auto"/>
        <w:ind w:left="578" w:right="823" w:firstLine="479"/>
      </w:pPr>
      <w:r>
        <w:rPr/>
        <w:t>由上表可知，</w:t>
      </w:r>
      <w:r>
        <w:rPr>
          <w:rFonts w:ascii="Times New Roman" w:hAnsi="Times New Roman" w:eastAsia="Times New Roman"/>
        </w:rPr>
        <w:t>2018 </w:t>
      </w:r>
      <w:r>
        <w:rPr/>
        <w:t>年莒南开发区鸡龙河的水质不能够稳定达到《地表水环境质量标准》（</w:t>
      </w:r>
      <w:r>
        <w:rPr>
          <w:rFonts w:ascii="Times New Roman" w:hAnsi="Times New Roman" w:eastAsia="Times New Roman"/>
        </w:rPr>
        <w:t>GB3838-2002</w:t>
      </w:r>
      <w:r>
        <w:rPr/>
        <w:t>）Ⅳ类标准要求。</w:t>
      </w:r>
    </w:p>
    <w:p>
      <w:pPr>
        <w:pStyle w:val="BodyText"/>
        <w:spacing w:line="494" w:lineRule="exact" w:before="23"/>
        <w:ind w:left="1058"/>
      </w:pPr>
      <w:r>
        <w:rPr/>
        <w:t>根据山东省重点监控企业自动监测信息网，莒南卓澳水质净化有限公司</w:t>
      </w:r>
    </w:p>
    <w:p>
      <w:pPr>
        <w:pStyle w:val="BodyText"/>
        <w:spacing w:line="448" w:lineRule="exact"/>
        <w:ind w:left="578"/>
      </w:pPr>
      <w:r>
        <w:rPr>
          <w:rFonts w:ascii="Times New Roman" w:eastAsia="Times New Roman"/>
        </w:rPr>
        <w:t>2018 </w:t>
      </w:r>
      <w:r>
        <w:rPr/>
        <w:t>年 </w:t>
      </w:r>
      <w:r>
        <w:rPr>
          <w:rFonts w:ascii="Times New Roman" w:eastAsia="Times New Roman"/>
        </w:rPr>
        <w:t>01 </w:t>
      </w:r>
      <w:r>
        <w:rPr/>
        <w:t>月～</w:t>
      </w:r>
      <w:r>
        <w:rPr>
          <w:rFonts w:ascii="Times New Roman" w:eastAsia="Times New Roman"/>
        </w:rPr>
        <w:t>2018 </w:t>
      </w:r>
      <w:r>
        <w:rPr/>
        <w:t>年 </w:t>
      </w:r>
      <w:r>
        <w:rPr>
          <w:rFonts w:ascii="Times New Roman" w:eastAsia="Times New Roman"/>
        </w:rPr>
        <w:t>12 </w:t>
      </w:r>
      <w:r>
        <w:rPr/>
        <w:t>月监测数据，详见表 </w:t>
      </w:r>
      <w:r>
        <w:rPr>
          <w:rFonts w:ascii="Times New Roman" w:eastAsia="Times New Roman"/>
        </w:rPr>
        <w:t>5.4-22</w:t>
      </w:r>
      <w:r>
        <w:rPr/>
        <w:t>。</w:t>
      </w:r>
    </w:p>
    <w:p>
      <w:pPr>
        <w:pStyle w:val="BodyText"/>
        <w:tabs>
          <w:tab w:pos="2853" w:val="left" w:leader="none"/>
        </w:tabs>
        <w:spacing w:line="462" w:lineRule="exact"/>
        <w:ind w:left="1693"/>
      </w:pPr>
      <w:r>
        <w:rPr/>
        <w:t>表</w:t>
      </w:r>
      <w:r>
        <w:rPr>
          <w:spacing w:val="5"/>
        </w:rPr>
        <w:t> </w:t>
      </w:r>
      <w:r>
        <w:rPr>
          <w:rFonts w:ascii="Times New Roman" w:eastAsia="Times New Roman"/>
        </w:rPr>
        <w:t>5.4-22</w:t>
        <w:tab/>
      </w:r>
      <w:r>
        <w:rPr/>
        <w:t>莒南卓澳水质净化有限公司在线监测统计数据</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7"/>
        <w:gridCol w:w="1994"/>
        <w:gridCol w:w="2100"/>
        <w:gridCol w:w="2436"/>
      </w:tblGrid>
      <w:tr>
        <w:trPr>
          <w:trHeight w:val="315" w:hRule="atLeast"/>
        </w:trPr>
        <w:tc>
          <w:tcPr>
            <w:tcW w:w="1997" w:type="dxa"/>
            <w:tcBorders>
              <w:bottom w:val="single" w:sz="6" w:space="0" w:color="000000"/>
              <w:right w:val="single" w:sz="6" w:space="0" w:color="000000"/>
            </w:tcBorders>
          </w:tcPr>
          <w:p>
            <w:pPr>
              <w:pStyle w:val="TableParagraph"/>
              <w:spacing w:line="296" w:lineRule="exact"/>
              <w:ind w:left="376" w:right="353"/>
              <w:rPr>
                <w:sz w:val="21"/>
              </w:rPr>
            </w:pPr>
            <w:r>
              <w:rPr>
                <w:sz w:val="21"/>
              </w:rPr>
              <w:t>监测时间</w:t>
            </w:r>
          </w:p>
        </w:tc>
        <w:tc>
          <w:tcPr>
            <w:tcW w:w="1994" w:type="dxa"/>
            <w:tcBorders>
              <w:left w:val="single" w:sz="6" w:space="0" w:color="000000"/>
              <w:bottom w:val="single" w:sz="6" w:space="0" w:color="000000"/>
              <w:right w:val="single" w:sz="6" w:space="0" w:color="000000"/>
            </w:tcBorders>
          </w:tcPr>
          <w:p>
            <w:pPr>
              <w:pStyle w:val="TableParagraph"/>
              <w:spacing w:line="296" w:lineRule="exact"/>
              <w:ind w:left="112" w:right="-29"/>
              <w:rPr>
                <w:sz w:val="21"/>
              </w:rPr>
            </w:pPr>
            <w:r>
              <w:rPr>
                <w:spacing w:val="-11"/>
                <w:sz w:val="21"/>
              </w:rPr>
              <w:t>化学需氧量</w:t>
            </w:r>
            <w:r>
              <w:rPr>
                <w:sz w:val="21"/>
              </w:rPr>
              <w:t>（</w:t>
            </w:r>
            <w:r>
              <w:rPr>
                <w:rFonts w:ascii="Times New Roman" w:eastAsia="Times New Roman"/>
                <w:sz w:val="21"/>
              </w:rPr>
              <w:t>mg/L</w:t>
            </w:r>
            <w:r>
              <w:rPr>
                <w:sz w:val="21"/>
              </w:rPr>
              <w:t>）</w:t>
            </w:r>
          </w:p>
        </w:tc>
        <w:tc>
          <w:tcPr>
            <w:tcW w:w="2100" w:type="dxa"/>
            <w:tcBorders>
              <w:left w:val="single" w:sz="6" w:space="0" w:color="000000"/>
              <w:bottom w:val="single" w:sz="6" w:space="0" w:color="000000"/>
              <w:right w:val="single" w:sz="4" w:space="0" w:color="000000"/>
            </w:tcBorders>
          </w:tcPr>
          <w:p>
            <w:pPr>
              <w:pStyle w:val="TableParagraph"/>
              <w:spacing w:line="296" w:lineRule="exact"/>
              <w:ind w:left="387" w:right="364"/>
              <w:rPr>
                <w:sz w:val="21"/>
              </w:rPr>
            </w:pPr>
            <w:r>
              <w:rPr>
                <w:sz w:val="21"/>
              </w:rPr>
              <w:t>氨氮（</w:t>
            </w:r>
            <w:r>
              <w:rPr>
                <w:rFonts w:ascii="Times New Roman" w:eastAsia="Times New Roman"/>
                <w:sz w:val="21"/>
              </w:rPr>
              <w:t>mg/L</w:t>
            </w:r>
            <w:r>
              <w:rPr>
                <w:sz w:val="21"/>
              </w:rPr>
              <w:t>）</w:t>
            </w:r>
          </w:p>
        </w:tc>
        <w:tc>
          <w:tcPr>
            <w:tcW w:w="2436" w:type="dxa"/>
            <w:tcBorders>
              <w:left w:val="single" w:sz="4" w:space="0" w:color="000000"/>
              <w:bottom w:val="single" w:sz="6" w:space="0" w:color="000000"/>
            </w:tcBorders>
          </w:tcPr>
          <w:p>
            <w:pPr>
              <w:pStyle w:val="TableParagraph"/>
              <w:spacing w:line="296" w:lineRule="exact"/>
              <w:ind w:left="558" w:right="522"/>
              <w:rPr>
                <w:sz w:val="21"/>
              </w:rPr>
            </w:pPr>
            <w:r>
              <w:rPr>
                <w:sz w:val="21"/>
              </w:rPr>
              <w:t>总磷（</w:t>
            </w:r>
            <w:r>
              <w:rPr>
                <w:rFonts w:ascii="Times New Roman" w:eastAsia="Times New Roman"/>
                <w:sz w:val="21"/>
              </w:rPr>
              <w:t>mg/L</w:t>
            </w:r>
            <w:r>
              <w:rPr>
                <w:sz w:val="21"/>
              </w:rPr>
              <w:t>）</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7" w:lineRule="exact"/>
              <w:ind w:left="374" w:right="354"/>
              <w:rPr>
                <w:sz w:val="21"/>
              </w:rPr>
            </w:pPr>
            <w:r>
              <w:rPr>
                <w:rFonts w:ascii="Times New Roman" w:eastAsia="Times New Roman"/>
                <w:sz w:val="21"/>
              </w:rPr>
              <w:t>2018 </w:t>
            </w:r>
            <w:r>
              <w:rPr>
                <w:sz w:val="21"/>
              </w:rPr>
              <w:t>年 </w:t>
            </w:r>
            <w:r>
              <w:rPr>
                <w:rFonts w:ascii="Times New Roman" w:eastAsia="Times New Roman"/>
                <w:sz w:val="21"/>
              </w:rPr>
              <w:t>1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40.6</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0.74</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0.28</w:t>
            </w:r>
          </w:p>
        </w:tc>
      </w:tr>
      <w:tr>
        <w:trPr>
          <w:trHeight w:val="313" w:hRule="atLeast"/>
        </w:trPr>
        <w:tc>
          <w:tcPr>
            <w:tcW w:w="1997" w:type="dxa"/>
            <w:tcBorders>
              <w:top w:val="single" w:sz="6" w:space="0" w:color="000000"/>
              <w:bottom w:val="single" w:sz="6" w:space="0" w:color="000000"/>
              <w:right w:val="single" w:sz="6" w:space="0" w:color="000000"/>
            </w:tcBorders>
          </w:tcPr>
          <w:p>
            <w:pPr>
              <w:pStyle w:val="TableParagraph"/>
              <w:spacing w:line="294" w:lineRule="exact"/>
              <w:ind w:left="374" w:right="354"/>
              <w:rPr>
                <w:sz w:val="21"/>
              </w:rPr>
            </w:pPr>
            <w:r>
              <w:rPr>
                <w:rFonts w:ascii="Times New Roman" w:eastAsia="Times New Roman"/>
                <w:sz w:val="21"/>
              </w:rPr>
              <w:t>2018 </w:t>
            </w:r>
            <w:r>
              <w:rPr>
                <w:sz w:val="21"/>
              </w:rPr>
              <w:t>年 </w:t>
            </w:r>
            <w:r>
              <w:rPr>
                <w:rFonts w:ascii="Times New Roman" w:eastAsia="Times New Roman"/>
                <w:sz w:val="21"/>
              </w:rPr>
              <w:t>2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33.1</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1.06</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0.21</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6" w:lineRule="exact"/>
              <w:ind w:left="374" w:right="354"/>
              <w:rPr>
                <w:sz w:val="21"/>
              </w:rPr>
            </w:pPr>
            <w:r>
              <w:rPr>
                <w:rFonts w:ascii="Times New Roman" w:eastAsia="Times New Roman"/>
                <w:sz w:val="21"/>
              </w:rPr>
              <w:t>2018 </w:t>
            </w:r>
            <w:r>
              <w:rPr>
                <w:sz w:val="21"/>
              </w:rPr>
              <w:t>年 </w:t>
            </w:r>
            <w:r>
              <w:rPr>
                <w:rFonts w:ascii="Times New Roman" w:eastAsia="Times New Roman"/>
                <w:sz w:val="21"/>
              </w:rPr>
              <w:t>3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31.4</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0.14</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0.26</w:t>
            </w:r>
          </w:p>
        </w:tc>
      </w:tr>
      <w:tr>
        <w:trPr>
          <w:trHeight w:val="313" w:hRule="atLeast"/>
        </w:trPr>
        <w:tc>
          <w:tcPr>
            <w:tcW w:w="1997" w:type="dxa"/>
            <w:tcBorders>
              <w:top w:val="single" w:sz="6" w:space="0" w:color="000000"/>
              <w:bottom w:val="single" w:sz="6" w:space="0" w:color="000000"/>
              <w:right w:val="single" w:sz="6" w:space="0" w:color="000000"/>
            </w:tcBorders>
          </w:tcPr>
          <w:p>
            <w:pPr>
              <w:pStyle w:val="TableParagraph"/>
              <w:spacing w:line="294" w:lineRule="exact"/>
              <w:ind w:left="374" w:right="354"/>
              <w:rPr>
                <w:sz w:val="21"/>
              </w:rPr>
            </w:pPr>
            <w:r>
              <w:rPr>
                <w:rFonts w:ascii="Times New Roman" w:eastAsia="Times New Roman"/>
                <w:sz w:val="21"/>
              </w:rPr>
              <w:t>2018 </w:t>
            </w:r>
            <w:r>
              <w:rPr>
                <w:sz w:val="21"/>
              </w:rPr>
              <w:t>年 </w:t>
            </w:r>
            <w:r>
              <w:rPr>
                <w:rFonts w:ascii="Times New Roman" w:eastAsia="Times New Roman"/>
                <w:sz w:val="21"/>
              </w:rPr>
              <w:t>4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34.2</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0.18</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0.21</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6" w:lineRule="exact"/>
              <w:ind w:left="374" w:right="354"/>
              <w:rPr>
                <w:sz w:val="21"/>
              </w:rPr>
            </w:pPr>
            <w:r>
              <w:rPr>
                <w:rFonts w:ascii="Times New Roman" w:eastAsia="Times New Roman"/>
                <w:sz w:val="21"/>
              </w:rPr>
              <w:t>2018 </w:t>
            </w:r>
            <w:r>
              <w:rPr>
                <w:sz w:val="21"/>
              </w:rPr>
              <w:t>年 </w:t>
            </w:r>
            <w:r>
              <w:rPr>
                <w:rFonts w:ascii="Times New Roman" w:eastAsia="Times New Roman"/>
                <w:sz w:val="21"/>
              </w:rPr>
              <w:t>5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28.9</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0.78</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0.19</w:t>
            </w:r>
          </w:p>
        </w:tc>
      </w:tr>
      <w:tr>
        <w:trPr>
          <w:trHeight w:val="313" w:hRule="atLeast"/>
        </w:trPr>
        <w:tc>
          <w:tcPr>
            <w:tcW w:w="1997" w:type="dxa"/>
            <w:tcBorders>
              <w:top w:val="single" w:sz="6" w:space="0" w:color="000000"/>
              <w:bottom w:val="single" w:sz="6" w:space="0" w:color="000000"/>
              <w:right w:val="single" w:sz="6" w:space="0" w:color="000000"/>
            </w:tcBorders>
          </w:tcPr>
          <w:p>
            <w:pPr>
              <w:pStyle w:val="TableParagraph"/>
              <w:spacing w:line="294" w:lineRule="exact"/>
              <w:ind w:left="374" w:right="354"/>
              <w:rPr>
                <w:sz w:val="21"/>
              </w:rPr>
            </w:pPr>
            <w:r>
              <w:rPr>
                <w:rFonts w:ascii="Times New Roman" w:eastAsia="Times New Roman"/>
                <w:sz w:val="21"/>
              </w:rPr>
              <w:t>2018 </w:t>
            </w:r>
            <w:r>
              <w:rPr>
                <w:sz w:val="21"/>
              </w:rPr>
              <w:t>年 </w:t>
            </w:r>
            <w:r>
              <w:rPr>
                <w:rFonts w:ascii="Times New Roman" w:eastAsia="Times New Roman"/>
                <w:sz w:val="21"/>
              </w:rPr>
              <w:t>6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22.9</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0.58</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0.36</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6" w:lineRule="exact"/>
              <w:ind w:left="374" w:right="354"/>
              <w:rPr>
                <w:sz w:val="21"/>
              </w:rPr>
            </w:pPr>
            <w:r>
              <w:rPr>
                <w:rFonts w:ascii="Times New Roman" w:eastAsia="Times New Roman"/>
                <w:sz w:val="21"/>
              </w:rPr>
              <w:t>2018 </w:t>
            </w:r>
            <w:r>
              <w:rPr>
                <w:sz w:val="21"/>
              </w:rPr>
              <w:t>年 </w:t>
            </w:r>
            <w:r>
              <w:rPr>
                <w:rFonts w:ascii="Times New Roman" w:eastAsia="Times New Roman"/>
                <w:sz w:val="21"/>
              </w:rPr>
              <w:t>7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30.4</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0.33</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0.32</w:t>
            </w:r>
          </w:p>
        </w:tc>
      </w:tr>
      <w:tr>
        <w:trPr>
          <w:trHeight w:val="313" w:hRule="atLeast"/>
        </w:trPr>
        <w:tc>
          <w:tcPr>
            <w:tcW w:w="1997" w:type="dxa"/>
            <w:tcBorders>
              <w:top w:val="single" w:sz="6" w:space="0" w:color="000000"/>
              <w:bottom w:val="single" w:sz="6" w:space="0" w:color="000000"/>
              <w:right w:val="single" w:sz="6" w:space="0" w:color="000000"/>
            </w:tcBorders>
          </w:tcPr>
          <w:p>
            <w:pPr>
              <w:pStyle w:val="TableParagraph"/>
              <w:spacing w:line="294" w:lineRule="exact"/>
              <w:ind w:left="374" w:right="354"/>
              <w:rPr>
                <w:sz w:val="21"/>
              </w:rPr>
            </w:pPr>
            <w:r>
              <w:rPr>
                <w:rFonts w:ascii="Times New Roman" w:eastAsia="Times New Roman"/>
                <w:sz w:val="21"/>
              </w:rPr>
              <w:t>2018 </w:t>
            </w:r>
            <w:r>
              <w:rPr>
                <w:sz w:val="21"/>
              </w:rPr>
              <w:t>年 </w:t>
            </w:r>
            <w:r>
              <w:rPr>
                <w:rFonts w:ascii="Times New Roman" w:eastAsia="Times New Roman"/>
                <w:sz w:val="21"/>
              </w:rPr>
              <w:t>8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23.5</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0.82</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0.31</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6" w:lineRule="exact"/>
              <w:ind w:left="374" w:right="354"/>
              <w:rPr>
                <w:sz w:val="21"/>
              </w:rPr>
            </w:pPr>
            <w:r>
              <w:rPr>
                <w:rFonts w:ascii="Times New Roman" w:eastAsia="Times New Roman"/>
                <w:sz w:val="21"/>
              </w:rPr>
              <w:t>2018 </w:t>
            </w:r>
            <w:r>
              <w:rPr>
                <w:sz w:val="21"/>
              </w:rPr>
              <w:t>年 </w:t>
            </w:r>
            <w:r>
              <w:rPr>
                <w:rFonts w:ascii="Times New Roman" w:eastAsia="Times New Roman"/>
                <w:sz w:val="21"/>
              </w:rPr>
              <w:t>9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30.1</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0.29</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0.38</w:t>
            </w:r>
          </w:p>
        </w:tc>
      </w:tr>
      <w:tr>
        <w:trPr>
          <w:trHeight w:val="313" w:hRule="atLeast"/>
        </w:trPr>
        <w:tc>
          <w:tcPr>
            <w:tcW w:w="1997" w:type="dxa"/>
            <w:tcBorders>
              <w:top w:val="single" w:sz="6" w:space="0" w:color="000000"/>
              <w:bottom w:val="single" w:sz="6" w:space="0" w:color="000000"/>
              <w:right w:val="single" w:sz="6" w:space="0" w:color="000000"/>
            </w:tcBorders>
          </w:tcPr>
          <w:p>
            <w:pPr>
              <w:pStyle w:val="TableParagraph"/>
              <w:spacing w:line="294" w:lineRule="exact"/>
              <w:ind w:left="374" w:right="354"/>
              <w:rPr>
                <w:sz w:val="21"/>
              </w:rPr>
            </w:pPr>
            <w:r>
              <w:rPr>
                <w:rFonts w:ascii="Times New Roman" w:eastAsia="Times New Roman"/>
                <w:sz w:val="21"/>
              </w:rPr>
              <w:t>2018 </w:t>
            </w:r>
            <w:r>
              <w:rPr>
                <w:sz w:val="21"/>
              </w:rPr>
              <w:t>年 </w:t>
            </w:r>
            <w:r>
              <w:rPr>
                <w:rFonts w:ascii="Times New Roman" w:eastAsia="Times New Roman"/>
                <w:sz w:val="21"/>
              </w:rPr>
              <w:t>10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13.3</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0.57</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0.12</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7" w:lineRule="exact"/>
              <w:ind w:left="376" w:right="353"/>
              <w:rPr>
                <w:sz w:val="21"/>
              </w:rPr>
            </w:pPr>
            <w:r>
              <w:rPr>
                <w:rFonts w:ascii="Times New Roman" w:eastAsia="Times New Roman"/>
                <w:sz w:val="21"/>
              </w:rPr>
              <w:t>2018 </w:t>
            </w:r>
            <w:r>
              <w:rPr>
                <w:sz w:val="21"/>
              </w:rPr>
              <w:t>年 </w:t>
            </w:r>
            <w:r>
              <w:rPr>
                <w:rFonts w:ascii="Times New Roman" w:eastAsia="Times New Roman"/>
                <w:sz w:val="21"/>
              </w:rPr>
              <w:t>11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26.7</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1.02</w:t>
            </w:r>
          </w:p>
        </w:tc>
        <w:tc>
          <w:tcPr>
            <w:tcW w:w="2436" w:type="dxa"/>
            <w:tcBorders>
              <w:top w:val="single" w:sz="6" w:space="0" w:color="000000"/>
              <w:left w:val="single" w:sz="4" w:space="0" w:color="000000"/>
              <w:bottom w:val="single" w:sz="6" w:space="0" w:color="000000"/>
            </w:tcBorders>
          </w:tcPr>
          <w:p>
            <w:pPr>
              <w:pStyle w:val="TableParagraph"/>
              <w:spacing w:before="32"/>
              <w:ind w:left="558" w:right="516"/>
              <w:rPr>
                <w:rFonts w:ascii="Times New Roman"/>
                <w:sz w:val="21"/>
              </w:rPr>
            </w:pPr>
            <w:r>
              <w:rPr>
                <w:rFonts w:ascii="Times New Roman"/>
                <w:sz w:val="21"/>
              </w:rPr>
              <w:t>0.11</w:t>
            </w:r>
          </w:p>
        </w:tc>
      </w:tr>
      <w:tr>
        <w:trPr>
          <w:trHeight w:val="313" w:hRule="atLeast"/>
        </w:trPr>
        <w:tc>
          <w:tcPr>
            <w:tcW w:w="1997" w:type="dxa"/>
            <w:tcBorders>
              <w:top w:val="single" w:sz="6" w:space="0" w:color="000000"/>
              <w:bottom w:val="single" w:sz="6" w:space="0" w:color="000000"/>
              <w:right w:val="single" w:sz="6" w:space="0" w:color="000000"/>
            </w:tcBorders>
          </w:tcPr>
          <w:p>
            <w:pPr>
              <w:pStyle w:val="TableParagraph"/>
              <w:spacing w:line="294" w:lineRule="exact"/>
              <w:ind w:left="374" w:right="354"/>
              <w:rPr>
                <w:sz w:val="21"/>
              </w:rPr>
            </w:pPr>
            <w:r>
              <w:rPr>
                <w:rFonts w:ascii="Times New Roman" w:eastAsia="Times New Roman"/>
                <w:sz w:val="21"/>
              </w:rPr>
              <w:t>2018 </w:t>
            </w:r>
            <w:r>
              <w:rPr>
                <w:sz w:val="21"/>
              </w:rPr>
              <w:t>年 </w:t>
            </w:r>
            <w:r>
              <w:rPr>
                <w:rFonts w:ascii="Times New Roman" w:eastAsia="Times New Roman"/>
                <w:sz w:val="21"/>
              </w:rPr>
              <w:t>12 </w:t>
            </w:r>
            <w:r>
              <w:rPr>
                <w:sz w:val="21"/>
              </w:rPr>
              <w:t>月</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30.2</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1.42</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0.12</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6" w:lineRule="exact"/>
              <w:ind w:left="374" w:right="354"/>
              <w:rPr>
                <w:sz w:val="21"/>
              </w:rPr>
            </w:pPr>
            <w:r>
              <w:rPr>
                <w:sz w:val="21"/>
              </w:rPr>
              <w:t>最大值</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40.6</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1.42</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0.38</w:t>
            </w:r>
          </w:p>
        </w:tc>
      </w:tr>
      <w:tr>
        <w:trPr>
          <w:trHeight w:val="313" w:hRule="atLeast"/>
        </w:trPr>
        <w:tc>
          <w:tcPr>
            <w:tcW w:w="1997" w:type="dxa"/>
            <w:tcBorders>
              <w:top w:val="single" w:sz="6" w:space="0" w:color="000000"/>
              <w:bottom w:val="single" w:sz="6" w:space="0" w:color="000000"/>
              <w:right w:val="single" w:sz="6" w:space="0" w:color="000000"/>
            </w:tcBorders>
          </w:tcPr>
          <w:p>
            <w:pPr>
              <w:pStyle w:val="TableParagraph"/>
              <w:spacing w:line="294" w:lineRule="exact"/>
              <w:ind w:left="374" w:right="354"/>
              <w:rPr>
                <w:sz w:val="21"/>
              </w:rPr>
            </w:pPr>
            <w:r>
              <w:rPr>
                <w:sz w:val="21"/>
              </w:rPr>
              <w:t>最小值</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13.3</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387" w:right="357"/>
              <w:rPr>
                <w:rFonts w:ascii="Times New Roman"/>
                <w:sz w:val="21"/>
              </w:rPr>
            </w:pPr>
            <w:r>
              <w:rPr>
                <w:rFonts w:ascii="Times New Roman"/>
                <w:sz w:val="21"/>
              </w:rPr>
              <w:t>0.29</w:t>
            </w:r>
          </w:p>
        </w:tc>
        <w:tc>
          <w:tcPr>
            <w:tcW w:w="2436" w:type="dxa"/>
            <w:tcBorders>
              <w:top w:val="single" w:sz="6" w:space="0" w:color="000000"/>
              <w:left w:val="single" w:sz="4" w:space="0" w:color="000000"/>
              <w:bottom w:val="single" w:sz="6" w:space="0" w:color="000000"/>
            </w:tcBorders>
          </w:tcPr>
          <w:p>
            <w:pPr>
              <w:pStyle w:val="TableParagraph"/>
              <w:spacing w:before="32"/>
              <w:ind w:left="558" w:right="516"/>
              <w:rPr>
                <w:rFonts w:ascii="Times New Roman"/>
                <w:sz w:val="21"/>
              </w:rPr>
            </w:pPr>
            <w:r>
              <w:rPr>
                <w:rFonts w:ascii="Times New Roman"/>
                <w:sz w:val="21"/>
              </w:rPr>
              <w:t>0.11</w:t>
            </w:r>
          </w:p>
        </w:tc>
      </w:tr>
      <w:tr>
        <w:trPr>
          <w:trHeight w:val="316" w:hRule="atLeast"/>
        </w:trPr>
        <w:tc>
          <w:tcPr>
            <w:tcW w:w="1997" w:type="dxa"/>
            <w:tcBorders>
              <w:top w:val="single" w:sz="6" w:space="0" w:color="000000"/>
              <w:bottom w:val="single" w:sz="6" w:space="0" w:color="000000"/>
              <w:right w:val="single" w:sz="6" w:space="0" w:color="000000"/>
            </w:tcBorders>
          </w:tcPr>
          <w:p>
            <w:pPr>
              <w:pStyle w:val="TableParagraph"/>
              <w:spacing w:line="296" w:lineRule="exact"/>
              <w:ind w:left="376" w:right="353"/>
              <w:rPr>
                <w:sz w:val="21"/>
              </w:rPr>
            </w:pPr>
            <w:r>
              <w:rPr>
                <w:sz w:val="21"/>
              </w:rPr>
              <w:t>排放标准</w:t>
            </w:r>
          </w:p>
        </w:tc>
        <w:tc>
          <w:tcPr>
            <w:tcW w:w="1994" w:type="dxa"/>
            <w:tcBorders>
              <w:top w:val="single" w:sz="6" w:space="0" w:color="000000"/>
              <w:left w:val="single" w:sz="6" w:space="0" w:color="000000"/>
              <w:bottom w:val="single" w:sz="6" w:space="0" w:color="000000"/>
              <w:right w:val="single" w:sz="6" w:space="0" w:color="000000"/>
            </w:tcBorders>
          </w:tcPr>
          <w:p>
            <w:pPr>
              <w:pStyle w:val="TableParagraph"/>
              <w:spacing w:before="32"/>
              <w:ind w:left="112" w:right="85"/>
              <w:rPr>
                <w:rFonts w:ascii="Times New Roman"/>
                <w:sz w:val="21"/>
              </w:rPr>
            </w:pPr>
            <w:r>
              <w:rPr>
                <w:rFonts w:ascii="Times New Roman"/>
                <w:sz w:val="21"/>
              </w:rPr>
              <w:t>50</w:t>
            </w:r>
          </w:p>
        </w:tc>
        <w:tc>
          <w:tcPr>
            <w:tcW w:w="2100" w:type="dxa"/>
            <w:tcBorders>
              <w:top w:val="single" w:sz="6" w:space="0" w:color="000000"/>
              <w:left w:val="single" w:sz="6" w:space="0" w:color="000000"/>
              <w:bottom w:val="single" w:sz="6" w:space="0" w:color="000000"/>
              <w:right w:val="single" w:sz="4" w:space="0" w:color="000000"/>
            </w:tcBorders>
          </w:tcPr>
          <w:p>
            <w:pPr>
              <w:pStyle w:val="TableParagraph"/>
              <w:spacing w:before="32"/>
              <w:ind w:left="26"/>
              <w:rPr>
                <w:rFonts w:ascii="Times New Roman"/>
                <w:sz w:val="21"/>
              </w:rPr>
            </w:pPr>
            <w:r>
              <w:rPr>
                <w:rFonts w:ascii="Times New Roman"/>
                <w:w w:val="100"/>
                <w:sz w:val="21"/>
              </w:rPr>
              <w:t>5</w:t>
            </w:r>
          </w:p>
        </w:tc>
        <w:tc>
          <w:tcPr>
            <w:tcW w:w="2436" w:type="dxa"/>
            <w:tcBorders>
              <w:top w:val="single" w:sz="6" w:space="0" w:color="000000"/>
              <w:left w:val="single" w:sz="4" w:space="0" w:color="000000"/>
              <w:bottom w:val="single" w:sz="6" w:space="0" w:color="000000"/>
            </w:tcBorders>
          </w:tcPr>
          <w:p>
            <w:pPr>
              <w:pStyle w:val="TableParagraph"/>
              <w:spacing w:before="32"/>
              <w:ind w:left="558" w:right="514"/>
              <w:rPr>
                <w:rFonts w:ascii="Times New Roman"/>
                <w:sz w:val="21"/>
              </w:rPr>
            </w:pPr>
            <w:r>
              <w:rPr>
                <w:rFonts w:ascii="Times New Roman"/>
                <w:sz w:val="21"/>
              </w:rPr>
              <w:t>0.5</w:t>
            </w:r>
          </w:p>
        </w:tc>
      </w:tr>
      <w:tr>
        <w:trPr>
          <w:trHeight w:val="315" w:hRule="atLeast"/>
        </w:trPr>
        <w:tc>
          <w:tcPr>
            <w:tcW w:w="1997" w:type="dxa"/>
            <w:tcBorders>
              <w:top w:val="single" w:sz="6" w:space="0" w:color="000000"/>
              <w:right w:val="single" w:sz="6" w:space="0" w:color="000000"/>
            </w:tcBorders>
          </w:tcPr>
          <w:p>
            <w:pPr>
              <w:pStyle w:val="TableParagraph"/>
              <w:spacing w:line="296" w:lineRule="exact"/>
              <w:ind w:left="376" w:right="353"/>
              <w:rPr>
                <w:sz w:val="21"/>
              </w:rPr>
            </w:pPr>
            <w:r>
              <w:rPr>
                <w:sz w:val="21"/>
              </w:rPr>
              <w:t>达标情况</w:t>
            </w:r>
          </w:p>
        </w:tc>
        <w:tc>
          <w:tcPr>
            <w:tcW w:w="1994" w:type="dxa"/>
            <w:tcBorders>
              <w:top w:val="single" w:sz="6" w:space="0" w:color="000000"/>
              <w:left w:val="single" w:sz="6" w:space="0" w:color="000000"/>
              <w:right w:val="single" w:sz="6" w:space="0" w:color="000000"/>
            </w:tcBorders>
          </w:tcPr>
          <w:p>
            <w:pPr>
              <w:pStyle w:val="TableParagraph"/>
              <w:spacing w:line="296" w:lineRule="exact"/>
              <w:ind w:left="112" w:right="85"/>
              <w:rPr>
                <w:sz w:val="21"/>
              </w:rPr>
            </w:pPr>
            <w:r>
              <w:rPr>
                <w:sz w:val="21"/>
              </w:rPr>
              <w:t>达标</w:t>
            </w:r>
          </w:p>
        </w:tc>
        <w:tc>
          <w:tcPr>
            <w:tcW w:w="2100" w:type="dxa"/>
            <w:tcBorders>
              <w:top w:val="single" w:sz="6" w:space="0" w:color="000000"/>
              <w:left w:val="single" w:sz="6" w:space="0" w:color="000000"/>
              <w:right w:val="single" w:sz="4" w:space="0" w:color="000000"/>
            </w:tcBorders>
          </w:tcPr>
          <w:p>
            <w:pPr>
              <w:pStyle w:val="TableParagraph"/>
              <w:spacing w:line="296" w:lineRule="exact"/>
              <w:ind w:left="387" w:right="357"/>
              <w:rPr>
                <w:sz w:val="21"/>
              </w:rPr>
            </w:pPr>
            <w:r>
              <w:rPr>
                <w:sz w:val="21"/>
              </w:rPr>
              <w:t>达标</w:t>
            </w:r>
          </w:p>
        </w:tc>
        <w:tc>
          <w:tcPr>
            <w:tcW w:w="2436" w:type="dxa"/>
            <w:tcBorders>
              <w:top w:val="single" w:sz="6" w:space="0" w:color="000000"/>
              <w:left w:val="single" w:sz="4" w:space="0" w:color="000000"/>
            </w:tcBorders>
          </w:tcPr>
          <w:p>
            <w:pPr>
              <w:pStyle w:val="TableParagraph"/>
              <w:spacing w:line="296" w:lineRule="exact"/>
              <w:ind w:left="558" w:right="514"/>
              <w:rPr>
                <w:sz w:val="21"/>
              </w:rPr>
            </w:pPr>
            <w:r>
              <w:rPr>
                <w:sz w:val="21"/>
              </w:rPr>
              <w:t>达标</w:t>
            </w:r>
          </w:p>
        </w:tc>
      </w:tr>
    </w:tbl>
    <w:p>
      <w:pPr>
        <w:pStyle w:val="BodyText"/>
        <w:spacing w:line="220" w:lineRule="auto" w:before="144"/>
        <w:ind w:left="578" w:right="875" w:firstLine="479"/>
        <w:jc w:val="right"/>
      </w:pPr>
      <w:r>
        <w:rPr>
          <w:spacing w:val="-15"/>
        </w:rPr>
        <w:t>由上表可知，莒南卓澳水质净化有限公司出水各项指标均能够稳定达到《城</w:t>
      </w:r>
      <w:r>
        <w:rPr>
          <w:spacing w:val="-23"/>
        </w:rPr>
        <w:t>镇污水处理厂污染物排放标准》</w:t>
      </w:r>
      <w:r>
        <w:rPr/>
        <w:t>（</w:t>
      </w:r>
      <w:r>
        <w:rPr>
          <w:rFonts w:ascii="Times New Roman" w:eastAsia="Times New Roman"/>
        </w:rPr>
        <w:t>GB18918-2002</w:t>
      </w:r>
      <w:r>
        <w:rPr/>
        <w:t>）中一级标准的 </w:t>
      </w:r>
      <w:r>
        <w:rPr>
          <w:rFonts w:ascii="Times New Roman" w:eastAsia="Times New Roman"/>
        </w:rPr>
        <w:t>A</w:t>
      </w:r>
      <w:r>
        <w:rPr>
          <w:rFonts w:ascii="Times New Roman" w:eastAsia="Times New Roman"/>
          <w:spacing w:val="-2"/>
        </w:rPr>
        <w:t> </w:t>
      </w:r>
      <w:r>
        <w:rPr/>
        <w:t>标准要求。地表水体超标原因主要是由于莒南县沿河的工业废水及生活污水所致，为</w:t>
      </w:r>
    </w:p>
    <w:p>
      <w:pPr>
        <w:pStyle w:val="BodyText"/>
        <w:spacing w:line="480" w:lineRule="exact"/>
        <w:ind w:right="880"/>
        <w:jc w:val="right"/>
      </w:pPr>
      <w:r>
        <w:rPr/>
        <w:t>保护当地水体，严禁企业废水未经处理达标排入附近地表水。同时，要使评价</w:t>
      </w:r>
    </w:p>
    <w:p>
      <w:pPr>
        <w:spacing w:after="0" w:line="480" w:lineRule="exact"/>
        <w:jc w:val="right"/>
        <w:sectPr>
          <w:pgSz w:w="11910" w:h="16840"/>
          <w:pgMar w:header="877" w:footer="973" w:top="1340" w:bottom="1160" w:left="1220" w:right="1040"/>
        </w:sectPr>
      </w:pPr>
    </w:p>
    <w:p>
      <w:pPr>
        <w:pStyle w:val="BodyText"/>
        <w:spacing w:line="220" w:lineRule="auto" w:before="77"/>
        <w:ind w:left="578" w:right="877"/>
        <w:jc w:val="both"/>
      </w:pPr>
      <w:r>
        <w:rPr/>
        <w:t>范围内地表水质达到地表水环境质量标准，应对排入的各类废水污染源进行综合治理，并加强各废水污染源监督管理，确保其达到国家排放标准和总量控制指标要求。</w:t>
      </w:r>
    </w:p>
    <w:p>
      <w:pPr>
        <w:pStyle w:val="Heading3"/>
        <w:numPr>
          <w:ilvl w:val="2"/>
          <w:numId w:val="7"/>
        </w:numPr>
        <w:tabs>
          <w:tab w:pos="1378" w:val="left" w:leader="none"/>
        </w:tabs>
        <w:spacing w:line="240" w:lineRule="auto" w:before="150" w:after="0"/>
        <w:ind w:left="1377" w:right="0" w:hanging="799"/>
        <w:jc w:val="left"/>
      </w:pPr>
      <w:r>
        <w:rPr/>
        <w:t>地下水环境质量现状调查</w:t>
      </w:r>
    </w:p>
    <w:p>
      <w:pPr>
        <w:pStyle w:val="Heading5"/>
        <w:numPr>
          <w:ilvl w:val="3"/>
          <w:numId w:val="7"/>
        </w:numPr>
        <w:tabs>
          <w:tab w:pos="1490" w:val="left" w:leader="none"/>
        </w:tabs>
        <w:spacing w:line="240" w:lineRule="auto" w:before="203" w:after="0"/>
        <w:ind w:left="1490" w:right="0" w:hanging="912"/>
        <w:jc w:val="left"/>
      </w:pPr>
      <w:r>
        <w:rPr/>
        <w:t>地下水环境质量现状监测</w:t>
      </w:r>
    </w:p>
    <w:p>
      <w:pPr>
        <w:pStyle w:val="BodyText"/>
        <w:spacing w:line="488" w:lineRule="exact" w:before="152"/>
        <w:ind w:left="1058"/>
      </w:pPr>
      <w:r>
        <w:rPr>
          <w:rFonts w:ascii="Times New Roman" w:eastAsia="Times New Roman"/>
        </w:rPr>
        <w:t>1</w:t>
      </w:r>
      <w:r>
        <w:rPr/>
        <w:t>、监测断面设置</w:t>
      </w:r>
    </w:p>
    <w:p>
      <w:pPr>
        <w:pStyle w:val="BodyText"/>
        <w:spacing w:line="220" w:lineRule="auto" w:before="8"/>
        <w:ind w:left="578" w:right="820" w:firstLine="479"/>
      </w:pPr>
      <w:r>
        <w:rPr/>
        <w:t>根据《环境影响评价技术导则</w:t>
      </w:r>
      <w:r>
        <w:rPr>
          <w:rFonts w:ascii="Times New Roman" w:eastAsia="Times New Roman"/>
        </w:rPr>
        <w:t>-</w:t>
      </w:r>
      <w:r>
        <w:rPr/>
        <w:t>地下水环境》（</w:t>
      </w:r>
      <w:r>
        <w:rPr>
          <w:rFonts w:ascii="Times New Roman" w:eastAsia="Times New Roman"/>
        </w:rPr>
        <w:t>HJ610-2016</w:t>
      </w:r>
      <w:r>
        <w:rPr/>
        <w:t>）结合区域地下水特点及评价区的具体情况，本次地下水现状监测布设 </w:t>
      </w:r>
      <w:r>
        <w:rPr>
          <w:rFonts w:ascii="Times New Roman" w:eastAsia="Times New Roman"/>
        </w:rPr>
        <w:t>5 </w:t>
      </w:r>
      <w:r>
        <w:rPr/>
        <w:t>个地下水水质、水位</w:t>
      </w:r>
    </w:p>
    <w:p>
      <w:pPr>
        <w:pStyle w:val="BodyText"/>
        <w:spacing w:line="480" w:lineRule="exact"/>
        <w:ind w:left="578"/>
        <w:jc w:val="both"/>
      </w:pPr>
      <w:r>
        <w:rPr/>
        <w:t>监测点、</w:t>
      </w:r>
      <w:r>
        <w:rPr>
          <w:rFonts w:ascii="Times New Roman" w:eastAsia="Times New Roman"/>
        </w:rPr>
        <w:t>5 </w:t>
      </w:r>
      <w:r>
        <w:rPr/>
        <w:t>个水位监测点，点位布设如表 </w:t>
      </w:r>
      <w:r>
        <w:rPr>
          <w:rFonts w:ascii="Times New Roman" w:eastAsia="Times New Roman"/>
        </w:rPr>
        <w:t>5.4-23 </w:t>
      </w:r>
      <w:r>
        <w:rPr/>
        <w:t>和图 </w:t>
      </w:r>
      <w:r>
        <w:rPr>
          <w:rFonts w:ascii="Times New Roman" w:eastAsia="Times New Roman"/>
        </w:rPr>
        <w:t>5.4-1 </w:t>
      </w:r>
      <w:r>
        <w:rPr/>
        <w:t>所示。</w:t>
      </w:r>
    </w:p>
    <w:p>
      <w:pPr>
        <w:tabs>
          <w:tab w:pos="1017" w:val="left" w:leader="none"/>
        </w:tabs>
        <w:spacing w:before="150" w:after="24"/>
        <w:ind w:left="0" w:right="295" w:firstLine="0"/>
        <w:jc w:val="center"/>
        <w:rPr>
          <w:sz w:val="21"/>
        </w:rPr>
      </w:pPr>
      <w:r>
        <w:rPr>
          <w:sz w:val="21"/>
        </w:rPr>
        <w:t>表</w:t>
      </w:r>
      <w:r>
        <w:rPr>
          <w:spacing w:val="7"/>
          <w:sz w:val="21"/>
        </w:rPr>
        <w:t> </w:t>
      </w:r>
      <w:r>
        <w:rPr>
          <w:rFonts w:ascii="Times New Roman" w:eastAsia="Times New Roman"/>
          <w:b/>
          <w:sz w:val="21"/>
        </w:rPr>
        <w:t>5.4-23</w:t>
        <w:tab/>
      </w:r>
      <w:r>
        <w:rPr>
          <w:sz w:val="21"/>
        </w:rPr>
        <w:t>地下水监测</w:t>
      </w:r>
      <w:r>
        <w:rPr>
          <w:spacing w:val="-3"/>
          <w:sz w:val="21"/>
        </w:rPr>
        <w:t>布</w:t>
      </w:r>
      <w:r>
        <w:rPr>
          <w:sz w:val="21"/>
        </w:rPr>
        <w:t>点情况</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1277"/>
        <w:gridCol w:w="1560"/>
        <w:gridCol w:w="1275"/>
        <w:gridCol w:w="3742"/>
      </w:tblGrid>
      <w:tr>
        <w:trPr>
          <w:trHeight w:val="342" w:hRule="atLeast"/>
        </w:trPr>
        <w:tc>
          <w:tcPr>
            <w:tcW w:w="674" w:type="dxa"/>
            <w:tcBorders>
              <w:bottom w:val="single" w:sz="6" w:space="0" w:color="000000"/>
              <w:right w:val="single" w:sz="6" w:space="0" w:color="000000"/>
            </w:tcBorders>
          </w:tcPr>
          <w:p>
            <w:pPr>
              <w:pStyle w:val="TableParagraph"/>
              <w:spacing w:line="322" w:lineRule="exact"/>
              <w:ind w:right="102"/>
              <w:jc w:val="right"/>
              <w:rPr>
                <w:sz w:val="21"/>
              </w:rPr>
            </w:pPr>
            <w:r>
              <w:rPr>
                <w:sz w:val="21"/>
              </w:rPr>
              <w:t>序号</w:t>
            </w:r>
          </w:p>
        </w:tc>
        <w:tc>
          <w:tcPr>
            <w:tcW w:w="1277" w:type="dxa"/>
            <w:tcBorders>
              <w:left w:val="single" w:sz="6" w:space="0" w:color="000000"/>
              <w:bottom w:val="single" w:sz="6" w:space="0" w:color="000000"/>
              <w:right w:val="single" w:sz="6" w:space="0" w:color="000000"/>
            </w:tcBorders>
          </w:tcPr>
          <w:p>
            <w:pPr>
              <w:pStyle w:val="TableParagraph"/>
              <w:spacing w:line="322" w:lineRule="exact"/>
              <w:ind w:left="99" w:right="70"/>
              <w:rPr>
                <w:sz w:val="21"/>
              </w:rPr>
            </w:pPr>
            <w:r>
              <w:rPr>
                <w:sz w:val="21"/>
              </w:rPr>
              <w:t>点位名称</w:t>
            </w:r>
          </w:p>
        </w:tc>
        <w:tc>
          <w:tcPr>
            <w:tcW w:w="1560" w:type="dxa"/>
            <w:tcBorders>
              <w:left w:val="single" w:sz="6" w:space="0" w:color="000000"/>
              <w:bottom w:val="single" w:sz="6" w:space="0" w:color="000000"/>
              <w:right w:val="single" w:sz="6" w:space="0" w:color="000000"/>
            </w:tcBorders>
          </w:tcPr>
          <w:p>
            <w:pPr>
              <w:pStyle w:val="TableParagraph"/>
              <w:spacing w:line="322" w:lineRule="exact"/>
              <w:ind w:left="115" w:right="85"/>
              <w:rPr>
                <w:sz w:val="21"/>
              </w:rPr>
            </w:pPr>
            <w:r>
              <w:rPr>
                <w:sz w:val="21"/>
              </w:rPr>
              <w:t>相对厂址方位</w:t>
            </w:r>
          </w:p>
        </w:tc>
        <w:tc>
          <w:tcPr>
            <w:tcW w:w="1275" w:type="dxa"/>
            <w:tcBorders>
              <w:left w:val="single" w:sz="6" w:space="0" w:color="000000"/>
              <w:bottom w:val="single" w:sz="6" w:space="0" w:color="000000"/>
              <w:right w:val="single" w:sz="6" w:space="0" w:color="000000"/>
            </w:tcBorders>
          </w:tcPr>
          <w:p>
            <w:pPr>
              <w:pStyle w:val="TableParagraph"/>
              <w:spacing w:line="322" w:lineRule="exact"/>
              <w:ind w:left="98" w:right="71"/>
              <w:rPr>
                <w:sz w:val="21"/>
              </w:rPr>
            </w:pPr>
            <w:r>
              <w:rPr>
                <w:sz w:val="21"/>
              </w:rPr>
              <w:t>距厂址距离</w:t>
            </w:r>
          </w:p>
        </w:tc>
        <w:tc>
          <w:tcPr>
            <w:tcW w:w="3742" w:type="dxa"/>
            <w:tcBorders>
              <w:left w:val="single" w:sz="6" w:space="0" w:color="000000"/>
              <w:bottom w:val="single" w:sz="6" w:space="0" w:color="000000"/>
            </w:tcBorders>
          </w:tcPr>
          <w:p>
            <w:pPr>
              <w:pStyle w:val="TableParagraph"/>
              <w:spacing w:line="322" w:lineRule="exact"/>
              <w:ind w:left="1439" w:right="1400"/>
              <w:rPr>
                <w:sz w:val="21"/>
              </w:rPr>
            </w:pPr>
            <w:r>
              <w:rPr>
                <w:sz w:val="21"/>
              </w:rPr>
              <w:t>功能意义</w:t>
            </w:r>
          </w:p>
        </w:tc>
      </w:tr>
      <w:tr>
        <w:trPr>
          <w:trHeight w:val="345" w:hRule="atLeast"/>
        </w:trPr>
        <w:tc>
          <w:tcPr>
            <w:tcW w:w="674" w:type="dxa"/>
            <w:tcBorders>
              <w:top w:val="single" w:sz="6" w:space="0" w:color="000000"/>
              <w:bottom w:val="single" w:sz="6" w:space="0" w:color="000000"/>
              <w:right w:val="single" w:sz="6" w:space="0" w:color="000000"/>
            </w:tcBorders>
          </w:tcPr>
          <w:p>
            <w:pPr>
              <w:pStyle w:val="TableParagraph"/>
              <w:spacing w:before="51"/>
              <w:ind w:right="208"/>
              <w:jc w:val="right"/>
              <w:rPr>
                <w:rFonts w:ascii="Times New Roman"/>
                <w:sz w:val="21"/>
              </w:rPr>
            </w:pPr>
            <w:r>
              <w:rPr>
                <w:rFonts w:ascii="Times New Roman"/>
                <w:sz w:val="21"/>
              </w:rPr>
              <w:t>1#</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25" w:lineRule="exact"/>
              <w:ind w:left="101" w:right="70"/>
              <w:rPr>
                <w:sz w:val="21"/>
              </w:rPr>
            </w:pPr>
            <w:r>
              <w:rPr>
                <w:sz w:val="21"/>
              </w:rPr>
              <w:t>孙家怪草村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51"/>
              <w:ind w:left="115" w:right="85"/>
              <w:rPr>
                <w:rFonts w:ascii="Times New Roman"/>
                <w:sz w:val="21"/>
              </w:rPr>
            </w:pPr>
            <w:r>
              <w:rPr>
                <w:rFonts w:ascii="Times New Roman"/>
                <w:sz w:val="21"/>
              </w:rPr>
              <w:t>NE</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51"/>
              <w:ind w:left="98" w:right="71"/>
              <w:rPr>
                <w:rFonts w:ascii="Times New Roman"/>
                <w:sz w:val="21"/>
              </w:rPr>
            </w:pPr>
            <w:r>
              <w:rPr>
                <w:rFonts w:ascii="Times New Roman"/>
                <w:sz w:val="21"/>
              </w:rPr>
              <w:t>1080</w:t>
            </w:r>
          </w:p>
        </w:tc>
        <w:tc>
          <w:tcPr>
            <w:tcW w:w="3742" w:type="dxa"/>
            <w:tcBorders>
              <w:top w:val="single" w:sz="6" w:space="0" w:color="000000"/>
              <w:left w:val="single" w:sz="6" w:space="0" w:color="000000"/>
              <w:bottom w:val="single" w:sz="6" w:space="0" w:color="000000"/>
            </w:tcBorders>
          </w:tcPr>
          <w:p>
            <w:pPr>
              <w:pStyle w:val="TableParagraph"/>
              <w:spacing w:line="325" w:lineRule="exact"/>
              <w:ind w:right="155"/>
              <w:jc w:val="right"/>
              <w:rPr>
                <w:sz w:val="21"/>
              </w:rPr>
            </w:pPr>
            <w:r>
              <w:rPr>
                <w:sz w:val="21"/>
              </w:rPr>
              <w:t>了解厂址上游地下水水质、水位情况</w:t>
            </w:r>
          </w:p>
        </w:tc>
      </w:tr>
      <w:tr>
        <w:trPr>
          <w:trHeight w:val="342" w:hRule="atLeast"/>
        </w:trPr>
        <w:tc>
          <w:tcPr>
            <w:tcW w:w="674" w:type="dxa"/>
            <w:tcBorders>
              <w:top w:val="single" w:sz="6" w:space="0" w:color="000000"/>
              <w:bottom w:val="single" w:sz="6" w:space="0" w:color="000000"/>
              <w:right w:val="single" w:sz="6" w:space="0" w:color="000000"/>
            </w:tcBorders>
          </w:tcPr>
          <w:p>
            <w:pPr>
              <w:pStyle w:val="TableParagraph"/>
              <w:spacing w:before="48"/>
              <w:ind w:right="208"/>
              <w:jc w:val="right"/>
              <w:rPr>
                <w:rFonts w:ascii="Times New Roman"/>
                <w:sz w:val="21"/>
              </w:rPr>
            </w:pPr>
            <w:r>
              <w:rPr>
                <w:rFonts w:ascii="Times New Roman"/>
                <w:sz w:val="21"/>
              </w:rPr>
              <w:t>2#</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23" w:lineRule="exact"/>
              <w:ind w:left="99" w:right="70"/>
              <w:rPr>
                <w:sz w:val="21"/>
              </w:rPr>
            </w:pPr>
            <w:r>
              <w:rPr>
                <w:sz w:val="21"/>
              </w:rPr>
              <w:t>左山村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2"/>
              </w:rPr>
            </w:pPr>
          </w:p>
        </w:tc>
        <w:tc>
          <w:tcPr>
            <w:tcW w:w="127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2"/>
              </w:rPr>
            </w:pPr>
          </w:p>
        </w:tc>
        <w:tc>
          <w:tcPr>
            <w:tcW w:w="3742" w:type="dxa"/>
            <w:tcBorders>
              <w:top w:val="single" w:sz="6" w:space="0" w:color="000000"/>
              <w:left w:val="single" w:sz="6" w:space="0" w:color="000000"/>
              <w:bottom w:val="single" w:sz="6" w:space="0" w:color="000000"/>
            </w:tcBorders>
          </w:tcPr>
          <w:p>
            <w:pPr>
              <w:pStyle w:val="TableParagraph"/>
              <w:spacing w:line="323" w:lineRule="exact"/>
              <w:ind w:right="155"/>
              <w:jc w:val="right"/>
              <w:rPr>
                <w:sz w:val="21"/>
              </w:rPr>
            </w:pPr>
            <w:r>
              <w:rPr>
                <w:sz w:val="21"/>
              </w:rPr>
              <w:t>了解厂址两侧地下水水质、水位情况</w:t>
            </w:r>
          </w:p>
        </w:tc>
      </w:tr>
      <w:tr>
        <w:trPr>
          <w:trHeight w:val="342" w:hRule="atLeast"/>
        </w:trPr>
        <w:tc>
          <w:tcPr>
            <w:tcW w:w="674" w:type="dxa"/>
            <w:tcBorders>
              <w:top w:val="single" w:sz="6" w:space="0" w:color="000000"/>
              <w:bottom w:val="single" w:sz="6" w:space="0" w:color="000000"/>
              <w:right w:val="single" w:sz="6" w:space="0" w:color="000000"/>
            </w:tcBorders>
          </w:tcPr>
          <w:p>
            <w:pPr>
              <w:pStyle w:val="TableParagraph"/>
              <w:spacing w:before="49"/>
              <w:ind w:right="208"/>
              <w:jc w:val="right"/>
              <w:rPr>
                <w:rFonts w:ascii="Times New Roman"/>
                <w:sz w:val="21"/>
              </w:rPr>
            </w:pPr>
            <w:r>
              <w:rPr>
                <w:rFonts w:ascii="Times New Roman"/>
                <w:sz w:val="21"/>
              </w:rPr>
              <w:t>3#</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23" w:lineRule="exact"/>
              <w:ind w:left="101" w:right="70"/>
              <w:rPr>
                <w:sz w:val="21"/>
              </w:rPr>
            </w:pPr>
            <w:r>
              <w:rPr>
                <w:sz w:val="21"/>
              </w:rPr>
              <w:t>东石沟村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49"/>
              <w:ind w:left="115" w:right="83"/>
              <w:rPr>
                <w:rFonts w:ascii="Times New Roman"/>
                <w:sz w:val="21"/>
              </w:rPr>
            </w:pPr>
            <w:r>
              <w:rPr>
                <w:rFonts w:ascii="Times New Roman"/>
                <w:sz w:val="21"/>
              </w:rPr>
              <w:t>SE</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49"/>
              <w:ind w:left="98" w:right="71"/>
              <w:rPr>
                <w:rFonts w:ascii="Times New Roman"/>
                <w:sz w:val="21"/>
              </w:rPr>
            </w:pPr>
            <w:r>
              <w:rPr>
                <w:rFonts w:ascii="Times New Roman"/>
                <w:sz w:val="21"/>
              </w:rPr>
              <w:t>1500</w:t>
            </w:r>
          </w:p>
        </w:tc>
        <w:tc>
          <w:tcPr>
            <w:tcW w:w="3742" w:type="dxa"/>
            <w:tcBorders>
              <w:top w:val="single" w:sz="6" w:space="0" w:color="000000"/>
              <w:left w:val="single" w:sz="6" w:space="0" w:color="000000"/>
              <w:bottom w:val="single" w:sz="6" w:space="0" w:color="000000"/>
            </w:tcBorders>
          </w:tcPr>
          <w:p>
            <w:pPr>
              <w:pStyle w:val="TableParagraph"/>
              <w:spacing w:line="323" w:lineRule="exact"/>
              <w:ind w:left="115"/>
              <w:jc w:val="left"/>
              <w:rPr>
                <w:sz w:val="21"/>
              </w:rPr>
            </w:pPr>
            <w:r>
              <w:rPr>
                <w:sz w:val="21"/>
              </w:rPr>
              <w:t>了解厂址两侧地下水水质、水位情况</w:t>
            </w:r>
          </w:p>
        </w:tc>
      </w:tr>
      <w:tr>
        <w:trPr>
          <w:trHeight w:val="342" w:hRule="atLeast"/>
        </w:trPr>
        <w:tc>
          <w:tcPr>
            <w:tcW w:w="674" w:type="dxa"/>
            <w:tcBorders>
              <w:top w:val="single" w:sz="6" w:space="0" w:color="000000"/>
              <w:bottom w:val="single" w:sz="6" w:space="0" w:color="000000"/>
              <w:right w:val="single" w:sz="6" w:space="0" w:color="000000"/>
            </w:tcBorders>
          </w:tcPr>
          <w:p>
            <w:pPr>
              <w:pStyle w:val="TableParagraph"/>
              <w:spacing w:before="51"/>
              <w:ind w:right="208"/>
              <w:jc w:val="right"/>
              <w:rPr>
                <w:rFonts w:ascii="Times New Roman"/>
                <w:sz w:val="21"/>
              </w:rPr>
            </w:pPr>
            <w:r>
              <w:rPr>
                <w:rFonts w:ascii="Times New Roman"/>
                <w:sz w:val="21"/>
              </w:rPr>
              <w:t>4#</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23" w:lineRule="exact"/>
              <w:ind w:left="99" w:right="70"/>
              <w:rPr>
                <w:sz w:val="21"/>
              </w:rPr>
            </w:pPr>
            <w:r>
              <w:rPr>
                <w:sz w:val="21"/>
              </w:rPr>
              <w:t>厂址</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51"/>
              <w:ind w:left="31"/>
              <w:rPr>
                <w:rFonts w:ascii="Times New Roman"/>
                <w:sz w:val="21"/>
              </w:rPr>
            </w:pPr>
            <w:r>
              <w:rPr>
                <w:rFonts w:ascii="Times New Roman"/>
                <w:w w:val="100"/>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51"/>
              <w:ind w:left="28"/>
              <w:rPr>
                <w:rFonts w:ascii="Times New Roman"/>
                <w:sz w:val="21"/>
              </w:rPr>
            </w:pPr>
            <w:r>
              <w:rPr>
                <w:rFonts w:ascii="Times New Roman"/>
                <w:w w:val="100"/>
                <w:sz w:val="21"/>
              </w:rPr>
              <w:t>/</w:t>
            </w:r>
          </w:p>
        </w:tc>
        <w:tc>
          <w:tcPr>
            <w:tcW w:w="3742" w:type="dxa"/>
            <w:tcBorders>
              <w:top w:val="single" w:sz="6" w:space="0" w:color="000000"/>
              <w:left w:val="single" w:sz="6" w:space="0" w:color="000000"/>
              <w:bottom w:val="single" w:sz="6" w:space="0" w:color="000000"/>
            </w:tcBorders>
          </w:tcPr>
          <w:p>
            <w:pPr>
              <w:pStyle w:val="TableParagraph"/>
              <w:spacing w:line="323" w:lineRule="exact"/>
              <w:ind w:left="115"/>
              <w:jc w:val="left"/>
              <w:rPr>
                <w:sz w:val="21"/>
              </w:rPr>
            </w:pPr>
            <w:r>
              <w:rPr>
                <w:sz w:val="21"/>
              </w:rPr>
              <w:t>了解厂址地下水水质、水位情况</w:t>
            </w:r>
          </w:p>
        </w:tc>
      </w:tr>
      <w:tr>
        <w:trPr>
          <w:trHeight w:val="342" w:hRule="atLeast"/>
        </w:trPr>
        <w:tc>
          <w:tcPr>
            <w:tcW w:w="674" w:type="dxa"/>
            <w:tcBorders>
              <w:top w:val="single" w:sz="6" w:space="0" w:color="000000"/>
              <w:bottom w:val="single" w:sz="6" w:space="0" w:color="000000"/>
              <w:right w:val="single" w:sz="6" w:space="0" w:color="000000"/>
            </w:tcBorders>
          </w:tcPr>
          <w:p>
            <w:pPr>
              <w:pStyle w:val="TableParagraph"/>
              <w:spacing w:before="51"/>
              <w:ind w:right="208"/>
              <w:jc w:val="right"/>
              <w:rPr>
                <w:rFonts w:ascii="Times New Roman"/>
                <w:sz w:val="21"/>
              </w:rPr>
            </w:pPr>
            <w:r>
              <w:rPr>
                <w:rFonts w:ascii="Times New Roman"/>
                <w:sz w:val="21"/>
              </w:rPr>
              <w:t>5#</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23" w:lineRule="exact"/>
              <w:ind w:left="101" w:right="70"/>
              <w:rPr>
                <w:sz w:val="21"/>
              </w:rPr>
            </w:pPr>
            <w:r>
              <w:rPr>
                <w:sz w:val="21"/>
              </w:rPr>
              <w:t>中柴沟村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51"/>
              <w:ind w:left="115" w:right="83"/>
              <w:rPr>
                <w:rFonts w:ascii="Times New Roman"/>
                <w:sz w:val="21"/>
              </w:rPr>
            </w:pPr>
            <w:r>
              <w:rPr>
                <w:rFonts w:ascii="Times New Roman"/>
                <w:sz w:val="21"/>
              </w:rPr>
              <w:t>WSW</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51"/>
              <w:ind w:left="98" w:right="71"/>
              <w:rPr>
                <w:rFonts w:ascii="Times New Roman"/>
                <w:sz w:val="21"/>
              </w:rPr>
            </w:pPr>
            <w:r>
              <w:rPr>
                <w:rFonts w:ascii="Times New Roman"/>
                <w:sz w:val="21"/>
              </w:rPr>
              <w:t>300</w:t>
            </w:r>
          </w:p>
        </w:tc>
        <w:tc>
          <w:tcPr>
            <w:tcW w:w="3742" w:type="dxa"/>
            <w:tcBorders>
              <w:top w:val="single" w:sz="6" w:space="0" w:color="000000"/>
              <w:left w:val="single" w:sz="6" w:space="0" w:color="000000"/>
              <w:bottom w:val="single" w:sz="6" w:space="0" w:color="000000"/>
            </w:tcBorders>
          </w:tcPr>
          <w:p>
            <w:pPr>
              <w:pStyle w:val="TableParagraph"/>
              <w:spacing w:line="323" w:lineRule="exact"/>
              <w:ind w:left="115"/>
              <w:jc w:val="left"/>
              <w:rPr>
                <w:sz w:val="21"/>
              </w:rPr>
            </w:pPr>
            <w:r>
              <w:rPr>
                <w:sz w:val="21"/>
              </w:rPr>
              <w:t>了解厂址下游地下水水质、水位情况</w:t>
            </w:r>
          </w:p>
        </w:tc>
      </w:tr>
      <w:tr>
        <w:trPr>
          <w:trHeight w:val="423" w:hRule="atLeast"/>
        </w:trPr>
        <w:tc>
          <w:tcPr>
            <w:tcW w:w="674" w:type="dxa"/>
            <w:tcBorders>
              <w:top w:val="single" w:sz="6" w:space="0" w:color="000000"/>
              <w:bottom w:val="single" w:sz="6" w:space="0" w:color="000000"/>
              <w:right w:val="single" w:sz="6" w:space="0" w:color="000000"/>
            </w:tcBorders>
          </w:tcPr>
          <w:p>
            <w:pPr>
              <w:pStyle w:val="TableParagraph"/>
              <w:spacing w:before="94"/>
              <w:ind w:right="208"/>
              <w:jc w:val="right"/>
              <w:rPr>
                <w:rFonts w:ascii="Times New Roman"/>
                <w:sz w:val="21"/>
              </w:rPr>
            </w:pPr>
            <w:r>
              <w:rPr>
                <w:rFonts w:ascii="Times New Roman"/>
                <w:sz w:val="21"/>
              </w:rPr>
              <w:t>6#</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404" w:lineRule="exact"/>
              <w:ind w:left="101" w:right="70"/>
              <w:rPr>
                <w:sz w:val="21"/>
              </w:rPr>
            </w:pPr>
            <w:r>
              <w:rPr>
                <w:sz w:val="21"/>
              </w:rPr>
              <w:t>前鲍家村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34"/>
              <w:ind w:left="29"/>
              <w:rPr>
                <w:rFonts w:ascii="Times New Roman"/>
                <w:sz w:val="21"/>
              </w:rPr>
            </w:pPr>
            <w:r>
              <w:rPr>
                <w:rFonts w:ascii="Times New Roman"/>
                <w:w w:val="100"/>
                <w:sz w:val="21"/>
              </w:rPr>
              <w:t>N</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34"/>
              <w:ind w:left="98" w:right="71"/>
              <w:rPr>
                <w:rFonts w:ascii="Times New Roman"/>
                <w:sz w:val="21"/>
              </w:rPr>
            </w:pPr>
            <w:r>
              <w:rPr>
                <w:rFonts w:ascii="Times New Roman"/>
                <w:sz w:val="21"/>
              </w:rPr>
              <w:t>670</w:t>
            </w:r>
          </w:p>
        </w:tc>
        <w:tc>
          <w:tcPr>
            <w:tcW w:w="3742" w:type="dxa"/>
            <w:vMerge w:val="restart"/>
            <w:tcBorders>
              <w:top w:val="single" w:sz="6" w:space="0" w:color="000000"/>
              <w:left w:val="single" w:sz="6" w:space="0" w:color="000000"/>
            </w:tcBorders>
          </w:tcPr>
          <w:p>
            <w:pPr>
              <w:pStyle w:val="TableParagraph"/>
              <w:jc w:val="left"/>
              <w:rPr>
                <w:sz w:val="20"/>
              </w:rPr>
            </w:pPr>
          </w:p>
          <w:p>
            <w:pPr>
              <w:pStyle w:val="TableParagraph"/>
              <w:spacing w:before="7"/>
              <w:jc w:val="left"/>
              <w:rPr>
                <w:sz w:val="21"/>
              </w:rPr>
            </w:pPr>
          </w:p>
          <w:p>
            <w:pPr>
              <w:pStyle w:val="TableParagraph"/>
              <w:ind w:left="511"/>
              <w:jc w:val="left"/>
              <w:rPr>
                <w:sz w:val="21"/>
              </w:rPr>
            </w:pPr>
            <w:r>
              <w:rPr>
                <w:sz w:val="21"/>
              </w:rPr>
              <w:t>了解厂址附近地下水水位情况</w:t>
            </w:r>
          </w:p>
        </w:tc>
      </w:tr>
      <w:tr>
        <w:trPr>
          <w:trHeight w:val="418" w:hRule="atLeast"/>
        </w:trPr>
        <w:tc>
          <w:tcPr>
            <w:tcW w:w="674" w:type="dxa"/>
            <w:tcBorders>
              <w:top w:val="single" w:sz="6" w:space="0" w:color="000000"/>
              <w:bottom w:val="single" w:sz="6" w:space="0" w:color="000000"/>
              <w:right w:val="single" w:sz="6" w:space="0" w:color="000000"/>
            </w:tcBorders>
          </w:tcPr>
          <w:p>
            <w:pPr>
              <w:pStyle w:val="TableParagraph"/>
              <w:spacing w:before="89"/>
              <w:ind w:right="208"/>
              <w:jc w:val="right"/>
              <w:rPr>
                <w:rFonts w:ascii="Times New Roman"/>
                <w:sz w:val="21"/>
              </w:rPr>
            </w:pPr>
            <w:r>
              <w:rPr>
                <w:rFonts w:ascii="Times New Roman"/>
                <w:sz w:val="21"/>
              </w:rPr>
              <w:t>7#</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99" w:lineRule="exact"/>
              <w:ind w:left="101" w:right="70"/>
              <w:rPr>
                <w:sz w:val="21"/>
              </w:rPr>
            </w:pPr>
            <w:r>
              <w:rPr>
                <w:sz w:val="21"/>
              </w:rPr>
              <w:t>王家怪草村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5"/>
              <w:rPr>
                <w:rFonts w:ascii="Times New Roman"/>
                <w:sz w:val="21"/>
              </w:rPr>
            </w:pPr>
            <w:r>
              <w:rPr>
                <w:rFonts w:ascii="Times New Roman"/>
                <w:sz w:val="21"/>
              </w:rPr>
              <w:t>NE</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29"/>
              <w:ind w:left="98" w:right="71"/>
              <w:rPr>
                <w:rFonts w:ascii="Times New Roman"/>
                <w:sz w:val="21"/>
              </w:rPr>
            </w:pPr>
            <w:r>
              <w:rPr>
                <w:rFonts w:ascii="Times New Roman"/>
                <w:sz w:val="21"/>
              </w:rPr>
              <w:t>1250</w:t>
            </w:r>
          </w:p>
        </w:tc>
        <w:tc>
          <w:tcPr>
            <w:tcW w:w="3742" w:type="dxa"/>
            <w:vMerge/>
            <w:tcBorders>
              <w:top w:val="nil"/>
              <w:left w:val="single" w:sz="6" w:space="0" w:color="000000"/>
            </w:tcBorders>
          </w:tcPr>
          <w:p>
            <w:pPr>
              <w:rPr>
                <w:sz w:val="2"/>
                <w:szCs w:val="2"/>
              </w:rPr>
            </w:pPr>
          </w:p>
        </w:tc>
      </w:tr>
      <w:tr>
        <w:trPr>
          <w:trHeight w:val="416" w:hRule="atLeast"/>
        </w:trPr>
        <w:tc>
          <w:tcPr>
            <w:tcW w:w="674" w:type="dxa"/>
            <w:tcBorders>
              <w:top w:val="single" w:sz="6" w:space="0" w:color="000000"/>
              <w:bottom w:val="single" w:sz="6" w:space="0" w:color="000000"/>
              <w:right w:val="single" w:sz="6" w:space="0" w:color="000000"/>
            </w:tcBorders>
          </w:tcPr>
          <w:p>
            <w:pPr>
              <w:pStyle w:val="TableParagraph"/>
              <w:spacing w:before="86"/>
              <w:ind w:right="208"/>
              <w:jc w:val="right"/>
              <w:rPr>
                <w:rFonts w:ascii="Times New Roman"/>
                <w:sz w:val="21"/>
              </w:rPr>
            </w:pPr>
            <w:r>
              <w:rPr>
                <w:rFonts w:ascii="Times New Roman"/>
                <w:sz w:val="21"/>
              </w:rPr>
              <w:t>8#</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96" w:lineRule="exact"/>
              <w:ind w:left="101" w:right="70"/>
              <w:rPr>
                <w:sz w:val="21"/>
              </w:rPr>
            </w:pPr>
            <w:r>
              <w:rPr>
                <w:sz w:val="21"/>
              </w:rPr>
              <w:t>前柴沟村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6"/>
              <w:ind w:left="115" w:right="85"/>
              <w:rPr>
                <w:rFonts w:ascii="Times New Roman"/>
                <w:sz w:val="21"/>
              </w:rPr>
            </w:pPr>
            <w:r>
              <w:rPr>
                <w:rFonts w:ascii="Times New Roman"/>
                <w:sz w:val="21"/>
              </w:rPr>
              <w:t>SW</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26"/>
              <w:ind w:left="98" w:right="71"/>
              <w:rPr>
                <w:rFonts w:ascii="Times New Roman"/>
                <w:sz w:val="21"/>
              </w:rPr>
            </w:pPr>
            <w:r>
              <w:rPr>
                <w:rFonts w:ascii="Times New Roman"/>
                <w:sz w:val="21"/>
              </w:rPr>
              <w:t>1350</w:t>
            </w:r>
          </w:p>
        </w:tc>
        <w:tc>
          <w:tcPr>
            <w:tcW w:w="3742" w:type="dxa"/>
            <w:vMerge/>
            <w:tcBorders>
              <w:top w:val="nil"/>
              <w:left w:val="single" w:sz="6" w:space="0" w:color="000000"/>
            </w:tcBorders>
          </w:tcPr>
          <w:p>
            <w:pPr>
              <w:rPr>
                <w:sz w:val="2"/>
                <w:szCs w:val="2"/>
              </w:rPr>
            </w:pPr>
          </w:p>
        </w:tc>
      </w:tr>
      <w:tr>
        <w:trPr>
          <w:trHeight w:val="416" w:hRule="atLeast"/>
        </w:trPr>
        <w:tc>
          <w:tcPr>
            <w:tcW w:w="674" w:type="dxa"/>
            <w:tcBorders>
              <w:top w:val="single" w:sz="6" w:space="0" w:color="000000"/>
              <w:bottom w:val="single" w:sz="6" w:space="0" w:color="000000"/>
              <w:right w:val="single" w:sz="6" w:space="0" w:color="000000"/>
            </w:tcBorders>
          </w:tcPr>
          <w:p>
            <w:pPr>
              <w:pStyle w:val="TableParagraph"/>
              <w:spacing w:before="86"/>
              <w:ind w:right="208"/>
              <w:jc w:val="right"/>
              <w:rPr>
                <w:rFonts w:ascii="Times New Roman"/>
                <w:sz w:val="21"/>
              </w:rPr>
            </w:pPr>
            <w:r>
              <w:rPr>
                <w:rFonts w:ascii="Times New Roman"/>
                <w:sz w:val="21"/>
              </w:rPr>
              <w:t>9#</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line="396" w:lineRule="exact"/>
              <w:ind w:left="101" w:right="70"/>
              <w:rPr>
                <w:sz w:val="21"/>
              </w:rPr>
            </w:pPr>
            <w:r>
              <w:rPr>
                <w:sz w:val="21"/>
              </w:rPr>
              <w:t>古路沟村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6"/>
              <w:ind w:left="115" w:right="83"/>
              <w:rPr>
                <w:rFonts w:ascii="Times New Roman"/>
                <w:sz w:val="21"/>
              </w:rPr>
            </w:pPr>
            <w:r>
              <w:rPr>
                <w:rFonts w:ascii="Times New Roman"/>
                <w:sz w:val="21"/>
              </w:rPr>
              <w:t>SE</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26"/>
              <w:ind w:left="98" w:right="71"/>
              <w:rPr>
                <w:rFonts w:ascii="Times New Roman"/>
                <w:sz w:val="21"/>
              </w:rPr>
            </w:pPr>
            <w:r>
              <w:rPr>
                <w:rFonts w:ascii="Times New Roman"/>
                <w:sz w:val="21"/>
              </w:rPr>
              <w:t>1800</w:t>
            </w:r>
          </w:p>
        </w:tc>
        <w:tc>
          <w:tcPr>
            <w:tcW w:w="3742" w:type="dxa"/>
            <w:vMerge/>
            <w:tcBorders>
              <w:top w:val="nil"/>
              <w:left w:val="single" w:sz="6" w:space="0" w:color="000000"/>
            </w:tcBorders>
          </w:tcPr>
          <w:p>
            <w:pPr>
              <w:rPr>
                <w:sz w:val="2"/>
                <w:szCs w:val="2"/>
              </w:rPr>
            </w:pPr>
          </w:p>
        </w:tc>
      </w:tr>
      <w:tr>
        <w:trPr>
          <w:trHeight w:val="423" w:hRule="atLeast"/>
        </w:trPr>
        <w:tc>
          <w:tcPr>
            <w:tcW w:w="674" w:type="dxa"/>
            <w:tcBorders>
              <w:top w:val="single" w:sz="6" w:space="0" w:color="000000"/>
              <w:right w:val="single" w:sz="6" w:space="0" w:color="000000"/>
            </w:tcBorders>
          </w:tcPr>
          <w:p>
            <w:pPr>
              <w:pStyle w:val="TableParagraph"/>
              <w:spacing w:before="86"/>
              <w:ind w:right="153"/>
              <w:jc w:val="right"/>
              <w:rPr>
                <w:rFonts w:ascii="Times New Roman"/>
                <w:sz w:val="21"/>
              </w:rPr>
            </w:pPr>
            <w:r>
              <w:rPr>
                <w:rFonts w:ascii="Times New Roman"/>
                <w:sz w:val="21"/>
              </w:rPr>
              <w:t>10#</w:t>
            </w:r>
          </w:p>
        </w:tc>
        <w:tc>
          <w:tcPr>
            <w:tcW w:w="1277" w:type="dxa"/>
            <w:tcBorders>
              <w:top w:val="single" w:sz="6" w:space="0" w:color="000000"/>
              <w:left w:val="single" w:sz="6" w:space="0" w:color="000000"/>
              <w:right w:val="single" w:sz="6" w:space="0" w:color="000000"/>
            </w:tcBorders>
          </w:tcPr>
          <w:p>
            <w:pPr>
              <w:pStyle w:val="TableParagraph"/>
              <w:spacing w:line="404" w:lineRule="exact"/>
              <w:ind w:left="101" w:right="70"/>
              <w:rPr>
                <w:sz w:val="21"/>
              </w:rPr>
            </w:pPr>
            <w:r>
              <w:rPr>
                <w:sz w:val="21"/>
              </w:rPr>
              <w:t>河南石沟村</w:t>
            </w:r>
          </w:p>
        </w:tc>
        <w:tc>
          <w:tcPr>
            <w:tcW w:w="1560" w:type="dxa"/>
            <w:tcBorders>
              <w:top w:val="single" w:sz="6" w:space="0" w:color="000000"/>
              <w:left w:val="single" w:sz="6" w:space="0" w:color="000000"/>
              <w:right w:val="single" w:sz="6" w:space="0" w:color="000000"/>
            </w:tcBorders>
          </w:tcPr>
          <w:p>
            <w:pPr>
              <w:pStyle w:val="TableParagraph"/>
              <w:spacing w:before="26"/>
              <w:ind w:left="115" w:right="83"/>
              <w:rPr>
                <w:rFonts w:ascii="Times New Roman"/>
                <w:sz w:val="21"/>
              </w:rPr>
            </w:pPr>
            <w:r>
              <w:rPr>
                <w:rFonts w:ascii="Times New Roman"/>
                <w:sz w:val="21"/>
              </w:rPr>
              <w:t>SSW</w:t>
            </w:r>
          </w:p>
        </w:tc>
        <w:tc>
          <w:tcPr>
            <w:tcW w:w="1275" w:type="dxa"/>
            <w:tcBorders>
              <w:top w:val="single" w:sz="6" w:space="0" w:color="000000"/>
              <w:left w:val="single" w:sz="6" w:space="0" w:color="000000"/>
              <w:right w:val="single" w:sz="6" w:space="0" w:color="000000"/>
            </w:tcBorders>
          </w:tcPr>
          <w:p>
            <w:pPr>
              <w:pStyle w:val="TableParagraph"/>
              <w:spacing w:before="26"/>
              <w:ind w:left="98" w:right="71"/>
              <w:rPr>
                <w:rFonts w:ascii="Times New Roman"/>
                <w:sz w:val="21"/>
              </w:rPr>
            </w:pPr>
            <w:r>
              <w:rPr>
                <w:rFonts w:ascii="Times New Roman"/>
                <w:sz w:val="21"/>
              </w:rPr>
              <w:t>1700</w:t>
            </w:r>
          </w:p>
        </w:tc>
        <w:tc>
          <w:tcPr>
            <w:tcW w:w="3742" w:type="dxa"/>
            <w:vMerge/>
            <w:tcBorders>
              <w:top w:val="nil"/>
              <w:left w:val="single" w:sz="6" w:space="0" w:color="000000"/>
            </w:tcBorders>
          </w:tcPr>
          <w:p>
            <w:pPr>
              <w:rPr>
                <w:sz w:val="2"/>
                <w:szCs w:val="2"/>
              </w:rPr>
            </w:pPr>
          </w:p>
        </w:tc>
      </w:tr>
    </w:tbl>
    <w:p>
      <w:pPr>
        <w:pStyle w:val="BodyText"/>
        <w:spacing w:line="454" w:lineRule="exact"/>
        <w:ind w:left="1058"/>
      </w:pPr>
      <w:r>
        <w:rPr>
          <w:rFonts w:ascii="Times New Roman" w:eastAsia="Times New Roman"/>
        </w:rPr>
        <w:t>2</w:t>
      </w:r>
      <w:r>
        <w:rPr/>
        <w:t>、监测项目</w:t>
      </w:r>
    </w:p>
    <w:p>
      <w:pPr>
        <w:pStyle w:val="BodyText"/>
        <w:spacing w:line="220" w:lineRule="auto" w:before="9"/>
        <w:ind w:left="578" w:right="757" w:firstLine="479"/>
        <w:jc w:val="both"/>
      </w:pPr>
      <w:r>
        <w:rPr>
          <w:rFonts w:ascii="Times New Roman" w:eastAsia="Times New Roman"/>
          <w:position w:val="2"/>
        </w:rPr>
        <w:t>K</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Na</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Ca</w:t>
      </w:r>
      <w:r>
        <w:rPr>
          <w:rFonts w:ascii="Times New Roman" w:eastAsia="Times New Roman"/>
          <w:position w:val="2"/>
          <w:vertAlign w:val="superscript"/>
        </w:rPr>
        <w:t>2+</w:t>
      </w:r>
      <w:r>
        <w:rPr>
          <w:position w:val="2"/>
          <w:vertAlign w:val="baseline"/>
        </w:rPr>
        <w:t>、</w:t>
      </w:r>
      <w:r>
        <w:rPr>
          <w:rFonts w:ascii="Times New Roman" w:eastAsia="Times New Roman"/>
          <w:position w:val="2"/>
          <w:vertAlign w:val="baseline"/>
        </w:rPr>
        <w:t>Mg</w:t>
      </w:r>
      <w:r>
        <w:rPr>
          <w:rFonts w:ascii="Times New Roman" w:eastAsia="Times New Roman"/>
          <w:position w:val="2"/>
          <w:vertAlign w:val="superscript"/>
        </w:rPr>
        <w:t>2+</w:t>
      </w:r>
      <w:r>
        <w:rPr>
          <w:position w:val="2"/>
          <w:vertAlign w:val="baseline"/>
        </w:rPr>
        <w:t>、</w:t>
      </w:r>
      <w:r>
        <w:rPr>
          <w:rFonts w:ascii="Times New Roman" w:eastAsia="Times New Roman"/>
          <w:position w:val="2"/>
          <w:vertAlign w:val="baseline"/>
        </w:rPr>
        <w:t>CO</w:t>
      </w:r>
      <w:r>
        <w:rPr>
          <w:rFonts w:ascii="Times New Roman" w:eastAsia="Times New Roman"/>
          <w:sz w:val="16"/>
          <w:vertAlign w:val="baseline"/>
        </w:rPr>
        <w:t>3</w:t>
      </w:r>
      <w:r>
        <w:rPr>
          <w:rFonts w:ascii="Times New Roman" w:eastAsia="Times New Roman"/>
          <w:position w:val="11"/>
          <w:sz w:val="16"/>
          <w:vertAlign w:val="baseline"/>
        </w:rPr>
        <w:t>2-</w:t>
      </w:r>
      <w:r>
        <w:rPr>
          <w:position w:val="2"/>
          <w:vertAlign w:val="baseline"/>
        </w:rPr>
        <w:t>、</w:t>
      </w:r>
      <w:r>
        <w:rPr>
          <w:rFonts w:ascii="Times New Roman" w:eastAsia="Times New Roman"/>
          <w:position w:val="2"/>
          <w:vertAlign w:val="baseline"/>
        </w:rPr>
        <w:t>HCO</w:t>
      </w:r>
      <w:r>
        <w:rPr>
          <w:rFonts w:ascii="Times New Roman" w:eastAsia="Times New Roman"/>
          <w:sz w:val="16"/>
          <w:vertAlign w:val="baseline"/>
        </w:rPr>
        <w:t>3</w:t>
      </w:r>
      <w:r>
        <w:rPr>
          <w:rFonts w:ascii="Times New Roman" w:eastAsia="Times New Roman"/>
          <w:position w:val="11"/>
          <w:sz w:val="16"/>
          <w:vertAlign w:val="baseline"/>
        </w:rPr>
        <w:t>--</w:t>
      </w:r>
      <w:r>
        <w:rPr>
          <w:position w:val="2"/>
          <w:vertAlign w:val="baseline"/>
        </w:rPr>
        <w:t>、</w:t>
      </w:r>
      <w:r>
        <w:rPr>
          <w:rFonts w:ascii="Times New Roman" w:eastAsia="Times New Roman"/>
          <w:position w:val="2"/>
          <w:vertAlign w:val="baseline"/>
        </w:rPr>
        <w:t>pH</w:t>
      </w:r>
      <w:r>
        <w:rPr>
          <w:position w:val="2"/>
          <w:vertAlign w:val="baseline"/>
        </w:rPr>
        <w:t>、氨氮、硝酸盐、亚硝酸盐、</w:t>
      </w:r>
      <w:r>
        <w:rPr>
          <w:vertAlign w:val="baseline"/>
        </w:rPr>
        <w:t>挥发酚、氰化物、砷、汞、六价铬、总硬度、铅、氟、镉、铁、锰、溶解性总</w:t>
      </w:r>
      <w:r>
        <w:rPr>
          <w:spacing w:val="-10"/>
          <w:vertAlign w:val="baseline"/>
        </w:rPr>
        <w:t>固体、耗氧量</w:t>
      </w:r>
      <w:r>
        <w:rPr>
          <w:vertAlign w:val="baseline"/>
        </w:rPr>
        <w:t>（高锰酸盐指数</w:t>
      </w:r>
      <w:r>
        <w:rPr>
          <w:spacing w:val="-120"/>
          <w:vertAlign w:val="baseline"/>
        </w:rPr>
        <w:t>）</w:t>
      </w:r>
      <w:r>
        <w:rPr>
          <w:spacing w:val="-14"/>
          <w:vertAlign w:val="baseline"/>
        </w:rPr>
        <w:t>、硫酸盐、氯化物、总大肠菌群、铜、锌、甲苯、石油类（委托山东城控检测技术有限公司</w:t>
      </w:r>
      <w:r>
        <w:rPr>
          <w:spacing w:val="-120"/>
          <w:vertAlign w:val="baseline"/>
        </w:rPr>
        <w:t>）</w:t>
      </w:r>
      <w:r>
        <w:rPr>
          <w:vertAlign w:val="baseline"/>
        </w:rPr>
        <w:t>。</w:t>
      </w:r>
    </w:p>
    <w:p>
      <w:pPr>
        <w:pStyle w:val="BodyText"/>
        <w:spacing w:line="220" w:lineRule="auto"/>
        <w:ind w:left="578" w:right="757" w:firstLine="479"/>
      </w:pPr>
      <w:r>
        <w:rPr>
          <w:spacing w:val="-10"/>
        </w:rPr>
        <w:t>吡啶、甲醛、氯苯、环氧氯丙烷、硝基苯、二硝基甲苯、硝基氯苯、苯胺、二氯甲烷委托青岛衡立检测有限公司。</w:t>
      </w:r>
    </w:p>
    <w:p>
      <w:pPr>
        <w:pStyle w:val="BodyText"/>
        <w:spacing w:line="481" w:lineRule="exact"/>
        <w:ind w:left="1058"/>
      </w:pPr>
      <w:r>
        <w:rPr>
          <w:rFonts w:ascii="Times New Roman" w:eastAsia="Times New Roman"/>
        </w:rPr>
        <w:t>3</w:t>
      </w:r>
      <w:r>
        <w:rPr/>
        <w:t>、监测时间和频率</w:t>
      </w:r>
    </w:p>
    <w:p>
      <w:pPr>
        <w:spacing w:after="0" w:line="481" w:lineRule="exact"/>
        <w:sectPr>
          <w:pgSz w:w="11910" w:h="16840"/>
          <w:pgMar w:header="877" w:footer="973" w:top="1340" w:bottom="1160" w:left="1220" w:right="1040"/>
        </w:sectPr>
      </w:pPr>
    </w:p>
    <w:p>
      <w:pPr>
        <w:pStyle w:val="BodyText"/>
        <w:spacing w:line="488" w:lineRule="exact" w:before="48"/>
        <w:ind w:left="1058"/>
      </w:pPr>
      <w:r>
        <w:rPr/>
        <w:t>山东城控检测技术有限公司于 </w:t>
      </w:r>
      <w:r>
        <w:rPr>
          <w:rFonts w:ascii="Times New Roman" w:eastAsia="Times New Roman"/>
        </w:rPr>
        <w:t>2019</w:t>
      </w:r>
      <w:r>
        <w:rPr>
          <w:rFonts w:ascii="Times New Roman" w:eastAsia="Times New Roman"/>
          <w:spacing w:val="7"/>
        </w:rPr>
        <w:t> </w:t>
      </w:r>
      <w:r>
        <w:rPr>
          <w:spacing w:val="6"/>
        </w:rPr>
        <w:t>年 </w:t>
      </w:r>
      <w:r>
        <w:rPr>
          <w:rFonts w:ascii="Times New Roman" w:eastAsia="Times New Roman"/>
        </w:rPr>
        <w:t>4</w:t>
      </w:r>
      <w:r>
        <w:rPr>
          <w:rFonts w:ascii="Times New Roman" w:eastAsia="Times New Roman"/>
          <w:spacing w:val="7"/>
        </w:rPr>
        <w:t> </w:t>
      </w:r>
      <w:r>
        <w:rPr>
          <w:spacing w:val="6"/>
        </w:rPr>
        <w:t>月 </w:t>
      </w:r>
      <w:r>
        <w:rPr>
          <w:rFonts w:ascii="Times New Roman" w:eastAsia="Times New Roman"/>
          <w:spacing w:val="-5"/>
        </w:rPr>
        <w:t>11</w:t>
      </w:r>
      <w:r>
        <w:rPr>
          <w:rFonts w:ascii="Times New Roman" w:eastAsia="Times New Roman"/>
          <w:spacing w:val="4"/>
        </w:rPr>
        <w:t> </w:t>
      </w:r>
      <w:r>
        <w:rPr/>
        <w:t>日对孙家怪草村、左山村地</w:t>
      </w:r>
    </w:p>
    <w:p>
      <w:pPr>
        <w:pStyle w:val="BodyText"/>
        <w:spacing w:line="468" w:lineRule="exact"/>
        <w:ind w:left="578"/>
      </w:pPr>
      <w:r>
        <w:rPr/>
        <w:t>下水水质情况进行监测，于 </w:t>
      </w:r>
      <w:r>
        <w:rPr>
          <w:rFonts w:ascii="Times New Roman" w:eastAsia="Times New Roman"/>
        </w:rPr>
        <w:t>2019</w:t>
      </w:r>
      <w:r>
        <w:rPr>
          <w:rFonts w:ascii="Times New Roman" w:eastAsia="Times New Roman"/>
          <w:spacing w:val="4"/>
        </w:rPr>
        <w:t> </w:t>
      </w:r>
      <w:r>
        <w:rPr>
          <w:spacing w:val="6"/>
        </w:rPr>
        <w:t>年 </w:t>
      </w:r>
      <w:r>
        <w:rPr>
          <w:rFonts w:ascii="Times New Roman" w:eastAsia="Times New Roman"/>
        </w:rPr>
        <w:t>4</w:t>
      </w:r>
      <w:r>
        <w:rPr>
          <w:rFonts w:ascii="Times New Roman" w:eastAsia="Times New Roman"/>
          <w:spacing w:val="4"/>
        </w:rPr>
        <w:t> </w:t>
      </w:r>
      <w:r>
        <w:rPr>
          <w:spacing w:val="5"/>
        </w:rPr>
        <w:t>月 </w:t>
      </w:r>
      <w:r>
        <w:rPr>
          <w:rFonts w:ascii="Times New Roman" w:eastAsia="Times New Roman"/>
        </w:rPr>
        <w:t>15</w:t>
      </w:r>
      <w:r>
        <w:rPr>
          <w:rFonts w:ascii="Times New Roman" w:eastAsia="Times New Roman"/>
          <w:spacing w:val="5"/>
        </w:rPr>
        <w:t> </w:t>
      </w:r>
      <w:r>
        <w:rPr/>
        <w:t>日对东石沟村、厂址及中柴沟村地</w:t>
      </w:r>
    </w:p>
    <w:p>
      <w:pPr>
        <w:pStyle w:val="BodyText"/>
        <w:spacing w:line="468" w:lineRule="exact"/>
        <w:ind w:left="578"/>
      </w:pPr>
      <w:r>
        <w:rPr/>
        <w:t>下水水质情况进行监测，青岛衡立检测有限公司于 </w:t>
      </w:r>
      <w:r>
        <w:rPr>
          <w:rFonts w:ascii="Times New Roman" w:eastAsia="Times New Roman"/>
        </w:rPr>
        <w:t>2019</w:t>
      </w:r>
      <w:r>
        <w:rPr>
          <w:rFonts w:ascii="Times New Roman" w:eastAsia="Times New Roman"/>
          <w:spacing w:val="4"/>
        </w:rPr>
        <w:t> </w:t>
      </w:r>
      <w:r>
        <w:rPr>
          <w:spacing w:val="6"/>
        </w:rPr>
        <w:t>年 </w:t>
      </w:r>
      <w:r>
        <w:rPr>
          <w:rFonts w:ascii="Times New Roman" w:eastAsia="Times New Roman"/>
        </w:rPr>
        <w:t>4</w:t>
      </w:r>
      <w:r>
        <w:rPr>
          <w:rFonts w:ascii="Times New Roman" w:eastAsia="Times New Roman"/>
          <w:spacing w:val="4"/>
        </w:rPr>
        <w:t> </w:t>
      </w:r>
      <w:r>
        <w:rPr>
          <w:spacing w:val="5"/>
        </w:rPr>
        <w:t>月 </w:t>
      </w:r>
      <w:r>
        <w:rPr>
          <w:rFonts w:ascii="Times New Roman" w:eastAsia="Times New Roman"/>
        </w:rPr>
        <w:t>12</w:t>
      </w:r>
      <w:r>
        <w:rPr>
          <w:rFonts w:ascii="Times New Roman" w:eastAsia="Times New Roman"/>
          <w:spacing w:val="5"/>
        </w:rPr>
        <w:t> </w:t>
      </w:r>
      <w:r>
        <w:rPr/>
        <w:t>日对孙家怪</w:t>
      </w:r>
    </w:p>
    <w:p>
      <w:pPr>
        <w:pStyle w:val="BodyText"/>
        <w:spacing w:line="468" w:lineRule="exact"/>
        <w:ind w:left="578"/>
        <w:rPr>
          <w:rFonts w:ascii="Times New Roman" w:eastAsia="Times New Roman"/>
        </w:rPr>
      </w:pPr>
      <w:r>
        <w:rPr>
          <w:spacing w:val="1"/>
        </w:rPr>
        <w:t>草村后柴沟村东石沟村、厂址、中柴沟村地下水水质情况进行监测。均监测  </w:t>
      </w:r>
      <w:r>
        <w:rPr>
          <w:rFonts w:ascii="Times New Roman" w:eastAsia="Times New Roman"/>
        </w:rPr>
        <w:t>1</w:t>
      </w:r>
    </w:p>
    <w:p>
      <w:pPr>
        <w:pStyle w:val="BodyText"/>
        <w:spacing w:line="468" w:lineRule="exact"/>
        <w:ind w:left="578"/>
      </w:pPr>
      <w:r>
        <w:rPr/>
        <w:t>天，取样 </w:t>
      </w:r>
      <w:r>
        <w:rPr>
          <w:rFonts w:ascii="Times New Roman" w:eastAsia="Times New Roman"/>
        </w:rPr>
        <w:t>1 </w:t>
      </w:r>
      <w:r>
        <w:rPr/>
        <w:t>次。</w:t>
      </w:r>
    </w:p>
    <w:p>
      <w:pPr>
        <w:pStyle w:val="BodyText"/>
        <w:spacing w:line="468" w:lineRule="exact"/>
        <w:ind w:left="1058"/>
      </w:pPr>
      <w:r>
        <w:rPr>
          <w:rFonts w:ascii="Times New Roman" w:eastAsia="Times New Roman"/>
        </w:rPr>
        <w:t>4</w:t>
      </w:r>
      <w:r>
        <w:rPr/>
        <w:t>、监测分析方法</w:t>
      </w:r>
    </w:p>
    <w:p>
      <w:pPr>
        <w:pStyle w:val="BodyText"/>
        <w:spacing w:line="468" w:lineRule="exact"/>
        <w:ind w:left="1058"/>
      </w:pPr>
      <w:r>
        <w:rPr>
          <w:spacing w:val="4"/>
        </w:rPr>
        <w:t>按《地下水质量标准》</w:t>
      </w:r>
      <w:r>
        <w:rPr/>
        <w:t>（</w:t>
      </w:r>
      <w:r>
        <w:rPr>
          <w:spacing w:val="-32"/>
        </w:rPr>
        <w:t> </w:t>
      </w:r>
      <w:r>
        <w:rPr>
          <w:rFonts w:ascii="Times New Roman" w:eastAsia="Times New Roman"/>
          <w:w w:val="99"/>
        </w:rPr>
        <w:t>G</w:t>
      </w:r>
      <w:r>
        <w:rPr>
          <w:rFonts w:ascii="Times New Roman" w:eastAsia="Times New Roman"/>
          <w:spacing w:val="-3"/>
          <w:w w:val="99"/>
        </w:rPr>
        <w:t>B</w:t>
      </w:r>
      <w:r>
        <w:rPr>
          <w:rFonts w:ascii="Times New Roman" w:eastAsia="Times New Roman"/>
        </w:rPr>
        <w:t>/T14843</w:t>
      </w:r>
      <w:r>
        <w:rPr>
          <w:rFonts w:ascii="Times New Roman" w:eastAsia="Times New Roman"/>
          <w:spacing w:val="-1"/>
        </w:rPr>
        <w:t>-</w:t>
      </w:r>
      <w:r>
        <w:rPr>
          <w:rFonts w:ascii="Times New Roman" w:eastAsia="Times New Roman"/>
        </w:rPr>
        <w:t>9</w:t>
      </w:r>
      <w:r>
        <w:rPr>
          <w:rFonts w:ascii="Times New Roman" w:eastAsia="Times New Roman"/>
          <w:spacing w:val="19"/>
        </w:rPr>
        <w:t>3</w:t>
      </w:r>
      <w:r>
        <w:rPr>
          <w:spacing w:val="-101"/>
        </w:rPr>
        <w:t>）</w:t>
      </w:r>
      <w:r>
        <w:rPr>
          <w:spacing w:val="5"/>
        </w:rPr>
        <w:t>、《生活饮用水标准检验方法》</w:t>
      </w:r>
    </w:p>
    <w:p>
      <w:pPr>
        <w:pStyle w:val="BodyText"/>
        <w:spacing w:line="220" w:lineRule="auto" w:before="9"/>
        <w:ind w:left="578" w:right="871"/>
      </w:pPr>
      <w:r>
        <w:rPr/>
        <w:t>（</w:t>
      </w:r>
      <w:r>
        <w:rPr>
          <w:rFonts w:ascii="Times New Roman" w:eastAsia="Times New Roman"/>
        </w:rPr>
        <w:t>GB5750-2006</w:t>
      </w:r>
      <w:r>
        <w:rPr/>
        <w:t>）和《环境影响评价技术导则 地下水环境》（</w:t>
      </w:r>
      <w:r>
        <w:rPr>
          <w:rFonts w:ascii="Times New Roman" w:eastAsia="Times New Roman"/>
        </w:rPr>
        <w:t>HJ610-2016</w:t>
      </w:r>
      <w:r>
        <w:rPr/>
        <w:t>）中有关规定执行中规定的方法进行，具体详见表 </w:t>
      </w:r>
      <w:r>
        <w:rPr>
          <w:rFonts w:ascii="Times New Roman" w:eastAsia="Times New Roman"/>
        </w:rPr>
        <w:t>5.4-24</w:t>
      </w:r>
      <w:r>
        <w:rPr/>
        <w:t>。</w:t>
      </w:r>
    </w:p>
    <w:p>
      <w:pPr>
        <w:tabs>
          <w:tab w:pos="1017" w:val="left" w:leader="none"/>
        </w:tabs>
        <w:spacing w:before="162" w:after="24"/>
        <w:ind w:left="0" w:right="295" w:firstLine="0"/>
        <w:jc w:val="center"/>
        <w:rPr>
          <w:sz w:val="21"/>
        </w:rPr>
      </w:pPr>
      <w:r>
        <w:rPr>
          <w:sz w:val="21"/>
        </w:rPr>
        <w:t>表</w:t>
      </w:r>
      <w:r>
        <w:rPr>
          <w:spacing w:val="7"/>
          <w:sz w:val="21"/>
        </w:rPr>
        <w:t> </w:t>
      </w:r>
      <w:r>
        <w:rPr>
          <w:rFonts w:ascii="Times New Roman" w:eastAsia="Times New Roman"/>
          <w:b/>
          <w:sz w:val="21"/>
        </w:rPr>
        <w:t>5.4-24</w:t>
        <w:tab/>
      </w:r>
      <w:r>
        <w:rPr>
          <w:sz w:val="21"/>
        </w:rPr>
        <w:t>地下水监测</w:t>
      </w:r>
      <w:r>
        <w:rPr>
          <w:spacing w:val="-3"/>
          <w:sz w:val="21"/>
        </w:rPr>
        <w:t>项</w:t>
      </w:r>
      <w:r>
        <w:rPr>
          <w:sz w:val="21"/>
        </w:rPr>
        <w:t>目及分析方法表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2561"/>
        <w:gridCol w:w="2636"/>
        <w:gridCol w:w="1745"/>
      </w:tblGrid>
      <w:tr>
        <w:trPr>
          <w:trHeight w:val="567" w:hRule="atLeast"/>
        </w:trPr>
        <w:tc>
          <w:tcPr>
            <w:tcW w:w="1586" w:type="dxa"/>
            <w:tcBorders>
              <w:bottom w:val="single" w:sz="6" w:space="0" w:color="000000"/>
              <w:right w:val="single" w:sz="6" w:space="0" w:color="000000"/>
            </w:tcBorders>
          </w:tcPr>
          <w:p>
            <w:pPr>
              <w:pStyle w:val="TableParagraph"/>
              <w:spacing w:before="51"/>
              <w:ind w:left="138" w:right="117"/>
              <w:rPr>
                <w:sz w:val="21"/>
              </w:rPr>
            </w:pPr>
            <w:r>
              <w:rPr>
                <w:sz w:val="21"/>
              </w:rPr>
              <w:t>监测项目</w:t>
            </w:r>
          </w:p>
        </w:tc>
        <w:tc>
          <w:tcPr>
            <w:tcW w:w="2561" w:type="dxa"/>
            <w:tcBorders>
              <w:left w:val="single" w:sz="6" w:space="0" w:color="000000"/>
              <w:bottom w:val="single" w:sz="6" w:space="0" w:color="000000"/>
              <w:right w:val="single" w:sz="6" w:space="0" w:color="000000"/>
            </w:tcBorders>
          </w:tcPr>
          <w:p>
            <w:pPr>
              <w:pStyle w:val="TableParagraph"/>
              <w:spacing w:before="51"/>
              <w:ind w:left="112" w:right="82"/>
              <w:rPr>
                <w:sz w:val="21"/>
              </w:rPr>
            </w:pPr>
            <w:r>
              <w:rPr>
                <w:sz w:val="21"/>
              </w:rPr>
              <w:t>监测方法</w:t>
            </w:r>
          </w:p>
        </w:tc>
        <w:tc>
          <w:tcPr>
            <w:tcW w:w="2636" w:type="dxa"/>
            <w:tcBorders>
              <w:left w:val="single" w:sz="6" w:space="0" w:color="000000"/>
              <w:bottom w:val="single" w:sz="6" w:space="0" w:color="000000"/>
              <w:right w:val="single" w:sz="6" w:space="0" w:color="000000"/>
            </w:tcBorders>
          </w:tcPr>
          <w:p>
            <w:pPr>
              <w:pStyle w:val="TableParagraph"/>
              <w:spacing w:before="51"/>
              <w:ind w:left="120" w:right="93"/>
              <w:rPr>
                <w:sz w:val="21"/>
              </w:rPr>
            </w:pPr>
            <w:r>
              <w:rPr>
                <w:sz w:val="21"/>
              </w:rPr>
              <w:t>方法依据</w:t>
            </w:r>
          </w:p>
        </w:tc>
        <w:tc>
          <w:tcPr>
            <w:tcW w:w="1745" w:type="dxa"/>
            <w:tcBorders>
              <w:left w:val="single" w:sz="6" w:space="0" w:color="000000"/>
              <w:bottom w:val="single" w:sz="6" w:space="0" w:color="000000"/>
            </w:tcBorders>
          </w:tcPr>
          <w:p>
            <w:pPr>
              <w:pStyle w:val="TableParagraph"/>
              <w:spacing w:before="51"/>
              <w:ind w:left="396" w:right="356"/>
              <w:rPr>
                <w:sz w:val="21"/>
              </w:rPr>
            </w:pPr>
            <w:r>
              <w:rPr>
                <w:sz w:val="21"/>
              </w:rPr>
              <w:t>检出限</w:t>
            </w:r>
          </w:p>
        </w:tc>
      </w:tr>
      <w:tr>
        <w:trPr>
          <w:trHeight w:val="815" w:hRule="atLeast"/>
        </w:trPr>
        <w:tc>
          <w:tcPr>
            <w:tcW w:w="1586" w:type="dxa"/>
            <w:tcBorders>
              <w:top w:val="single" w:sz="6" w:space="0" w:color="000000"/>
              <w:bottom w:val="single" w:sz="6" w:space="0" w:color="000000"/>
              <w:right w:val="single" w:sz="6" w:space="0" w:color="000000"/>
            </w:tcBorders>
          </w:tcPr>
          <w:p>
            <w:pPr>
              <w:pStyle w:val="TableParagraph"/>
              <w:spacing w:before="1"/>
              <w:jc w:val="left"/>
              <w:rPr>
                <w:sz w:val="13"/>
              </w:rPr>
            </w:pPr>
          </w:p>
          <w:p>
            <w:pPr>
              <w:pStyle w:val="TableParagraph"/>
              <w:spacing w:line="82" w:lineRule="exact"/>
              <w:ind w:left="506" w:right="117"/>
              <w:rPr>
                <w:rFonts w:ascii="Times New Roman"/>
                <w:sz w:val="14"/>
              </w:rPr>
            </w:pPr>
            <w:r>
              <w:rPr>
                <w:rFonts w:ascii="Times New Roman"/>
                <w:sz w:val="14"/>
              </w:rPr>
              <w:t>2-</w:t>
            </w:r>
          </w:p>
          <w:p>
            <w:pPr>
              <w:pStyle w:val="TableParagraph"/>
              <w:spacing w:line="168" w:lineRule="exact"/>
              <w:ind w:left="28" w:right="117"/>
              <w:rPr>
                <w:rFonts w:ascii="Times New Roman"/>
                <w:sz w:val="14"/>
              </w:rPr>
            </w:pPr>
            <w:r>
              <w:rPr>
                <w:rFonts w:ascii="Times New Roman"/>
                <w:position w:val="2"/>
                <w:sz w:val="21"/>
              </w:rPr>
              <w:t>CO</w:t>
            </w:r>
            <w:r>
              <w:rPr>
                <w:rFonts w:ascii="Times New Roman"/>
                <w:sz w:val="14"/>
              </w:rPr>
              <w:t>3</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171"/>
              <w:ind w:left="112" w:right="82"/>
              <w:rPr>
                <w:sz w:val="21"/>
              </w:rPr>
            </w:pPr>
            <w:r>
              <w:rPr>
                <w:sz w:val="21"/>
              </w:rPr>
              <w:t>酸碱指示剂滴定法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15" w:right="-29"/>
              <w:rPr>
                <w:sz w:val="21"/>
              </w:rPr>
            </w:pPr>
            <w:r>
              <w:rPr>
                <w:spacing w:val="-3"/>
                <w:sz w:val="21"/>
              </w:rPr>
              <w:t>《水和废水监测分析方法》</w:t>
            </w:r>
          </w:p>
          <w:p>
            <w:pPr>
              <w:pStyle w:val="TableParagraph"/>
              <w:spacing w:line="272" w:lineRule="exact"/>
              <w:ind w:left="120" w:right="93"/>
              <w:rPr>
                <w:sz w:val="21"/>
              </w:rPr>
            </w:pPr>
            <w:r>
              <w:rPr>
                <w:sz w:val="21"/>
              </w:rPr>
              <w:t>（第四版 增补版）国家环</w:t>
            </w:r>
          </w:p>
          <w:p>
            <w:pPr>
              <w:pStyle w:val="TableParagraph"/>
              <w:spacing w:line="265" w:lineRule="exact"/>
              <w:ind w:left="120" w:right="93"/>
              <w:rPr>
                <w:sz w:val="21"/>
              </w:rPr>
            </w:pPr>
            <w:r>
              <w:rPr>
                <w:sz w:val="21"/>
              </w:rPr>
              <w:t>境保护总局（</w:t>
            </w:r>
            <w:r>
              <w:rPr>
                <w:rFonts w:ascii="Times New Roman" w:eastAsia="Times New Roman"/>
                <w:sz w:val="21"/>
              </w:rPr>
              <w:t>2002</w:t>
            </w:r>
            <w:r>
              <w:rPr>
                <w:sz w:val="21"/>
              </w:rPr>
              <w:t>）</w:t>
            </w:r>
          </w:p>
        </w:tc>
        <w:tc>
          <w:tcPr>
            <w:tcW w:w="1745" w:type="dxa"/>
            <w:tcBorders>
              <w:top w:val="single" w:sz="6" w:space="0" w:color="000000"/>
              <w:left w:val="single" w:sz="6" w:space="0" w:color="000000"/>
              <w:bottom w:val="single" w:sz="6" w:space="0" w:color="000000"/>
            </w:tcBorders>
          </w:tcPr>
          <w:p>
            <w:pPr>
              <w:pStyle w:val="TableParagraph"/>
              <w:spacing w:before="5"/>
              <w:jc w:val="left"/>
              <w:rPr>
                <w:sz w:val="13"/>
              </w:rPr>
            </w:pPr>
          </w:p>
          <w:p>
            <w:pPr>
              <w:pStyle w:val="TableParagraph"/>
              <w:ind w:left="396" w:right="357"/>
              <w:rPr>
                <w:rFonts w:ascii="Times New Roman"/>
                <w:sz w:val="21"/>
              </w:rPr>
            </w:pPr>
            <w:r>
              <w:rPr>
                <w:rFonts w:ascii="Times New Roman"/>
                <w:sz w:val="21"/>
              </w:rPr>
              <w:t>1.0mg/L</w:t>
            </w:r>
          </w:p>
        </w:tc>
      </w:tr>
      <w:tr>
        <w:trPr>
          <w:trHeight w:val="818" w:hRule="atLeast"/>
        </w:trPr>
        <w:tc>
          <w:tcPr>
            <w:tcW w:w="1586" w:type="dxa"/>
            <w:tcBorders>
              <w:top w:val="single" w:sz="6" w:space="0" w:color="000000"/>
              <w:bottom w:val="single" w:sz="6" w:space="0" w:color="000000"/>
              <w:right w:val="single" w:sz="6" w:space="0" w:color="000000"/>
            </w:tcBorders>
          </w:tcPr>
          <w:p>
            <w:pPr>
              <w:pStyle w:val="TableParagraph"/>
              <w:spacing w:before="3"/>
              <w:jc w:val="left"/>
              <w:rPr>
                <w:sz w:val="13"/>
              </w:rPr>
            </w:pPr>
          </w:p>
          <w:p>
            <w:pPr>
              <w:pStyle w:val="TableParagraph"/>
              <w:spacing w:line="82" w:lineRule="exact"/>
              <w:ind w:left="1028"/>
              <w:jc w:val="left"/>
              <w:rPr>
                <w:rFonts w:ascii="Times New Roman"/>
                <w:sz w:val="14"/>
              </w:rPr>
            </w:pPr>
            <w:r>
              <w:rPr>
                <w:rFonts w:ascii="Times New Roman"/>
                <w:w w:val="99"/>
                <w:sz w:val="14"/>
              </w:rPr>
              <w:t>-</w:t>
            </w:r>
          </w:p>
          <w:p>
            <w:pPr>
              <w:pStyle w:val="TableParagraph"/>
              <w:spacing w:line="168" w:lineRule="exact"/>
              <w:ind w:left="512"/>
              <w:jc w:val="left"/>
              <w:rPr>
                <w:rFonts w:ascii="Times New Roman"/>
                <w:sz w:val="14"/>
              </w:rPr>
            </w:pPr>
            <w:r>
              <w:rPr>
                <w:rFonts w:ascii="Times New Roman"/>
                <w:position w:val="2"/>
                <w:sz w:val="21"/>
              </w:rPr>
              <w:t>HCO</w:t>
            </w:r>
            <w:r>
              <w:rPr>
                <w:rFonts w:ascii="Times New Roman"/>
                <w:sz w:val="14"/>
              </w:rPr>
              <w:t>3</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174"/>
              <w:ind w:left="112" w:right="82"/>
              <w:rPr>
                <w:sz w:val="21"/>
              </w:rPr>
            </w:pPr>
            <w:r>
              <w:rPr>
                <w:sz w:val="21"/>
              </w:rPr>
              <w:t>酸碱指示剂滴定法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15" w:right="-29"/>
              <w:rPr>
                <w:sz w:val="21"/>
              </w:rPr>
            </w:pPr>
            <w:r>
              <w:rPr>
                <w:spacing w:val="-3"/>
                <w:sz w:val="21"/>
              </w:rPr>
              <w:t>《水和废水监测分析方法》</w:t>
            </w:r>
          </w:p>
          <w:p>
            <w:pPr>
              <w:pStyle w:val="TableParagraph"/>
              <w:spacing w:line="273" w:lineRule="exact"/>
              <w:ind w:left="120" w:right="93"/>
              <w:rPr>
                <w:sz w:val="21"/>
              </w:rPr>
            </w:pPr>
            <w:r>
              <w:rPr>
                <w:sz w:val="21"/>
              </w:rPr>
              <w:t>（第四版 增补版）国家环</w:t>
            </w:r>
          </w:p>
          <w:p>
            <w:pPr>
              <w:pStyle w:val="TableParagraph"/>
              <w:spacing w:line="265" w:lineRule="exact"/>
              <w:ind w:left="120" w:right="93"/>
              <w:rPr>
                <w:sz w:val="21"/>
              </w:rPr>
            </w:pPr>
            <w:r>
              <w:rPr>
                <w:sz w:val="21"/>
              </w:rPr>
              <w:t>境保护总局（</w:t>
            </w:r>
            <w:r>
              <w:rPr>
                <w:rFonts w:ascii="Times New Roman" w:eastAsia="Times New Roman"/>
                <w:sz w:val="21"/>
              </w:rPr>
              <w:t>2002</w:t>
            </w:r>
            <w:r>
              <w:rPr>
                <w:sz w:val="21"/>
              </w:rPr>
              <w:t>）</w:t>
            </w:r>
          </w:p>
        </w:tc>
        <w:tc>
          <w:tcPr>
            <w:tcW w:w="1745" w:type="dxa"/>
            <w:tcBorders>
              <w:top w:val="single" w:sz="6" w:space="0" w:color="000000"/>
              <w:left w:val="single" w:sz="6" w:space="0" w:color="000000"/>
              <w:bottom w:val="single" w:sz="6" w:space="0" w:color="000000"/>
            </w:tcBorders>
          </w:tcPr>
          <w:p>
            <w:pPr>
              <w:pStyle w:val="TableParagraph"/>
              <w:spacing w:before="8"/>
              <w:jc w:val="left"/>
              <w:rPr>
                <w:sz w:val="13"/>
              </w:rPr>
            </w:pPr>
          </w:p>
          <w:p>
            <w:pPr>
              <w:pStyle w:val="TableParagraph"/>
              <w:ind w:left="396" w:right="357"/>
              <w:rPr>
                <w:rFonts w:ascii="Times New Roman"/>
                <w:sz w:val="21"/>
              </w:rPr>
            </w:pPr>
            <w:r>
              <w:rPr>
                <w:rFonts w:ascii="Times New Roman"/>
                <w:sz w:val="21"/>
              </w:rPr>
              <w:t>1.0mg/L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156"/>
              <w:ind w:left="139" w:right="117"/>
              <w:rPr>
                <w:rFonts w:ascii="Times New Roman"/>
                <w:sz w:val="21"/>
              </w:rPr>
            </w:pPr>
            <w:r>
              <w:rPr>
                <w:rFonts w:ascii="Times New Roman"/>
                <w:sz w:val="21"/>
              </w:rPr>
              <w:t>pH</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111" w:right="82"/>
              <w:rPr>
                <w:sz w:val="21"/>
              </w:rPr>
            </w:pPr>
            <w:r>
              <w:rPr>
                <w:sz w:val="21"/>
              </w:rPr>
              <w:t>水质 </w:t>
            </w:r>
            <w:r>
              <w:rPr>
                <w:rFonts w:ascii="Times New Roman" w:eastAsia="Times New Roman"/>
                <w:sz w:val="21"/>
              </w:rPr>
              <w:t>pH </w:t>
            </w:r>
            <w:r>
              <w:rPr>
                <w:sz w:val="21"/>
              </w:rPr>
              <w:t>的测定 玻璃电</w:t>
            </w:r>
          </w:p>
          <w:p>
            <w:pPr>
              <w:pStyle w:val="TableParagraph"/>
              <w:spacing w:line="278" w:lineRule="exact"/>
              <w:ind w:left="113" w:right="81"/>
              <w:rPr>
                <w:sz w:val="21"/>
              </w:rPr>
            </w:pPr>
            <w:r>
              <w:rPr>
                <w:sz w:val="21"/>
              </w:rPr>
              <w:t>极法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5750.4-2006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6"/>
              <w:rPr>
                <w:rFonts w:ascii="Times New Roman" w:hAnsi="Times New Roman"/>
                <w:sz w:val="21"/>
              </w:rPr>
            </w:pPr>
            <w:r>
              <w:rPr>
                <w:rFonts w:ascii="Times New Roman" w:hAnsi="Times New Roman"/>
                <w:sz w:val="21"/>
              </w:rPr>
              <w:t>——</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46"/>
              <w:ind w:left="140" w:right="117"/>
              <w:rPr>
                <w:sz w:val="21"/>
              </w:rPr>
            </w:pPr>
            <w:r>
              <w:rPr>
                <w:sz w:val="21"/>
              </w:rPr>
              <w:t>氨氮</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6"/>
              <w:ind w:left="112" w:right="82"/>
              <w:rPr>
                <w:sz w:val="21"/>
              </w:rPr>
            </w:pPr>
            <w:r>
              <w:rPr>
                <w:sz w:val="21"/>
              </w:rPr>
              <w:t>纳氏试剂分光光度法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5750.5-2006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7"/>
              <w:rPr>
                <w:rFonts w:ascii="Times New Roman"/>
                <w:sz w:val="21"/>
              </w:rPr>
            </w:pPr>
            <w:r>
              <w:rPr>
                <w:rFonts w:ascii="Times New Roman"/>
                <w:sz w:val="21"/>
              </w:rPr>
              <w:t>0.02mg/L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49"/>
              <w:ind w:left="140" w:right="117"/>
              <w:rPr>
                <w:sz w:val="21"/>
              </w:rPr>
            </w:pPr>
            <w:r>
              <w:rPr>
                <w:sz w:val="21"/>
              </w:rPr>
              <w:t>硝酸盐</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9"/>
              <w:ind w:left="113" w:right="81"/>
              <w:rPr>
                <w:sz w:val="21"/>
              </w:rPr>
            </w:pPr>
            <w:r>
              <w:rPr>
                <w:sz w:val="21"/>
              </w:rPr>
              <w:t>紫外分光光度法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5750.5-2006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7"/>
              <w:rPr>
                <w:rFonts w:ascii="Times New Roman"/>
                <w:sz w:val="21"/>
              </w:rPr>
            </w:pPr>
            <w:r>
              <w:rPr>
                <w:rFonts w:ascii="Times New Roman"/>
                <w:sz w:val="21"/>
              </w:rPr>
              <w:t>0.2mg/L</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46"/>
              <w:ind w:left="138" w:right="117"/>
              <w:rPr>
                <w:sz w:val="21"/>
              </w:rPr>
            </w:pPr>
            <w:r>
              <w:rPr>
                <w:sz w:val="21"/>
              </w:rPr>
              <w:t>亚硝酸盐</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6"/>
              <w:ind w:left="112" w:right="82"/>
              <w:rPr>
                <w:sz w:val="21"/>
              </w:rPr>
            </w:pPr>
            <w:r>
              <w:rPr>
                <w:sz w:val="21"/>
              </w:rPr>
              <w:t>重氮耦合分光光度法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5750.5-2006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9"/>
              <w:rPr>
                <w:rFonts w:ascii="Times New Roman"/>
                <w:sz w:val="21"/>
              </w:rPr>
            </w:pPr>
            <w:r>
              <w:rPr>
                <w:rFonts w:ascii="Times New Roman"/>
                <w:sz w:val="21"/>
              </w:rPr>
              <w:t>0.001mg/L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49"/>
              <w:ind w:left="140" w:right="117"/>
              <w:rPr>
                <w:sz w:val="21"/>
              </w:rPr>
            </w:pPr>
            <w:r>
              <w:rPr>
                <w:sz w:val="21"/>
              </w:rPr>
              <w:t>挥发酚</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112" w:right="82"/>
              <w:rPr>
                <w:sz w:val="21"/>
              </w:rPr>
            </w:pPr>
            <w:r>
              <w:rPr>
                <w:rFonts w:ascii="Times New Roman" w:eastAsia="Times New Roman"/>
                <w:sz w:val="21"/>
              </w:rPr>
              <w:t>4-</w:t>
            </w:r>
            <w:r>
              <w:rPr>
                <w:sz w:val="21"/>
              </w:rPr>
              <w:t>氨基安替比林萃取分光</w:t>
            </w:r>
          </w:p>
          <w:p>
            <w:pPr>
              <w:pStyle w:val="TableParagraph"/>
              <w:spacing w:line="278" w:lineRule="exact"/>
              <w:ind w:left="113" w:right="81"/>
              <w:rPr>
                <w:sz w:val="21"/>
              </w:rPr>
            </w:pPr>
            <w:r>
              <w:rPr>
                <w:sz w:val="21"/>
              </w:rPr>
              <w:t>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5750.4-2006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9"/>
              <w:rPr>
                <w:rFonts w:ascii="Times New Roman"/>
                <w:sz w:val="21"/>
              </w:rPr>
            </w:pPr>
            <w:r>
              <w:rPr>
                <w:rFonts w:ascii="Times New Roman"/>
                <w:sz w:val="21"/>
              </w:rPr>
              <w:t>0.002mg/L</w:t>
            </w:r>
          </w:p>
        </w:tc>
      </w:tr>
      <w:tr>
        <w:trPr>
          <w:trHeight w:val="566" w:hRule="atLeast"/>
        </w:trPr>
        <w:tc>
          <w:tcPr>
            <w:tcW w:w="1586" w:type="dxa"/>
            <w:tcBorders>
              <w:top w:val="single" w:sz="6" w:space="0" w:color="000000"/>
              <w:bottom w:val="single" w:sz="6" w:space="0" w:color="000000"/>
              <w:right w:val="single" w:sz="6" w:space="0" w:color="000000"/>
            </w:tcBorders>
          </w:tcPr>
          <w:p>
            <w:pPr>
              <w:pStyle w:val="TableParagraph"/>
              <w:spacing w:before="47"/>
              <w:ind w:left="140" w:right="117"/>
              <w:rPr>
                <w:sz w:val="21"/>
              </w:rPr>
            </w:pPr>
            <w:r>
              <w:rPr>
                <w:sz w:val="21"/>
              </w:rPr>
              <w:t>氰化物</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112" w:right="82"/>
              <w:rPr>
                <w:sz w:val="21"/>
              </w:rPr>
            </w:pPr>
            <w:r>
              <w:rPr>
                <w:sz w:val="21"/>
              </w:rPr>
              <w:t>异烟酸</w:t>
            </w:r>
            <w:r>
              <w:rPr>
                <w:rFonts w:ascii="Times New Roman" w:eastAsia="Times New Roman"/>
                <w:sz w:val="21"/>
              </w:rPr>
              <w:t>-</w:t>
            </w:r>
            <w:r>
              <w:rPr>
                <w:sz w:val="21"/>
              </w:rPr>
              <w:t>吡唑酮分光光度</w:t>
            </w:r>
          </w:p>
          <w:p>
            <w:pPr>
              <w:pStyle w:val="TableParagraph"/>
              <w:spacing w:line="277" w:lineRule="exact"/>
              <w:ind w:left="28"/>
              <w:rPr>
                <w:sz w:val="21"/>
              </w:rPr>
            </w:pPr>
            <w:r>
              <w:rPr>
                <w:w w:val="100"/>
                <w:sz w:val="21"/>
              </w:rPr>
              <w:t>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7"/>
              <w:ind w:left="120" w:right="93"/>
              <w:rPr>
                <w:rFonts w:ascii="Times New Roman"/>
                <w:sz w:val="21"/>
              </w:rPr>
            </w:pPr>
            <w:r>
              <w:rPr>
                <w:rFonts w:ascii="Times New Roman"/>
                <w:sz w:val="21"/>
              </w:rPr>
              <w:t>GB/T 5750.5-2006</w:t>
            </w:r>
          </w:p>
        </w:tc>
        <w:tc>
          <w:tcPr>
            <w:tcW w:w="1745" w:type="dxa"/>
            <w:tcBorders>
              <w:top w:val="single" w:sz="6" w:space="0" w:color="000000"/>
              <w:left w:val="single" w:sz="6" w:space="0" w:color="000000"/>
              <w:bottom w:val="single" w:sz="6" w:space="0" w:color="000000"/>
            </w:tcBorders>
          </w:tcPr>
          <w:p>
            <w:pPr>
              <w:pStyle w:val="TableParagraph"/>
              <w:spacing w:before="157"/>
              <w:ind w:left="396" w:right="359"/>
              <w:rPr>
                <w:rFonts w:ascii="Times New Roman"/>
                <w:sz w:val="21"/>
              </w:rPr>
            </w:pPr>
            <w:r>
              <w:rPr>
                <w:rFonts w:ascii="Times New Roman"/>
                <w:sz w:val="21"/>
              </w:rPr>
              <w:t>0.002mg/L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49"/>
              <w:ind w:left="140" w:right="117"/>
              <w:rPr>
                <w:sz w:val="21"/>
              </w:rPr>
            </w:pPr>
            <w:r>
              <w:rPr>
                <w:sz w:val="21"/>
              </w:rPr>
              <w:t>六价铬</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9"/>
              <w:ind w:left="113" w:right="82"/>
              <w:rPr>
                <w:sz w:val="21"/>
              </w:rPr>
            </w:pPr>
            <w:r>
              <w:rPr>
                <w:sz w:val="21"/>
              </w:rPr>
              <w:t>二苯碳酰二肼分光光度法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5750.6-2006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9"/>
              <w:rPr>
                <w:rFonts w:ascii="Times New Roman"/>
                <w:sz w:val="21"/>
              </w:rPr>
            </w:pPr>
            <w:r>
              <w:rPr>
                <w:rFonts w:ascii="Times New Roman"/>
                <w:sz w:val="21"/>
              </w:rPr>
              <w:t>0.004mg/L</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46"/>
              <w:ind w:left="140" w:right="117"/>
              <w:rPr>
                <w:sz w:val="21"/>
              </w:rPr>
            </w:pPr>
            <w:r>
              <w:rPr>
                <w:sz w:val="21"/>
              </w:rPr>
              <w:t>总硬度</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6"/>
              <w:ind w:left="113" w:right="82"/>
              <w:rPr>
                <w:sz w:val="21"/>
              </w:rPr>
            </w:pPr>
            <w:r>
              <w:rPr>
                <w:sz w:val="21"/>
              </w:rPr>
              <w:t>乙二胺四乙酸二钠滴定法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GB/T5750.4-2006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7"/>
              <w:rPr>
                <w:rFonts w:ascii="Times New Roman"/>
                <w:sz w:val="21"/>
              </w:rPr>
            </w:pPr>
            <w:r>
              <w:rPr>
                <w:rFonts w:ascii="Times New Roman"/>
                <w:sz w:val="21"/>
              </w:rPr>
              <w:t>1.0mg/L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49"/>
              <w:ind w:left="19"/>
              <w:rPr>
                <w:sz w:val="21"/>
              </w:rPr>
            </w:pPr>
            <w:r>
              <w:rPr>
                <w:w w:val="100"/>
                <w:sz w:val="21"/>
              </w:rPr>
              <w:t>氟</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9"/>
              <w:ind w:left="113" w:right="81"/>
              <w:rPr>
                <w:sz w:val="21"/>
              </w:rPr>
            </w:pPr>
            <w:r>
              <w:rPr>
                <w:sz w:val="21"/>
              </w:rPr>
              <w:t>离子选择电极法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5750.5-2006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7"/>
              <w:rPr>
                <w:rFonts w:ascii="Times New Roman"/>
                <w:sz w:val="21"/>
              </w:rPr>
            </w:pPr>
            <w:r>
              <w:rPr>
                <w:rFonts w:ascii="Times New Roman"/>
                <w:sz w:val="21"/>
              </w:rPr>
              <w:t>0.2mg/L</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46"/>
              <w:ind w:left="141" w:right="117"/>
              <w:rPr>
                <w:sz w:val="21"/>
              </w:rPr>
            </w:pPr>
            <w:r>
              <w:rPr>
                <w:sz w:val="21"/>
              </w:rPr>
              <w:t>溶解性总固体</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6"/>
              <w:ind w:left="113" w:right="81"/>
              <w:rPr>
                <w:sz w:val="21"/>
              </w:rPr>
            </w:pPr>
            <w:r>
              <w:rPr>
                <w:sz w:val="21"/>
              </w:rPr>
              <w:t>称量法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5750.4-2006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6"/>
              <w:rPr>
                <w:rFonts w:ascii="Times New Roman" w:hAnsi="Times New Roman"/>
                <w:sz w:val="21"/>
              </w:rPr>
            </w:pPr>
            <w:r>
              <w:rPr>
                <w:rFonts w:ascii="Times New Roman" w:hAnsi="Times New Roman"/>
                <w:sz w:val="21"/>
              </w:rPr>
              <w:t>——</w:t>
            </w:r>
          </w:p>
        </w:tc>
      </w:tr>
      <w:tr>
        <w:trPr>
          <w:trHeight w:val="565" w:hRule="atLeast"/>
        </w:trPr>
        <w:tc>
          <w:tcPr>
            <w:tcW w:w="1586" w:type="dxa"/>
            <w:tcBorders>
              <w:top w:val="single" w:sz="6" w:space="0" w:color="000000"/>
              <w:right w:val="single" w:sz="6" w:space="0" w:color="000000"/>
            </w:tcBorders>
          </w:tcPr>
          <w:p>
            <w:pPr>
              <w:pStyle w:val="TableParagraph"/>
              <w:spacing w:line="270" w:lineRule="exact"/>
              <w:ind w:left="138" w:right="117"/>
              <w:rPr>
                <w:sz w:val="21"/>
              </w:rPr>
            </w:pPr>
            <w:r>
              <w:rPr>
                <w:sz w:val="21"/>
              </w:rPr>
              <w:t>耗氧量（高</w:t>
            </w:r>
          </w:p>
          <w:p>
            <w:pPr>
              <w:pStyle w:val="TableParagraph"/>
              <w:spacing w:line="275" w:lineRule="exact"/>
              <w:ind w:left="141" w:right="117"/>
              <w:rPr>
                <w:sz w:val="21"/>
              </w:rPr>
            </w:pPr>
            <w:r>
              <w:rPr>
                <w:sz w:val="21"/>
              </w:rPr>
              <w:t>锰酸盐指数）</w:t>
            </w:r>
          </w:p>
        </w:tc>
        <w:tc>
          <w:tcPr>
            <w:tcW w:w="2561" w:type="dxa"/>
            <w:tcBorders>
              <w:top w:val="single" w:sz="6" w:space="0" w:color="000000"/>
              <w:left w:val="single" w:sz="6" w:space="0" w:color="000000"/>
              <w:right w:val="single" w:sz="6" w:space="0" w:color="000000"/>
            </w:tcBorders>
          </w:tcPr>
          <w:p>
            <w:pPr>
              <w:pStyle w:val="TableParagraph"/>
              <w:spacing w:before="49"/>
              <w:ind w:left="113" w:right="81"/>
              <w:rPr>
                <w:sz w:val="21"/>
              </w:rPr>
            </w:pPr>
            <w:r>
              <w:rPr>
                <w:sz w:val="21"/>
              </w:rPr>
              <w:t>水质高锰酸盐指数的测定</w:t>
            </w:r>
          </w:p>
        </w:tc>
        <w:tc>
          <w:tcPr>
            <w:tcW w:w="2636" w:type="dxa"/>
            <w:tcBorders>
              <w:top w:val="single" w:sz="6" w:space="0" w:color="000000"/>
              <w:left w:val="single" w:sz="6" w:space="0" w:color="000000"/>
              <w:right w:val="single" w:sz="6" w:space="0" w:color="000000"/>
            </w:tcBorders>
          </w:tcPr>
          <w:p>
            <w:pPr>
              <w:pStyle w:val="TableParagraph"/>
              <w:spacing w:before="156"/>
              <w:ind w:left="120" w:right="90"/>
              <w:rPr>
                <w:rFonts w:ascii="Times New Roman"/>
                <w:sz w:val="21"/>
              </w:rPr>
            </w:pPr>
            <w:r>
              <w:rPr>
                <w:rFonts w:ascii="Times New Roman"/>
                <w:sz w:val="21"/>
              </w:rPr>
              <w:t>GB/T 11892-1989</w:t>
            </w:r>
          </w:p>
        </w:tc>
        <w:tc>
          <w:tcPr>
            <w:tcW w:w="1745" w:type="dxa"/>
            <w:tcBorders>
              <w:top w:val="single" w:sz="6" w:space="0" w:color="000000"/>
              <w:left w:val="single" w:sz="6" w:space="0" w:color="000000"/>
            </w:tcBorders>
          </w:tcPr>
          <w:p>
            <w:pPr>
              <w:pStyle w:val="TableParagraph"/>
              <w:spacing w:before="156"/>
              <w:ind w:left="396" w:right="357"/>
              <w:rPr>
                <w:rFonts w:ascii="Times New Roman"/>
                <w:sz w:val="21"/>
              </w:rPr>
            </w:pPr>
            <w:r>
              <w:rPr>
                <w:rFonts w:ascii="Times New Roman"/>
                <w:sz w:val="21"/>
              </w:rPr>
              <w:t>0.5mg/L</w:t>
            </w:r>
          </w:p>
        </w:tc>
      </w:tr>
    </w:tbl>
    <w:p>
      <w:pPr>
        <w:spacing w:after="0"/>
        <w:rPr>
          <w:rFonts w:ascii="Times New Roman"/>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2561"/>
        <w:gridCol w:w="2636"/>
        <w:gridCol w:w="1745"/>
      </w:tblGrid>
      <w:tr>
        <w:trPr>
          <w:trHeight w:val="568" w:hRule="atLeast"/>
        </w:trPr>
        <w:tc>
          <w:tcPr>
            <w:tcW w:w="1586" w:type="dxa"/>
            <w:tcBorders>
              <w:bottom w:val="single" w:sz="6" w:space="0" w:color="000000"/>
              <w:right w:val="single" w:sz="6" w:space="0" w:color="000000"/>
            </w:tcBorders>
          </w:tcPr>
          <w:p>
            <w:pPr>
              <w:pStyle w:val="TableParagraph"/>
              <w:spacing w:before="49"/>
              <w:ind w:left="140" w:right="117"/>
              <w:rPr>
                <w:sz w:val="21"/>
              </w:rPr>
            </w:pPr>
            <w:r>
              <w:rPr>
                <w:sz w:val="21"/>
              </w:rPr>
              <w:t>硫酸盐</w:t>
            </w:r>
          </w:p>
        </w:tc>
        <w:tc>
          <w:tcPr>
            <w:tcW w:w="2561" w:type="dxa"/>
            <w:tcBorders>
              <w:left w:val="single" w:sz="6" w:space="0" w:color="000000"/>
              <w:bottom w:val="single" w:sz="6" w:space="0" w:color="000000"/>
              <w:right w:val="single" w:sz="6" w:space="0" w:color="000000"/>
            </w:tcBorders>
          </w:tcPr>
          <w:p>
            <w:pPr>
              <w:pStyle w:val="TableParagraph"/>
              <w:spacing w:before="49"/>
              <w:ind w:left="112" w:right="82"/>
              <w:rPr>
                <w:sz w:val="21"/>
              </w:rPr>
            </w:pPr>
            <w:r>
              <w:rPr>
                <w:sz w:val="21"/>
              </w:rPr>
              <w:t>铬酸钡分光光度法</w:t>
            </w:r>
          </w:p>
        </w:tc>
        <w:tc>
          <w:tcPr>
            <w:tcW w:w="2636" w:type="dxa"/>
            <w:tcBorders>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5750.5-2006</w:t>
            </w:r>
          </w:p>
        </w:tc>
        <w:tc>
          <w:tcPr>
            <w:tcW w:w="1745" w:type="dxa"/>
            <w:tcBorders>
              <w:left w:val="single" w:sz="6" w:space="0" w:color="000000"/>
              <w:bottom w:val="single" w:sz="6" w:space="0" w:color="000000"/>
            </w:tcBorders>
          </w:tcPr>
          <w:p>
            <w:pPr>
              <w:pStyle w:val="TableParagraph"/>
              <w:spacing w:before="156"/>
              <w:ind w:left="600"/>
              <w:jc w:val="left"/>
              <w:rPr>
                <w:rFonts w:ascii="Times New Roman"/>
                <w:sz w:val="21"/>
              </w:rPr>
            </w:pPr>
            <w:r>
              <w:rPr>
                <w:rFonts w:ascii="Times New Roman"/>
                <w:sz w:val="21"/>
              </w:rPr>
              <w:t>5mg/L</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46"/>
              <w:ind w:left="140" w:right="117"/>
              <w:rPr>
                <w:sz w:val="21"/>
              </w:rPr>
            </w:pPr>
            <w:r>
              <w:rPr>
                <w:sz w:val="21"/>
              </w:rPr>
              <w:t>氯化物</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6"/>
              <w:ind w:left="113" w:right="81"/>
              <w:rPr>
                <w:sz w:val="21"/>
              </w:rPr>
            </w:pPr>
            <w:r>
              <w:rPr>
                <w:sz w:val="21"/>
              </w:rPr>
              <w:t>硝酸银容量法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5750.5-2006</w:t>
            </w:r>
          </w:p>
        </w:tc>
        <w:tc>
          <w:tcPr>
            <w:tcW w:w="1745" w:type="dxa"/>
            <w:tcBorders>
              <w:top w:val="single" w:sz="6" w:space="0" w:color="000000"/>
              <w:left w:val="single" w:sz="6" w:space="0" w:color="000000"/>
              <w:bottom w:val="single" w:sz="6" w:space="0" w:color="000000"/>
            </w:tcBorders>
          </w:tcPr>
          <w:p>
            <w:pPr>
              <w:pStyle w:val="TableParagraph"/>
              <w:spacing w:before="156"/>
              <w:ind w:left="521"/>
              <w:jc w:val="left"/>
              <w:rPr>
                <w:rFonts w:ascii="Times New Roman"/>
                <w:sz w:val="21"/>
              </w:rPr>
            </w:pPr>
            <w:r>
              <w:rPr>
                <w:rFonts w:ascii="Times New Roman"/>
                <w:sz w:val="21"/>
              </w:rPr>
              <w:t>1.0mg/L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49"/>
              <w:ind w:left="138" w:right="117"/>
              <w:rPr>
                <w:sz w:val="21"/>
              </w:rPr>
            </w:pPr>
            <w:r>
              <w:rPr>
                <w:sz w:val="21"/>
              </w:rPr>
              <w:t>总大肠菌群</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9"/>
              <w:ind w:left="112" w:right="82"/>
              <w:rPr>
                <w:sz w:val="21"/>
              </w:rPr>
            </w:pPr>
            <w:r>
              <w:rPr>
                <w:sz w:val="21"/>
              </w:rPr>
              <w:t>多管发酵法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5750.12-2006</w:t>
            </w:r>
          </w:p>
        </w:tc>
        <w:tc>
          <w:tcPr>
            <w:tcW w:w="1745" w:type="dxa"/>
            <w:tcBorders>
              <w:top w:val="single" w:sz="6" w:space="0" w:color="000000"/>
              <w:left w:val="single" w:sz="6" w:space="0" w:color="000000"/>
              <w:bottom w:val="single" w:sz="6" w:space="0" w:color="000000"/>
            </w:tcBorders>
          </w:tcPr>
          <w:p>
            <w:pPr>
              <w:pStyle w:val="TableParagraph"/>
              <w:spacing w:before="156"/>
              <w:ind w:left="396" w:right="356"/>
              <w:rPr>
                <w:rFonts w:ascii="Times New Roman" w:hAnsi="Times New Roman"/>
                <w:sz w:val="21"/>
              </w:rPr>
            </w:pPr>
            <w:r>
              <w:rPr>
                <w:rFonts w:ascii="Times New Roman" w:hAnsi="Times New Roman"/>
                <w:sz w:val="21"/>
              </w:rPr>
              <w:t>——</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46"/>
              <w:ind w:left="140" w:right="117"/>
              <w:rPr>
                <w:sz w:val="21"/>
              </w:rPr>
            </w:pPr>
            <w:r>
              <w:rPr>
                <w:sz w:val="21"/>
              </w:rPr>
              <w:t>石油类</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6"/>
              <w:ind w:left="113" w:right="81"/>
              <w:rPr>
                <w:sz w:val="21"/>
              </w:rPr>
            </w:pPr>
            <w:r>
              <w:rPr>
                <w:sz w:val="21"/>
              </w:rPr>
              <w:t>紫外分光光度法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HJ 970-2018</w:t>
            </w:r>
          </w:p>
        </w:tc>
        <w:tc>
          <w:tcPr>
            <w:tcW w:w="1745" w:type="dxa"/>
            <w:tcBorders>
              <w:top w:val="single" w:sz="6" w:space="0" w:color="000000"/>
              <w:left w:val="single" w:sz="6" w:space="0" w:color="000000"/>
              <w:bottom w:val="single" w:sz="6" w:space="0" w:color="000000"/>
            </w:tcBorders>
          </w:tcPr>
          <w:p>
            <w:pPr>
              <w:pStyle w:val="TableParagraph"/>
              <w:spacing w:before="156"/>
              <w:ind w:left="442"/>
              <w:jc w:val="left"/>
              <w:rPr>
                <w:rFonts w:ascii="Times New Roman"/>
                <w:sz w:val="21"/>
              </w:rPr>
            </w:pPr>
            <w:r>
              <w:rPr>
                <w:rFonts w:ascii="Times New Roman"/>
                <w:sz w:val="21"/>
              </w:rPr>
              <w:t>0.01 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152"/>
              <w:ind w:left="133" w:right="117"/>
              <w:rPr>
                <w:rFonts w:ascii="Times New Roman"/>
                <w:sz w:val="14"/>
              </w:rPr>
            </w:pPr>
            <w:r>
              <w:rPr>
                <w:rFonts w:ascii="Times New Roman"/>
                <w:position w:val="-6"/>
                <w:sz w:val="21"/>
              </w:rPr>
              <w:t>K</w:t>
            </w:r>
            <w:r>
              <w:rPr>
                <w:rFonts w:ascii="Times New Roman"/>
                <w:sz w:val="14"/>
              </w:rPr>
              <w:t>+</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13" w:right="82"/>
              <w:rPr>
                <w:sz w:val="21"/>
              </w:rPr>
            </w:pPr>
            <w:r>
              <w:rPr>
                <w:sz w:val="21"/>
              </w:rPr>
              <w:t>电感耦合等离子体发射光</w:t>
            </w:r>
          </w:p>
          <w:p>
            <w:pPr>
              <w:pStyle w:val="TableParagraph"/>
              <w:spacing w:line="277"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HJ 776-2015</w:t>
            </w:r>
          </w:p>
        </w:tc>
        <w:tc>
          <w:tcPr>
            <w:tcW w:w="1745" w:type="dxa"/>
            <w:tcBorders>
              <w:top w:val="single" w:sz="6" w:space="0" w:color="000000"/>
              <w:left w:val="single" w:sz="6" w:space="0" w:color="000000"/>
              <w:bottom w:val="single" w:sz="6" w:space="0" w:color="000000"/>
            </w:tcBorders>
          </w:tcPr>
          <w:p>
            <w:pPr>
              <w:pStyle w:val="TableParagraph"/>
              <w:spacing w:before="156"/>
              <w:ind w:left="468"/>
              <w:jc w:val="left"/>
              <w:rPr>
                <w:rFonts w:ascii="Times New Roman"/>
                <w:sz w:val="21"/>
              </w:rPr>
            </w:pPr>
            <w:r>
              <w:rPr>
                <w:rFonts w:ascii="Times New Roman"/>
                <w:sz w:val="21"/>
              </w:rPr>
              <w:t>0.07mg/L</w:t>
            </w:r>
          </w:p>
        </w:tc>
      </w:tr>
      <w:tr>
        <w:trPr>
          <w:trHeight w:val="566" w:hRule="atLeast"/>
        </w:trPr>
        <w:tc>
          <w:tcPr>
            <w:tcW w:w="1586" w:type="dxa"/>
            <w:tcBorders>
              <w:top w:val="single" w:sz="6" w:space="0" w:color="000000"/>
              <w:bottom w:val="single" w:sz="6" w:space="0" w:color="000000"/>
              <w:right w:val="single" w:sz="6" w:space="0" w:color="000000"/>
            </w:tcBorders>
          </w:tcPr>
          <w:p>
            <w:pPr>
              <w:pStyle w:val="TableParagraph"/>
              <w:spacing w:before="151"/>
              <w:ind w:left="140" w:right="117"/>
              <w:rPr>
                <w:rFonts w:ascii="Times New Roman"/>
                <w:sz w:val="14"/>
              </w:rPr>
            </w:pPr>
            <w:r>
              <w:rPr>
                <w:rFonts w:ascii="Times New Roman"/>
                <w:sz w:val="21"/>
              </w:rPr>
              <w:t>Na</w:t>
            </w:r>
            <w:r>
              <w:rPr>
                <w:rFonts w:ascii="Times New Roman"/>
                <w:position w:val="7"/>
                <w:sz w:val="14"/>
              </w:rPr>
              <w:t>+</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113" w:right="82"/>
              <w:rPr>
                <w:sz w:val="21"/>
              </w:rPr>
            </w:pPr>
            <w:r>
              <w:rPr>
                <w:sz w:val="21"/>
              </w:rPr>
              <w:t>电感耦合等离子体发射光</w:t>
            </w:r>
          </w:p>
          <w:p>
            <w:pPr>
              <w:pStyle w:val="TableParagraph"/>
              <w:spacing w:line="276"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HJ 776-2015</w:t>
            </w:r>
          </w:p>
        </w:tc>
        <w:tc>
          <w:tcPr>
            <w:tcW w:w="1745" w:type="dxa"/>
            <w:tcBorders>
              <w:top w:val="single" w:sz="6" w:space="0" w:color="000000"/>
              <w:left w:val="single" w:sz="6" w:space="0" w:color="000000"/>
              <w:bottom w:val="single" w:sz="6" w:space="0" w:color="000000"/>
            </w:tcBorders>
          </w:tcPr>
          <w:p>
            <w:pPr>
              <w:pStyle w:val="TableParagraph"/>
              <w:spacing w:before="156"/>
              <w:ind w:left="468"/>
              <w:jc w:val="left"/>
              <w:rPr>
                <w:rFonts w:ascii="Times New Roman"/>
                <w:sz w:val="21"/>
              </w:rPr>
            </w:pPr>
            <w:r>
              <w:rPr>
                <w:rFonts w:ascii="Times New Roman"/>
                <w:sz w:val="21"/>
              </w:rPr>
              <w:t>0.03mg/L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152"/>
              <w:ind w:left="140" w:right="117"/>
              <w:rPr>
                <w:rFonts w:ascii="Times New Roman"/>
                <w:sz w:val="14"/>
              </w:rPr>
            </w:pPr>
            <w:r>
              <w:rPr>
                <w:rFonts w:ascii="Times New Roman"/>
                <w:position w:val="-6"/>
                <w:sz w:val="21"/>
              </w:rPr>
              <w:t>Ca</w:t>
            </w:r>
            <w:r>
              <w:rPr>
                <w:rFonts w:ascii="Times New Roman"/>
                <w:sz w:val="14"/>
              </w:rPr>
              <w:t>2+</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13" w:right="82"/>
              <w:rPr>
                <w:sz w:val="21"/>
              </w:rPr>
            </w:pPr>
            <w:r>
              <w:rPr>
                <w:sz w:val="21"/>
              </w:rPr>
              <w:t>电感耦合等离子体发射光</w:t>
            </w:r>
          </w:p>
          <w:p>
            <w:pPr>
              <w:pStyle w:val="TableParagraph"/>
              <w:spacing w:line="277"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HJ 776-2015</w:t>
            </w:r>
          </w:p>
        </w:tc>
        <w:tc>
          <w:tcPr>
            <w:tcW w:w="1745" w:type="dxa"/>
            <w:tcBorders>
              <w:top w:val="single" w:sz="6" w:space="0" w:color="000000"/>
              <w:left w:val="single" w:sz="6" w:space="0" w:color="000000"/>
              <w:bottom w:val="single" w:sz="6" w:space="0" w:color="000000"/>
            </w:tcBorders>
          </w:tcPr>
          <w:p>
            <w:pPr>
              <w:pStyle w:val="TableParagraph"/>
              <w:spacing w:before="156"/>
              <w:ind w:left="468"/>
              <w:jc w:val="left"/>
              <w:rPr>
                <w:rFonts w:ascii="Times New Roman"/>
                <w:sz w:val="21"/>
              </w:rPr>
            </w:pPr>
            <w:r>
              <w:rPr>
                <w:rFonts w:ascii="Times New Roman"/>
                <w:sz w:val="21"/>
              </w:rPr>
              <w:t>0.02mg/L</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152"/>
              <w:ind w:left="135" w:right="117"/>
              <w:rPr>
                <w:rFonts w:ascii="Times New Roman"/>
                <w:sz w:val="14"/>
              </w:rPr>
            </w:pPr>
            <w:r>
              <w:rPr>
                <w:rFonts w:ascii="Times New Roman"/>
                <w:position w:val="-6"/>
                <w:sz w:val="21"/>
              </w:rPr>
              <w:t>Mg</w:t>
            </w:r>
            <w:r>
              <w:rPr>
                <w:rFonts w:ascii="Times New Roman"/>
                <w:sz w:val="14"/>
              </w:rPr>
              <w:t>2+</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113" w:right="82"/>
              <w:rPr>
                <w:sz w:val="21"/>
              </w:rPr>
            </w:pPr>
            <w:r>
              <w:rPr>
                <w:sz w:val="21"/>
              </w:rPr>
              <w:t>电感耦合等离子体发射光</w:t>
            </w:r>
          </w:p>
          <w:p>
            <w:pPr>
              <w:pStyle w:val="TableParagraph"/>
              <w:spacing w:line="276"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HJ 776-2015</w:t>
            </w:r>
          </w:p>
        </w:tc>
        <w:tc>
          <w:tcPr>
            <w:tcW w:w="1745" w:type="dxa"/>
            <w:tcBorders>
              <w:top w:val="single" w:sz="6" w:space="0" w:color="000000"/>
              <w:left w:val="single" w:sz="6" w:space="0" w:color="000000"/>
              <w:bottom w:val="single" w:sz="6" w:space="0" w:color="000000"/>
            </w:tcBorders>
          </w:tcPr>
          <w:p>
            <w:pPr>
              <w:pStyle w:val="TableParagraph"/>
              <w:spacing w:before="156"/>
              <w:ind w:left="468"/>
              <w:jc w:val="left"/>
              <w:rPr>
                <w:rFonts w:ascii="Times New Roman"/>
                <w:sz w:val="21"/>
              </w:rPr>
            </w:pPr>
            <w:r>
              <w:rPr>
                <w:rFonts w:ascii="Times New Roman"/>
                <w:sz w:val="21"/>
              </w:rPr>
              <w:t>0.02mg/L</w:t>
            </w:r>
          </w:p>
        </w:tc>
      </w:tr>
      <w:tr>
        <w:trPr>
          <w:trHeight w:val="568" w:hRule="atLeast"/>
        </w:trPr>
        <w:tc>
          <w:tcPr>
            <w:tcW w:w="1586" w:type="dxa"/>
            <w:tcBorders>
              <w:top w:val="single" w:sz="6" w:space="0" w:color="000000"/>
              <w:bottom w:val="single" w:sz="6" w:space="0" w:color="000000"/>
              <w:right w:val="single" w:sz="6" w:space="0" w:color="000000"/>
            </w:tcBorders>
          </w:tcPr>
          <w:p>
            <w:pPr>
              <w:pStyle w:val="TableParagraph"/>
              <w:spacing w:before="49"/>
              <w:ind w:left="19"/>
              <w:rPr>
                <w:sz w:val="21"/>
              </w:rPr>
            </w:pPr>
            <w:r>
              <w:rPr>
                <w:w w:val="100"/>
                <w:sz w:val="21"/>
              </w:rPr>
              <w:t>砷</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9"/>
              <w:ind w:left="112" w:right="82"/>
              <w:rPr>
                <w:sz w:val="21"/>
              </w:rPr>
            </w:pPr>
            <w:r>
              <w:rPr>
                <w:sz w:val="21"/>
              </w:rPr>
              <w:t>原子荧光法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5750.6-2006</w:t>
            </w:r>
          </w:p>
        </w:tc>
        <w:tc>
          <w:tcPr>
            <w:tcW w:w="1745" w:type="dxa"/>
            <w:tcBorders>
              <w:top w:val="single" w:sz="6" w:space="0" w:color="000000"/>
              <w:left w:val="single" w:sz="6" w:space="0" w:color="000000"/>
              <w:bottom w:val="single" w:sz="6" w:space="0" w:color="000000"/>
            </w:tcBorders>
          </w:tcPr>
          <w:p>
            <w:pPr>
              <w:pStyle w:val="TableParagraph"/>
              <w:spacing w:before="156"/>
              <w:ind w:left="545"/>
              <w:jc w:val="left"/>
              <w:rPr>
                <w:rFonts w:ascii="Times New Roman" w:hAnsi="Times New Roman"/>
                <w:sz w:val="21"/>
              </w:rPr>
            </w:pPr>
            <w:r>
              <w:rPr>
                <w:rFonts w:ascii="Times New Roman" w:hAnsi="Times New Roman"/>
                <w:sz w:val="21"/>
              </w:rPr>
              <w:t>0.4μg/L</w:t>
            </w:r>
          </w:p>
        </w:tc>
      </w:tr>
      <w:tr>
        <w:trPr>
          <w:trHeight w:val="565" w:hRule="atLeast"/>
        </w:trPr>
        <w:tc>
          <w:tcPr>
            <w:tcW w:w="1586" w:type="dxa"/>
            <w:tcBorders>
              <w:top w:val="single" w:sz="6" w:space="0" w:color="000000"/>
              <w:bottom w:val="single" w:sz="6" w:space="0" w:color="000000"/>
              <w:right w:val="single" w:sz="6" w:space="0" w:color="000000"/>
            </w:tcBorders>
          </w:tcPr>
          <w:p>
            <w:pPr>
              <w:pStyle w:val="TableParagraph"/>
              <w:spacing w:before="46"/>
              <w:ind w:left="19"/>
              <w:rPr>
                <w:sz w:val="21"/>
              </w:rPr>
            </w:pPr>
            <w:r>
              <w:rPr>
                <w:w w:val="100"/>
                <w:sz w:val="21"/>
              </w:rPr>
              <w:t>汞</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before="46"/>
              <w:ind w:left="112" w:right="82"/>
              <w:rPr>
                <w:sz w:val="21"/>
              </w:rPr>
            </w:pPr>
            <w:r>
              <w:rPr>
                <w:sz w:val="21"/>
              </w:rPr>
              <w:t>原子荧光法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56"/>
              <w:ind w:left="120" w:right="93"/>
              <w:rPr>
                <w:rFonts w:ascii="Times New Roman"/>
                <w:sz w:val="21"/>
              </w:rPr>
            </w:pPr>
            <w:r>
              <w:rPr>
                <w:rFonts w:ascii="Times New Roman"/>
                <w:sz w:val="21"/>
              </w:rPr>
              <w:t>GB/T 5750.6-2006</w:t>
            </w:r>
          </w:p>
        </w:tc>
        <w:tc>
          <w:tcPr>
            <w:tcW w:w="1745" w:type="dxa"/>
            <w:tcBorders>
              <w:top w:val="single" w:sz="6" w:space="0" w:color="000000"/>
              <w:left w:val="single" w:sz="6" w:space="0" w:color="000000"/>
              <w:bottom w:val="single" w:sz="6" w:space="0" w:color="000000"/>
            </w:tcBorders>
          </w:tcPr>
          <w:p>
            <w:pPr>
              <w:pStyle w:val="TableParagraph"/>
              <w:spacing w:before="156"/>
              <w:ind w:left="545"/>
              <w:jc w:val="left"/>
              <w:rPr>
                <w:rFonts w:ascii="Times New Roman" w:hAnsi="Times New Roman"/>
                <w:sz w:val="21"/>
              </w:rPr>
            </w:pPr>
            <w:r>
              <w:rPr>
                <w:rFonts w:ascii="Times New Roman" w:hAnsi="Times New Roman"/>
                <w:sz w:val="21"/>
              </w:rPr>
              <w:t>0.1μg/L</w:t>
            </w:r>
          </w:p>
        </w:tc>
      </w:tr>
      <w:tr>
        <w:trPr>
          <w:trHeight w:val="273" w:hRule="atLeast"/>
        </w:trPr>
        <w:tc>
          <w:tcPr>
            <w:tcW w:w="1586" w:type="dxa"/>
            <w:tcBorders>
              <w:top w:val="single" w:sz="6" w:space="0" w:color="000000"/>
              <w:bottom w:val="single" w:sz="6" w:space="0" w:color="000000"/>
              <w:right w:val="single" w:sz="6" w:space="0" w:color="000000"/>
            </w:tcBorders>
          </w:tcPr>
          <w:p>
            <w:pPr>
              <w:pStyle w:val="TableParagraph"/>
              <w:spacing w:line="253" w:lineRule="exact"/>
              <w:ind w:left="19"/>
              <w:rPr>
                <w:sz w:val="21"/>
              </w:rPr>
            </w:pPr>
            <w:r>
              <w:rPr>
                <w:w w:val="100"/>
                <w:sz w:val="21"/>
              </w:rPr>
              <w:t>铅</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13" w:right="82"/>
              <w:rPr>
                <w:sz w:val="21"/>
              </w:rPr>
            </w:pPr>
            <w:r>
              <w:rPr>
                <w:sz w:val="21"/>
              </w:rPr>
              <w:t>无火焰原子分光光度法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0"/>
              <w:ind w:left="120" w:right="93"/>
              <w:rPr>
                <w:rFonts w:ascii="Times New Roman"/>
                <w:sz w:val="21"/>
              </w:rPr>
            </w:pPr>
            <w:r>
              <w:rPr>
                <w:rFonts w:ascii="Times New Roman"/>
                <w:sz w:val="21"/>
              </w:rPr>
              <w:t>GB/T 5750.6-2006</w:t>
            </w:r>
          </w:p>
        </w:tc>
        <w:tc>
          <w:tcPr>
            <w:tcW w:w="1745" w:type="dxa"/>
            <w:tcBorders>
              <w:top w:val="single" w:sz="6" w:space="0" w:color="000000"/>
              <w:left w:val="single" w:sz="6" w:space="0" w:color="000000"/>
              <w:bottom w:val="single" w:sz="6" w:space="0" w:color="000000"/>
            </w:tcBorders>
          </w:tcPr>
          <w:p>
            <w:pPr>
              <w:pStyle w:val="TableParagraph"/>
              <w:spacing w:before="10"/>
              <w:ind w:left="545"/>
              <w:jc w:val="left"/>
              <w:rPr>
                <w:rFonts w:ascii="Times New Roman" w:hAnsi="Times New Roman"/>
                <w:sz w:val="21"/>
              </w:rPr>
            </w:pPr>
            <w:r>
              <w:rPr>
                <w:rFonts w:ascii="Times New Roman" w:hAnsi="Times New Roman"/>
                <w:sz w:val="21"/>
              </w:rPr>
              <w:t>2.5μg/L</w:t>
            </w:r>
          </w:p>
        </w:tc>
      </w:tr>
      <w:tr>
        <w:trPr>
          <w:trHeight w:val="272" w:hRule="atLeast"/>
        </w:trPr>
        <w:tc>
          <w:tcPr>
            <w:tcW w:w="1586" w:type="dxa"/>
            <w:tcBorders>
              <w:top w:val="single" w:sz="6" w:space="0" w:color="000000"/>
              <w:bottom w:val="single" w:sz="6" w:space="0" w:color="000000"/>
              <w:right w:val="single" w:sz="6" w:space="0" w:color="000000"/>
            </w:tcBorders>
          </w:tcPr>
          <w:p>
            <w:pPr>
              <w:pStyle w:val="TableParagraph"/>
              <w:spacing w:line="253" w:lineRule="exact"/>
              <w:ind w:left="19"/>
              <w:rPr>
                <w:sz w:val="21"/>
              </w:rPr>
            </w:pPr>
            <w:r>
              <w:rPr>
                <w:w w:val="100"/>
                <w:sz w:val="21"/>
              </w:rPr>
              <w:t>镉</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13" w:right="82"/>
              <w:rPr>
                <w:sz w:val="21"/>
              </w:rPr>
            </w:pPr>
            <w:r>
              <w:rPr>
                <w:sz w:val="21"/>
              </w:rPr>
              <w:t>无火焰原子分光光度法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0"/>
              <w:ind w:left="120" w:right="93"/>
              <w:rPr>
                <w:rFonts w:ascii="Times New Roman"/>
                <w:sz w:val="21"/>
              </w:rPr>
            </w:pPr>
            <w:r>
              <w:rPr>
                <w:rFonts w:ascii="Times New Roman"/>
                <w:sz w:val="21"/>
              </w:rPr>
              <w:t>GB/T 5750.6-2006</w:t>
            </w:r>
          </w:p>
        </w:tc>
        <w:tc>
          <w:tcPr>
            <w:tcW w:w="1745" w:type="dxa"/>
            <w:tcBorders>
              <w:top w:val="single" w:sz="6" w:space="0" w:color="000000"/>
              <w:left w:val="single" w:sz="6" w:space="0" w:color="000000"/>
              <w:bottom w:val="single" w:sz="6" w:space="0" w:color="000000"/>
            </w:tcBorders>
          </w:tcPr>
          <w:p>
            <w:pPr>
              <w:pStyle w:val="TableParagraph"/>
              <w:spacing w:before="10"/>
              <w:ind w:left="545"/>
              <w:jc w:val="left"/>
              <w:rPr>
                <w:rFonts w:ascii="Times New Roman" w:hAnsi="Times New Roman"/>
                <w:sz w:val="21"/>
              </w:rPr>
            </w:pPr>
            <w:r>
              <w:rPr>
                <w:rFonts w:ascii="Times New Roman" w:hAnsi="Times New Roman"/>
                <w:sz w:val="21"/>
              </w:rPr>
              <w:t>0.5μg/L</w:t>
            </w:r>
          </w:p>
        </w:tc>
      </w:tr>
      <w:tr>
        <w:trPr>
          <w:trHeight w:val="544" w:hRule="atLeast"/>
        </w:trPr>
        <w:tc>
          <w:tcPr>
            <w:tcW w:w="1586" w:type="dxa"/>
            <w:tcBorders>
              <w:top w:val="single" w:sz="6" w:space="0" w:color="000000"/>
              <w:bottom w:val="single" w:sz="6" w:space="0" w:color="000000"/>
              <w:right w:val="single" w:sz="6" w:space="0" w:color="000000"/>
            </w:tcBorders>
          </w:tcPr>
          <w:p>
            <w:pPr>
              <w:pStyle w:val="TableParagraph"/>
              <w:spacing w:before="37"/>
              <w:ind w:left="19"/>
              <w:rPr>
                <w:sz w:val="21"/>
              </w:rPr>
            </w:pPr>
            <w:r>
              <w:rPr>
                <w:w w:val="100"/>
                <w:sz w:val="21"/>
              </w:rPr>
              <w:t>铁</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13" w:right="82"/>
              <w:rPr>
                <w:sz w:val="21"/>
              </w:rPr>
            </w:pPr>
            <w:r>
              <w:rPr>
                <w:sz w:val="21"/>
              </w:rPr>
              <w:t>电感耦合等离子体发射光</w:t>
            </w:r>
          </w:p>
          <w:p>
            <w:pPr>
              <w:pStyle w:val="TableParagraph"/>
              <w:spacing w:line="266"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45"/>
              <w:ind w:left="120" w:right="90"/>
              <w:rPr>
                <w:rFonts w:ascii="Times New Roman"/>
                <w:sz w:val="21"/>
              </w:rPr>
            </w:pPr>
            <w:r>
              <w:rPr>
                <w:rFonts w:ascii="Times New Roman"/>
                <w:sz w:val="21"/>
              </w:rPr>
              <w:t>HJ776-2015</w:t>
            </w:r>
          </w:p>
        </w:tc>
        <w:tc>
          <w:tcPr>
            <w:tcW w:w="1745" w:type="dxa"/>
            <w:tcBorders>
              <w:top w:val="single" w:sz="6" w:space="0" w:color="000000"/>
              <w:left w:val="single" w:sz="6" w:space="0" w:color="000000"/>
              <w:bottom w:val="single" w:sz="6" w:space="0" w:color="000000"/>
            </w:tcBorders>
          </w:tcPr>
          <w:p>
            <w:pPr>
              <w:pStyle w:val="TableParagraph"/>
              <w:spacing w:before="145"/>
              <w:ind w:left="468"/>
              <w:jc w:val="left"/>
              <w:rPr>
                <w:rFonts w:ascii="Times New Roman"/>
                <w:sz w:val="21"/>
              </w:rPr>
            </w:pPr>
            <w:r>
              <w:rPr>
                <w:rFonts w:ascii="Times New Roman"/>
                <w:sz w:val="21"/>
              </w:rPr>
              <w:t>0.01mg/L</w:t>
            </w:r>
          </w:p>
        </w:tc>
      </w:tr>
      <w:tr>
        <w:trPr>
          <w:trHeight w:val="544" w:hRule="atLeast"/>
        </w:trPr>
        <w:tc>
          <w:tcPr>
            <w:tcW w:w="1586" w:type="dxa"/>
            <w:tcBorders>
              <w:top w:val="single" w:sz="6" w:space="0" w:color="000000"/>
              <w:bottom w:val="single" w:sz="6" w:space="0" w:color="000000"/>
              <w:right w:val="single" w:sz="6" w:space="0" w:color="000000"/>
            </w:tcBorders>
          </w:tcPr>
          <w:p>
            <w:pPr>
              <w:pStyle w:val="TableParagraph"/>
              <w:spacing w:before="37"/>
              <w:ind w:left="19"/>
              <w:rPr>
                <w:sz w:val="21"/>
              </w:rPr>
            </w:pPr>
            <w:r>
              <w:rPr>
                <w:w w:val="100"/>
                <w:sz w:val="21"/>
              </w:rPr>
              <w:t>锰</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3" w:right="82"/>
              <w:rPr>
                <w:sz w:val="21"/>
              </w:rPr>
            </w:pPr>
            <w:r>
              <w:rPr>
                <w:sz w:val="21"/>
              </w:rPr>
              <w:t>电感耦合等离子体发射光</w:t>
            </w:r>
          </w:p>
          <w:p>
            <w:pPr>
              <w:pStyle w:val="TableParagraph"/>
              <w:spacing w:line="265"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44"/>
              <w:ind w:left="120" w:right="90"/>
              <w:rPr>
                <w:rFonts w:ascii="Times New Roman"/>
                <w:sz w:val="21"/>
              </w:rPr>
            </w:pPr>
            <w:r>
              <w:rPr>
                <w:rFonts w:ascii="Times New Roman"/>
                <w:sz w:val="21"/>
              </w:rPr>
              <w:t>HJ776-2015</w:t>
            </w:r>
          </w:p>
        </w:tc>
        <w:tc>
          <w:tcPr>
            <w:tcW w:w="1745" w:type="dxa"/>
            <w:tcBorders>
              <w:top w:val="single" w:sz="6" w:space="0" w:color="000000"/>
              <w:left w:val="single" w:sz="6" w:space="0" w:color="000000"/>
              <w:bottom w:val="single" w:sz="6" w:space="0" w:color="000000"/>
            </w:tcBorders>
          </w:tcPr>
          <w:p>
            <w:pPr>
              <w:pStyle w:val="TableParagraph"/>
              <w:spacing w:before="144"/>
              <w:ind w:left="468"/>
              <w:jc w:val="left"/>
              <w:rPr>
                <w:rFonts w:ascii="Times New Roman"/>
                <w:sz w:val="21"/>
              </w:rPr>
            </w:pPr>
            <w:r>
              <w:rPr>
                <w:rFonts w:ascii="Times New Roman"/>
                <w:sz w:val="21"/>
              </w:rPr>
              <w:t>0.01mg/L</w:t>
            </w:r>
          </w:p>
        </w:tc>
      </w:tr>
      <w:tr>
        <w:trPr>
          <w:trHeight w:val="544" w:hRule="atLeast"/>
        </w:trPr>
        <w:tc>
          <w:tcPr>
            <w:tcW w:w="1586" w:type="dxa"/>
            <w:tcBorders>
              <w:top w:val="single" w:sz="6" w:space="0" w:color="000000"/>
              <w:bottom w:val="single" w:sz="6" w:space="0" w:color="000000"/>
              <w:right w:val="single" w:sz="6" w:space="0" w:color="000000"/>
            </w:tcBorders>
          </w:tcPr>
          <w:p>
            <w:pPr>
              <w:pStyle w:val="TableParagraph"/>
              <w:spacing w:before="37"/>
              <w:ind w:left="19"/>
              <w:rPr>
                <w:sz w:val="21"/>
              </w:rPr>
            </w:pPr>
            <w:r>
              <w:rPr>
                <w:w w:val="100"/>
                <w:sz w:val="21"/>
              </w:rPr>
              <w:t>铜</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13" w:right="82"/>
              <w:rPr>
                <w:sz w:val="21"/>
              </w:rPr>
            </w:pPr>
            <w:r>
              <w:rPr>
                <w:sz w:val="21"/>
              </w:rPr>
              <w:t>电感耦合等离子体发射光</w:t>
            </w:r>
          </w:p>
          <w:p>
            <w:pPr>
              <w:pStyle w:val="TableParagraph"/>
              <w:spacing w:line="265"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47"/>
              <w:ind w:left="120" w:right="90"/>
              <w:rPr>
                <w:rFonts w:ascii="Times New Roman"/>
                <w:sz w:val="21"/>
              </w:rPr>
            </w:pPr>
            <w:r>
              <w:rPr>
                <w:rFonts w:ascii="Times New Roman"/>
                <w:sz w:val="21"/>
              </w:rPr>
              <w:t>HJ776-2015</w:t>
            </w:r>
          </w:p>
        </w:tc>
        <w:tc>
          <w:tcPr>
            <w:tcW w:w="1745" w:type="dxa"/>
            <w:tcBorders>
              <w:top w:val="single" w:sz="6" w:space="0" w:color="000000"/>
              <w:left w:val="single" w:sz="6" w:space="0" w:color="000000"/>
              <w:bottom w:val="single" w:sz="6" w:space="0" w:color="000000"/>
            </w:tcBorders>
          </w:tcPr>
          <w:p>
            <w:pPr>
              <w:pStyle w:val="TableParagraph"/>
              <w:spacing w:before="147"/>
              <w:ind w:left="468"/>
              <w:jc w:val="left"/>
              <w:rPr>
                <w:rFonts w:ascii="Times New Roman"/>
                <w:sz w:val="21"/>
              </w:rPr>
            </w:pPr>
            <w:r>
              <w:rPr>
                <w:rFonts w:ascii="Times New Roman"/>
                <w:sz w:val="21"/>
              </w:rPr>
              <w:t>0.04mg/L</w:t>
            </w:r>
          </w:p>
        </w:tc>
      </w:tr>
      <w:tr>
        <w:trPr>
          <w:trHeight w:val="546" w:hRule="atLeast"/>
        </w:trPr>
        <w:tc>
          <w:tcPr>
            <w:tcW w:w="1586" w:type="dxa"/>
            <w:tcBorders>
              <w:top w:val="single" w:sz="6" w:space="0" w:color="000000"/>
              <w:bottom w:val="single" w:sz="6" w:space="0" w:color="000000"/>
              <w:right w:val="single" w:sz="6" w:space="0" w:color="000000"/>
            </w:tcBorders>
          </w:tcPr>
          <w:p>
            <w:pPr>
              <w:pStyle w:val="TableParagraph"/>
              <w:spacing w:before="37"/>
              <w:ind w:left="19"/>
              <w:rPr>
                <w:sz w:val="21"/>
              </w:rPr>
            </w:pPr>
            <w:r>
              <w:rPr>
                <w:w w:val="100"/>
                <w:sz w:val="21"/>
              </w:rPr>
              <w:t>锌</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13" w:right="82"/>
              <w:rPr>
                <w:sz w:val="21"/>
              </w:rPr>
            </w:pPr>
            <w:r>
              <w:rPr>
                <w:sz w:val="21"/>
              </w:rPr>
              <w:t>电感耦合等离子体发射光</w:t>
            </w:r>
          </w:p>
          <w:p>
            <w:pPr>
              <w:pStyle w:val="TableParagraph"/>
              <w:spacing w:line="266"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47"/>
              <w:ind w:left="120" w:right="90"/>
              <w:rPr>
                <w:rFonts w:ascii="Times New Roman"/>
                <w:sz w:val="21"/>
              </w:rPr>
            </w:pPr>
            <w:r>
              <w:rPr>
                <w:rFonts w:ascii="Times New Roman"/>
                <w:sz w:val="21"/>
              </w:rPr>
              <w:t>HJ776-2015</w:t>
            </w:r>
          </w:p>
        </w:tc>
        <w:tc>
          <w:tcPr>
            <w:tcW w:w="1745" w:type="dxa"/>
            <w:tcBorders>
              <w:top w:val="single" w:sz="6" w:space="0" w:color="000000"/>
              <w:left w:val="single" w:sz="6" w:space="0" w:color="000000"/>
              <w:bottom w:val="single" w:sz="6" w:space="0" w:color="000000"/>
            </w:tcBorders>
          </w:tcPr>
          <w:p>
            <w:pPr>
              <w:pStyle w:val="TableParagraph"/>
              <w:spacing w:before="147"/>
              <w:ind w:left="415"/>
              <w:jc w:val="left"/>
              <w:rPr>
                <w:rFonts w:ascii="Times New Roman"/>
                <w:sz w:val="21"/>
              </w:rPr>
            </w:pPr>
            <w:r>
              <w:rPr>
                <w:rFonts w:ascii="Times New Roman"/>
                <w:sz w:val="21"/>
              </w:rPr>
              <w:t>0.009mg/L</w:t>
            </w:r>
          </w:p>
        </w:tc>
      </w:tr>
      <w:tr>
        <w:trPr>
          <w:trHeight w:val="815" w:hRule="atLeast"/>
        </w:trPr>
        <w:tc>
          <w:tcPr>
            <w:tcW w:w="1586" w:type="dxa"/>
            <w:tcBorders>
              <w:top w:val="single" w:sz="6" w:space="0" w:color="000000"/>
              <w:bottom w:val="single" w:sz="6" w:space="0" w:color="000000"/>
              <w:right w:val="single" w:sz="6" w:space="0" w:color="000000"/>
            </w:tcBorders>
          </w:tcPr>
          <w:p>
            <w:pPr>
              <w:pStyle w:val="TableParagraph"/>
              <w:spacing w:before="171"/>
              <w:ind w:left="140" w:right="117"/>
              <w:rPr>
                <w:sz w:val="21"/>
              </w:rPr>
            </w:pPr>
            <w:r>
              <w:rPr>
                <w:sz w:val="21"/>
              </w:rPr>
              <w:t>甲苯</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32" w:right="98"/>
              <w:rPr>
                <w:sz w:val="21"/>
              </w:rPr>
            </w:pPr>
            <w:r>
              <w:rPr>
                <w:sz w:val="21"/>
              </w:rPr>
              <w:t>生活饮用水标准检验方法有机物指标 顶空</w:t>
            </w:r>
            <w:r>
              <w:rPr>
                <w:rFonts w:ascii="Times New Roman" w:eastAsia="Times New Roman"/>
                <w:sz w:val="21"/>
              </w:rPr>
              <w:t>-</w:t>
            </w:r>
            <w:r>
              <w:rPr>
                <w:sz w:val="21"/>
              </w:rPr>
              <w:t>毛细管</w:t>
            </w:r>
          </w:p>
          <w:p>
            <w:pPr>
              <w:pStyle w:val="TableParagraph"/>
              <w:spacing w:line="231" w:lineRule="exact"/>
              <w:ind w:left="113" w:right="81"/>
              <w:rPr>
                <w:sz w:val="21"/>
              </w:rPr>
            </w:pPr>
            <w:r>
              <w:rPr>
                <w:sz w:val="21"/>
              </w:rPr>
              <w:t>柱气相色谱法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4"/>
              </w:rPr>
            </w:pPr>
          </w:p>
          <w:p>
            <w:pPr>
              <w:pStyle w:val="TableParagraph"/>
              <w:ind w:left="120" w:right="93"/>
              <w:rPr>
                <w:rFonts w:ascii="Times New Roman"/>
                <w:sz w:val="21"/>
              </w:rPr>
            </w:pPr>
            <w:r>
              <w:rPr>
                <w:rFonts w:ascii="Times New Roman"/>
                <w:sz w:val="21"/>
              </w:rPr>
              <w:t>GB/T5750.8-2006</w:t>
            </w:r>
          </w:p>
        </w:tc>
        <w:tc>
          <w:tcPr>
            <w:tcW w:w="1745" w:type="dxa"/>
            <w:tcBorders>
              <w:top w:val="single" w:sz="6" w:space="0" w:color="000000"/>
              <w:left w:val="single" w:sz="6" w:space="0" w:color="000000"/>
              <w:bottom w:val="single" w:sz="6" w:space="0" w:color="000000"/>
            </w:tcBorders>
          </w:tcPr>
          <w:p>
            <w:pPr>
              <w:pStyle w:val="TableParagraph"/>
              <w:spacing w:before="5"/>
              <w:jc w:val="left"/>
              <w:rPr>
                <w:rFonts w:ascii="Times New Roman"/>
                <w:sz w:val="24"/>
              </w:rPr>
            </w:pPr>
          </w:p>
          <w:p>
            <w:pPr>
              <w:pStyle w:val="TableParagraph"/>
              <w:ind w:left="396" w:right="359"/>
              <w:rPr>
                <w:rFonts w:ascii="Times New Roman" w:hAnsi="Times New Roman"/>
                <w:sz w:val="21"/>
              </w:rPr>
            </w:pPr>
            <w:r>
              <w:rPr>
                <w:rFonts w:ascii="Times New Roman" w:hAnsi="Times New Roman"/>
                <w:sz w:val="21"/>
              </w:rPr>
              <w:t>1μg/L</w:t>
            </w:r>
          </w:p>
        </w:tc>
      </w:tr>
      <w:tr>
        <w:trPr>
          <w:trHeight w:val="623" w:hRule="atLeast"/>
        </w:trPr>
        <w:tc>
          <w:tcPr>
            <w:tcW w:w="1586" w:type="dxa"/>
            <w:tcBorders>
              <w:top w:val="single" w:sz="6" w:space="0" w:color="000000"/>
              <w:bottom w:val="single" w:sz="6" w:space="0" w:color="000000"/>
              <w:right w:val="single" w:sz="6" w:space="0" w:color="000000"/>
            </w:tcBorders>
          </w:tcPr>
          <w:p>
            <w:pPr>
              <w:pStyle w:val="TableParagraph"/>
              <w:spacing w:before="77"/>
              <w:ind w:left="140" w:right="117"/>
              <w:rPr>
                <w:sz w:val="21"/>
              </w:rPr>
            </w:pPr>
            <w:r>
              <w:rPr>
                <w:sz w:val="21"/>
              </w:rPr>
              <w:t>吡啶</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13" w:right="81"/>
              <w:rPr>
                <w:sz w:val="21"/>
              </w:rPr>
            </w:pPr>
            <w:r>
              <w:rPr>
                <w:sz w:val="21"/>
              </w:rPr>
              <w:t>水质 吡啶的测定 气相色</w:t>
            </w:r>
          </w:p>
          <w:p>
            <w:pPr>
              <w:pStyle w:val="TableParagraph"/>
              <w:spacing w:line="304" w:lineRule="exact"/>
              <w:ind w:left="113" w:right="81"/>
              <w:rPr>
                <w:sz w:val="21"/>
              </w:rPr>
            </w:pPr>
            <w:r>
              <w:rPr>
                <w:sz w:val="21"/>
              </w:rPr>
              <w:t>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90"/>
              <w:ind w:left="120" w:right="93"/>
              <w:rPr>
                <w:rFonts w:ascii="Times New Roman"/>
                <w:sz w:val="21"/>
              </w:rPr>
            </w:pPr>
            <w:r>
              <w:rPr>
                <w:rFonts w:ascii="Times New Roman"/>
                <w:sz w:val="21"/>
              </w:rPr>
              <w:t>GB/T 14672-1993</w:t>
            </w:r>
          </w:p>
        </w:tc>
        <w:tc>
          <w:tcPr>
            <w:tcW w:w="1745" w:type="dxa"/>
            <w:tcBorders>
              <w:top w:val="single" w:sz="6" w:space="0" w:color="000000"/>
              <w:left w:val="single" w:sz="6" w:space="0" w:color="000000"/>
              <w:bottom w:val="single" w:sz="6" w:space="0" w:color="000000"/>
            </w:tcBorders>
          </w:tcPr>
          <w:p>
            <w:pPr>
              <w:pStyle w:val="TableParagraph"/>
              <w:spacing w:before="190"/>
              <w:ind w:left="415"/>
              <w:jc w:val="left"/>
              <w:rPr>
                <w:rFonts w:ascii="Times New Roman"/>
                <w:sz w:val="21"/>
              </w:rPr>
            </w:pPr>
            <w:r>
              <w:rPr>
                <w:rFonts w:ascii="Times New Roman"/>
                <w:sz w:val="21"/>
              </w:rPr>
              <w:t>0.031mg/L</w:t>
            </w:r>
          </w:p>
        </w:tc>
      </w:tr>
      <w:tr>
        <w:trPr>
          <w:trHeight w:val="625" w:hRule="atLeast"/>
        </w:trPr>
        <w:tc>
          <w:tcPr>
            <w:tcW w:w="1586" w:type="dxa"/>
            <w:tcBorders>
              <w:top w:val="single" w:sz="6" w:space="0" w:color="000000"/>
              <w:bottom w:val="single" w:sz="6" w:space="0" w:color="000000"/>
              <w:right w:val="single" w:sz="6" w:space="0" w:color="000000"/>
            </w:tcBorders>
          </w:tcPr>
          <w:p>
            <w:pPr>
              <w:pStyle w:val="TableParagraph"/>
              <w:spacing w:before="80"/>
              <w:ind w:left="140" w:right="117"/>
              <w:rPr>
                <w:sz w:val="21"/>
              </w:rPr>
            </w:pPr>
            <w:r>
              <w:rPr>
                <w:sz w:val="21"/>
              </w:rPr>
              <w:t>甲醛</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13" w:right="81"/>
              <w:rPr>
                <w:sz w:val="21"/>
              </w:rPr>
            </w:pPr>
            <w:r>
              <w:rPr>
                <w:sz w:val="21"/>
              </w:rPr>
              <w:t>水质 甲醛的测定 乙酰丙</w:t>
            </w:r>
          </w:p>
          <w:p>
            <w:pPr>
              <w:pStyle w:val="TableParagraph"/>
              <w:spacing w:line="303" w:lineRule="exact"/>
              <w:ind w:left="113" w:right="81"/>
              <w:rPr>
                <w:sz w:val="21"/>
              </w:rPr>
            </w:pPr>
            <w:r>
              <w:rPr>
                <w:sz w:val="21"/>
              </w:rPr>
              <w:t>酮分光光度法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85"/>
              <w:ind w:left="120" w:right="90"/>
              <w:rPr>
                <w:rFonts w:ascii="Times New Roman"/>
                <w:sz w:val="21"/>
              </w:rPr>
            </w:pPr>
            <w:r>
              <w:rPr>
                <w:rFonts w:ascii="Times New Roman"/>
                <w:sz w:val="21"/>
              </w:rPr>
              <w:t>HJ 601-2011</w:t>
            </w:r>
          </w:p>
        </w:tc>
        <w:tc>
          <w:tcPr>
            <w:tcW w:w="1745" w:type="dxa"/>
            <w:tcBorders>
              <w:top w:val="single" w:sz="6" w:space="0" w:color="000000"/>
              <w:left w:val="single" w:sz="6" w:space="0" w:color="000000"/>
              <w:bottom w:val="single" w:sz="6" w:space="0" w:color="000000"/>
            </w:tcBorders>
          </w:tcPr>
          <w:p>
            <w:pPr>
              <w:pStyle w:val="TableParagraph"/>
              <w:spacing w:before="185"/>
              <w:ind w:left="468"/>
              <w:jc w:val="left"/>
              <w:rPr>
                <w:rFonts w:ascii="Times New Roman"/>
                <w:sz w:val="21"/>
              </w:rPr>
            </w:pPr>
            <w:r>
              <w:rPr>
                <w:rFonts w:ascii="Times New Roman"/>
                <w:sz w:val="21"/>
              </w:rPr>
              <w:t>0.05mg/L</w:t>
            </w:r>
          </w:p>
        </w:tc>
      </w:tr>
      <w:tr>
        <w:trPr>
          <w:trHeight w:val="623" w:hRule="atLeast"/>
        </w:trPr>
        <w:tc>
          <w:tcPr>
            <w:tcW w:w="1586" w:type="dxa"/>
            <w:tcBorders>
              <w:top w:val="single" w:sz="6" w:space="0" w:color="000000"/>
              <w:bottom w:val="single" w:sz="6" w:space="0" w:color="000000"/>
              <w:right w:val="single" w:sz="6" w:space="0" w:color="000000"/>
            </w:tcBorders>
          </w:tcPr>
          <w:p>
            <w:pPr>
              <w:pStyle w:val="TableParagraph"/>
              <w:spacing w:before="77"/>
              <w:ind w:left="140" w:right="117"/>
              <w:rPr>
                <w:sz w:val="21"/>
              </w:rPr>
            </w:pPr>
            <w:r>
              <w:rPr>
                <w:sz w:val="21"/>
              </w:rPr>
              <w:t>氯苯</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13" w:right="81"/>
              <w:rPr>
                <w:sz w:val="21"/>
              </w:rPr>
            </w:pPr>
            <w:r>
              <w:rPr>
                <w:sz w:val="21"/>
              </w:rPr>
              <w:t>水质 氯苯类化合物的测</w:t>
            </w:r>
          </w:p>
          <w:p>
            <w:pPr>
              <w:pStyle w:val="TableParagraph"/>
              <w:spacing w:line="303" w:lineRule="exact"/>
              <w:ind w:left="113" w:right="81"/>
              <w:rPr>
                <w:sz w:val="21"/>
              </w:rPr>
            </w:pPr>
            <w:r>
              <w:rPr>
                <w:sz w:val="21"/>
              </w:rPr>
              <w:t>定 气相色谱法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90"/>
              <w:ind w:left="120" w:right="90"/>
              <w:rPr>
                <w:rFonts w:ascii="Times New Roman"/>
                <w:sz w:val="21"/>
              </w:rPr>
            </w:pPr>
            <w:r>
              <w:rPr>
                <w:rFonts w:ascii="Times New Roman"/>
                <w:sz w:val="21"/>
              </w:rPr>
              <w:t>HJ 621-2011</w:t>
            </w:r>
          </w:p>
        </w:tc>
        <w:tc>
          <w:tcPr>
            <w:tcW w:w="1745" w:type="dxa"/>
            <w:tcBorders>
              <w:top w:val="single" w:sz="6" w:space="0" w:color="000000"/>
              <w:left w:val="single" w:sz="6" w:space="0" w:color="000000"/>
              <w:bottom w:val="single" w:sz="6" w:space="0" w:color="000000"/>
            </w:tcBorders>
          </w:tcPr>
          <w:p>
            <w:pPr>
              <w:pStyle w:val="TableParagraph"/>
              <w:spacing w:before="190"/>
              <w:ind w:left="571"/>
              <w:jc w:val="left"/>
              <w:rPr>
                <w:rFonts w:ascii="Times New Roman" w:hAnsi="Times New Roman"/>
                <w:sz w:val="21"/>
              </w:rPr>
            </w:pPr>
            <w:r>
              <w:rPr>
                <w:rFonts w:ascii="Times New Roman" w:hAnsi="Times New Roman"/>
                <w:sz w:val="21"/>
              </w:rPr>
              <w:t>12μg/L</w:t>
            </w:r>
          </w:p>
        </w:tc>
      </w:tr>
      <w:tr>
        <w:trPr>
          <w:trHeight w:val="623" w:hRule="atLeast"/>
        </w:trPr>
        <w:tc>
          <w:tcPr>
            <w:tcW w:w="1586" w:type="dxa"/>
            <w:tcBorders>
              <w:top w:val="single" w:sz="6" w:space="0" w:color="000000"/>
              <w:bottom w:val="single" w:sz="6" w:space="0" w:color="000000"/>
              <w:right w:val="single" w:sz="6" w:space="0" w:color="000000"/>
            </w:tcBorders>
          </w:tcPr>
          <w:p>
            <w:pPr>
              <w:pStyle w:val="TableParagraph"/>
              <w:spacing w:before="77"/>
              <w:ind w:left="138" w:right="117"/>
              <w:rPr>
                <w:sz w:val="21"/>
              </w:rPr>
            </w:pPr>
            <w:r>
              <w:rPr>
                <w:sz w:val="21"/>
              </w:rPr>
              <w:t>环氧氯丙烷</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32"/>
              <w:jc w:val="left"/>
              <w:rPr>
                <w:sz w:val="21"/>
              </w:rPr>
            </w:pPr>
            <w:r>
              <w:rPr>
                <w:sz w:val="21"/>
              </w:rPr>
              <w:t>生活饮用水标准检验方法</w:t>
            </w:r>
          </w:p>
          <w:p>
            <w:pPr>
              <w:pStyle w:val="TableParagraph"/>
              <w:spacing w:line="303" w:lineRule="exact"/>
              <w:ind w:left="184"/>
              <w:jc w:val="left"/>
              <w:rPr>
                <w:sz w:val="21"/>
              </w:rPr>
            </w:pPr>
            <w:r>
              <w:rPr>
                <w:sz w:val="21"/>
              </w:rPr>
              <w:t>有机物指标 气相色谱法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183"/>
              <w:ind w:left="120" w:right="93"/>
              <w:rPr>
                <w:rFonts w:ascii="Times New Roman"/>
                <w:sz w:val="21"/>
              </w:rPr>
            </w:pPr>
            <w:r>
              <w:rPr>
                <w:rFonts w:ascii="Times New Roman"/>
                <w:sz w:val="21"/>
              </w:rPr>
              <w:t>GB/T 5750.8-2006/17.1</w:t>
            </w:r>
          </w:p>
        </w:tc>
        <w:tc>
          <w:tcPr>
            <w:tcW w:w="1745" w:type="dxa"/>
            <w:tcBorders>
              <w:top w:val="single" w:sz="6" w:space="0" w:color="000000"/>
              <w:left w:val="single" w:sz="6" w:space="0" w:color="000000"/>
              <w:bottom w:val="single" w:sz="6" w:space="0" w:color="000000"/>
            </w:tcBorders>
          </w:tcPr>
          <w:p>
            <w:pPr>
              <w:pStyle w:val="TableParagraph"/>
              <w:spacing w:before="183"/>
              <w:ind w:left="468"/>
              <w:jc w:val="left"/>
              <w:rPr>
                <w:rFonts w:ascii="Times New Roman"/>
                <w:sz w:val="21"/>
              </w:rPr>
            </w:pPr>
            <w:r>
              <w:rPr>
                <w:rFonts w:ascii="Times New Roman"/>
                <w:sz w:val="21"/>
              </w:rPr>
              <w:t>0.05mg/L</w:t>
            </w:r>
          </w:p>
        </w:tc>
      </w:tr>
      <w:tr>
        <w:trPr>
          <w:trHeight w:val="935" w:hRule="atLeast"/>
        </w:trPr>
        <w:tc>
          <w:tcPr>
            <w:tcW w:w="1586" w:type="dxa"/>
            <w:tcBorders>
              <w:top w:val="single" w:sz="6" w:space="0" w:color="000000"/>
              <w:bottom w:val="single" w:sz="6" w:space="0" w:color="000000"/>
              <w:right w:val="single" w:sz="6" w:space="0" w:color="000000"/>
            </w:tcBorders>
          </w:tcPr>
          <w:p>
            <w:pPr>
              <w:pStyle w:val="TableParagraph"/>
              <w:spacing w:before="3"/>
              <w:jc w:val="left"/>
              <w:rPr>
                <w:rFonts w:ascii="Times New Roman"/>
                <w:sz w:val="20"/>
              </w:rPr>
            </w:pPr>
          </w:p>
          <w:p>
            <w:pPr>
              <w:pStyle w:val="TableParagraph"/>
              <w:ind w:left="140" w:right="117"/>
              <w:rPr>
                <w:sz w:val="21"/>
              </w:rPr>
            </w:pPr>
            <w:r>
              <w:rPr>
                <w:sz w:val="21"/>
              </w:rPr>
              <w:t>硝基苯</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5"/>
              <w:ind w:left="120" w:right="87" w:firstLine="1"/>
              <w:rPr>
                <w:rFonts w:ascii="Times New Roman" w:eastAsia="Times New Roman"/>
                <w:sz w:val="21"/>
              </w:rPr>
            </w:pPr>
            <w:r>
              <w:rPr>
                <w:spacing w:val="-2"/>
                <w:sz w:val="21"/>
              </w:rPr>
              <w:t>水质 硝基苯类化合物的</w:t>
            </w:r>
            <w:r>
              <w:rPr>
                <w:sz w:val="21"/>
              </w:rPr>
              <w:t>测定 液液萃取</w:t>
            </w:r>
            <w:r>
              <w:rPr>
                <w:rFonts w:ascii="Times New Roman" w:eastAsia="Times New Roman"/>
                <w:position w:val="1"/>
                <w:sz w:val="21"/>
              </w:rPr>
              <w:t>/</w:t>
            </w:r>
            <w:r>
              <w:rPr>
                <w:spacing w:val="-3"/>
                <w:sz w:val="21"/>
              </w:rPr>
              <w:t>固相萃取</w:t>
            </w:r>
            <w:r>
              <w:rPr>
                <w:rFonts w:ascii="Times New Roman" w:eastAsia="Times New Roman"/>
                <w:position w:val="1"/>
                <w:sz w:val="21"/>
              </w:rPr>
              <w:t>-</w:t>
            </w:r>
          </w:p>
          <w:p>
            <w:pPr>
              <w:pStyle w:val="TableParagraph"/>
              <w:spacing w:line="277" w:lineRule="exact"/>
              <w:ind w:left="112" w:right="82"/>
              <w:rPr>
                <w:sz w:val="21"/>
              </w:rPr>
            </w:pPr>
            <w:r>
              <w:rPr>
                <w:sz w:val="21"/>
              </w:rPr>
              <w:t>气相色谱法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9"/>
              </w:rPr>
            </w:pPr>
          </w:p>
          <w:p>
            <w:pPr>
              <w:pStyle w:val="TableParagraph"/>
              <w:ind w:left="120" w:right="93"/>
              <w:rPr>
                <w:rFonts w:ascii="Times New Roman"/>
                <w:sz w:val="21"/>
              </w:rPr>
            </w:pPr>
            <w:r>
              <w:rPr>
                <w:rFonts w:ascii="Times New Roman"/>
                <w:sz w:val="21"/>
              </w:rPr>
              <w:t>HJ 648-2013</w:t>
            </w:r>
          </w:p>
        </w:tc>
        <w:tc>
          <w:tcPr>
            <w:tcW w:w="1745" w:type="dxa"/>
            <w:tcBorders>
              <w:top w:val="single" w:sz="6" w:space="0" w:color="000000"/>
              <w:left w:val="single" w:sz="6" w:space="0" w:color="000000"/>
              <w:bottom w:val="single" w:sz="6" w:space="0" w:color="000000"/>
            </w:tcBorders>
          </w:tcPr>
          <w:p>
            <w:pPr>
              <w:pStyle w:val="TableParagraph"/>
              <w:spacing w:before="5"/>
              <w:jc w:val="left"/>
              <w:rPr>
                <w:rFonts w:ascii="Times New Roman"/>
                <w:sz w:val="29"/>
              </w:rPr>
            </w:pPr>
          </w:p>
          <w:p>
            <w:pPr>
              <w:pStyle w:val="TableParagraph"/>
              <w:ind w:left="492"/>
              <w:jc w:val="left"/>
              <w:rPr>
                <w:rFonts w:ascii="Times New Roman" w:hAnsi="Times New Roman"/>
                <w:sz w:val="21"/>
              </w:rPr>
            </w:pPr>
            <w:r>
              <w:rPr>
                <w:rFonts w:ascii="Times New Roman" w:hAnsi="Times New Roman"/>
                <w:sz w:val="21"/>
              </w:rPr>
              <w:t>0.17μg/L</w:t>
            </w:r>
          </w:p>
        </w:tc>
      </w:tr>
      <w:tr>
        <w:trPr>
          <w:trHeight w:val="623" w:hRule="atLeast"/>
        </w:trPr>
        <w:tc>
          <w:tcPr>
            <w:tcW w:w="1586" w:type="dxa"/>
            <w:tcBorders>
              <w:top w:val="single" w:sz="6" w:space="0" w:color="000000"/>
              <w:right w:val="single" w:sz="6" w:space="0" w:color="000000"/>
            </w:tcBorders>
          </w:tcPr>
          <w:p>
            <w:pPr>
              <w:pStyle w:val="TableParagraph"/>
              <w:spacing w:before="80"/>
              <w:ind w:left="138" w:right="117"/>
              <w:rPr>
                <w:sz w:val="21"/>
              </w:rPr>
            </w:pPr>
            <w:r>
              <w:rPr>
                <w:sz w:val="21"/>
              </w:rPr>
              <w:t>二硝基甲苯</w:t>
            </w:r>
          </w:p>
        </w:tc>
        <w:tc>
          <w:tcPr>
            <w:tcW w:w="2561" w:type="dxa"/>
            <w:tcBorders>
              <w:top w:val="single" w:sz="6" w:space="0" w:color="000000"/>
              <w:left w:val="single" w:sz="6" w:space="0" w:color="000000"/>
              <w:right w:val="single" w:sz="6" w:space="0" w:color="000000"/>
            </w:tcBorders>
          </w:tcPr>
          <w:p>
            <w:pPr>
              <w:pStyle w:val="TableParagraph"/>
              <w:spacing w:line="303" w:lineRule="exact"/>
              <w:ind w:left="184"/>
              <w:jc w:val="left"/>
              <w:rPr>
                <w:sz w:val="21"/>
              </w:rPr>
            </w:pPr>
            <w:r>
              <w:rPr>
                <w:sz w:val="21"/>
              </w:rPr>
              <w:t>水质 硝基苯类化合物的</w:t>
            </w:r>
          </w:p>
          <w:p>
            <w:pPr>
              <w:pStyle w:val="TableParagraph"/>
              <w:spacing w:line="301" w:lineRule="exact"/>
              <w:ind w:left="120"/>
              <w:jc w:val="left"/>
              <w:rPr>
                <w:rFonts w:ascii="Times New Roman" w:eastAsia="Times New Roman"/>
                <w:sz w:val="21"/>
              </w:rPr>
            </w:pPr>
            <w:r>
              <w:rPr>
                <w:sz w:val="21"/>
              </w:rPr>
              <w:t>测定 液液萃取</w:t>
            </w:r>
            <w:r>
              <w:rPr>
                <w:rFonts w:ascii="Times New Roman" w:eastAsia="Times New Roman"/>
                <w:position w:val="1"/>
                <w:sz w:val="21"/>
              </w:rPr>
              <w:t>/</w:t>
            </w:r>
            <w:r>
              <w:rPr>
                <w:sz w:val="21"/>
              </w:rPr>
              <w:t>固相萃取</w:t>
            </w:r>
            <w:r>
              <w:rPr>
                <w:rFonts w:ascii="Times New Roman" w:eastAsia="Times New Roman"/>
                <w:position w:val="1"/>
                <w:sz w:val="21"/>
              </w:rPr>
              <w:t>-</w:t>
            </w:r>
          </w:p>
        </w:tc>
        <w:tc>
          <w:tcPr>
            <w:tcW w:w="2636" w:type="dxa"/>
            <w:tcBorders>
              <w:top w:val="single" w:sz="6" w:space="0" w:color="000000"/>
              <w:left w:val="single" w:sz="6" w:space="0" w:color="000000"/>
              <w:right w:val="single" w:sz="6" w:space="0" w:color="000000"/>
            </w:tcBorders>
          </w:tcPr>
          <w:p>
            <w:pPr>
              <w:pStyle w:val="TableParagraph"/>
              <w:spacing w:before="185"/>
              <w:ind w:left="120" w:right="93"/>
              <w:rPr>
                <w:rFonts w:ascii="Times New Roman"/>
                <w:sz w:val="21"/>
              </w:rPr>
            </w:pPr>
            <w:r>
              <w:rPr>
                <w:rFonts w:ascii="Times New Roman"/>
                <w:sz w:val="21"/>
              </w:rPr>
              <w:t>HJ 648-2013</w:t>
            </w:r>
          </w:p>
        </w:tc>
        <w:tc>
          <w:tcPr>
            <w:tcW w:w="1745" w:type="dxa"/>
            <w:tcBorders>
              <w:top w:val="single" w:sz="6" w:space="0" w:color="000000"/>
              <w:left w:val="single" w:sz="6" w:space="0" w:color="000000"/>
            </w:tcBorders>
          </w:tcPr>
          <w:p>
            <w:pPr>
              <w:pStyle w:val="TableParagraph"/>
              <w:spacing w:before="185"/>
              <w:ind w:left="442"/>
              <w:jc w:val="left"/>
              <w:rPr>
                <w:rFonts w:ascii="Times New Roman" w:hAnsi="Times New Roman"/>
                <w:sz w:val="21"/>
              </w:rPr>
            </w:pPr>
            <w:r>
              <w:rPr>
                <w:rFonts w:ascii="Times New Roman" w:hAnsi="Times New Roman"/>
                <w:sz w:val="21"/>
              </w:rPr>
              <w:t>0.018μg/L</w:t>
            </w:r>
          </w:p>
        </w:tc>
      </w:tr>
    </w:tbl>
    <w:p>
      <w:pPr>
        <w:spacing w:after="0"/>
        <w:jc w:val="left"/>
        <w:rPr>
          <w:rFonts w:ascii="Times New Roman" w:hAnsi="Times New Roman"/>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2561"/>
        <w:gridCol w:w="2636"/>
        <w:gridCol w:w="1745"/>
      </w:tblGrid>
      <w:tr>
        <w:trPr>
          <w:trHeight w:val="311" w:hRule="atLeast"/>
        </w:trPr>
        <w:tc>
          <w:tcPr>
            <w:tcW w:w="1586" w:type="dxa"/>
            <w:tcBorders>
              <w:bottom w:val="single" w:sz="6" w:space="0" w:color="000000"/>
              <w:right w:val="single" w:sz="6" w:space="0" w:color="000000"/>
            </w:tcBorders>
          </w:tcPr>
          <w:p>
            <w:pPr>
              <w:pStyle w:val="TableParagraph"/>
              <w:jc w:val="left"/>
              <w:rPr>
                <w:rFonts w:ascii="Times New Roman"/>
                <w:sz w:val="20"/>
              </w:rPr>
            </w:pPr>
          </w:p>
        </w:tc>
        <w:tc>
          <w:tcPr>
            <w:tcW w:w="2561" w:type="dxa"/>
            <w:tcBorders>
              <w:left w:val="single" w:sz="6" w:space="0" w:color="000000"/>
              <w:bottom w:val="single" w:sz="6" w:space="0" w:color="000000"/>
              <w:right w:val="single" w:sz="6" w:space="0" w:color="000000"/>
            </w:tcBorders>
          </w:tcPr>
          <w:p>
            <w:pPr>
              <w:pStyle w:val="TableParagraph"/>
              <w:spacing w:line="292" w:lineRule="exact"/>
              <w:ind w:left="761"/>
              <w:jc w:val="left"/>
              <w:rPr>
                <w:sz w:val="21"/>
              </w:rPr>
            </w:pPr>
            <w:r>
              <w:rPr>
                <w:sz w:val="21"/>
              </w:rPr>
              <w:t>气相色谱法</w:t>
            </w:r>
          </w:p>
        </w:tc>
        <w:tc>
          <w:tcPr>
            <w:tcW w:w="2636"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745" w:type="dxa"/>
            <w:tcBorders>
              <w:left w:val="single" w:sz="6" w:space="0" w:color="000000"/>
              <w:bottom w:val="single" w:sz="6" w:space="0" w:color="000000"/>
            </w:tcBorders>
          </w:tcPr>
          <w:p>
            <w:pPr>
              <w:pStyle w:val="TableParagraph"/>
              <w:jc w:val="left"/>
              <w:rPr>
                <w:rFonts w:ascii="Times New Roman"/>
                <w:sz w:val="20"/>
              </w:rPr>
            </w:pPr>
          </w:p>
        </w:tc>
      </w:tr>
      <w:tr>
        <w:trPr>
          <w:trHeight w:val="937" w:hRule="atLeast"/>
        </w:trPr>
        <w:tc>
          <w:tcPr>
            <w:tcW w:w="1586" w:type="dxa"/>
            <w:tcBorders>
              <w:top w:val="single" w:sz="6" w:space="0" w:color="000000"/>
              <w:bottom w:val="single" w:sz="6" w:space="0" w:color="000000"/>
              <w:right w:val="single" w:sz="6" w:space="0" w:color="000000"/>
            </w:tcBorders>
          </w:tcPr>
          <w:p>
            <w:pPr>
              <w:pStyle w:val="TableParagraph"/>
              <w:spacing w:before="6"/>
              <w:jc w:val="left"/>
              <w:rPr>
                <w:rFonts w:ascii="Times New Roman"/>
                <w:sz w:val="20"/>
              </w:rPr>
            </w:pPr>
          </w:p>
          <w:p>
            <w:pPr>
              <w:pStyle w:val="TableParagraph"/>
              <w:ind w:left="138" w:right="117"/>
              <w:rPr>
                <w:sz w:val="21"/>
              </w:rPr>
            </w:pPr>
            <w:r>
              <w:rPr>
                <w:sz w:val="21"/>
              </w:rPr>
              <w:t>硝基甲苯</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20" w:right="87" w:firstLine="1"/>
              <w:rPr>
                <w:rFonts w:ascii="Times New Roman" w:eastAsia="Times New Roman"/>
                <w:sz w:val="21"/>
              </w:rPr>
            </w:pPr>
            <w:r>
              <w:rPr>
                <w:spacing w:val="-2"/>
                <w:sz w:val="21"/>
              </w:rPr>
              <w:t>水质 硝基苯类化合物的</w:t>
            </w:r>
            <w:r>
              <w:rPr>
                <w:sz w:val="21"/>
              </w:rPr>
              <w:t>测定 液液萃取</w:t>
            </w:r>
            <w:r>
              <w:rPr>
                <w:rFonts w:ascii="Times New Roman" w:eastAsia="Times New Roman"/>
                <w:position w:val="1"/>
                <w:sz w:val="21"/>
              </w:rPr>
              <w:t>/</w:t>
            </w:r>
            <w:r>
              <w:rPr>
                <w:spacing w:val="-3"/>
                <w:sz w:val="21"/>
              </w:rPr>
              <w:t>固相萃取</w:t>
            </w:r>
            <w:r>
              <w:rPr>
                <w:rFonts w:ascii="Times New Roman" w:eastAsia="Times New Roman"/>
                <w:position w:val="1"/>
                <w:sz w:val="21"/>
              </w:rPr>
              <w:t>-</w:t>
            </w:r>
          </w:p>
          <w:p>
            <w:pPr>
              <w:pStyle w:val="TableParagraph"/>
              <w:spacing w:line="277" w:lineRule="exact"/>
              <w:ind w:left="112" w:right="82"/>
              <w:rPr>
                <w:sz w:val="21"/>
              </w:rPr>
            </w:pPr>
            <w:r>
              <w:rPr>
                <w:sz w:val="21"/>
              </w:rPr>
              <w:t>气相色谱法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Times New Roman"/>
                <w:sz w:val="29"/>
              </w:rPr>
            </w:pPr>
          </w:p>
          <w:p>
            <w:pPr>
              <w:pStyle w:val="TableParagraph"/>
              <w:ind w:left="120" w:right="93"/>
              <w:rPr>
                <w:rFonts w:ascii="Times New Roman"/>
                <w:sz w:val="21"/>
              </w:rPr>
            </w:pPr>
            <w:r>
              <w:rPr>
                <w:rFonts w:ascii="Times New Roman"/>
                <w:sz w:val="21"/>
              </w:rPr>
              <w:t>HJ 648-2013</w:t>
            </w:r>
          </w:p>
        </w:tc>
        <w:tc>
          <w:tcPr>
            <w:tcW w:w="1745" w:type="dxa"/>
            <w:tcBorders>
              <w:top w:val="single" w:sz="6" w:space="0" w:color="000000"/>
              <w:left w:val="single" w:sz="6" w:space="0" w:color="000000"/>
              <w:bottom w:val="single" w:sz="6" w:space="0" w:color="000000"/>
            </w:tcBorders>
          </w:tcPr>
          <w:p>
            <w:pPr>
              <w:pStyle w:val="TableParagraph"/>
              <w:spacing w:before="7"/>
              <w:jc w:val="left"/>
              <w:rPr>
                <w:rFonts w:ascii="Times New Roman"/>
                <w:sz w:val="29"/>
              </w:rPr>
            </w:pPr>
          </w:p>
          <w:p>
            <w:pPr>
              <w:pStyle w:val="TableParagraph"/>
              <w:ind w:left="396" w:right="359"/>
              <w:rPr>
                <w:rFonts w:ascii="Times New Roman" w:hAnsi="Times New Roman"/>
                <w:sz w:val="21"/>
              </w:rPr>
            </w:pPr>
            <w:r>
              <w:rPr>
                <w:rFonts w:ascii="Times New Roman" w:hAnsi="Times New Roman"/>
                <w:sz w:val="21"/>
              </w:rPr>
              <w:t>0.22μg/L</w:t>
            </w:r>
          </w:p>
        </w:tc>
      </w:tr>
      <w:tr>
        <w:trPr>
          <w:trHeight w:val="935" w:hRule="atLeast"/>
        </w:trPr>
        <w:tc>
          <w:tcPr>
            <w:tcW w:w="1586" w:type="dxa"/>
            <w:tcBorders>
              <w:top w:val="single" w:sz="6" w:space="0" w:color="000000"/>
              <w:bottom w:val="single" w:sz="6" w:space="0" w:color="000000"/>
              <w:right w:val="single" w:sz="6" w:space="0" w:color="000000"/>
            </w:tcBorders>
          </w:tcPr>
          <w:p>
            <w:pPr>
              <w:pStyle w:val="TableParagraph"/>
              <w:spacing w:before="3"/>
              <w:jc w:val="left"/>
              <w:rPr>
                <w:rFonts w:ascii="Times New Roman"/>
                <w:sz w:val="20"/>
              </w:rPr>
            </w:pPr>
          </w:p>
          <w:p>
            <w:pPr>
              <w:pStyle w:val="TableParagraph"/>
              <w:ind w:left="138" w:right="117"/>
              <w:rPr>
                <w:sz w:val="21"/>
              </w:rPr>
            </w:pPr>
            <w:r>
              <w:rPr>
                <w:sz w:val="21"/>
              </w:rPr>
              <w:t>硝基氯苯</w:t>
            </w:r>
          </w:p>
        </w:tc>
        <w:tc>
          <w:tcPr>
            <w:tcW w:w="2561"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5"/>
              <w:ind w:left="120" w:right="87" w:firstLine="1"/>
              <w:rPr>
                <w:rFonts w:ascii="Times New Roman" w:eastAsia="Times New Roman"/>
                <w:sz w:val="21"/>
              </w:rPr>
            </w:pPr>
            <w:r>
              <w:rPr>
                <w:spacing w:val="-2"/>
                <w:sz w:val="21"/>
              </w:rPr>
              <w:t>水质 硝基苯类化合物的</w:t>
            </w:r>
            <w:r>
              <w:rPr>
                <w:sz w:val="21"/>
              </w:rPr>
              <w:t>测定 液液萃取</w:t>
            </w:r>
            <w:r>
              <w:rPr>
                <w:rFonts w:ascii="Times New Roman" w:eastAsia="Times New Roman"/>
                <w:position w:val="1"/>
                <w:sz w:val="21"/>
              </w:rPr>
              <w:t>/</w:t>
            </w:r>
            <w:r>
              <w:rPr>
                <w:spacing w:val="-3"/>
                <w:sz w:val="21"/>
              </w:rPr>
              <w:t>固相萃取</w:t>
            </w:r>
            <w:r>
              <w:rPr>
                <w:rFonts w:ascii="Times New Roman" w:eastAsia="Times New Roman"/>
                <w:position w:val="1"/>
                <w:sz w:val="21"/>
              </w:rPr>
              <w:t>-</w:t>
            </w:r>
          </w:p>
          <w:p>
            <w:pPr>
              <w:pStyle w:val="TableParagraph"/>
              <w:spacing w:line="277" w:lineRule="exact"/>
              <w:ind w:left="112" w:right="82"/>
              <w:rPr>
                <w:sz w:val="21"/>
              </w:rPr>
            </w:pPr>
            <w:r>
              <w:rPr>
                <w:sz w:val="21"/>
              </w:rPr>
              <w:t>气相色谱法</w:t>
            </w:r>
          </w:p>
        </w:tc>
        <w:tc>
          <w:tcPr>
            <w:tcW w:w="2636"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9"/>
              </w:rPr>
            </w:pPr>
          </w:p>
          <w:p>
            <w:pPr>
              <w:pStyle w:val="TableParagraph"/>
              <w:ind w:left="120" w:right="93"/>
              <w:rPr>
                <w:rFonts w:ascii="Times New Roman"/>
                <w:sz w:val="21"/>
              </w:rPr>
            </w:pPr>
            <w:r>
              <w:rPr>
                <w:rFonts w:ascii="Times New Roman"/>
                <w:sz w:val="21"/>
              </w:rPr>
              <w:t>HJ 648-2013</w:t>
            </w:r>
          </w:p>
        </w:tc>
        <w:tc>
          <w:tcPr>
            <w:tcW w:w="1745" w:type="dxa"/>
            <w:tcBorders>
              <w:top w:val="single" w:sz="6" w:space="0" w:color="000000"/>
              <w:left w:val="single" w:sz="6" w:space="0" w:color="000000"/>
              <w:bottom w:val="single" w:sz="6" w:space="0" w:color="000000"/>
            </w:tcBorders>
          </w:tcPr>
          <w:p>
            <w:pPr>
              <w:pStyle w:val="TableParagraph"/>
              <w:spacing w:before="7"/>
              <w:jc w:val="left"/>
              <w:rPr>
                <w:rFonts w:ascii="Times New Roman"/>
                <w:sz w:val="29"/>
              </w:rPr>
            </w:pPr>
          </w:p>
          <w:p>
            <w:pPr>
              <w:pStyle w:val="TableParagraph"/>
              <w:ind w:left="396" w:right="354"/>
              <w:rPr>
                <w:rFonts w:ascii="Times New Roman" w:hAnsi="Times New Roman"/>
                <w:sz w:val="21"/>
              </w:rPr>
            </w:pPr>
            <w:r>
              <w:rPr>
                <w:rFonts w:ascii="Times New Roman" w:hAnsi="Times New Roman"/>
                <w:sz w:val="21"/>
              </w:rPr>
              <w:t>0.019μg/L</w:t>
            </w:r>
          </w:p>
        </w:tc>
      </w:tr>
      <w:tr>
        <w:trPr>
          <w:trHeight w:val="623" w:hRule="atLeast"/>
        </w:trPr>
        <w:tc>
          <w:tcPr>
            <w:tcW w:w="1586" w:type="dxa"/>
            <w:tcBorders>
              <w:top w:val="single" w:sz="6" w:space="0" w:color="000000"/>
              <w:right w:val="single" w:sz="6" w:space="0" w:color="000000"/>
            </w:tcBorders>
          </w:tcPr>
          <w:p>
            <w:pPr>
              <w:pStyle w:val="TableParagraph"/>
              <w:spacing w:before="77"/>
              <w:ind w:left="140" w:right="117"/>
              <w:rPr>
                <w:sz w:val="21"/>
              </w:rPr>
            </w:pPr>
            <w:r>
              <w:rPr>
                <w:sz w:val="21"/>
              </w:rPr>
              <w:t>苯胺</w:t>
            </w:r>
          </w:p>
        </w:tc>
        <w:tc>
          <w:tcPr>
            <w:tcW w:w="2561" w:type="dxa"/>
            <w:tcBorders>
              <w:top w:val="single" w:sz="6" w:space="0" w:color="000000"/>
              <w:left w:val="single" w:sz="6" w:space="0" w:color="000000"/>
              <w:right w:val="single" w:sz="6" w:space="0" w:color="000000"/>
            </w:tcBorders>
          </w:tcPr>
          <w:p>
            <w:pPr>
              <w:pStyle w:val="TableParagraph"/>
              <w:spacing w:line="300" w:lineRule="exact"/>
              <w:ind w:left="132"/>
              <w:jc w:val="left"/>
              <w:rPr>
                <w:sz w:val="21"/>
              </w:rPr>
            </w:pPr>
            <w:r>
              <w:rPr>
                <w:sz w:val="21"/>
              </w:rPr>
              <w:t>生活饮用水标准检验方法</w:t>
            </w:r>
          </w:p>
          <w:p>
            <w:pPr>
              <w:pStyle w:val="TableParagraph"/>
              <w:spacing w:line="303" w:lineRule="exact"/>
              <w:ind w:left="184"/>
              <w:jc w:val="left"/>
              <w:rPr>
                <w:sz w:val="21"/>
              </w:rPr>
            </w:pPr>
            <w:r>
              <w:rPr>
                <w:sz w:val="21"/>
              </w:rPr>
              <w:t>有机物指标 气相色谱法</w:t>
            </w:r>
          </w:p>
        </w:tc>
        <w:tc>
          <w:tcPr>
            <w:tcW w:w="2636" w:type="dxa"/>
            <w:tcBorders>
              <w:top w:val="single" w:sz="6" w:space="0" w:color="000000"/>
              <w:left w:val="single" w:sz="6" w:space="0" w:color="000000"/>
              <w:right w:val="single" w:sz="6" w:space="0" w:color="000000"/>
            </w:tcBorders>
          </w:tcPr>
          <w:p>
            <w:pPr>
              <w:pStyle w:val="TableParagraph"/>
              <w:spacing w:before="183"/>
              <w:ind w:left="120" w:right="93"/>
              <w:rPr>
                <w:rFonts w:ascii="Times New Roman"/>
                <w:sz w:val="21"/>
              </w:rPr>
            </w:pPr>
            <w:r>
              <w:rPr>
                <w:rFonts w:ascii="Times New Roman"/>
                <w:sz w:val="21"/>
              </w:rPr>
              <w:t>GB/T 5750.8-2006/37.1</w:t>
            </w:r>
          </w:p>
        </w:tc>
        <w:tc>
          <w:tcPr>
            <w:tcW w:w="1745" w:type="dxa"/>
            <w:tcBorders>
              <w:top w:val="single" w:sz="6" w:space="0" w:color="000000"/>
              <w:left w:val="single" w:sz="6" w:space="0" w:color="000000"/>
            </w:tcBorders>
          </w:tcPr>
          <w:p>
            <w:pPr>
              <w:pStyle w:val="TableParagraph"/>
              <w:spacing w:before="185"/>
              <w:ind w:left="396" w:right="359"/>
              <w:rPr>
                <w:rFonts w:ascii="Times New Roman" w:hAnsi="Times New Roman"/>
                <w:sz w:val="21"/>
              </w:rPr>
            </w:pPr>
            <w:r>
              <w:rPr>
                <w:rFonts w:ascii="Times New Roman" w:hAnsi="Times New Roman"/>
                <w:sz w:val="21"/>
              </w:rPr>
              <w:t>20μg/L</w:t>
            </w:r>
          </w:p>
        </w:tc>
      </w:tr>
    </w:tbl>
    <w:p>
      <w:pPr>
        <w:pStyle w:val="BodyText"/>
        <w:spacing w:before="3"/>
        <w:rPr>
          <w:rFonts w:ascii="Times New Roman"/>
          <w:sz w:val="14"/>
        </w:rPr>
      </w:pPr>
    </w:p>
    <w:p>
      <w:pPr>
        <w:pStyle w:val="BodyText"/>
        <w:spacing w:line="468" w:lineRule="exact"/>
        <w:ind w:left="1058"/>
      </w:pPr>
      <w:r>
        <w:rPr>
          <w:rFonts w:ascii="Times New Roman" w:eastAsia="Times New Roman"/>
        </w:rPr>
        <w:t>5</w:t>
      </w:r>
      <w:r>
        <w:rPr/>
        <w:t>、监测结果</w:t>
      </w:r>
    </w:p>
    <w:p>
      <w:pPr>
        <w:pStyle w:val="BodyText"/>
        <w:spacing w:line="220" w:lineRule="auto" w:before="144"/>
        <w:ind w:left="578" w:right="872" w:firstLine="479"/>
      </w:pPr>
      <w:r>
        <w:rPr/>
        <w:t>项目地下水监测期间水文参数见表 </w:t>
      </w:r>
      <w:r>
        <w:rPr>
          <w:rFonts w:ascii="Times New Roman" w:eastAsia="Times New Roman"/>
        </w:rPr>
        <w:t>5.4-25</w:t>
      </w:r>
      <w:r>
        <w:rPr/>
        <w:t>、项目地下水各监测点的监测结果见下表 </w:t>
      </w:r>
      <w:r>
        <w:rPr>
          <w:rFonts w:ascii="Times New Roman" w:eastAsia="Times New Roman"/>
        </w:rPr>
        <w:t>5.4-26</w:t>
      </w:r>
      <w:r>
        <w:rPr/>
        <w:t>。</w:t>
      </w:r>
    </w:p>
    <w:p>
      <w:pPr>
        <w:tabs>
          <w:tab w:pos="4128" w:val="left" w:leader="none"/>
        </w:tabs>
        <w:spacing w:before="162" w:after="24"/>
        <w:ind w:left="3110" w:right="0" w:firstLine="0"/>
        <w:jc w:val="left"/>
        <w:rPr>
          <w:sz w:val="21"/>
        </w:rPr>
      </w:pPr>
      <w:r>
        <w:rPr>
          <w:sz w:val="21"/>
        </w:rPr>
        <w:t>表</w:t>
      </w:r>
      <w:r>
        <w:rPr>
          <w:spacing w:val="7"/>
          <w:sz w:val="21"/>
        </w:rPr>
        <w:t> </w:t>
      </w:r>
      <w:r>
        <w:rPr>
          <w:rFonts w:ascii="Times New Roman" w:eastAsia="Times New Roman"/>
          <w:b/>
          <w:sz w:val="21"/>
        </w:rPr>
        <w:t>5.4-25</w:t>
        <w:tab/>
      </w:r>
      <w:r>
        <w:rPr>
          <w:sz w:val="21"/>
        </w:rPr>
        <w:t>地下水水文</w:t>
      </w:r>
      <w:r>
        <w:rPr>
          <w:spacing w:val="-3"/>
          <w:sz w:val="21"/>
        </w:rPr>
        <w:t>参</w:t>
      </w:r>
      <w:r>
        <w:rPr>
          <w:sz w:val="21"/>
        </w:rPr>
        <w:t>数一览表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60"/>
        <w:gridCol w:w="2540"/>
        <w:gridCol w:w="1966"/>
        <w:gridCol w:w="1964"/>
      </w:tblGrid>
      <w:tr>
        <w:trPr>
          <w:trHeight w:val="565" w:hRule="atLeast"/>
        </w:trPr>
        <w:tc>
          <w:tcPr>
            <w:tcW w:w="2060" w:type="dxa"/>
            <w:tcBorders>
              <w:bottom w:val="single" w:sz="6" w:space="0" w:color="000000"/>
              <w:right w:val="single" w:sz="6" w:space="0" w:color="000000"/>
            </w:tcBorders>
          </w:tcPr>
          <w:p>
            <w:pPr>
              <w:pStyle w:val="TableParagraph"/>
              <w:spacing w:before="48"/>
              <w:ind w:left="608"/>
              <w:jc w:val="left"/>
              <w:rPr>
                <w:sz w:val="21"/>
              </w:rPr>
            </w:pPr>
            <w:r>
              <w:rPr>
                <w:sz w:val="21"/>
              </w:rPr>
              <w:t>采样日期</w:t>
            </w:r>
          </w:p>
        </w:tc>
        <w:tc>
          <w:tcPr>
            <w:tcW w:w="2540" w:type="dxa"/>
            <w:tcBorders>
              <w:left w:val="single" w:sz="6" w:space="0" w:color="000000"/>
              <w:bottom w:val="single" w:sz="6" w:space="0" w:color="000000"/>
              <w:right w:val="single" w:sz="6" w:space="0" w:color="000000"/>
            </w:tcBorders>
          </w:tcPr>
          <w:p>
            <w:pPr>
              <w:pStyle w:val="TableParagraph"/>
              <w:spacing w:before="48"/>
              <w:ind w:left="730" w:right="705"/>
              <w:rPr>
                <w:sz w:val="21"/>
              </w:rPr>
            </w:pPr>
            <w:r>
              <w:rPr>
                <w:sz w:val="21"/>
              </w:rPr>
              <w:t>检测点位</w:t>
            </w:r>
          </w:p>
        </w:tc>
        <w:tc>
          <w:tcPr>
            <w:tcW w:w="1966" w:type="dxa"/>
            <w:tcBorders>
              <w:left w:val="single" w:sz="6" w:space="0" w:color="000000"/>
              <w:bottom w:val="single" w:sz="6" w:space="0" w:color="000000"/>
              <w:right w:val="single" w:sz="6" w:space="0" w:color="000000"/>
            </w:tcBorders>
          </w:tcPr>
          <w:p>
            <w:pPr>
              <w:pStyle w:val="TableParagraph"/>
              <w:spacing w:before="48"/>
              <w:ind w:left="469" w:right="438"/>
              <w:rPr>
                <w:sz w:val="21"/>
              </w:rPr>
            </w:pPr>
            <w:r>
              <w:rPr>
                <w:sz w:val="21"/>
              </w:rPr>
              <w:t>井深（</w:t>
            </w:r>
            <w:r>
              <w:rPr>
                <w:rFonts w:ascii="Times New Roman" w:eastAsia="Times New Roman"/>
                <w:sz w:val="21"/>
              </w:rPr>
              <w:t>m</w:t>
            </w:r>
            <w:r>
              <w:rPr>
                <w:sz w:val="21"/>
              </w:rPr>
              <w:t>）</w:t>
            </w:r>
          </w:p>
        </w:tc>
        <w:tc>
          <w:tcPr>
            <w:tcW w:w="1964" w:type="dxa"/>
            <w:tcBorders>
              <w:left w:val="single" w:sz="6" w:space="0" w:color="000000"/>
              <w:bottom w:val="single" w:sz="6" w:space="0" w:color="000000"/>
            </w:tcBorders>
          </w:tcPr>
          <w:p>
            <w:pPr>
              <w:pStyle w:val="TableParagraph"/>
              <w:spacing w:before="48"/>
              <w:ind w:left="150" w:right="118"/>
              <w:rPr>
                <w:sz w:val="21"/>
              </w:rPr>
            </w:pPr>
            <w:r>
              <w:rPr>
                <w:sz w:val="21"/>
              </w:rPr>
              <w:t>地下水埋深（</w:t>
            </w:r>
            <w:r>
              <w:rPr>
                <w:rFonts w:ascii="Times New Roman" w:eastAsia="Times New Roman"/>
                <w:sz w:val="21"/>
              </w:rPr>
              <w:t>m</w:t>
            </w:r>
            <w:r>
              <w:rPr>
                <w:sz w:val="21"/>
              </w:rPr>
              <w:t>）</w:t>
            </w:r>
          </w:p>
        </w:tc>
      </w:tr>
      <w:tr>
        <w:trPr>
          <w:trHeight w:val="306" w:hRule="atLeast"/>
        </w:trPr>
        <w:tc>
          <w:tcPr>
            <w:tcW w:w="2060" w:type="dxa"/>
            <w:vMerge w:val="restart"/>
            <w:tcBorders>
              <w:top w:val="single" w:sz="6" w:space="0" w:color="000000"/>
              <w:right w:val="single" w:sz="6" w:space="0" w:color="000000"/>
            </w:tcBorders>
          </w:tcPr>
          <w:p>
            <w:pPr>
              <w:pStyle w:val="TableParagraph"/>
              <w:jc w:val="left"/>
              <w:rPr>
                <w:sz w:val="22"/>
              </w:rPr>
            </w:pPr>
          </w:p>
          <w:p>
            <w:pPr>
              <w:pStyle w:val="TableParagraph"/>
              <w:spacing w:before="19"/>
              <w:jc w:val="left"/>
              <w:rPr>
                <w:sz w:val="25"/>
              </w:rPr>
            </w:pPr>
          </w:p>
          <w:p>
            <w:pPr>
              <w:pStyle w:val="TableParagraph"/>
              <w:ind w:left="539"/>
              <w:jc w:val="left"/>
              <w:rPr>
                <w:rFonts w:ascii="Times New Roman"/>
                <w:sz w:val="21"/>
              </w:rPr>
            </w:pPr>
            <w:r>
              <w:rPr>
                <w:rFonts w:ascii="Times New Roman"/>
                <w:sz w:val="21"/>
              </w:rPr>
              <w:t>2019-04-12</w:t>
            </w:r>
          </w:p>
        </w:tc>
        <w:tc>
          <w:tcPr>
            <w:tcW w:w="2540" w:type="dxa"/>
            <w:tcBorders>
              <w:top w:val="single" w:sz="6" w:space="0" w:color="000000"/>
              <w:left w:val="single" w:sz="6" w:space="0" w:color="000000"/>
              <w:bottom w:val="single" w:sz="6" w:space="0" w:color="000000"/>
              <w:right w:val="single" w:sz="6" w:space="0" w:color="000000"/>
            </w:tcBorders>
          </w:tcPr>
          <w:p>
            <w:pPr>
              <w:pStyle w:val="TableParagraph"/>
              <w:spacing w:line="286" w:lineRule="exact"/>
              <w:ind w:left="730" w:right="705"/>
              <w:rPr>
                <w:sz w:val="21"/>
              </w:rPr>
            </w:pPr>
            <w:r>
              <w:rPr>
                <w:sz w:val="21"/>
              </w:rPr>
              <w:t>孙家怪草村</w:t>
            </w:r>
          </w:p>
        </w:tc>
        <w:tc>
          <w:tcPr>
            <w:tcW w:w="1966" w:type="dxa"/>
            <w:tcBorders>
              <w:top w:val="single" w:sz="6" w:space="0" w:color="000000"/>
              <w:left w:val="single" w:sz="6" w:space="0" w:color="000000"/>
              <w:bottom w:val="single" w:sz="6" w:space="0" w:color="000000"/>
              <w:right w:val="single" w:sz="6" w:space="0" w:color="000000"/>
            </w:tcBorders>
          </w:tcPr>
          <w:p>
            <w:pPr>
              <w:pStyle w:val="TableParagraph"/>
              <w:spacing w:before="36"/>
              <w:ind w:left="467" w:right="438"/>
              <w:rPr>
                <w:rFonts w:ascii="Times New Roman"/>
                <w:sz w:val="21"/>
              </w:rPr>
            </w:pPr>
            <w:r>
              <w:rPr>
                <w:rFonts w:ascii="Times New Roman"/>
                <w:sz w:val="21"/>
              </w:rPr>
              <w:t>32</w:t>
            </w:r>
          </w:p>
        </w:tc>
        <w:tc>
          <w:tcPr>
            <w:tcW w:w="1964" w:type="dxa"/>
            <w:tcBorders>
              <w:top w:val="single" w:sz="6" w:space="0" w:color="000000"/>
              <w:left w:val="single" w:sz="6" w:space="0" w:color="000000"/>
              <w:bottom w:val="single" w:sz="6" w:space="0" w:color="000000"/>
            </w:tcBorders>
          </w:tcPr>
          <w:p>
            <w:pPr>
              <w:pStyle w:val="TableParagraph"/>
              <w:spacing w:before="36"/>
              <w:ind w:left="34"/>
              <w:rPr>
                <w:rFonts w:ascii="Times New Roman"/>
                <w:sz w:val="21"/>
              </w:rPr>
            </w:pPr>
            <w:r>
              <w:rPr>
                <w:rFonts w:ascii="Times New Roman"/>
                <w:w w:val="100"/>
                <w:sz w:val="21"/>
              </w:rPr>
              <w:t>3</w:t>
            </w:r>
          </w:p>
        </w:tc>
      </w:tr>
      <w:tr>
        <w:trPr>
          <w:trHeight w:val="296" w:hRule="atLeast"/>
        </w:trPr>
        <w:tc>
          <w:tcPr>
            <w:tcW w:w="2060" w:type="dxa"/>
            <w:vMerge/>
            <w:tcBorders>
              <w:top w:val="nil"/>
              <w:right w:val="single" w:sz="6" w:space="0" w:color="000000"/>
            </w:tcBorders>
          </w:tcPr>
          <w:p>
            <w:pPr>
              <w:rPr>
                <w:sz w:val="2"/>
                <w:szCs w:val="2"/>
              </w:rPr>
            </w:pPr>
          </w:p>
        </w:tc>
        <w:tc>
          <w:tcPr>
            <w:tcW w:w="254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730" w:right="705"/>
              <w:rPr>
                <w:sz w:val="21"/>
              </w:rPr>
            </w:pPr>
            <w:r>
              <w:rPr>
                <w:sz w:val="21"/>
              </w:rPr>
              <w:t>后柴沟村</w:t>
            </w:r>
          </w:p>
        </w:tc>
        <w:tc>
          <w:tcPr>
            <w:tcW w:w="1966" w:type="dxa"/>
            <w:tcBorders>
              <w:top w:val="single" w:sz="6" w:space="0" w:color="000000"/>
              <w:left w:val="single" w:sz="6" w:space="0" w:color="000000"/>
              <w:bottom w:val="single" w:sz="6" w:space="0" w:color="000000"/>
              <w:right w:val="single" w:sz="6" w:space="0" w:color="000000"/>
            </w:tcBorders>
          </w:tcPr>
          <w:p>
            <w:pPr>
              <w:pStyle w:val="TableParagraph"/>
              <w:spacing w:before="26"/>
              <w:ind w:left="29"/>
              <w:rPr>
                <w:rFonts w:ascii="Times New Roman"/>
                <w:sz w:val="21"/>
              </w:rPr>
            </w:pPr>
            <w:r>
              <w:rPr>
                <w:rFonts w:ascii="Times New Roman"/>
                <w:w w:val="100"/>
                <w:sz w:val="21"/>
              </w:rPr>
              <w:t>6</w:t>
            </w:r>
          </w:p>
        </w:tc>
        <w:tc>
          <w:tcPr>
            <w:tcW w:w="1964" w:type="dxa"/>
            <w:tcBorders>
              <w:top w:val="single" w:sz="6" w:space="0" w:color="000000"/>
              <w:left w:val="single" w:sz="6" w:space="0" w:color="000000"/>
              <w:bottom w:val="single" w:sz="6" w:space="0" w:color="000000"/>
            </w:tcBorders>
          </w:tcPr>
          <w:p>
            <w:pPr>
              <w:pStyle w:val="TableParagraph"/>
              <w:spacing w:before="26"/>
              <w:ind w:left="150" w:right="116"/>
              <w:rPr>
                <w:rFonts w:ascii="Times New Roman"/>
                <w:sz w:val="21"/>
              </w:rPr>
            </w:pPr>
            <w:r>
              <w:rPr>
                <w:rFonts w:ascii="Times New Roman"/>
                <w:sz w:val="21"/>
              </w:rPr>
              <w:t>2.0</w:t>
            </w:r>
          </w:p>
        </w:tc>
      </w:tr>
      <w:tr>
        <w:trPr>
          <w:trHeight w:val="296" w:hRule="atLeast"/>
        </w:trPr>
        <w:tc>
          <w:tcPr>
            <w:tcW w:w="2060" w:type="dxa"/>
            <w:vMerge/>
            <w:tcBorders>
              <w:top w:val="nil"/>
              <w:right w:val="single" w:sz="6" w:space="0" w:color="000000"/>
            </w:tcBorders>
          </w:tcPr>
          <w:p>
            <w:pPr>
              <w:rPr>
                <w:sz w:val="2"/>
                <w:szCs w:val="2"/>
              </w:rPr>
            </w:pPr>
          </w:p>
        </w:tc>
        <w:tc>
          <w:tcPr>
            <w:tcW w:w="254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727" w:right="705"/>
              <w:rPr>
                <w:sz w:val="21"/>
              </w:rPr>
            </w:pPr>
            <w:r>
              <w:rPr>
                <w:sz w:val="21"/>
              </w:rPr>
              <w:t>左山村</w:t>
            </w:r>
          </w:p>
        </w:tc>
        <w:tc>
          <w:tcPr>
            <w:tcW w:w="1966" w:type="dxa"/>
            <w:tcBorders>
              <w:top w:val="single" w:sz="6" w:space="0" w:color="000000"/>
              <w:left w:val="single" w:sz="6" w:space="0" w:color="000000"/>
              <w:bottom w:val="single" w:sz="6" w:space="0" w:color="000000"/>
              <w:right w:val="single" w:sz="6" w:space="0" w:color="000000"/>
            </w:tcBorders>
          </w:tcPr>
          <w:p>
            <w:pPr>
              <w:pStyle w:val="TableParagraph"/>
              <w:spacing w:before="27"/>
              <w:ind w:left="467" w:right="438"/>
              <w:rPr>
                <w:rFonts w:ascii="Times New Roman"/>
                <w:sz w:val="21"/>
              </w:rPr>
            </w:pPr>
            <w:r>
              <w:rPr>
                <w:rFonts w:ascii="Times New Roman"/>
                <w:sz w:val="21"/>
              </w:rPr>
              <w:t>--</w:t>
            </w:r>
          </w:p>
        </w:tc>
        <w:tc>
          <w:tcPr>
            <w:tcW w:w="1964" w:type="dxa"/>
            <w:tcBorders>
              <w:top w:val="single" w:sz="6" w:space="0" w:color="000000"/>
              <w:left w:val="single" w:sz="6" w:space="0" w:color="000000"/>
              <w:bottom w:val="single" w:sz="6" w:space="0" w:color="000000"/>
            </w:tcBorders>
          </w:tcPr>
          <w:p>
            <w:pPr>
              <w:pStyle w:val="TableParagraph"/>
              <w:spacing w:before="27"/>
              <w:ind w:left="150" w:right="116"/>
              <w:rPr>
                <w:rFonts w:ascii="Times New Roman"/>
                <w:sz w:val="21"/>
              </w:rPr>
            </w:pPr>
            <w:r>
              <w:rPr>
                <w:rFonts w:ascii="Times New Roman"/>
                <w:sz w:val="21"/>
              </w:rPr>
              <w:t>--</w:t>
            </w:r>
          </w:p>
        </w:tc>
      </w:tr>
      <w:tr>
        <w:trPr>
          <w:trHeight w:val="296" w:hRule="atLeast"/>
        </w:trPr>
        <w:tc>
          <w:tcPr>
            <w:tcW w:w="2060" w:type="dxa"/>
            <w:vMerge/>
            <w:tcBorders>
              <w:top w:val="nil"/>
              <w:right w:val="single" w:sz="6" w:space="0" w:color="000000"/>
            </w:tcBorders>
          </w:tcPr>
          <w:p>
            <w:pPr>
              <w:rPr>
                <w:sz w:val="2"/>
                <w:szCs w:val="2"/>
              </w:rPr>
            </w:pPr>
          </w:p>
        </w:tc>
        <w:tc>
          <w:tcPr>
            <w:tcW w:w="254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730" w:right="705"/>
              <w:rPr>
                <w:sz w:val="21"/>
              </w:rPr>
            </w:pPr>
            <w:r>
              <w:rPr>
                <w:sz w:val="21"/>
              </w:rPr>
              <w:t>东石沟村</w:t>
            </w:r>
          </w:p>
        </w:tc>
        <w:tc>
          <w:tcPr>
            <w:tcW w:w="1966" w:type="dxa"/>
            <w:tcBorders>
              <w:top w:val="single" w:sz="6" w:space="0" w:color="000000"/>
              <w:left w:val="single" w:sz="6" w:space="0" w:color="000000"/>
              <w:bottom w:val="single" w:sz="6" w:space="0" w:color="000000"/>
              <w:right w:val="single" w:sz="6" w:space="0" w:color="000000"/>
            </w:tcBorders>
          </w:tcPr>
          <w:p>
            <w:pPr>
              <w:pStyle w:val="TableParagraph"/>
              <w:spacing w:before="26"/>
              <w:ind w:left="29"/>
              <w:rPr>
                <w:rFonts w:ascii="Times New Roman"/>
                <w:sz w:val="21"/>
              </w:rPr>
            </w:pPr>
            <w:r>
              <w:rPr>
                <w:rFonts w:ascii="Times New Roman"/>
                <w:w w:val="100"/>
                <w:sz w:val="21"/>
              </w:rPr>
              <w:t>4</w:t>
            </w:r>
          </w:p>
        </w:tc>
        <w:tc>
          <w:tcPr>
            <w:tcW w:w="1964" w:type="dxa"/>
            <w:tcBorders>
              <w:top w:val="single" w:sz="6" w:space="0" w:color="000000"/>
              <w:left w:val="single" w:sz="6" w:space="0" w:color="000000"/>
              <w:bottom w:val="single" w:sz="6" w:space="0" w:color="000000"/>
            </w:tcBorders>
          </w:tcPr>
          <w:p>
            <w:pPr>
              <w:pStyle w:val="TableParagraph"/>
              <w:spacing w:before="26"/>
              <w:ind w:left="150" w:right="116"/>
              <w:rPr>
                <w:rFonts w:ascii="Times New Roman"/>
                <w:sz w:val="21"/>
              </w:rPr>
            </w:pPr>
            <w:r>
              <w:rPr>
                <w:rFonts w:ascii="Times New Roman"/>
                <w:sz w:val="21"/>
              </w:rPr>
              <w:t>1.8</w:t>
            </w:r>
          </w:p>
        </w:tc>
      </w:tr>
      <w:tr>
        <w:trPr>
          <w:trHeight w:val="298" w:hRule="atLeast"/>
        </w:trPr>
        <w:tc>
          <w:tcPr>
            <w:tcW w:w="2060" w:type="dxa"/>
            <w:vMerge/>
            <w:tcBorders>
              <w:top w:val="nil"/>
              <w:right w:val="single" w:sz="6" w:space="0" w:color="000000"/>
            </w:tcBorders>
          </w:tcPr>
          <w:p>
            <w:pPr>
              <w:rPr>
                <w:sz w:val="2"/>
                <w:szCs w:val="2"/>
              </w:rPr>
            </w:pPr>
          </w:p>
        </w:tc>
        <w:tc>
          <w:tcPr>
            <w:tcW w:w="25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27" w:right="705"/>
              <w:rPr>
                <w:sz w:val="21"/>
              </w:rPr>
            </w:pPr>
            <w:r>
              <w:rPr>
                <w:sz w:val="21"/>
              </w:rPr>
              <w:t>厂址</w:t>
            </w:r>
          </w:p>
        </w:tc>
        <w:tc>
          <w:tcPr>
            <w:tcW w:w="1966" w:type="dxa"/>
            <w:tcBorders>
              <w:top w:val="single" w:sz="6" w:space="0" w:color="000000"/>
              <w:left w:val="single" w:sz="6" w:space="0" w:color="000000"/>
              <w:bottom w:val="single" w:sz="6" w:space="0" w:color="000000"/>
              <w:right w:val="single" w:sz="6" w:space="0" w:color="000000"/>
            </w:tcBorders>
          </w:tcPr>
          <w:p>
            <w:pPr>
              <w:pStyle w:val="TableParagraph"/>
              <w:spacing w:before="29"/>
              <w:ind w:left="467" w:right="438"/>
              <w:rPr>
                <w:rFonts w:ascii="Times New Roman"/>
                <w:sz w:val="21"/>
              </w:rPr>
            </w:pPr>
            <w:r>
              <w:rPr>
                <w:rFonts w:ascii="Times New Roman"/>
                <w:sz w:val="21"/>
              </w:rPr>
              <w:t>--</w:t>
            </w:r>
          </w:p>
        </w:tc>
        <w:tc>
          <w:tcPr>
            <w:tcW w:w="1964" w:type="dxa"/>
            <w:tcBorders>
              <w:top w:val="single" w:sz="6" w:space="0" w:color="000000"/>
              <w:left w:val="single" w:sz="6" w:space="0" w:color="000000"/>
              <w:bottom w:val="single" w:sz="6" w:space="0" w:color="000000"/>
            </w:tcBorders>
          </w:tcPr>
          <w:p>
            <w:pPr>
              <w:pStyle w:val="TableParagraph"/>
              <w:spacing w:before="29"/>
              <w:ind w:left="150" w:right="116"/>
              <w:rPr>
                <w:rFonts w:ascii="Times New Roman"/>
                <w:sz w:val="21"/>
              </w:rPr>
            </w:pPr>
            <w:r>
              <w:rPr>
                <w:rFonts w:ascii="Times New Roman"/>
                <w:sz w:val="21"/>
              </w:rPr>
              <w:t>--</w:t>
            </w:r>
          </w:p>
        </w:tc>
      </w:tr>
      <w:tr>
        <w:trPr>
          <w:trHeight w:val="296" w:hRule="atLeast"/>
        </w:trPr>
        <w:tc>
          <w:tcPr>
            <w:tcW w:w="2060" w:type="dxa"/>
            <w:vMerge/>
            <w:tcBorders>
              <w:top w:val="nil"/>
              <w:right w:val="single" w:sz="6" w:space="0" w:color="000000"/>
            </w:tcBorders>
          </w:tcPr>
          <w:p>
            <w:pPr>
              <w:rPr>
                <w:sz w:val="2"/>
                <w:szCs w:val="2"/>
              </w:rPr>
            </w:pPr>
          </w:p>
        </w:tc>
        <w:tc>
          <w:tcPr>
            <w:tcW w:w="254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730" w:right="705"/>
              <w:rPr>
                <w:sz w:val="21"/>
              </w:rPr>
            </w:pPr>
            <w:r>
              <w:rPr>
                <w:sz w:val="21"/>
              </w:rPr>
              <w:t>中柴沟村</w:t>
            </w:r>
          </w:p>
        </w:tc>
        <w:tc>
          <w:tcPr>
            <w:tcW w:w="1966" w:type="dxa"/>
            <w:tcBorders>
              <w:top w:val="single" w:sz="6" w:space="0" w:color="000000"/>
              <w:left w:val="single" w:sz="6" w:space="0" w:color="000000"/>
              <w:bottom w:val="single" w:sz="6" w:space="0" w:color="000000"/>
              <w:right w:val="single" w:sz="6" w:space="0" w:color="000000"/>
            </w:tcBorders>
          </w:tcPr>
          <w:p>
            <w:pPr>
              <w:pStyle w:val="TableParagraph"/>
              <w:spacing w:before="26"/>
              <w:ind w:left="29"/>
              <w:rPr>
                <w:rFonts w:ascii="Times New Roman"/>
                <w:sz w:val="21"/>
              </w:rPr>
            </w:pPr>
            <w:r>
              <w:rPr>
                <w:rFonts w:ascii="Times New Roman"/>
                <w:w w:val="100"/>
                <w:sz w:val="21"/>
              </w:rPr>
              <w:t>4</w:t>
            </w:r>
          </w:p>
        </w:tc>
        <w:tc>
          <w:tcPr>
            <w:tcW w:w="1964" w:type="dxa"/>
            <w:tcBorders>
              <w:top w:val="single" w:sz="6" w:space="0" w:color="000000"/>
              <w:left w:val="single" w:sz="6" w:space="0" w:color="000000"/>
              <w:bottom w:val="single" w:sz="6" w:space="0" w:color="000000"/>
            </w:tcBorders>
          </w:tcPr>
          <w:p>
            <w:pPr>
              <w:pStyle w:val="TableParagraph"/>
              <w:spacing w:before="26"/>
              <w:ind w:left="150" w:right="116"/>
              <w:rPr>
                <w:rFonts w:ascii="Times New Roman"/>
                <w:sz w:val="21"/>
              </w:rPr>
            </w:pPr>
            <w:r>
              <w:rPr>
                <w:rFonts w:ascii="Times New Roman"/>
                <w:sz w:val="21"/>
              </w:rPr>
              <w:t>2.2</w:t>
            </w:r>
          </w:p>
        </w:tc>
      </w:tr>
      <w:tr>
        <w:trPr>
          <w:trHeight w:val="303" w:hRule="atLeast"/>
        </w:trPr>
        <w:tc>
          <w:tcPr>
            <w:tcW w:w="2060" w:type="dxa"/>
            <w:vMerge/>
            <w:tcBorders>
              <w:top w:val="nil"/>
              <w:right w:val="single" w:sz="6" w:space="0" w:color="000000"/>
            </w:tcBorders>
          </w:tcPr>
          <w:p>
            <w:pPr>
              <w:rPr>
                <w:sz w:val="2"/>
                <w:szCs w:val="2"/>
              </w:rPr>
            </w:pPr>
          </w:p>
        </w:tc>
        <w:tc>
          <w:tcPr>
            <w:tcW w:w="2540" w:type="dxa"/>
            <w:tcBorders>
              <w:top w:val="single" w:sz="6" w:space="0" w:color="000000"/>
              <w:left w:val="single" w:sz="6" w:space="0" w:color="000000"/>
              <w:right w:val="single" w:sz="6" w:space="0" w:color="000000"/>
            </w:tcBorders>
          </w:tcPr>
          <w:p>
            <w:pPr>
              <w:pStyle w:val="TableParagraph"/>
              <w:spacing w:line="284" w:lineRule="exact"/>
              <w:ind w:left="730" w:right="705"/>
              <w:rPr>
                <w:sz w:val="21"/>
              </w:rPr>
            </w:pPr>
            <w:r>
              <w:rPr>
                <w:sz w:val="21"/>
              </w:rPr>
              <w:t>前鲍家村</w:t>
            </w:r>
          </w:p>
        </w:tc>
        <w:tc>
          <w:tcPr>
            <w:tcW w:w="1966" w:type="dxa"/>
            <w:tcBorders>
              <w:top w:val="single" w:sz="6" w:space="0" w:color="000000"/>
              <w:left w:val="single" w:sz="6" w:space="0" w:color="000000"/>
              <w:right w:val="single" w:sz="6" w:space="0" w:color="000000"/>
            </w:tcBorders>
          </w:tcPr>
          <w:p>
            <w:pPr>
              <w:pStyle w:val="TableParagraph"/>
              <w:spacing w:before="26"/>
              <w:ind w:left="29"/>
              <w:rPr>
                <w:rFonts w:ascii="Times New Roman"/>
                <w:sz w:val="21"/>
              </w:rPr>
            </w:pPr>
            <w:r>
              <w:rPr>
                <w:rFonts w:ascii="Times New Roman"/>
                <w:w w:val="100"/>
                <w:sz w:val="21"/>
              </w:rPr>
              <w:t>5</w:t>
            </w:r>
          </w:p>
        </w:tc>
        <w:tc>
          <w:tcPr>
            <w:tcW w:w="1964" w:type="dxa"/>
            <w:tcBorders>
              <w:top w:val="single" w:sz="6" w:space="0" w:color="000000"/>
              <w:left w:val="single" w:sz="6" w:space="0" w:color="000000"/>
            </w:tcBorders>
          </w:tcPr>
          <w:p>
            <w:pPr>
              <w:pStyle w:val="TableParagraph"/>
              <w:spacing w:before="26"/>
              <w:ind w:left="34"/>
              <w:rPr>
                <w:rFonts w:ascii="Times New Roman"/>
                <w:sz w:val="21"/>
              </w:rPr>
            </w:pPr>
            <w:r>
              <w:rPr>
                <w:rFonts w:ascii="Times New Roman"/>
                <w:w w:val="100"/>
                <w:sz w:val="21"/>
              </w:rPr>
              <w:t>3</w:t>
            </w:r>
          </w:p>
        </w:tc>
      </w:tr>
    </w:tbl>
    <w:p>
      <w:pPr>
        <w:tabs>
          <w:tab w:pos="4128" w:val="left" w:leader="none"/>
        </w:tabs>
        <w:spacing w:before="157" w:after="24"/>
        <w:ind w:left="3110" w:right="0" w:firstLine="0"/>
        <w:jc w:val="left"/>
        <w:rPr>
          <w:sz w:val="21"/>
        </w:rPr>
      </w:pPr>
      <w:r>
        <w:rPr>
          <w:sz w:val="21"/>
        </w:rPr>
        <w:t>表</w:t>
      </w:r>
      <w:r>
        <w:rPr>
          <w:spacing w:val="7"/>
          <w:sz w:val="21"/>
        </w:rPr>
        <w:t> </w:t>
      </w:r>
      <w:r>
        <w:rPr>
          <w:rFonts w:ascii="Times New Roman" w:eastAsia="Times New Roman"/>
          <w:b/>
          <w:sz w:val="21"/>
        </w:rPr>
        <w:t>5.4-26</w:t>
        <w:tab/>
      </w:r>
      <w:r>
        <w:rPr>
          <w:sz w:val="21"/>
        </w:rPr>
        <w:t>地下水检测</w:t>
      </w:r>
      <w:r>
        <w:rPr>
          <w:spacing w:val="-3"/>
          <w:sz w:val="21"/>
        </w:rPr>
        <w:t>结</w:t>
      </w:r>
      <w:r>
        <w:rPr>
          <w:sz w:val="21"/>
        </w:rPr>
        <w:t>果一览表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5"/>
        <w:gridCol w:w="1630"/>
        <w:gridCol w:w="1206"/>
        <w:gridCol w:w="1434"/>
        <w:gridCol w:w="1060"/>
        <w:gridCol w:w="968"/>
      </w:tblGrid>
      <w:tr>
        <w:trPr>
          <w:trHeight w:val="680" w:hRule="atLeast"/>
        </w:trPr>
        <w:tc>
          <w:tcPr>
            <w:tcW w:w="2235" w:type="dxa"/>
            <w:tcBorders>
              <w:bottom w:val="single" w:sz="6" w:space="0" w:color="000000"/>
              <w:right w:val="single" w:sz="6" w:space="0" w:color="000000"/>
            </w:tcBorders>
          </w:tcPr>
          <w:p>
            <w:pPr>
              <w:pStyle w:val="TableParagraph"/>
              <w:spacing w:line="326" w:lineRule="exact"/>
              <w:ind w:left="1285"/>
              <w:jc w:val="left"/>
              <w:rPr>
                <w:sz w:val="21"/>
              </w:rPr>
            </w:pPr>
            <w:r>
              <w:rPr>
                <w:sz w:val="21"/>
              </w:rPr>
              <w:t>点位名称</w:t>
            </w:r>
          </w:p>
          <w:p>
            <w:pPr>
              <w:pStyle w:val="TableParagraph"/>
              <w:spacing w:line="334" w:lineRule="exact"/>
              <w:ind w:left="107"/>
              <w:jc w:val="left"/>
              <w:rPr>
                <w:sz w:val="21"/>
              </w:rPr>
            </w:pPr>
            <w:r>
              <w:rPr>
                <w:sz w:val="21"/>
              </w:rPr>
              <w:t>检测项目</w:t>
            </w:r>
          </w:p>
        </w:tc>
        <w:tc>
          <w:tcPr>
            <w:tcW w:w="1630" w:type="dxa"/>
            <w:tcBorders>
              <w:left w:val="single" w:sz="6" w:space="0" w:color="000000"/>
              <w:bottom w:val="single" w:sz="6" w:space="0" w:color="000000"/>
              <w:right w:val="single" w:sz="6" w:space="0" w:color="000000"/>
            </w:tcBorders>
          </w:tcPr>
          <w:p>
            <w:pPr>
              <w:pStyle w:val="TableParagraph"/>
              <w:spacing w:before="106"/>
              <w:ind w:left="276" w:right="248"/>
              <w:rPr>
                <w:sz w:val="21"/>
              </w:rPr>
            </w:pPr>
            <w:r>
              <w:rPr>
                <w:sz w:val="21"/>
              </w:rPr>
              <w:t>孙家怪草村</w:t>
            </w:r>
          </w:p>
        </w:tc>
        <w:tc>
          <w:tcPr>
            <w:tcW w:w="1206" w:type="dxa"/>
            <w:tcBorders>
              <w:left w:val="single" w:sz="6" w:space="0" w:color="000000"/>
              <w:bottom w:val="single" w:sz="6" w:space="0" w:color="000000"/>
              <w:right w:val="single" w:sz="6" w:space="0" w:color="000000"/>
            </w:tcBorders>
          </w:tcPr>
          <w:p>
            <w:pPr>
              <w:pStyle w:val="TableParagraph"/>
              <w:spacing w:before="106"/>
              <w:ind w:left="292"/>
              <w:jc w:val="left"/>
              <w:rPr>
                <w:sz w:val="21"/>
              </w:rPr>
            </w:pPr>
            <w:r>
              <w:rPr>
                <w:sz w:val="21"/>
              </w:rPr>
              <w:t>左山村</w:t>
            </w:r>
          </w:p>
        </w:tc>
        <w:tc>
          <w:tcPr>
            <w:tcW w:w="1434" w:type="dxa"/>
            <w:tcBorders>
              <w:left w:val="single" w:sz="6" w:space="0" w:color="000000"/>
              <w:bottom w:val="single" w:sz="6" w:space="0" w:color="000000"/>
              <w:right w:val="single" w:sz="4" w:space="0" w:color="000000"/>
            </w:tcBorders>
          </w:tcPr>
          <w:p>
            <w:pPr>
              <w:pStyle w:val="TableParagraph"/>
              <w:spacing w:before="106"/>
              <w:ind w:left="281" w:right="259"/>
              <w:rPr>
                <w:sz w:val="21"/>
              </w:rPr>
            </w:pPr>
            <w:r>
              <w:rPr>
                <w:sz w:val="21"/>
              </w:rPr>
              <w:t>东石沟村</w:t>
            </w:r>
          </w:p>
        </w:tc>
        <w:tc>
          <w:tcPr>
            <w:tcW w:w="1060" w:type="dxa"/>
            <w:tcBorders>
              <w:left w:val="single" w:sz="4" w:space="0" w:color="000000"/>
              <w:bottom w:val="single" w:sz="6" w:space="0" w:color="000000"/>
              <w:right w:val="single" w:sz="4" w:space="0" w:color="000000"/>
            </w:tcBorders>
          </w:tcPr>
          <w:p>
            <w:pPr>
              <w:pStyle w:val="TableParagraph"/>
              <w:spacing w:before="106"/>
              <w:ind w:left="326"/>
              <w:jc w:val="left"/>
              <w:rPr>
                <w:sz w:val="21"/>
              </w:rPr>
            </w:pPr>
            <w:r>
              <w:rPr>
                <w:sz w:val="21"/>
              </w:rPr>
              <w:t>厂址</w:t>
            </w:r>
          </w:p>
        </w:tc>
        <w:tc>
          <w:tcPr>
            <w:tcW w:w="968" w:type="dxa"/>
            <w:tcBorders>
              <w:left w:val="single" w:sz="4" w:space="0" w:color="000000"/>
              <w:bottom w:val="single" w:sz="6" w:space="0" w:color="000000"/>
            </w:tcBorders>
          </w:tcPr>
          <w:p>
            <w:pPr>
              <w:pStyle w:val="TableParagraph"/>
              <w:spacing w:line="329" w:lineRule="exact"/>
              <w:ind w:left="155" w:right="122"/>
              <w:rPr>
                <w:sz w:val="21"/>
              </w:rPr>
            </w:pPr>
            <w:r>
              <w:rPr>
                <w:sz w:val="21"/>
              </w:rPr>
              <w:t>中柴沟</w:t>
            </w:r>
          </w:p>
          <w:p>
            <w:pPr>
              <w:pStyle w:val="TableParagraph"/>
              <w:spacing w:line="332" w:lineRule="exact"/>
              <w:ind w:left="28"/>
              <w:rPr>
                <w:sz w:val="21"/>
              </w:rPr>
            </w:pPr>
            <w:r>
              <w:rPr>
                <w:w w:val="100"/>
                <w:sz w:val="21"/>
              </w:rPr>
              <w:t>村</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25" w:lineRule="exact" w:before="44"/>
              <w:ind w:left="37" w:right="524"/>
              <w:rPr>
                <w:rFonts w:ascii="Times New Roman"/>
                <w:sz w:val="14"/>
              </w:rPr>
            </w:pPr>
            <w:r>
              <w:rPr>
                <w:rFonts w:ascii="Times New Roman"/>
                <w:sz w:val="14"/>
              </w:rPr>
              <w:t>2-</w:t>
            </w:r>
          </w:p>
          <w:p>
            <w:pPr>
              <w:pStyle w:val="TableParagraph"/>
              <w:spacing w:line="251" w:lineRule="exact"/>
              <w:ind w:left="438"/>
              <w:jc w:val="left"/>
              <w:rPr>
                <w:sz w:val="21"/>
              </w:rPr>
            </w:pPr>
            <w:r>
              <w:rPr>
                <w:rFonts w:ascii="Times New Roman" w:eastAsia="Times New Roman"/>
                <w:position w:val="2"/>
                <w:sz w:val="21"/>
              </w:rPr>
              <w:t>CO</w:t>
            </w:r>
            <w:r>
              <w:rPr>
                <w:rFonts w:ascii="Times New Roman" w:eastAsia="Times New Roman"/>
                <w:sz w:val="14"/>
              </w:rPr>
              <w:t>3 </w:t>
            </w:r>
            <w:r>
              <w:rPr>
                <w:position w:val="2"/>
                <w:sz w:val="21"/>
              </w:rPr>
              <w:t>（</w:t>
            </w:r>
            <w:r>
              <w:rPr>
                <w:rFonts w:ascii="Times New Roman" w:eastAsia="Times New Roman"/>
                <w:position w:val="2"/>
                <w:sz w:val="21"/>
              </w:rPr>
              <w:t>mg/L</w:t>
            </w:r>
            <w:r>
              <w:rPr>
                <w:position w:val="2"/>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0.00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424"/>
              <w:jc w:val="left"/>
              <w:rPr>
                <w:rFonts w:ascii="Times New Roman"/>
                <w:sz w:val="21"/>
              </w:rPr>
            </w:pPr>
            <w:r>
              <w:rPr>
                <w:rFonts w:ascii="Times New Roman"/>
                <w:sz w:val="21"/>
              </w:rPr>
              <w:t>0.00</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0.00</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353"/>
              <w:jc w:val="left"/>
              <w:rPr>
                <w:rFonts w:ascii="Times New Roman"/>
                <w:sz w:val="21"/>
              </w:rPr>
            </w:pPr>
            <w:r>
              <w:rPr>
                <w:rFonts w:ascii="Times New Roman"/>
                <w:sz w:val="21"/>
              </w:rPr>
              <w:t>0.00</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0.00</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25" w:lineRule="exact" w:before="44"/>
              <w:ind w:right="336"/>
              <w:rPr>
                <w:rFonts w:ascii="Times New Roman"/>
                <w:sz w:val="14"/>
              </w:rPr>
            </w:pPr>
            <w:r>
              <w:rPr>
                <w:rFonts w:ascii="Times New Roman"/>
                <w:w w:val="99"/>
                <w:sz w:val="14"/>
              </w:rPr>
              <w:t>-</w:t>
            </w:r>
          </w:p>
          <w:p>
            <w:pPr>
              <w:pStyle w:val="TableParagraph"/>
              <w:spacing w:line="251" w:lineRule="exact"/>
              <w:ind w:left="397"/>
              <w:jc w:val="left"/>
              <w:rPr>
                <w:sz w:val="21"/>
              </w:rPr>
            </w:pPr>
            <w:r>
              <w:rPr>
                <w:rFonts w:ascii="Times New Roman" w:eastAsia="Times New Roman"/>
                <w:position w:val="2"/>
                <w:sz w:val="21"/>
              </w:rPr>
              <w:t>HCO</w:t>
            </w:r>
            <w:r>
              <w:rPr>
                <w:rFonts w:ascii="Times New Roman" w:eastAsia="Times New Roman"/>
                <w:sz w:val="14"/>
              </w:rPr>
              <w:t>3 </w:t>
            </w:r>
            <w:r>
              <w:rPr>
                <w:position w:val="2"/>
                <w:sz w:val="21"/>
              </w:rPr>
              <w:t>（</w:t>
            </w:r>
            <w:r>
              <w:rPr>
                <w:rFonts w:ascii="Times New Roman" w:eastAsia="Times New Roman"/>
                <w:position w:val="2"/>
                <w:sz w:val="21"/>
              </w:rPr>
              <w:t>mg/L</w:t>
            </w:r>
            <w:r>
              <w:rPr>
                <w:position w:val="2"/>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4"/>
              <w:ind w:left="276" w:right="246"/>
              <w:rPr>
                <w:rFonts w:ascii="Times New Roman"/>
                <w:sz w:val="21"/>
              </w:rPr>
            </w:pPr>
            <w:r>
              <w:rPr>
                <w:rFonts w:ascii="Times New Roman"/>
                <w:sz w:val="21"/>
              </w:rPr>
              <w:t>528</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40"/>
              <w:rPr>
                <w:rFonts w:ascii="Times New Roman"/>
                <w:sz w:val="21"/>
              </w:rPr>
            </w:pPr>
            <w:r>
              <w:rPr>
                <w:rFonts w:ascii="Times New Roman"/>
                <w:sz w:val="21"/>
              </w:rPr>
              <w:t>330</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4"/>
              <w:ind w:left="281" w:right="257"/>
              <w:rPr>
                <w:rFonts w:ascii="Times New Roman"/>
                <w:sz w:val="21"/>
              </w:rPr>
            </w:pPr>
            <w:r>
              <w:rPr>
                <w:rFonts w:ascii="Times New Roman"/>
                <w:sz w:val="21"/>
              </w:rPr>
              <w:t>407</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4"/>
              <w:ind w:left="202" w:right="177"/>
              <w:rPr>
                <w:rFonts w:ascii="Times New Roman"/>
                <w:sz w:val="21"/>
              </w:rPr>
            </w:pPr>
            <w:r>
              <w:rPr>
                <w:rFonts w:ascii="Times New Roman"/>
                <w:sz w:val="21"/>
              </w:rPr>
              <w:t>305</w:t>
            </w:r>
          </w:p>
        </w:tc>
        <w:tc>
          <w:tcPr>
            <w:tcW w:w="968" w:type="dxa"/>
            <w:tcBorders>
              <w:top w:val="single" w:sz="6" w:space="0" w:color="000000"/>
              <w:left w:val="single" w:sz="4" w:space="0" w:color="000000"/>
              <w:bottom w:val="single" w:sz="6" w:space="0" w:color="000000"/>
            </w:tcBorders>
          </w:tcPr>
          <w:p>
            <w:pPr>
              <w:pStyle w:val="TableParagraph"/>
              <w:spacing w:before="44"/>
              <w:ind w:left="155" w:right="122"/>
              <w:rPr>
                <w:rFonts w:ascii="Times New Roman"/>
                <w:sz w:val="21"/>
              </w:rPr>
            </w:pPr>
            <w:r>
              <w:rPr>
                <w:rFonts w:ascii="Times New Roman"/>
                <w:sz w:val="21"/>
              </w:rPr>
              <w:t>394</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rFonts w:ascii="Times New Roman" w:eastAsia="Times New Roman"/>
                <w:sz w:val="21"/>
              </w:rPr>
              <w:t>pH</w:t>
            </w:r>
            <w:r>
              <w:rPr>
                <w:sz w:val="21"/>
              </w:rPr>
              <w:t>（无量纲）</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7.68</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424"/>
              <w:jc w:val="left"/>
              <w:rPr>
                <w:rFonts w:ascii="Times New Roman"/>
                <w:sz w:val="21"/>
              </w:rPr>
            </w:pPr>
            <w:r>
              <w:rPr>
                <w:rFonts w:ascii="Times New Roman"/>
                <w:sz w:val="21"/>
              </w:rPr>
              <w:t>7.24</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7.58</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353"/>
              <w:jc w:val="left"/>
              <w:rPr>
                <w:rFonts w:ascii="Times New Roman"/>
                <w:sz w:val="21"/>
              </w:rPr>
            </w:pPr>
            <w:r>
              <w:rPr>
                <w:rFonts w:ascii="Times New Roman"/>
                <w:sz w:val="21"/>
              </w:rPr>
              <w:t>7.34</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7.61</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92"/>
              <w:rPr>
                <w:sz w:val="21"/>
              </w:rPr>
            </w:pPr>
            <w:r>
              <w:rPr>
                <w:sz w:val="21"/>
              </w:rPr>
              <w:t>氨氮（</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1"/>
              <w:ind w:left="276" w:right="246"/>
              <w:rPr>
                <w:rFonts w:ascii="Times New Roman"/>
                <w:sz w:val="21"/>
              </w:rPr>
            </w:pPr>
            <w:r>
              <w:rPr>
                <w:rFonts w:ascii="Times New Roman"/>
                <w:sz w:val="21"/>
              </w:rPr>
              <w:t>0.40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1"/>
              <w:ind w:left="424"/>
              <w:jc w:val="left"/>
              <w:rPr>
                <w:rFonts w:ascii="Times New Roman"/>
                <w:sz w:val="21"/>
              </w:rPr>
            </w:pPr>
            <w:r>
              <w:rPr>
                <w:rFonts w:ascii="Times New Roman"/>
                <w:sz w:val="21"/>
              </w:rPr>
              <w:t>0.50</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1"/>
              <w:ind w:left="281" w:right="257"/>
              <w:rPr>
                <w:rFonts w:ascii="Times New Roman"/>
                <w:sz w:val="21"/>
              </w:rPr>
            </w:pPr>
            <w:r>
              <w:rPr>
                <w:rFonts w:ascii="Times New Roman"/>
                <w:sz w:val="21"/>
              </w:rPr>
              <w:t>0.26</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1"/>
              <w:ind w:left="353"/>
              <w:jc w:val="left"/>
              <w:rPr>
                <w:rFonts w:ascii="Times New Roman"/>
                <w:sz w:val="21"/>
              </w:rPr>
            </w:pPr>
            <w:r>
              <w:rPr>
                <w:rFonts w:ascii="Times New Roman"/>
                <w:sz w:val="21"/>
              </w:rPr>
              <w:t>0.36</w:t>
            </w:r>
          </w:p>
        </w:tc>
        <w:tc>
          <w:tcPr>
            <w:tcW w:w="968" w:type="dxa"/>
            <w:tcBorders>
              <w:top w:val="single" w:sz="6" w:space="0" w:color="000000"/>
              <w:left w:val="single" w:sz="4" w:space="0" w:color="000000"/>
              <w:bottom w:val="single" w:sz="6" w:space="0" w:color="000000"/>
            </w:tcBorders>
          </w:tcPr>
          <w:p>
            <w:pPr>
              <w:pStyle w:val="TableParagraph"/>
              <w:spacing w:before="41"/>
              <w:ind w:left="155" w:right="122"/>
              <w:rPr>
                <w:rFonts w:ascii="Times New Roman"/>
                <w:sz w:val="21"/>
              </w:rPr>
            </w:pPr>
            <w:r>
              <w:rPr>
                <w:rFonts w:ascii="Times New Roman"/>
                <w:sz w:val="21"/>
              </w:rPr>
              <w:t>0.41</w:t>
            </w:r>
          </w:p>
        </w:tc>
      </w:tr>
      <w:tr>
        <w:trPr>
          <w:trHeight w:val="337" w:hRule="atLeast"/>
        </w:trPr>
        <w:tc>
          <w:tcPr>
            <w:tcW w:w="2235" w:type="dxa"/>
            <w:tcBorders>
              <w:top w:val="single" w:sz="6" w:space="0" w:color="000000"/>
              <w:bottom w:val="single" w:sz="6" w:space="0" w:color="000000"/>
              <w:right w:val="single" w:sz="6" w:space="0" w:color="000000"/>
            </w:tcBorders>
          </w:tcPr>
          <w:p>
            <w:pPr>
              <w:pStyle w:val="TableParagraph"/>
              <w:spacing w:line="318" w:lineRule="exact"/>
              <w:ind w:left="107" w:right="87"/>
              <w:rPr>
                <w:sz w:val="21"/>
              </w:rPr>
            </w:pPr>
            <w:r>
              <w:rPr>
                <w:sz w:val="21"/>
              </w:rPr>
              <w:t>硝酸盐（</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1"/>
              <w:ind w:left="276" w:right="246"/>
              <w:rPr>
                <w:rFonts w:ascii="Times New Roman"/>
                <w:sz w:val="21"/>
              </w:rPr>
            </w:pPr>
            <w:r>
              <w:rPr>
                <w:rFonts w:ascii="Times New Roman"/>
                <w:sz w:val="21"/>
              </w:rPr>
              <w:t>6.2</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1"/>
              <w:ind w:left="167" w:right="140"/>
              <w:rPr>
                <w:rFonts w:ascii="Times New Roman"/>
                <w:sz w:val="21"/>
              </w:rPr>
            </w:pPr>
            <w:r>
              <w:rPr>
                <w:rFonts w:ascii="Times New Roman"/>
                <w:sz w:val="21"/>
              </w:rPr>
              <w:t>7.6</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1"/>
              <w:ind w:left="281" w:right="257"/>
              <w:rPr>
                <w:rFonts w:ascii="Times New Roman"/>
                <w:sz w:val="21"/>
              </w:rPr>
            </w:pPr>
            <w:r>
              <w:rPr>
                <w:rFonts w:ascii="Times New Roman"/>
                <w:sz w:val="21"/>
              </w:rPr>
              <w:t>5.9</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1"/>
              <w:ind w:left="202" w:right="177"/>
              <w:rPr>
                <w:rFonts w:ascii="Times New Roman"/>
                <w:sz w:val="21"/>
              </w:rPr>
            </w:pPr>
            <w:r>
              <w:rPr>
                <w:rFonts w:ascii="Times New Roman"/>
                <w:sz w:val="21"/>
              </w:rPr>
              <w:t>6.0</w:t>
            </w:r>
          </w:p>
        </w:tc>
        <w:tc>
          <w:tcPr>
            <w:tcW w:w="968" w:type="dxa"/>
            <w:tcBorders>
              <w:top w:val="single" w:sz="6" w:space="0" w:color="000000"/>
              <w:left w:val="single" w:sz="4" w:space="0" w:color="000000"/>
              <w:bottom w:val="single" w:sz="6" w:space="0" w:color="000000"/>
            </w:tcBorders>
          </w:tcPr>
          <w:p>
            <w:pPr>
              <w:pStyle w:val="TableParagraph"/>
              <w:spacing w:before="41"/>
              <w:ind w:left="155" w:right="122"/>
              <w:rPr>
                <w:rFonts w:ascii="Times New Roman"/>
                <w:sz w:val="21"/>
              </w:rPr>
            </w:pPr>
            <w:r>
              <w:rPr>
                <w:rFonts w:ascii="Times New Roman"/>
                <w:sz w:val="21"/>
              </w:rPr>
              <w:t>6.1</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9"/>
              <w:rPr>
                <w:sz w:val="21"/>
              </w:rPr>
            </w:pPr>
            <w:r>
              <w:rPr>
                <w:sz w:val="21"/>
              </w:rPr>
              <w:t>亚硝酸盐（</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0.200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371"/>
              <w:jc w:val="left"/>
              <w:rPr>
                <w:rFonts w:ascii="Times New Roman"/>
                <w:sz w:val="21"/>
              </w:rPr>
            </w:pPr>
            <w:r>
              <w:rPr>
                <w:rFonts w:ascii="Times New Roman"/>
                <w:sz w:val="21"/>
              </w:rPr>
              <w:t>0.250</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0.010</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right="272"/>
              <w:jc w:val="right"/>
              <w:rPr>
                <w:rFonts w:ascii="Times New Roman"/>
                <w:sz w:val="21"/>
              </w:rPr>
            </w:pPr>
            <w:r>
              <w:rPr>
                <w:rFonts w:ascii="Times New Roman"/>
                <w:sz w:val="21"/>
              </w:rPr>
              <w:t>0.100</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0.950</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sz w:val="21"/>
              </w:rPr>
              <w:t>挥发酚（</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8"/>
              <w:rPr>
                <w:rFonts w:ascii="Times New Roman"/>
                <w:sz w:val="21"/>
              </w:rPr>
            </w:pPr>
            <w:r>
              <w:rPr>
                <w:rFonts w:ascii="Times New Roman"/>
                <w:sz w:val="21"/>
              </w:rPr>
              <w:t>&lt;0.002</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311"/>
              <w:jc w:val="left"/>
              <w:rPr>
                <w:rFonts w:ascii="Times New Roman"/>
                <w:sz w:val="21"/>
              </w:rPr>
            </w:pPr>
            <w:r>
              <w:rPr>
                <w:rFonts w:ascii="Times New Roman"/>
                <w:sz w:val="21"/>
              </w:rPr>
              <w:t>&lt;0.002</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9"/>
              <w:rPr>
                <w:rFonts w:ascii="Times New Roman"/>
                <w:sz w:val="21"/>
              </w:rPr>
            </w:pPr>
            <w:r>
              <w:rPr>
                <w:rFonts w:ascii="Times New Roman"/>
                <w:sz w:val="21"/>
              </w:rPr>
              <w:t>&lt;0.002</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right="215"/>
              <w:jc w:val="right"/>
              <w:rPr>
                <w:rFonts w:ascii="Times New Roman"/>
                <w:sz w:val="21"/>
              </w:rPr>
            </w:pPr>
            <w:r>
              <w:rPr>
                <w:rFonts w:ascii="Times New Roman"/>
                <w:sz w:val="21"/>
              </w:rPr>
              <w:t>&lt;0.002</w:t>
            </w:r>
          </w:p>
        </w:tc>
        <w:tc>
          <w:tcPr>
            <w:tcW w:w="968" w:type="dxa"/>
            <w:tcBorders>
              <w:top w:val="single" w:sz="6" w:space="0" w:color="000000"/>
              <w:left w:val="single" w:sz="4" w:space="0" w:color="000000"/>
              <w:bottom w:val="single" w:sz="6" w:space="0" w:color="000000"/>
            </w:tcBorders>
          </w:tcPr>
          <w:p>
            <w:pPr>
              <w:pStyle w:val="TableParagraph"/>
              <w:spacing w:before="43"/>
              <w:ind w:left="152" w:right="122"/>
              <w:rPr>
                <w:rFonts w:ascii="Times New Roman"/>
                <w:sz w:val="21"/>
              </w:rPr>
            </w:pPr>
            <w:r>
              <w:rPr>
                <w:rFonts w:ascii="Times New Roman"/>
                <w:sz w:val="21"/>
              </w:rPr>
              <w:t>&lt;0.002</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sz w:val="21"/>
              </w:rPr>
              <w:t>氰化物（</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0.004</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311"/>
              <w:jc w:val="left"/>
              <w:rPr>
                <w:rFonts w:ascii="Times New Roman"/>
                <w:sz w:val="21"/>
              </w:rPr>
            </w:pPr>
            <w:r>
              <w:rPr>
                <w:rFonts w:ascii="Times New Roman"/>
                <w:sz w:val="21"/>
              </w:rPr>
              <w:t>&lt;0.002</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9"/>
              <w:rPr>
                <w:rFonts w:ascii="Times New Roman"/>
                <w:sz w:val="21"/>
              </w:rPr>
            </w:pPr>
            <w:r>
              <w:rPr>
                <w:rFonts w:ascii="Times New Roman"/>
                <w:sz w:val="21"/>
              </w:rPr>
              <w:t>&lt;0.002</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right="215"/>
              <w:jc w:val="right"/>
              <w:rPr>
                <w:rFonts w:ascii="Times New Roman"/>
                <w:sz w:val="21"/>
              </w:rPr>
            </w:pPr>
            <w:r>
              <w:rPr>
                <w:rFonts w:ascii="Times New Roman"/>
                <w:sz w:val="21"/>
              </w:rPr>
              <w:t>&lt;0.002</w:t>
            </w:r>
          </w:p>
        </w:tc>
        <w:tc>
          <w:tcPr>
            <w:tcW w:w="968" w:type="dxa"/>
            <w:tcBorders>
              <w:top w:val="single" w:sz="6" w:space="0" w:color="000000"/>
              <w:left w:val="single" w:sz="4" w:space="0" w:color="000000"/>
              <w:bottom w:val="single" w:sz="6" w:space="0" w:color="000000"/>
            </w:tcBorders>
          </w:tcPr>
          <w:p>
            <w:pPr>
              <w:pStyle w:val="TableParagraph"/>
              <w:spacing w:before="43"/>
              <w:ind w:left="152" w:right="122"/>
              <w:rPr>
                <w:rFonts w:ascii="Times New Roman"/>
                <w:sz w:val="21"/>
              </w:rPr>
            </w:pPr>
            <w:r>
              <w:rPr>
                <w:rFonts w:ascii="Times New Roman"/>
                <w:sz w:val="21"/>
              </w:rPr>
              <w:t>&lt;0.002</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sz w:val="21"/>
              </w:rPr>
              <w:t>六价铬（</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8"/>
              <w:rPr>
                <w:rFonts w:ascii="Times New Roman"/>
                <w:sz w:val="21"/>
              </w:rPr>
            </w:pPr>
            <w:r>
              <w:rPr>
                <w:rFonts w:ascii="Times New Roman"/>
                <w:sz w:val="21"/>
              </w:rPr>
              <w:t>&lt;0.004</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311"/>
              <w:jc w:val="left"/>
              <w:rPr>
                <w:rFonts w:ascii="Times New Roman"/>
                <w:sz w:val="21"/>
              </w:rPr>
            </w:pPr>
            <w:r>
              <w:rPr>
                <w:rFonts w:ascii="Times New Roman"/>
                <w:sz w:val="21"/>
              </w:rPr>
              <w:t>&lt;0.004</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9"/>
              <w:rPr>
                <w:rFonts w:ascii="Times New Roman"/>
                <w:sz w:val="21"/>
              </w:rPr>
            </w:pPr>
            <w:r>
              <w:rPr>
                <w:rFonts w:ascii="Times New Roman"/>
                <w:sz w:val="21"/>
              </w:rPr>
              <w:t>&lt;0.004</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right="214"/>
              <w:jc w:val="right"/>
              <w:rPr>
                <w:rFonts w:ascii="Times New Roman"/>
                <w:sz w:val="21"/>
              </w:rPr>
            </w:pPr>
            <w:r>
              <w:rPr>
                <w:rFonts w:ascii="Times New Roman"/>
                <w:sz w:val="21"/>
              </w:rPr>
              <w:t>&lt;0.004</w:t>
            </w:r>
          </w:p>
        </w:tc>
        <w:tc>
          <w:tcPr>
            <w:tcW w:w="968" w:type="dxa"/>
            <w:tcBorders>
              <w:top w:val="single" w:sz="6" w:space="0" w:color="000000"/>
              <w:left w:val="single" w:sz="4" w:space="0" w:color="000000"/>
              <w:bottom w:val="single" w:sz="6" w:space="0" w:color="000000"/>
            </w:tcBorders>
          </w:tcPr>
          <w:p>
            <w:pPr>
              <w:pStyle w:val="TableParagraph"/>
              <w:spacing w:before="43"/>
              <w:ind w:left="152" w:right="122"/>
              <w:rPr>
                <w:rFonts w:ascii="Times New Roman"/>
                <w:sz w:val="21"/>
              </w:rPr>
            </w:pPr>
            <w:r>
              <w:rPr>
                <w:rFonts w:ascii="Times New Roman"/>
                <w:sz w:val="21"/>
              </w:rPr>
              <w:t>&lt;0.004</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sz w:val="21"/>
              </w:rPr>
              <w:t>总硬度（</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428</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330</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333</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340</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338</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1" w:lineRule="exact"/>
              <w:ind w:left="107" w:right="89"/>
              <w:rPr>
                <w:sz w:val="21"/>
              </w:rPr>
            </w:pPr>
            <w:r>
              <w:rPr>
                <w:sz w:val="21"/>
              </w:rPr>
              <w:t>氟（</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&lt;0.2</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424"/>
              <w:jc w:val="left"/>
              <w:rPr>
                <w:rFonts w:ascii="Times New Roman"/>
                <w:sz w:val="21"/>
              </w:rPr>
            </w:pPr>
            <w:r>
              <w:rPr>
                <w:rFonts w:ascii="Times New Roman"/>
                <w:sz w:val="21"/>
              </w:rPr>
              <w:t>0.40</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0.47</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353"/>
              <w:jc w:val="left"/>
              <w:rPr>
                <w:rFonts w:ascii="Times New Roman"/>
                <w:sz w:val="21"/>
              </w:rPr>
            </w:pPr>
            <w:r>
              <w:rPr>
                <w:rFonts w:ascii="Times New Roman"/>
                <w:sz w:val="21"/>
              </w:rPr>
              <w:t>0.44</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0.28</w:t>
            </w:r>
          </w:p>
        </w:tc>
      </w:tr>
      <w:tr>
        <w:trPr>
          <w:trHeight w:val="339" w:hRule="atLeast"/>
        </w:trPr>
        <w:tc>
          <w:tcPr>
            <w:tcW w:w="2235" w:type="dxa"/>
            <w:tcBorders>
              <w:top w:val="single" w:sz="6" w:space="0" w:color="000000"/>
              <w:right w:val="single" w:sz="6" w:space="0" w:color="000000"/>
            </w:tcBorders>
          </w:tcPr>
          <w:p>
            <w:pPr>
              <w:pStyle w:val="TableParagraph"/>
              <w:spacing w:line="320" w:lineRule="exact"/>
              <w:ind w:left="107" w:right="-29"/>
              <w:rPr>
                <w:sz w:val="21"/>
              </w:rPr>
            </w:pPr>
            <w:r>
              <w:rPr>
                <w:spacing w:val="-5"/>
                <w:sz w:val="21"/>
              </w:rPr>
              <w:t>溶解性总固体</w:t>
            </w:r>
            <w:r>
              <w:rPr>
                <w:spacing w:val="-1"/>
                <w:sz w:val="21"/>
              </w:rPr>
              <w:t>（</w:t>
            </w:r>
            <w:r>
              <w:rPr>
                <w:rFonts w:ascii="Times New Roman" w:eastAsia="Times New Roman"/>
                <w:spacing w:val="-1"/>
                <w:sz w:val="21"/>
              </w:rPr>
              <w:t>mg/L</w:t>
            </w:r>
            <w:r>
              <w:rPr>
                <w:spacing w:val="-1"/>
                <w:sz w:val="21"/>
              </w:rPr>
              <w:t>）</w:t>
            </w:r>
          </w:p>
        </w:tc>
        <w:tc>
          <w:tcPr>
            <w:tcW w:w="1630" w:type="dxa"/>
            <w:tcBorders>
              <w:top w:val="single" w:sz="6" w:space="0" w:color="000000"/>
              <w:left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980</w:t>
            </w:r>
          </w:p>
        </w:tc>
        <w:tc>
          <w:tcPr>
            <w:tcW w:w="1206" w:type="dxa"/>
            <w:tcBorders>
              <w:top w:val="single" w:sz="6" w:space="0" w:color="000000"/>
              <w:left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918</w:t>
            </w:r>
          </w:p>
        </w:tc>
        <w:tc>
          <w:tcPr>
            <w:tcW w:w="1434" w:type="dxa"/>
            <w:tcBorders>
              <w:top w:val="single" w:sz="6" w:space="0" w:color="000000"/>
              <w:left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906</w:t>
            </w:r>
          </w:p>
        </w:tc>
        <w:tc>
          <w:tcPr>
            <w:tcW w:w="1060" w:type="dxa"/>
            <w:tcBorders>
              <w:top w:val="single" w:sz="6" w:space="0" w:color="000000"/>
              <w:left w:val="single" w:sz="4" w:space="0" w:color="000000"/>
              <w:right w:val="single" w:sz="4" w:space="0" w:color="000000"/>
            </w:tcBorders>
          </w:tcPr>
          <w:p>
            <w:pPr>
              <w:pStyle w:val="TableParagraph"/>
              <w:spacing w:before="43"/>
              <w:ind w:left="202" w:right="177"/>
              <w:rPr>
                <w:rFonts w:ascii="Times New Roman"/>
                <w:sz w:val="21"/>
              </w:rPr>
            </w:pPr>
            <w:r>
              <w:rPr>
                <w:rFonts w:ascii="Times New Roman"/>
                <w:sz w:val="21"/>
              </w:rPr>
              <w:t>975</w:t>
            </w:r>
          </w:p>
        </w:tc>
        <w:tc>
          <w:tcPr>
            <w:tcW w:w="968" w:type="dxa"/>
            <w:tcBorders>
              <w:top w:val="single" w:sz="6" w:space="0" w:color="000000"/>
              <w:left w:val="single" w:sz="4" w:space="0" w:color="000000"/>
            </w:tcBorders>
          </w:tcPr>
          <w:p>
            <w:pPr>
              <w:pStyle w:val="TableParagraph"/>
              <w:spacing w:before="43"/>
              <w:ind w:left="155" w:right="122"/>
              <w:rPr>
                <w:rFonts w:ascii="Times New Roman"/>
                <w:sz w:val="21"/>
              </w:rPr>
            </w:pPr>
            <w:r>
              <w:rPr>
                <w:rFonts w:ascii="Times New Roman"/>
                <w:sz w:val="21"/>
              </w:rPr>
              <w:t>919</w:t>
            </w:r>
          </w:p>
        </w:tc>
      </w:tr>
    </w:tbl>
    <w:p>
      <w:pPr>
        <w:spacing w:after="0"/>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5"/>
        <w:gridCol w:w="1630"/>
        <w:gridCol w:w="1206"/>
        <w:gridCol w:w="1434"/>
        <w:gridCol w:w="1060"/>
        <w:gridCol w:w="968"/>
      </w:tblGrid>
      <w:tr>
        <w:trPr>
          <w:trHeight w:val="544" w:hRule="atLeast"/>
        </w:trPr>
        <w:tc>
          <w:tcPr>
            <w:tcW w:w="2235" w:type="dxa"/>
            <w:tcBorders>
              <w:bottom w:val="single" w:sz="6" w:space="0" w:color="000000"/>
              <w:right w:val="single" w:sz="6" w:space="0" w:color="000000"/>
            </w:tcBorders>
          </w:tcPr>
          <w:p>
            <w:pPr>
              <w:pStyle w:val="TableParagraph"/>
              <w:spacing w:line="261" w:lineRule="exact"/>
              <w:ind w:left="380"/>
              <w:jc w:val="left"/>
              <w:rPr>
                <w:sz w:val="21"/>
              </w:rPr>
            </w:pPr>
            <w:r>
              <w:rPr>
                <w:sz w:val="21"/>
              </w:rPr>
              <w:t>耗氧量（高锰酸</w:t>
            </w:r>
          </w:p>
          <w:p>
            <w:pPr>
              <w:pStyle w:val="TableParagraph"/>
              <w:spacing w:line="263" w:lineRule="exact"/>
              <w:ind w:left="311"/>
              <w:jc w:val="left"/>
              <w:rPr>
                <w:sz w:val="21"/>
              </w:rPr>
            </w:pPr>
            <w:r>
              <w:rPr>
                <w:spacing w:val="-1"/>
                <w:w w:val="100"/>
                <w:sz w:val="21"/>
              </w:rPr>
              <w:t>盐指数</w:t>
            </w:r>
            <w:r>
              <w:rPr>
                <w:spacing w:val="-106"/>
                <w:w w:val="100"/>
                <w:sz w:val="21"/>
              </w:rPr>
              <w:t>）</w:t>
            </w:r>
            <w:r>
              <w:rPr>
                <w:spacing w:val="-1"/>
                <w:w w:val="100"/>
                <w:sz w:val="21"/>
              </w:rPr>
              <w:t>（</w:t>
            </w:r>
            <w:r>
              <w:rPr>
                <w:rFonts w:ascii="Times New Roman" w:eastAsia="Times New Roman"/>
                <w:spacing w:val="-4"/>
                <w:w w:val="100"/>
                <w:sz w:val="21"/>
              </w:rPr>
              <w:t>m</w:t>
            </w:r>
            <w:r>
              <w:rPr>
                <w:rFonts w:ascii="Times New Roman" w:eastAsia="Times New Roman"/>
                <w:w w:val="100"/>
                <w:sz w:val="21"/>
              </w:rPr>
              <w:t>g</w:t>
            </w:r>
            <w:r>
              <w:rPr>
                <w:rFonts w:ascii="Times New Roman" w:eastAsia="Times New Roman"/>
                <w:spacing w:val="-2"/>
                <w:w w:val="100"/>
                <w:sz w:val="21"/>
              </w:rPr>
              <w:t>/</w:t>
            </w:r>
            <w:r>
              <w:rPr>
                <w:rFonts w:ascii="Times New Roman" w:eastAsia="Times New Roman"/>
                <w:spacing w:val="-5"/>
                <w:w w:val="100"/>
                <w:sz w:val="21"/>
              </w:rPr>
              <w:t>L</w:t>
            </w:r>
            <w:r>
              <w:rPr>
                <w:w w:val="100"/>
                <w:sz w:val="21"/>
              </w:rPr>
              <w:t>）</w:t>
            </w:r>
          </w:p>
        </w:tc>
        <w:tc>
          <w:tcPr>
            <w:tcW w:w="1630" w:type="dxa"/>
            <w:tcBorders>
              <w:left w:val="single" w:sz="6" w:space="0" w:color="000000"/>
              <w:bottom w:val="single" w:sz="6" w:space="0" w:color="000000"/>
              <w:right w:val="single" w:sz="6" w:space="0" w:color="000000"/>
            </w:tcBorders>
          </w:tcPr>
          <w:p>
            <w:pPr>
              <w:pStyle w:val="TableParagraph"/>
              <w:spacing w:before="147"/>
              <w:ind w:left="276" w:right="246"/>
              <w:rPr>
                <w:rFonts w:ascii="Times New Roman"/>
                <w:sz w:val="21"/>
              </w:rPr>
            </w:pPr>
            <w:r>
              <w:rPr>
                <w:rFonts w:ascii="Times New Roman"/>
                <w:sz w:val="21"/>
              </w:rPr>
              <w:t>3.80</w:t>
            </w:r>
          </w:p>
        </w:tc>
        <w:tc>
          <w:tcPr>
            <w:tcW w:w="1206" w:type="dxa"/>
            <w:tcBorders>
              <w:left w:val="single" w:sz="6" w:space="0" w:color="000000"/>
              <w:bottom w:val="single" w:sz="6" w:space="0" w:color="000000"/>
              <w:right w:val="single" w:sz="6" w:space="0" w:color="000000"/>
            </w:tcBorders>
          </w:tcPr>
          <w:p>
            <w:pPr>
              <w:pStyle w:val="TableParagraph"/>
              <w:spacing w:before="147"/>
              <w:ind w:left="167" w:right="140"/>
              <w:rPr>
                <w:rFonts w:ascii="Times New Roman"/>
                <w:sz w:val="21"/>
              </w:rPr>
            </w:pPr>
            <w:r>
              <w:rPr>
                <w:rFonts w:ascii="Times New Roman"/>
                <w:sz w:val="21"/>
              </w:rPr>
              <w:t>3.20</w:t>
            </w:r>
          </w:p>
        </w:tc>
        <w:tc>
          <w:tcPr>
            <w:tcW w:w="1434" w:type="dxa"/>
            <w:tcBorders>
              <w:left w:val="single" w:sz="6" w:space="0" w:color="000000"/>
              <w:bottom w:val="single" w:sz="6" w:space="0" w:color="000000"/>
              <w:right w:val="single" w:sz="4" w:space="0" w:color="000000"/>
            </w:tcBorders>
          </w:tcPr>
          <w:p>
            <w:pPr>
              <w:pStyle w:val="TableParagraph"/>
              <w:spacing w:before="147"/>
              <w:ind w:left="281" w:right="257"/>
              <w:rPr>
                <w:rFonts w:ascii="Times New Roman"/>
                <w:sz w:val="21"/>
              </w:rPr>
            </w:pPr>
            <w:r>
              <w:rPr>
                <w:rFonts w:ascii="Times New Roman"/>
                <w:sz w:val="21"/>
              </w:rPr>
              <w:t>2.80</w:t>
            </w:r>
          </w:p>
        </w:tc>
        <w:tc>
          <w:tcPr>
            <w:tcW w:w="1060" w:type="dxa"/>
            <w:tcBorders>
              <w:left w:val="single" w:sz="4" w:space="0" w:color="000000"/>
              <w:bottom w:val="single" w:sz="6" w:space="0" w:color="000000"/>
              <w:right w:val="single" w:sz="4" w:space="0" w:color="000000"/>
            </w:tcBorders>
          </w:tcPr>
          <w:p>
            <w:pPr>
              <w:pStyle w:val="TableParagraph"/>
              <w:spacing w:before="147"/>
              <w:ind w:left="202" w:right="177"/>
              <w:rPr>
                <w:rFonts w:ascii="Times New Roman"/>
                <w:sz w:val="21"/>
              </w:rPr>
            </w:pPr>
            <w:r>
              <w:rPr>
                <w:rFonts w:ascii="Times New Roman"/>
                <w:sz w:val="21"/>
              </w:rPr>
              <w:t>4.00</w:t>
            </w:r>
          </w:p>
        </w:tc>
        <w:tc>
          <w:tcPr>
            <w:tcW w:w="968" w:type="dxa"/>
            <w:tcBorders>
              <w:left w:val="single" w:sz="4" w:space="0" w:color="000000"/>
              <w:bottom w:val="single" w:sz="6" w:space="0" w:color="000000"/>
            </w:tcBorders>
          </w:tcPr>
          <w:p>
            <w:pPr>
              <w:pStyle w:val="TableParagraph"/>
              <w:spacing w:before="147"/>
              <w:ind w:left="155" w:right="122"/>
              <w:rPr>
                <w:rFonts w:ascii="Times New Roman"/>
                <w:sz w:val="21"/>
              </w:rPr>
            </w:pPr>
            <w:r>
              <w:rPr>
                <w:rFonts w:ascii="Times New Roman"/>
                <w:sz w:val="21"/>
              </w:rPr>
              <w:t>2.56</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sz w:val="21"/>
              </w:rPr>
              <w:t>硫酸盐（</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75.2</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161</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181</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195</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176</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sz w:val="21"/>
              </w:rPr>
              <w:t>氯化物（</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154</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97.5</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98.5</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236</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98.5</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9"/>
              <w:rPr>
                <w:sz w:val="21"/>
              </w:rPr>
            </w:pPr>
            <w:r>
              <w:rPr>
                <w:sz w:val="21"/>
              </w:rPr>
              <w:t>总大肠菌群（个</w:t>
            </w:r>
            <w:r>
              <w:rPr>
                <w:rFonts w:ascii="Times New Roman" w:eastAsia="Times New Roman"/>
                <w:sz w:val="21"/>
              </w:rPr>
              <w:t>/L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5"/>
              <w:rPr>
                <w:rFonts w:ascii="Times New Roman"/>
                <w:sz w:val="21"/>
              </w:rPr>
            </w:pPr>
            <w:r>
              <w:rPr>
                <w:rFonts w:ascii="Times New Roman"/>
                <w:sz w:val="21"/>
              </w:rPr>
              <w:t>&lt;2</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39"/>
              <w:rPr>
                <w:rFonts w:ascii="Times New Roman"/>
                <w:sz w:val="21"/>
              </w:rPr>
            </w:pPr>
            <w:r>
              <w:rPr>
                <w:rFonts w:ascii="Times New Roman"/>
                <w:sz w:val="21"/>
              </w:rPr>
              <w:t>&lt;2</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6"/>
              <w:rPr>
                <w:rFonts w:ascii="Times New Roman"/>
                <w:sz w:val="21"/>
              </w:rPr>
            </w:pPr>
            <w:r>
              <w:rPr>
                <w:rFonts w:ascii="Times New Roman"/>
                <w:sz w:val="21"/>
              </w:rPr>
              <w:t>&lt;2</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6"/>
              <w:rPr>
                <w:rFonts w:ascii="Times New Roman"/>
                <w:sz w:val="21"/>
              </w:rPr>
            </w:pPr>
            <w:r>
              <w:rPr>
                <w:rFonts w:ascii="Times New Roman"/>
                <w:sz w:val="21"/>
              </w:rPr>
              <w:t>&lt;2</w:t>
            </w:r>
          </w:p>
        </w:tc>
        <w:tc>
          <w:tcPr>
            <w:tcW w:w="968" w:type="dxa"/>
            <w:tcBorders>
              <w:top w:val="single" w:sz="6" w:space="0" w:color="000000"/>
              <w:left w:val="single" w:sz="4" w:space="0" w:color="000000"/>
              <w:bottom w:val="single" w:sz="6" w:space="0" w:color="000000"/>
            </w:tcBorders>
          </w:tcPr>
          <w:p>
            <w:pPr>
              <w:pStyle w:val="TableParagraph"/>
              <w:spacing w:before="43"/>
              <w:ind w:left="155" w:right="121"/>
              <w:rPr>
                <w:rFonts w:ascii="Times New Roman"/>
                <w:sz w:val="21"/>
              </w:rPr>
            </w:pPr>
            <w:r>
              <w:rPr>
                <w:rFonts w:ascii="Times New Roman"/>
                <w:sz w:val="21"/>
              </w:rPr>
              <w:t>&lt;2</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7"/>
              <w:rPr>
                <w:sz w:val="21"/>
              </w:rPr>
            </w:pPr>
            <w:r>
              <w:rPr>
                <w:sz w:val="21"/>
              </w:rPr>
              <w:t>石油类（</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8"/>
              <w:rPr>
                <w:rFonts w:ascii="Times New Roman"/>
                <w:sz w:val="21"/>
              </w:rPr>
            </w:pPr>
            <w:r>
              <w:rPr>
                <w:rFonts w:ascii="Times New Roman"/>
                <w:sz w:val="21"/>
              </w:rPr>
              <w:t>&lt;0.05</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3"/>
              <w:rPr>
                <w:rFonts w:ascii="Times New Roman"/>
                <w:sz w:val="21"/>
              </w:rPr>
            </w:pPr>
            <w:r>
              <w:rPr>
                <w:rFonts w:ascii="Times New Roman"/>
                <w:sz w:val="21"/>
              </w:rPr>
              <w:t>&lt;0.05</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478"/>
              <w:jc w:val="left"/>
              <w:rPr>
                <w:rFonts w:ascii="Times New Roman"/>
                <w:sz w:val="21"/>
              </w:rPr>
            </w:pPr>
            <w:r>
              <w:rPr>
                <w:rFonts w:ascii="Times New Roman"/>
                <w:sz w:val="21"/>
              </w:rPr>
              <w:t>&lt;0.05</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0" w:right="177"/>
              <w:rPr>
                <w:rFonts w:ascii="Times New Roman"/>
                <w:sz w:val="21"/>
              </w:rPr>
            </w:pPr>
            <w:r>
              <w:rPr>
                <w:rFonts w:ascii="Times New Roman"/>
                <w:sz w:val="21"/>
              </w:rPr>
              <w:t>&lt;0.05</w:t>
            </w:r>
          </w:p>
        </w:tc>
        <w:tc>
          <w:tcPr>
            <w:tcW w:w="968" w:type="dxa"/>
            <w:tcBorders>
              <w:top w:val="single" w:sz="6" w:space="0" w:color="000000"/>
              <w:left w:val="single" w:sz="4" w:space="0" w:color="000000"/>
              <w:bottom w:val="single" w:sz="6" w:space="0" w:color="000000"/>
            </w:tcBorders>
          </w:tcPr>
          <w:p>
            <w:pPr>
              <w:pStyle w:val="TableParagraph"/>
              <w:spacing w:before="43"/>
              <w:ind w:left="152" w:right="122"/>
              <w:rPr>
                <w:rFonts w:ascii="Times New Roman"/>
                <w:sz w:val="21"/>
              </w:rPr>
            </w:pPr>
            <w:r>
              <w:rPr>
                <w:rFonts w:ascii="Times New Roman"/>
                <w:sz w:val="21"/>
              </w:rPr>
              <w:t>&lt;0.05</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9"/>
              <w:rPr>
                <w:sz w:val="21"/>
              </w:rPr>
            </w:pPr>
            <w:r>
              <w:rPr>
                <w:rFonts w:ascii="Times New Roman" w:eastAsia="Times New Roman"/>
                <w:sz w:val="21"/>
              </w:rPr>
              <w:t>K</w:t>
            </w:r>
            <w:r>
              <w:rPr>
                <w:rFonts w:ascii="Times New Roman" w:eastAsia="Times New Roman"/>
                <w:position w:val="7"/>
                <w:sz w:val="14"/>
              </w:rPr>
              <w:t>+</w:t>
            </w:r>
            <w:r>
              <w:rPr>
                <w:sz w:val="21"/>
              </w:rPr>
              <w:t>（</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8.74</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22.1</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1.67</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4.38</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15.1</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92"/>
              <w:rPr>
                <w:sz w:val="21"/>
              </w:rPr>
            </w:pPr>
            <w:r>
              <w:rPr>
                <w:rFonts w:ascii="Times New Roman" w:eastAsia="Times New Roman"/>
                <w:sz w:val="21"/>
              </w:rPr>
              <w:t>Na</w:t>
            </w:r>
            <w:r>
              <w:rPr>
                <w:rFonts w:ascii="Times New Roman" w:eastAsia="Times New Roman"/>
                <w:position w:val="7"/>
                <w:sz w:val="14"/>
              </w:rPr>
              <w:t>+</w:t>
            </w:r>
            <w:r>
              <w:rPr>
                <w:sz w:val="21"/>
              </w:rPr>
              <w:t>（</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8"/>
              <w:ind w:left="276" w:right="246"/>
              <w:rPr>
                <w:rFonts w:ascii="Times New Roman"/>
                <w:sz w:val="21"/>
              </w:rPr>
            </w:pPr>
            <w:r>
              <w:rPr>
                <w:rFonts w:ascii="Times New Roman"/>
                <w:sz w:val="21"/>
              </w:rPr>
              <w:t>51.8</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43.6</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48.5</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50.7</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51.6</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92"/>
              <w:rPr>
                <w:sz w:val="21"/>
              </w:rPr>
            </w:pPr>
            <w:r>
              <w:rPr>
                <w:rFonts w:ascii="Times New Roman" w:eastAsia="Times New Roman"/>
                <w:sz w:val="21"/>
              </w:rPr>
              <w:t>Ca</w:t>
            </w:r>
            <w:r>
              <w:rPr>
                <w:rFonts w:ascii="Times New Roman" w:eastAsia="Times New Roman"/>
                <w:position w:val="7"/>
                <w:sz w:val="14"/>
              </w:rPr>
              <w:t>2+</w:t>
            </w:r>
            <w:r>
              <w:rPr>
                <w:sz w:val="21"/>
              </w:rPr>
              <w:t>（</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153</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139</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204</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226</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145</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1" w:lineRule="exact"/>
              <w:ind w:left="107" w:right="89"/>
              <w:rPr>
                <w:sz w:val="21"/>
              </w:rPr>
            </w:pPr>
            <w:r>
              <w:rPr>
                <w:rFonts w:ascii="Times New Roman" w:eastAsia="Times New Roman"/>
                <w:sz w:val="21"/>
              </w:rPr>
              <w:t>Mg</w:t>
            </w:r>
            <w:r>
              <w:rPr>
                <w:rFonts w:ascii="Times New Roman" w:eastAsia="Times New Roman"/>
                <w:position w:val="7"/>
                <w:sz w:val="14"/>
              </w:rPr>
              <w:t>2+</w:t>
            </w:r>
            <w:r>
              <w:rPr>
                <w:sz w:val="21"/>
              </w:rPr>
              <w:t>（</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33.6</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26.1</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281" w:right="257"/>
              <w:rPr>
                <w:rFonts w:ascii="Times New Roman"/>
                <w:sz w:val="21"/>
              </w:rPr>
            </w:pPr>
            <w:r>
              <w:rPr>
                <w:rFonts w:ascii="Times New Roman"/>
                <w:sz w:val="21"/>
              </w:rPr>
              <w:t>22.8</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30.4</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30.7</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91"/>
              <w:rPr>
                <w:rFonts w:ascii="Times New Roman" w:hAnsi="Times New Roman" w:eastAsia="Times New Roman"/>
                <w:sz w:val="21"/>
              </w:rPr>
            </w:pPr>
            <w:r>
              <w:rPr>
                <w:sz w:val="21"/>
              </w:rPr>
              <w:t>砷</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4"/>
              <w:ind w:left="276" w:right="246"/>
              <w:rPr>
                <w:rFonts w:ascii="Times New Roman"/>
                <w:sz w:val="21"/>
              </w:rPr>
            </w:pPr>
            <w:r>
              <w:rPr>
                <w:rFonts w:ascii="Times New Roman"/>
                <w:sz w:val="21"/>
              </w:rPr>
              <w:t>&lt;0.1</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40"/>
              <w:rPr>
                <w:rFonts w:ascii="Times New Roman"/>
                <w:sz w:val="21"/>
              </w:rPr>
            </w:pPr>
            <w:r>
              <w:rPr>
                <w:rFonts w:ascii="Times New Roman"/>
                <w:sz w:val="21"/>
              </w:rPr>
              <w:t>&lt;0.1</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4"/>
              <w:ind w:left="281" w:right="257"/>
              <w:rPr>
                <w:rFonts w:ascii="Times New Roman"/>
                <w:sz w:val="21"/>
              </w:rPr>
            </w:pPr>
            <w:r>
              <w:rPr>
                <w:rFonts w:ascii="Times New Roman"/>
                <w:sz w:val="21"/>
              </w:rPr>
              <w:t>&lt;0.1</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4"/>
              <w:ind w:left="202" w:right="177"/>
              <w:rPr>
                <w:rFonts w:ascii="Times New Roman"/>
                <w:sz w:val="21"/>
              </w:rPr>
            </w:pPr>
            <w:r>
              <w:rPr>
                <w:rFonts w:ascii="Times New Roman"/>
                <w:sz w:val="21"/>
              </w:rPr>
              <w:t>&lt;0.1</w:t>
            </w:r>
          </w:p>
        </w:tc>
        <w:tc>
          <w:tcPr>
            <w:tcW w:w="968" w:type="dxa"/>
            <w:tcBorders>
              <w:top w:val="single" w:sz="6" w:space="0" w:color="000000"/>
              <w:left w:val="single" w:sz="4" w:space="0" w:color="000000"/>
              <w:bottom w:val="single" w:sz="6" w:space="0" w:color="000000"/>
            </w:tcBorders>
          </w:tcPr>
          <w:p>
            <w:pPr>
              <w:pStyle w:val="TableParagraph"/>
              <w:spacing w:before="44"/>
              <w:ind w:left="155" w:right="122"/>
              <w:rPr>
                <w:rFonts w:ascii="Times New Roman"/>
                <w:sz w:val="21"/>
              </w:rPr>
            </w:pPr>
            <w:r>
              <w:rPr>
                <w:rFonts w:ascii="Times New Roman"/>
                <w:sz w:val="21"/>
              </w:rPr>
              <w:t>&lt;0.1</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91"/>
              <w:rPr>
                <w:rFonts w:ascii="Times New Roman" w:hAnsi="Times New Roman" w:eastAsia="Times New Roman"/>
                <w:sz w:val="21"/>
              </w:rPr>
            </w:pPr>
            <w:r>
              <w:rPr>
                <w:sz w:val="21"/>
              </w:rPr>
              <w:t>汞</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1"/>
              <w:ind w:left="276" w:right="246"/>
              <w:rPr>
                <w:rFonts w:ascii="Times New Roman"/>
                <w:sz w:val="21"/>
              </w:rPr>
            </w:pPr>
            <w:r>
              <w:rPr>
                <w:rFonts w:ascii="Times New Roman"/>
                <w:sz w:val="21"/>
              </w:rPr>
              <w:t>&lt;0.1</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1"/>
              <w:ind w:left="167" w:right="140"/>
              <w:rPr>
                <w:rFonts w:ascii="Times New Roman"/>
                <w:sz w:val="21"/>
              </w:rPr>
            </w:pPr>
            <w:r>
              <w:rPr>
                <w:rFonts w:ascii="Times New Roman"/>
                <w:sz w:val="21"/>
              </w:rPr>
              <w:t>&lt;0.1</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1"/>
              <w:ind w:left="281" w:right="257"/>
              <w:rPr>
                <w:rFonts w:ascii="Times New Roman"/>
                <w:sz w:val="21"/>
              </w:rPr>
            </w:pPr>
            <w:r>
              <w:rPr>
                <w:rFonts w:ascii="Times New Roman"/>
                <w:sz w:val="21"/>
              </w:rPr>
              <w:t>&lt;0.1</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1"/>
              <w:ind w:left="202" w:right="177"/>
              <w:rPr>
                <w:rFonts w:ascii="Times New Roman"/>
                <w:sz w:val="21"/>
              </w:rPr>
            </w:pPr>
            <w:r>
              <w:rPr>
                <w:rFonts w:ascii="Times New Roman"/>
                <w:sz w:val="21"/>
              </w:rPr>
              <w:t>&lt;0.1</w:t>
            </w:r>
          </w:p>
        </w:tc>
        <w:tc>
          <w:tcPr>
            <w:tcW w:w="968" w:type="dxa"/>
            <w:tcBorders>
              <w:top w:val="single" w:sz="6" w:space="0" w:color="000000"/>
              <w:left w:val="single" w:sz="4" w:space="0" w:color="000000"/>
              <w:bottom w:val="single" w:sz="6" w:space="0" w:color="000000"/>
            </w:tcBorders>
          </w:tcPr>
          <w:p>
            <w:pPr>
              <w:pStyle w:val="TableParagraph"/>
              <w:spacing w:before="41"/>
              <w:ind w:left="155" w:right="122"/>
              <w:rPr>
                <w:rFonts w:ascii="Times New Roman"/>
                <w:sz w:val="21"/>
              </w:rPr>
            </w:pPr>
            <w:r>
              <w:rPr>
                <w:rFonts w:ascii="Times New Roman"/>
                <w:sz w:val="21"/>
              </w:rPr>
              <w:t>&lt;0.1</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91"/>
              <w:rPr>
                <w:rFonts w:ascii="Times New Roman" w:hAnsi="Times New Roman" w:eastAsia="Times New Roman"/>
                <w:sz w:val="21"/>
              </w:rPr>
            </w:pPr>
            <w:r>
              <w:rPr>
                <w:sz w:val="21"/>
              </w:rPr>
              <w:t>铅</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1"/>
              <w:ind w:left="276" w:right="246"/>
              <w:rPr>
                <w:rFonts w:ascii="Times New Roman"/>
                <w:sz w:val="21"/>
              </w:rPr>
            </w:pPr>
            <w:r>
              <w:rPr>
                <w:rFonts w:ascii="Times New Roman"/>
                <w:sz w:val="21"/>
              </w:rPr>
              <w:t>5.0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1"/>
              <w:ind w:left="167" w:right="140"/>
              <w:rPr>
                <w:rFonts w:ascii="Times New Roman"/>
                <w:sz w:val="21"/>
              </w:rPr>
            </w:pPr>
            <w:r>
              <w:rPr>
                <w:rFonts w:ascii="Times New Roman"/>
                <w:sz w:val="21"/>
              </w:rPr>
              <w:t>5.0</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1"/>
              <w:ind w:left="281" w:right="257"/>
              <w:rPr>
                <w:rFonts w:ascii="Times New Roman"/>
                <w:sz w:val="21"/>
              </w:rPr>
            </w:pPr>
            <w:r>
              <w:rPr>
                <w:rFonts w:ascii="Times New Roman"/>
                <w:sz w:val="21"/>
              </w:rPr>
              <w:t>4.6</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1"/>
              <w:ind w:left="202" w:right="177"/>
              <w:rPr>
                <w:rFonts w:ascii="Times New Roman"/>
                <w:sz w:val="21"/>
              </w:rPr>
            </w:pPr>
            <w:r>
              <w:rPr>
                <w:rFonts w:ascii="Times New Roman"/>
                <w:sz w:val="21"/>
              </w:rPr>
              <w:t>6.2</w:t>
            </w:r>
          </w:p>
        </w:tc>
        <w:tc>
          <w:tcPr>
            <w:tcW w:w="968" w:type="dxa"/>
            <w:tcBorders>
              <w:top w:val="single" w:sz="6" w:space="0" w:color="000000"/>
              <w:left w:val="single" w:sz="4" w:space="0" w:color="000000"/>
              <w:bottom w:val="single" w:sz="6" w:space="0" w:color="000000"/>
            </w:tcBorders>
          </w:tcPr>
          <w:p>
            <w:pPr>
              <w:pStyle w:val="TableParagraph"/>
              <w:spacing w:before="41"/>
              <w:ind w:left="155" w:right="122"/>
              <w:rPr>
                <w:rFonts w:ascii="Times New Roman"/>
                <w:sz w:val="21"/>
              </w:rPr>
            </w:pPr>
            <w:r>
              <w:rPr>
                <w:rFonts w:ascii="Times New Roman"/>
                <w:sz w:val="21"/>
              </w:rPr>
              <w:t>4.2</w:t>
            </w:r>
          </w:p>
        </w:tc>
      </w:tr>
      <w:tr>
        <w:trPr>
          <w:trHeight w:val="337" w:hRule="atLeast"/>
        </w:trPr>
        <w:tc>
          <w:tcPr>
            <w:tcW w:w="2235" w:type="dxa"/>
            <w:tcBorders>
              <w:top w:val="single" w:sz="6" w:space="0" w:color="000000"/>
              <w:bottom w:val="single" w:sz="6" w:space="0" w:color="000000"/>
              <w:right w:val="single" w:sz="6" w:space="0" w:color="000000"/>
            </w:tcBorders>
          </w:tcPr>
          <w:p>
            <w:pPr>
              <w:pStyle w:val="TableParagraph"/>
              <w:spacing w:line="318" w:lineRule="exact"/>
              <w:ind w:left="107" w:right="91"/>
              <w:rPr>
                <w:rFonts w:ascii="Times New Roman" w:hAnsi="Times New Roman" w:eastAsia="Times New Roman"/>
                <w:sz w:val="21"/>
              </w:rPr>
            </w:pPr>
            <w:r>
              <w:rPr>
                <w:sz w:val="21"/>
              </w:rPr>
              <w:t>镉</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1"/>
              <w:ind w:left="276" w:right="246"/>
              <w:rPr>
                <w:rFonts w:ascii="Times New Roman"/>
                <w:sz w:val="21"/>
              </w:rPr>
            </w:pPr>
            <w:r>
              <w:rPr>
                <w:rFonts w:ascii="Times New Roman"/>
                <w:sz w:val="21"/>
              </w:rPr>
              <w:t>0.8</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1"/>
              <w:ind w:left="167" w:right="140"/>
              <w:rPr>
                <w:rFonts w:ascii="Times New Roman"/>
                <w:sz w:val="21"/>
              </w:rPr>
            </w:pPr>
            <w:r>
              <w:rPr>
                <w:rFonts w:ascii="Times New Roman"/>
                <w:sz w:val="21"/>
              </w:rPr>
              <w:t>0.7</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1"/>
              <w:ind w:left="281" w:right="257"/>
              <w:rPr>
                <w:rFonts w:ascii="Times New Roman"/>
                <w:sz w:val="21"/>
              </w:rPr>
            </w:pPr>
            <w:r>
              <w:rPr>
                <w:rFonts w:ascii="Times New Roman"/>
                <w:sz w:val="21"/>
              </w:rPr>
              <w:t>0.8</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1"/>
              <w:ind w:left="202" w:right="177"/>
              <w:rPr>
                <w:rFonts w:ascii="Times New Roman"/>
                <w:sz w:val="21"/>
              </w:rPr>
            </w:pPr>
            <w:r>
              <w:rPr>
                <w:rFonts w:ascii="Times New Roman"/>
                <w:sz w:val="21"/>
              </w:rPr>
              <w:t>0.8</w:t>
            </w:r>
          </w:p>
        </w:tc>
        <w:tc>
          <w:tcPr>
            <w:tcW w:w="968" w:type="dxa"/>
            <w:tcBorders>
              <w:top w:val="single" w:sz="6" w:space="0" w:color="000000"/>
              <w:left w:val="single" w:sz="4" w:space="0" w:color="000000"/>
              <w:bottom w:val="single" w:sz="6" w:space="0" w:color="000000"/>
            </w:tcBorders>
          </w:tcPr>
          <w:p>
            <w:pPr>
              <w:pStyle w:val="TableParagraph"/>
              <w:spacing w:before="41"/>
              <w:ind w:left="155" w:right="122"/>
              <w:rPr>
                <w:rFonts w:ascii="Times New Roman"/>
                <w:sz w:val="21"/>
              </w:rPr>
            </w:pPr>
            <w:r>
              <w:rPr>
                <w:rFonts w:ascii="Times New Roman"/>
                <w:sz w:val="21"/>
              </w:rPr>
              <w:t>0.7</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9"/>
              <w:rPr>
                <w:sz w:val="21"/>
              </w:rPr>
            </w:pPr>
            <w:r>
              <w:rPr>
                <w:sz w:val="21"/>
              </w:rPr>
              <w:t>铁（</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0.61</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0.04</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43"/>
              <w:ind w:left="473"/>
              <w:jc w:val="left"/>
              <w:rPr>
                <w:rFonts w:ascii="Times New Roman"/>
                <w:sz w:val="21"/>
              </w:rPr>
            </w:pPr>
            <w:r>
              <w:rPr>
                <w:rFonts w:ascii="Times New Roman"/>
                <w:sz w:val="21"/>
              </w:rPr>
              <w:t>0.01L</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0.20</w:t>
            </w:r>
          </w:p>
        </w:tc>
        <w:tc>
          <w:tcPr>
            <w:tcW w:w="968" w:type="dxa"/>
            <w:tcBorders>
              <w:top w:val="single" w:sz="6" w:space="0" w:color="000000"/>
              <w:left w:val="single" w:sz="4" w:space="0" w:color="000000"/>
              <w:bottom w:val="single" w:sz="6" w:space="0" w:color="000000"/>
            </w:tcBorders>
          </w:tcPr>
          <w:p>
            <w:pPr>
              <w:pStyle w:val="TableParagraph"/>
              <w:spacing w:before="43"/>
              <w:ind w:left="155" w:right="122"/>
              <w:rPr>
                <w:rFonts w:ascii="Times New Roman"/>
                <w:sz w:val="21"/>
              </w:rPr>
            </w:pPr>
            <w:r>
              <w:rPr>
                <w:rFonts w:ascii="Times New Roman"/>
                <w:sz w:val="21"/>
              </w:rPr>
              <w:t>0.44</w:t>
            </w:r>
          </w:p>
        </w:tc>
      </w:tr>
      <w:tr>
        <w:trPr>
          <w:trHeight w:val="508" w:hRule="atLeast"/>
        </w:trPr>
        <w:tc>
          <w:tcPr>
            <w:tcW w:w="2235" w:type="dxa"/>
            <w:tcBorders>
              <w:top w:val="single" w:sz="6" w:space="0" w:color="000000"/>
              <w:bottom w:val="single" w:sz="6" w:space="0" w:color="000000"/>
              <w:right w:val="single" w:sz="6" w:space="0" w:color="000000"/>
            </w:tcBorders>
          </w:tcPr>
          <w:p>
            <w:pPr>
              <w:pStyle w:val="TableParagraph"/>
              <w:spacing w:before="20"/>
              <w:ind w:left="107" w:right="89"/>
              <w:rPr>
                <w:sz w:val="21"/>
              </w:rPr>
            </w:pPr>
            <w:r>
              <w:rPr>
                <w:sz w:val="21"/>
              </w:rPr>
              <w:t>锰（</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127"/>
              <w:ind w:left="276" w:right="246"/>
              <w:rPr>
                <w:rFonts w:ascii="Times New Roman"/>
                <w:sz w:val="21"/>
              </w:rPr>
            </w:pPr>
            <w:r>
              <w:rPr>
                <w:rFonts w:ascii="Times New Roman"/>
                <w:sz w:val="21"/>
              </w:rPr>
              <w:t>5.39</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127"/>
              <w:ind w:left="167" w:right="142"/>
              <w:rPr>
                <w:rFonts w:ascii="Times New Roman"/>
                <w:sz w:val="21"/>
              </w:rPr>
            </w:pPr>
            <w:r>
              <w:rPr>
                <w:rFonts w:ascii="Times New Roman"/>
                <w:sz w:val="21"/>
              </w:rPr>
              <w:t>11.4</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127"/>
              <w:ind w:left="281" w:right="257"/>
              <w:rPr>
                <w:rFonts w:ascii="Times New Roman"/>
                <w:sz w:val="21"/>
              </w:rPr>
            </w:pPr>
            <w:r>
              <w:rPr>
                <w:rFonts w:ascii="Times New Roman"/>
                <w:sz w:val="21"/>
              </w:rPr>
              <w:t>0.03</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127"/>
              <w:ind w:left="200" w:right="177"/>
              <w:rPr>
                <w:rFonts w:ascii="Times New Roman"/>
                <w:sz w:val="21"/>
              </w:rPr>
            </w:pPr>
            <w:r>
              <w:rPr>
                <w:rFonts w:ascii="Times New Roman"/>
                <w:sz w:val="21"/>
              </w:rPr>
              <w:t>1.11</w:t>
            </w:r>
          </w:p>
        </w:tc>
        <w:tc>
          <w:tcPr>
            <w:tcW w:w="968" w:type="dxa"/>
            <w:tcBorders>
              <w:top w:val="single" w:sz="6" w:space="0" w:color="000000"/>
              <w:left w:val="single" w:sz="4" w:space="0" w:color="000000"/>
              <w:bottom w:val="single" w:sz="6" w:space="0" w:color="000000"/>
            </w:tcBorders>
          </w:tcPr>
          <w:p>
            <w:pPr>
              <w:pStyle w:val="TableParagraph"/>
              <w:spacing w:before="127"/>
              <w:ind w:left="155" w:right="122"/>
              <w:rPr>
                <w:rFonts w:ascii="Times New Roman"/>
                <w:sz w:val="21"/>
              </w:rPr>
            </w:pPr>
            <w:r>
              <w:rPr>
                <w:rFonts w:ascii="Times New Roman"/>
                <w:sz w:val="21"/>
              </w:rPr>
              <w:t>0.45</w:t>
            </w:r>
          </w:p>
        </w:tc>
      </w:tr>
      <w:tr>
        <w:trPr>
          <w:trHeight w:val="457" w:hRule="atLeast"/>
        </w:trPr>
        <w:tc>
          <w:tcPr>
            <w:tcW w:w="2235" w:type="dxa"/>
            <w:tcBorders>
              <w:top w:val="single" w:sz="6" w:space="0" w:color="000000"/>
              <w:bottom w:val="single" w:sz="6" w:space="0" w:color="000000"/>
              <w:right w:val="single" w:sz="6" w:space="0" w:color="000000"/>
            </w:tcBorders>
          </w:tcPr>
          <w:p>
            <w:pPr>
              <w:pStyle w:val="TableParagraph"/>
              <w:spacing w:line="438" w:lineRule="exact"/>
              <w:ind w:left="107" w:right="89"/>
              <w:rPr>
                <w:sz w:val="21"/>
              </w:rPr>
            </w:pPr>
            <w:r>
              <w:rPr>
                <w:sz w:val="21"/>
              </w:rPr>
              <w:t>铜（</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103"/>
              <w:ind w:left="276" w:right="248"/>
              <w:rPr>
                <w:rFonts w:ascii="Times New Roman"/>
                <w:sz w:val="21"/>
              </w:rPr>
            </w:pPr>
            <w:r>
              <w:rPr>
                <w:rFonts w:ascii="Times New Roman"/>
                <w:sz w:val="21"/>
              </w:rPr>
              <w:t>&lt;0.01</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103"/>
              <w:ind w:left="167" w:right="143"/>
              <w:rPr>
                <w:rFonts w:ascii="Times New Roman"/>
                <w:sz w:val="21"/>
              </w:rPr>
            </w:pPr>
            <w:r>
              <w:rPr>
                <w:rFonts w:ascii="Times New Roman"/>
                <w:sz w:val="21"/>
              </w:rPr>
              <w:t>&lt;0.01</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103"/>
              <w:ind w:left="478"/>
              <w:jc w:val="left"/>
              <w:rPr>
                <w:rFonts w:ascii="Times New Roman"/>
                <w:sz w:val="21"/>
              </w:rPr>
            </w:pPr>
            <w:r>
              <w:rPr>
                <w:rFonts w:ascii="Times New Roman"/>
                <w:sz w:val="21"/>
              </w:rPr>
              <w:t>&lt;0.01</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103"/>
              <w:ind w:left="200" w:right="177"/>
              <w:rPr>
                <w:rFonts w:ascii="Times New Roman"/>
                <w:sz w:val="21"/>
              </w:rPr>
            </w:pPr>
            <w:r>
              <w:rPr>
                <w:rFonts w:ascii="Times New Roman"/>
                <w:sz w:val="21"/>
              </w:rPr>
              <w:t>&lt;0.01</w:t>
            </w:r>
          </w:p>
        </w:tc>
        <w:tc>
          <w:tcPr>
            <w:tcW w:w="968" w:type="dxa"/>
            <w:tcBorders>
              <w:top w:val="single" w:sz="6" w:space="0" w:color="000000"/>
              <w:left w:val="single" w:sz="4" w:space="0" w:color="000000"/>
              <w:bottom w:val="single" w:sz="6" w:space="0" w:color="000000"/>
            </w:tcBorders>
          </w:tcPr>
          <w:p>
            <w:pPr>
              <w:pStyle w:val="TableParagraph"/>
              <w:spacing w:before="103"/>
              <w:ind w:left="152" w:right="122"/>
              <w:rPr>
                <w:rFonts w:ascii="Times New Roman"/>
                <w:sz w:val="21"/>
              </w:rPr>
            </w:pPr>
            <w:r>
              <w:rPr>
                <w:rFonts w:ascii="Times New Roman"/>
                <w:sz w:val="21"/>
              </w:rPr>
              <w:t>&lt;0.01</w:t>
            </w:r>
          </w:p>
        </w:tc>
      </w:tr>
      <w:tr>
        <w:trPr>
          <w:trHeight w:val="465" w:hRule="atLeast"/>
        </w:trPr>
        <w:tc>
          <w:tcPr>
            <w:tcW w:w="2235" w:type="dxa"/>
            <w:tcBorders>
              <w:top w:val="single" w:sz="6" w:space="0" w:color="000000"/>
              <w:bottom w:val="single" w:sz="6" w:space="0" w:color="000000"/>
              <w:right w:val="single" w:sz="6" w:space="0" w:color="000000"/>
            </w:tcBorders>
          </w:tcPr>
          <w:p>
            <w:pPr>
              <w:pStyle w:val="TableParagraph"/>
              <w:spacing w:line="441" w:lineRule="exact"/>
              <w:ind w:left="107" w:right="89"/>
              <w:rPr>
                <w:sz w:val="21"/>
              </w:rPr>
            </w:pPr>
            <w:r>
              <w:rPr>
                <w:sz w:val="21"/>
              </w:rPr>
              <w:t>锌（</w:t>
            </w:r>
            <w:r>
              <w:rPr>
                <w:rFonts w:ascii="Times New Roman" w:eastAsia="Times New Roman"/>
                <w:sz w:val="21"/>
              </w:rPr>
              <w:t>mg/L</w:t>
            </w:r>
            <w:r>
              <w:rPr>
                <w:sz w:val="21"/>
              </w:rPr>
              <w:t>）</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106"/>
              <w:ind w:left="276" w:right="248"/>
              <w:rPr>
                <w:rFonts w:ascii="Times New Roman"/>
                <w:sz w:val="21"/>
              </w:rPr>
            </w:pPr>
            <w:r>
              <w:rPr>
                <w:rFonts w:ascii="Times New Roman"/>
                <w:sz w:val="21"/>
              </w:rPr>
              <w:t>&lt;0.009</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106"/>
              <w:ind w:left="167" w:right="141"/>
              <w:rPr>
                <w:rFonts w:ascii="Times New Roman"/>
                <w:sz w:val="21"/>
              </w:rPr>
            </w:pPr>
            <w:r>
              <w:rPr>
                <w:rFonts w:ascii="Times New Roman"/>
                <w:sz w:val="21"/>
              </w:rPr>
              <w:t>0.019</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before="106"/>
              <w:ind w:left="425"/>
              <w:jc w:val="left"/>
              <w:rPr>
                <w:rFonts w:ascii="Times New Roman"/>
                <w:sz w:val="21"/>
              </w:rPr>
            </w:pPr>
            <w:r>
              <w:rPr>
                <w:rFonts w:ascii="Times New Roman"/>
                <w:sz w:val="21"/>
              </w:rPr>
              <w:t>&lt;0.009</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106"/>
              <w:ind w:left="202" w:right="177"/>
              <w:rPr>
                <w:rFonts w:ascii="Times New Roman"/>
                <w:sz w:val="21"/>
              </w:rPr>
            </w:pPr>
            <w:r>
              <w:rPr>
                <w:rFonts w:ascii="Times New Roman"/>
                <w:sz w:val="21"/>
              </w:rPr>
              <w:t>0.053</w:t>
            </w:r>
          </w:p>
        </w:tc>
        <w:tc>
          <w:tcPr>
            <w:tcW w:w="968" w:type="dxa"/>
            <w:tcBorders>
              <w:top w:val="single" w:sz="6" w:space="0" w:color="000000"/>
              <w:left w:val="single" w:sz="4" w:space="0" w:color="000000"/>
              <w:bottom w:val="single" w:sz="6" w:space="0" w:color="000000"/>
            </w:tcBorders>
          </w:tcPr>
          <w:p>
            <w:pPr>
              <w:pStyle w:val="TableParagraph"/>
              <w:spacing w:before="106"/>
              <w:ind w:left="152" w:right="122"/>
              <w:rPr>
                <w:rFonts w:ascii="Times New Roman"/>
                <w:sz w:val="21"/>
              </w:rPr>
            </w:pPr>
            <w:r>
              <w:rPr>
                <w:rFonts w:ascii="Times New Roman"/>
                <w:sz w:val="21"/>
              </w:rPr>
              <w:t>&lt;0.009</w:t>
            </w:r>
          </w:p>
        </w:tc>
      </w:tr>
      <w:tr>
        <w:trPr>
          <w:trHeight w:val="340" w:hRule="atLeast"/>
        </w:trPr>
        <w:tc>
          <w:tcPr>
            <w:tcW w:w="2235" w:type="dxa"/>
            <w:tcBorders>
              <w:top w:val="single" w:sz="6" w:space="0" w:color="000000"/>
              <w:right w:val="single" w:sz="6" w:space="0" w:color="000000"/>
            </w:tcBorders>
          </w:tcPr>
          <w:p>
            <w:pPr>
              <w:pStyle w:val="TableParagraph"/>
              <w:spacing w:line="320" w:lineRule="exact"/>
              <w:ind w:left="107" w:right="91"/>
              <w:rPr>
                <w:rFonts w:ascii="Times New Roman" w:hAnsi="Times New Roman" w:eastAsia="Times New Roman"/>
                <w:sz w:val="21"/>
              </w:rPr>
            </w:pPr>
            <w:r>
              <w:rPr>
                <w:sz w:val="21"/>
              </w:rPr>
              <w:t>甲苯</w:t>
            </w:r>
            <w:r>
              <w:rPr>
                <w:rFonts w:ascii="Times New Roman" w:hAnsi="Times New Roman" w:eastAsia="Times New Roman"/>
                <w:sz w:val="21"/>
              </w:rPr>
              <w:t>(μg/L)</w:t>
            </w:r>
          </w:p>
        </w:tc>
        <w:tc>
          <w:tcPr>
            <w:tcW w:w="1630" w:type="dxa"/>
            <w:tcBorders>
              <w:top w:val="single" w:sz="6" w:space="0" w:color="000000"/>
              <w:left w:val="single" w:sz="6" w:space="0" w:color="000000"/>
              <w:right w:val="single" w:sz="6" w:space="0" w:color="000000"/>
            </w:tcBorders>
          </w:tcPr>
          <w:p>
            <w:pPr>
              <w:pStyle w:val="TableParagraph"/>
              <w:spacing w:before="41"/>
              <w:ind w:left="276" w:right="245"/>
              <w:rPr>
                <w:rFonts w:ascii="Times New Roman"/>
                <w:sz w:val="21"/>
              </w:rPr>
            </w:pPr>
            <w:r>
              <w:rPr>
                <w:rFonts w:ascii="Times New Roman"/>
                <w:sz w:val="21"/>
              </w:rPr>
              <w:t>&lt;1</w:t>
            </w:r>
          </w:p>
        </w:tc>
        <w:tc>
          <w:tcPr>
            <w:tcW w:w="1206" w:type="dxa"/>
            <w:tcBorders>
              <w:top w:val="single" w:sz="6" w:space="0" w:color="000000"/>
              <w:left w:val="single" w:sz="6" w:space="0" w:color="000000"/>
              <w:right w:val="single" w:sz="6" w:space="0" w:color="000000"/>
            </w:tcBorders>
          </w:tcPr>
          <w:p>
            <w:pPr>
              <w:pStyle w:val="TableParagraph"/>
              <w:spacing w:before="41"/>
              <w:ind w:left="167" w:right="139"/>
              <w:rPr>
                <w:rFonts w:ascii="Times New Roman"/>
                <w:sz w:val="21"/>
              </w:rPr>
            </w:pPr>
            <w:r>
              <w:rPr>
                <w:rFonts w:ascii="Times New Roman"/>
                <w:sz w:val="21"/>
              </w:rPr>
              <w:t>&lt;1</w:t>
            </w:r>
          </w:p>
        </w:tc>
        <w:tc>
          <w:tcPr>
            <w:tcW w:w="1434" w:type="dxa"/>
            <w:tcBorders>
              <w:top w:val="single" w:sz="6" w:space="0" w:color="000000"/>
              <w:left w:val="single" w:sz="6" w:space="0" w:color="000000"/>
              <w:right w:val="single" w:sz="4" w:space="0" w:color="000000"/>
            </w:tcBorders>
          </w:tcPr>
          <w:p>
            <w:pPr>
              <w:pStyle w:val="TableParagraph"/>
              <w:spacing w:before="41"/>
              <w:ind w:left="281" w:right="256"/>
              <w:rPr>
                <w:rFonts w:ascii="Times New Roman"/>
                <w:sz w:val="21"/>
              </w:rPr>
            </w:pPr>
            <w:r>
              <w:rPr>
                <w:rFonts w:ascii="Times New Roman"/>
                <w:sz w:val="21"/>
              </w:rPr>
              <w:t>&lt;1</w:t>
            </w:r>
          </w:p>
        </w:tc>
        <w:tc>
          <w:tcPr>
            <w:tcW w:w="1060" w:type="dxa"/>
            <w:tcBorders>
              <w:top w:val="single" w:sz="6" w:space="0" w:color="000000"/>
              <w:left w:val="single" w:sz="4" w:space="0" w:color="000000"/>
              <w:right w:val="single" w:sz="4" w:space="0" w:color="000000"/>
            </w:tcBorders>
          </w:tcPr>
          <w:p>
            <w:pPr>
              <w:pStyle w:val="TableParagraph"/>
              <w:spacing w:before="41"/>
              <w:ind w:left="202" w:right="176"/>
              <w:rPr>
                <w:rFonts w:ascii="Times New Roman"/>
                <w:sz w:val="21"/>
              </w:rPr>
            </w:pPr>
            <w:r>
              <w:rPr>
                <w:rFonts w:ascii="Times New Roman"/>
                <w:sz w:val="21"/>
              </w:rPr>
              <w:t>&lt;1</w:t>
            </w:r>
          </w:p>
        </w:tc>
        <w:tc>
          <w:tcPr>
            <w:tcW w:w="968" w:type="dxa"/>
            <w:tcBorders>
              <w:top w:val="single" w:sz="6" w:space="0" w:color="000000"/>
              <w:left w:val="single" w:sz="4" w:space="0" w:color="000000"/>
            </w:tcBorders>
          </w:tcPr>
          <w:p>
            <w:pPr>
              <w:pStyle w:val="TableParagraph"/>
              <w:spacing w:before="41"/>
              <w:ind w:left="155" w:right="121"/>
              <w:rPr>
                <w:rFonts w:ascii="Times New Roman"/>
                <w:sz w:val="21"/>
              </w:rPr>
            </w:pPr>
            <w:r>
              <w:rPr>
                <w:rFonts w:ascii="Times New Roman"/>
                <w:sz w:val="21"/>
              </w:rPr>
              <w:t>&lt;1</w:t>
            </w:r>
          </w:p>
        </w:tc>
      </w:tr>
    </w:tbl>
    <w:p>
      <w:pPr>
        <w:pStyle w:val="BodyText"/>
        <w:spacing w:before="8"/>
        <w:rPr>
          <w:sz w:val="8"/>
        </w:rPr>
      </w:pPr>
    </w:p>
    <w:p>
      <w:pPr>
        <w:tabs>
          <w:tab w:pos="1017" w:val="left" w:leader="none"/>
        </w:tabs>
        <w:spacing w:line="423" w:lineRule="exact" w:before="0" w:after="24"/>
        <w:ind w:left="0" w:right="295" w:firstLine="0"/>
        <w:jc w:val="center"/>
        <w:rPr>
          <w:sz w:val="21"/>
        </w:rPr>
      </w:pPr>
      <w:r>
        <w:rPr>
          <w:sz w:val="21"/>
        </w:rPr>
        <w:t>表</w:t>
      </w:r>
      <w:r>
        <w:rPr>
          <w:spacing w:val="7"/>
          <w:sz w:val="21"/>
        </w:rPr>
        <w:t> </w:t>
      </w:r>
      <w:r>
        <w:rPr>
          <w:rFonts w:ascii="Times New Roman" w:eastAsia="Times New Roman"/>
          <w:b/>
          <w:sz w:val="21"/>
        </w:rPr>
        <w:t>5.4-26</w:t>
        <w:tab/>
      </w:r>
      <w:r>
        <w:rPr>
          <w:sz w:val="21"/>
        </w:rPr>
        <w:t>地下水检测</w:t>
      </w:r>
      <w:r>
        <w:rPr>
          <w:spacing w:val="-3"/>
          <w:sz w:val="21"/>
        </w:rPr>
        <w:t>结</w:t>
      </w:r>
      <w:r>
        <w:rPr>
          <w:sz w:val="21"/>
        </w:rPr>
        <w:t>果一览表（续表）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5"/>
        <w:gridCol w:w="1630"/>
        <w:gridCol w:w="1206"/>
        <w:gridCol w:w="1434"/>
        <w:gridCol w:w="1060"/>
        <w:gridCol w:w="968"/>
      </w:tblGrid>
      <w:tr>
        <w:trPr>
          <w:trHeight w:val="680" w:hRule="atLeast"/>
        </w:trPr>
        <w:tc>
          <w:tcPr>
            <w:tcW w:w="2235" w:type="dxa"/>
            <w:tcBorders>
              <w:bottom w:val="single" w:sz="6" w:space="0" w:color="000000"/>
              <w:right w:val="single" w:sz="6" w:space="0" w:color="000000"/>
            </w:tcBorders>
          </w:tcPr>
          <w:p>
            <w:pPr>
              <w:pStyle w:val="TableParagraph"/>
              <w:spacing w:line="328" w:lineRule="exact"/>
              <w:ind w:left="1285"/>
              <w:jc w:val="left"/>
              <w:rPr>
                <w:sz w:val="21"/>
              </w:rPr>
            </w:pPr>
            <w:r>
              <w:rPr>
                <w:sz w:val="21"/>
              </w:rPr>
              <w:t>点位名称</w:t>
            </w:r>
          </w:p>
          <w:p>
            <w:pPr>
              <w:pStyle w:val="TableParagraph"/>
              <w:spacing w:line="333" w:lineRule="exact"/>
              <w:ind w:left="107"/>
              <w:jc w:val="left"/>
              <w:rPr>
                <w:sz w:val="21"/>
              </w:rPr>
            </w:pPr>
            <w:r>
              <w:rPr>
                <w:sz w:val="21"/>
              </w:rPr>
              <w:t>检测项目</w:t>
            </w:r>
          </w:p>
        </w:tc>
        <w:tc>
          <w:tcPr>
            <w:tcW w:w="1630" w:type="dxa"/>
            <w:tcBorders>
              <w:left w:val="single" w:sz="6" w:space="0" w:color="000000"/>
              <w:bottom w:val="single" w:sz="6" w:space="0" w:color="000000"/>
              <w:right w:val="single" w:sz="6" w:space="0" w:color="000000"/>
            </w:tcBorders>
          </w:tcPr>
          <w:p>
            <w:pPr>
              <w:pStyle w:val="TableParagraph"/>
              <w:spacing w:before="106"/>
              <w:ind w:left="276" w:right="248"/>
              <w:rPr>
                <w:sz w:val="21"/>
              </w:rPr>
            </w:pPr>
            <w:r>
              <w:rPr>
                <w:sz w:val="21"/>
              </w:rPr>
              <w:t>孙家怪草村</w:t>
            </w:r>
          </w:p>
        </w:tc>
        <w:tc>
          <w:tcPr>
            <w:tcW w:w="1206" w:type="dxa"/>
            <w:tcBorders>
              <w:left w:val="single" w:sz="6" w:space="0" w:color="000000"/>
              <w:bottom w:val="single" w:sz="6" w:space="0" w:color="000000"/>
              <w:right w:val="single" w:sz="6" w:space="0" w:color="000000"/>
            </w:tcBorders>
          </w:tcPr>
          <w:p>
            <w:pPr>
              <w:pStyle w:val="TableParagraph"/>
              <w:spacing w:before="106"/>
              <w:ind w:left="167" w:right="143"/>
              <w:rPr>
                <w:sz w:val="21"/>
              </w:rPr>
            </w:pPr>
            <w:r>
              <w:rPr>
                <w:sz w:val="21"/>
              </w:rPr>
              <w:t>后柴沟村</w:t>
            </w:r>
          </w:p>
        </w:tc>
        <w:tc>
          <w:tcPr>
            <w:tcW w:w="1434" w:type="dxa"/>
            <w:tcBorders>
              <w:left w:val="single" w:sz="6" w:space="0" w:color="000000"/>
              <w:bottom w:val="single" w:sz="6" w:space="0" w:color="000000"/>
              <w:right w:val="single" w:sz="4" w:space="0" w:color="000000"/>
            </w:tcBorders>
          </w:tcPr>
          <w:p>
            <w:pPr>
              <w:pStyle w:val="TableParagraph"/>
              <w:spacing w:before="106"/>
              <w:ind w:left="281" w:right="259"/>
              <w:rPr>
                <w:sz w:val="21"/>
              </w:rPr>
            </w:pPr>
            <w:r>
              <w:rPr>
                <w:sz w:val="21"/>
              </w:rPr>
              <w:t>东石沟村</w:t>
            </w:r>
          </w:p>
        </w:tc>
        <w:tc>
          <w:tcPr>
            <w:tcW w:w="1060" w:type="dxa"/>
            <w:tcBorders>
              <w:left w:val="single" w:sz="4" w:space="0" w:color="000000"/>
              <w:bottom w:val="single" w:sz="6" w:space="0" w:color="000000"/>
              <w:right w:val="single" w:sz="4" w:space="0" w:color="000000"/>
            </w:tcBorders>
          </w:tcPr>
          <w:p>
            <w:pPr>
              <w:pStyle w:val="TableParagraph"/>
              <w:spacing w:before="106"/>
              <w:ind w:left="202" w:right="177"/>
              <w:rPr>
                <w:sz w:val="21"/>
              </w:rPr>
            </w:pPr>
            <w:r>
              <w:rPr>
                <w:sz w:val="21"/>
              </w:rPr>
              <w:t>厂址</w:t>
            </w:r>
          </w:p>
        </w:tc>
        <w:tc>
          <w:tcPr>
            <w:tcW w:w="968" w:type="dxa"/>
            <w:tcBorders>
              <w:left w:val="single" w:sz="4" w:space="0" w:color="000000"/>
              <w:bottom w:val="single" w:sz="6" w:space="0" w:color="000000"/>
            </w:tcBorders>
          </w:tcPr>
          <w:p>
            <w:pPr>
              <w:pStyle w:val="TableParagraph"/>
              <w:spacing w:line="329" w:lineRule="exact"/>
              <w:ind w:left="155" w:right="122"/>
              <w:rPr>
                <w:sz w:val="21"/>
              </w:rPr>
            </w:pPr>
            <w:r>
              <w:rPr>
                <w:sz w:val="21"/>
              </w:rPr>
              <w:t>中柴沟</w:t>
            </w:r>
          </w:p>
          <w:p>
            <w:pPr>
              <w:pStyle w:val="TableParagraph"/>
              <w:spacing w:line="332" w:lineRule="exact"/>
              <w:ind w:left="28"/>
              <w:rPr>
                <w:sz w:val="21"/>
              </w:rPr>
            </w:pPr>
            <w:r>
              <w:rPr>
                <w:w w:val="100"/>
                <w:sz w:val="21"/>
              </w:rPr>
              <w:t>村</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8"/>
              <w:rPr>
                <w:rFonts w:ascii="Times New Roman" w:eastAsia="Times New Roman"/>
                <w:sz w:val="21"/>
              </w:rPr>
            </w:pPr>
            <w:r>
              <w:rPr>
                <w:sz w:val="21"/>
              </w:rPr>
              <w:t>吡啶 </w:t>
            </w:r>
            <w:r>
              <w:rPr>
                <w:rFonts w:ascii="Times New Roman" w:eastAsia="Times New Roman"/>
                <w:sz w:val="21"/>
              </w:rPr>
              <w:t>mg/L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before="43"/>
              <w:ind w:left="276" w:right="246"/>
              <w:rPr>
                <w:rFonts w:ascii="Times New Roman"/>
                <w:sz w:val="21"/>
              </w:rPr>
            </w:pPr>
            <w:r>
              <w:rPr>
                <w:rFonts w:ascii="Times New Roman"/>
                <w:sz w:val="21"/>
              </w:rPr>
              <w:t>0.094</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41"/>
              <w:rPr>
                <w:sz w:val="21"/>
              </w:rPr>
            </w:pPr>
            <w:r>
              <w:rPr>
                <w:sz w:val="21"/>
              </w:rPr>
              <w:t>未检出</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20"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0.769</w:t>
            </w:r>
          </w:p>
        </w:tc>
        <w:tc>
          <w:tcPr>
            <w:tcW w:w="968" w:type="dxa"/>
            <w:tcBorders>
              <w:top w:val="single" w:sz="6" w:space="0" w:color="000000"/>
              <w:left w:val="single" w:sz="4" w:space="0" w:color="000000"/>
              <w:bottom w:val="single" w:sz="6" w:space="0" w:color="000000"/>
            </w:tcBorders>
          </w:tcPr>
          <w:p>
            <w:pPr>
              <w:pStyle w:val="TableParagraph"/>
              <w:spacing w:line="320" w:lineRule="exact"/>
              <w:ind w:left="155" w:right="122"/>
              <w:rPr>
                <w:sz w:val="21"/>
              </w:rPr>
            </w:pPr>
            <w:r>
              <w:rPr>
                <w:sz w:val="21"/>
              </w:rPr>
              <w:t>未检出</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8"/>
              <w:rPr>
                <w:rFonts w:ascii="Times New Roman" w:eastAsia="Times New Roman"/>
                <w:sz w:val="21"/>
              </w:rPr>
            </w:pPr>
            <w:r>
              <w:rPr>
                <w:sz w:val="21"/>
              </w:rPr>
              <w:t>甲醛 </w:t>
            </w:r>
            <w:r>
              <w:rPr>
                <w:rFonts w:ascii="Times New Roman" w:eastAsia="Times New Roman"/>
                <w:sz w:val="21"/>
              </w:rPr>
              <w:t>mg/L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6" w:right="246"/>
              <w:rPr>
                <w:sz w:val="21"/>
              </w:rPr>
            </w:pPr>
            <w:r>
              <w:rPr>
                <w:sz w:val="21"/>
              </w:rPr>
              <w:t>未检出</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before="43"/>
              <w:ind w:left="167" w:right="140"/>
              <w:rPr>
                <w:rFonts w:ascii="Times New Roman"/>
                <w:sz w:val="21"/>
              </w:rPr>
            </w:pPr>
            <w:r>
              <w:rPr>
                <w:rFonts w:ascii="Times New Roman"/>
                <w:sz w:val="21"/>
              </w:rPr>
              <w:t>0.09</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20"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before="43"/>
              <w:ind w:left="202" w:right="177"/>
              <w:rPr>
                <w:rFonts w:ascii="Times New Roman"/>
                <w:sz w:val="21"/>
              </w:rPr>
            </w:pPr>
            <w:r>
              <w:rPr>
                <w:rFonts w:ascii="Times New Roman"/>
                <w:sz w:val="21"/>
              </w:rPr>
              <w:t>0.06</w:t>
            </w:r>
          </w:p>
        </w:tc>
        <w:tc>
          <w:tcPr>
            <w:tcW w:w="968" w:type="dxa"/>
            <w:tcBorders>
              <w:top w:val="single" w:sz="6" w:space="0" w:color="000000"/>
              <w:left w:val="single" w:sz="4" w:space="0" w:color="000000"/>
              <w:bottom w:val="single" w:sz="6" w:space="0" w:color="000000"/>
            </w:tcBorders>
          </w:tcPr>
          <w:p>
            <w:pPr>
              <w:pStyle w:val="TableParagraph"/>
              <w:spacing w:line="320" w:lineRule="exact"/>
              <w:ind w:left="155" w:right="122"/>
              <w:rPr>
                <w:sz w:val="21"/>
              </w:rPr>
            </w:pPr>
            <w:r>
              <w:rPr>
                <w:sz w:val="21"/>
              </w:rPr>
              <w:t>未检出</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3"/>
              <w:rPr>
                <w:rFonts w:ascii="Times New Roman" w:hAnsi="Times New Roman" w:eastAsia="Times New Roman"/>
                <w:sz w:val="21"/>
              </w:rPr>
            </w:pPr>
            <w:r>
              <w:rPr>
                <w:sz w:val="21"/>
              </w:rPr>
              <w:t>氯苯 </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6" w:right="246"/>
              <w:rPr>
                <w:sz w:val="21"/>
              </w:rPr>
            </w:pPr>
            <w:r>
              <w:rPr>
                <w:sz w:val="21"/>
              </w:rPr>
              <w:t>未检出</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41"/>
              <w:rPr>
                <w:sz w:val="21"/>
              </w:rPr>
            </w:pPr>
            <w:r>
              <w:rPr>
                <w:sz w:val="21"/>
              </w:rPr>
              <w:t>未检出</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20"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02" w:right="177"/>
              <w:rPr>
                <w:sz w:val="21"/>
              </w:rPr>
            </w:pPr>
            <w:r>
              <w:rPr>
                <w:sz w:val="21"/>
              </w:rPr>
              <w:t>未检出</w:t>
            </w:r>
          </w:p>
        </w:tc>
        <w:tc>
          <w:tcPr>
            <w:tcW w:w="968" w:type="dxa"/>
            <w:tcBorders>
              <w:top w:val="single" w:sz="6" w:space="0" w:color="000000"/>
              <w:left w:val="single" w:sz="4" w:space="0" w:color="000000"/>
              <w:bottom w:val="single" w:sz="6" w:space="0" w:color="000000"/>
            </w:tcBorders>
          </w:tcPr>
          <w:p>
            <w:pPr>
              <w:pStyle w:val="TableParagraph"/>
              <w:spacing w:line="320" w:lineRule="exact"/>
              <w:ind w:left="155" w:right="122"/>
              <w:rPr>
                <w:sz w:val="21"/>
              </w:rPr>
            </w:pPr>
            <w:r>
              <w:rPr>
                <w:sz w:val="21"/>
              </w:rPr>
              <w:t>未检出</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6"/>
              <w:rPr>
                <w:rFonts w:ascii="Times New Roman" w:eastAsia="Times New Roman"/>
                <w:sz w:val="21"/>
              </w:rPr>
            </w:pPr>
            <w:r>
              <w:rPr>
                <w:sz w:val="21"/>
              </w:rPr>
              <w:t>环氧氯甲烷 </w:t>
            </w:r>
            <w:r>
              <w:rPr>
                <w:rFonts w:ascii="Times New Roman" w:eastAsia="Times New Roman"/>
                <w:sz w:val="21"/>
              </w:rPr>
              <w:t>mg/L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6" w:right="246"/>
              <w:rPr>
                <w:sz w:val="21"/>
              </w:rPr>
            </w:pPr>
            <w:r>
              <w:rPr>
                <w:sz w:val="21"/>
              </w:rPr>
              <w:t>未检出</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41"/>
              <w:rPr>
                <w:sz w:val="21"/>
              </w:rPr>
            </w:pPr>
            <w:r>
              <w:rPr>
                <w:sz w:val="21"/>
              </w:rPr>
              <w:t>未检出</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20"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02" w:right="177"/>
              <w:rPr>
                <w:sz w:val="21"/>
              </w:rPr>
            </w:pPr>
            <w:r>
              <w:rPr>
                <w:sz w:val="21"/>
              </w:rPr>
              <w:t>未检出</w:t>
            </w:r>
          </w:p>
        </w:tc>
        <w:tc>
          <w:tcPr>
            <w:tcW w:w="968" w:type="dxa"/>
            <w:tcBorders>
              <w:top w:val="single" w:sz="6" w:space="0" w:color="000000"/>
              <w:left w:val="single" w:sz="4" w:space="0" w:color="000000"/>
              <w:bottom w:val="single" w:sz="6" w:space="0" w:color="000000"/>
            </w:tcBorders>
          </w:tcPr>
          <w:p>
            <w:pPr>
              <w:pStyle w:val="TableParagraph"/>
              <w:spacing w:line="320" w:lineRule="exact"/>
              <w:ind w:left="155" w:right="122"/>
              <w:rPr>
                <w:sz w:val="21"/>
              </w:rPr>
            </w:pPr>
            <w:r>
              <w:rPr>
                <w:sz w:val="21"/>
              </w:rPr>
              <w:t>未检出</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1" w:lineRule="exact"/>
              <w:ind w:left="107" w:right="85"/>
              <w:rPr>
                <w:rFonts w:ascii="Times New Roman" w:hAnsi="Times New Roman" w:eastAsia="Times New Roman"/>
                <w:sz w:val="21"/>
              </w:rPr>
            </w:pPr>
            <w:r>
              <w:rPr>
                <w:sz w:val="21"/>
              </w:rPr>
              <w:t>硝基苯 </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6" w:right="246"/>
              <w:rPr>
                <w:sz w:val="21"/>
              </w:rPr>
            </w:pPr>
            <w:r>
              <w:rPr>
                <w:sz w:val="21"/>
              </w:rPr>
              <w:t>未检出</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67" w:right="141"/>
              <w:rPr>
                <w:sz w:val="21"/>
              </w:rPr>
            </w:pPr>
            <w:r>
              <w:rPr>
                <w:sz w:val="21"/>
              </w:rPr>
              <w:t>未检出</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21"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line="321" w:lineRule="exact"/>
              <w:ind w:left="202" w:right="177"/>
              <w:rPr>
                <w:sz w:val="21"/>
              </w:rPr>
            </w:pPr>
            <w:r>
              <w:rPr>
                <w:sz w:val="21"/>
              </w:rPr>
              <w:t>未检出</w:t>
            </w:r>
          </w:p>
        </w:tc>
        <w:tc>
          <w:tcPr>
            <w:tcW w:w="968" w:type="dxa"/>
            <w:tcBorders>
              <w:top w:val="single" w:sz="6" w:space="0" w:color="000000"/>
              <w:left w:val="single" w:sz="4" w:space="0" w:color="000000"/>
              <w:bottom w:val="single" w:sz="6" w:space="0" w:color="000000"/>
            </w:tcBorders>
          </w:tcPr>
          <w:p>
            <w:pPr>
              <w:pStyle w:val="TableParagraph"/>
              <w:spacing w:line="321" w:lineRule="exact"/>
              <w:ind w:left="155" w:right="122"/>
              <w:rPr>
                <w:sz w:val="21"/>
              </w:rPr>
            </w:pPr>
            <w:r>
              <w:rPr>
                <w:sz w:val="21"/>
              </w:rPr>
              <w:t>未检出</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8"/>
              <w:rPr>
                <w:rFonts w:ascii="Times New Roman" w:hAnsi="Times New Roman" w:eastAsia="Times New Roman"/>
                <w:sz w:val="21"/>
              </w:rPr>
            </w:pPr>
            <w:r>
              <w:rPr>
                <w:sz w:val="21"/>
              </w:rPr>
              <w:t>二硝基甲苯 </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6" w:right="246"/>
              <w:rPr>
                <w:sz w:val="21"/>
              </w:rPr>
            </w:pPr>
            <w:r>
              <w:rPr>
                <w:sz w:val="21"/>
              </w:rPr>
              <w:t>未检出</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41"/>
              <w:rPr>
                <w:sz w:val="21"/>
              </w:rPr>
            </w:pPr>
            <w:r>
              <w:rPr>
                <w:sz w:val="21"/>
              </w:rPr>
              <w:t>未检出</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20"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02" w:right="177"/>
              <w:rPr>
                <w:sz w:val="21"/>
              </w:rPr>
            </w:pPr>
            <w:r>
              <w:rPr>
                <w:sz w:val="21"/>
              </w:rPr>
              <w:t>未检出</w:t>
            </w:r>
          </w:p>
        </w:tc>
        <w:tc>
          <w:tcPr>
            <w:tcW w:w="968" w:type="dxa"/>
            <w:tcBorders>
              <w:top w:val="single" w:sz="6" w:space="0" w:color="000000"/>
              <w:left w:val="single" w:sz="4" w:space="0" w:color="000000"/>
              <w:bottom w:val="single" w:sz="6" w:space="0" w:color="000000"/>
            </w:tcBorders>
          </w:tcPr>
          <w:p>
            <w:pPr>
              <w:pStyle w:val="TableParagraph"/>
              <w:spacing w:line="320" w:lineRule="exact"/>
              <w:ind w:left="155" w:right="122"/>
              <w:rPr>
                <w:sz w:val="21"/>
              </w:rPr>
            </w:pPr>
            <w:r>
              <w:rPr>
                <w:sz w:val="21"/>
              </w:rPr>
              <w:t>未检出</w:t>
            </w:r>
          </w:p>
        </w:tc>
      </w:tr>
      <w:tr>
        <w:trPr>
          <w:trHeight w:val="340" w:hRule="atLeast"/>
        </w:trPr>
        <w:tc>
          <w:tcPr>
            <w:tcW w:w="2235" w:type="dxa"/>
            <w:tcBorders>
              <w:top w:val="single" w:sz="6" w:space="0" w:color="000000"/>
              <w:bottom w:val="single" w:sz="6" w:space="0" w:color="000000"/>
              <w:right w:val="single" w:sz="6" w:space="0" w:color="000000"/>
            </w:tcBorders>
          </w:tcPr>
          <w:p>
            <w:pPr>
              <w:pStyle w:val="TableParagraph"/>
              <w:spacing w:line="320" w:lineRule="exact"/>
              <w:ind w:left="107" w:right="85"/>
              <w:rPr>
                <w:rFonts w:ascii="Times New Roman" w:hAnsi="Times New Roman" w:eastAsia="Times New Roman"/>
                <w:sz w:val="21"/>
              </w:rPr>
            </w:pPr>
            <w:r>
              <w:rPr>
                <w:sz w:val="21"/>
              </w:rPr>
              <w:t>硝基氯苯 </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6" w:right="246"/>
              <w:rPr>
                <w:sz w:val="21"/>
              </w:rPr>
            </w:pPr>
            <w:r>
              <w:rPr>
                <w:sz w:val="21"/>
              </w:rPr>
              <w:t>未检出</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41"/>
              <w:rPr>
                <w:sz w:val="21"/>
              </w:rPr>
            </w:pPr>
            <w:r>
              <w:rPr>
                <w:sz w:val="21"/>
              </w:rPr>
              <w:t>未检出</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20"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02" w:right="177"/>
              <w:rPr>
                <w:sz w:val="21"/>
              </w:rPr>
            </w:pPr>
            <w:r>
              <w:rPr>
                <w:sz w:val="21"/>
              </w:rPr>
              <w:t>未检出</w:t>
            </w:r>
          </w:p>
        </w:tc>
        <w:tc>
          <w:tcPr>
            <w:tcW w:w="968" w:type="dxa"/>
            <w:tcBorders>
              <w:top w:val="single" w:sz="6" w:space="0" w:color="000000"/>
              <w:left w:val="single" w:sz="4" w:space="0" w:color="000000"/>
              <w:bottom w:val="single" w:sz="6" w:space="0" w:color="000000"/>
            </w:tcBorders>
          </w:tcPr>
          <w:p>
            <w:pPr>
              <w:pStyle w:val="TableParagraph"/>
              <w:spacing w:line="320" w:lineRule="exact"/>
              <w:ind w:left="155" w:right="122"/>
              <w:rPr>
                <w:sz w:val="21"/>
              </w:rPr>
            </w:pPr>
            <w:r>
              <w:rPr>
                <w:sz w:val="21"/>
              </w:rPr>
              <w:t>未检出</w:t>
            </w:r>
          </w:p>
        </w:tc>
      </w:tr>
      <w:tr>
        <w:trPr>
          <w:trHeight w:val="337" w:hRule="atLeast"/>
        </w:trPr>
        <w:tc>
          <w:tcPr>
            <w:tcW w:w="2235" w:type="dxa"/>
            <w:tcBorders>
              <w:top w:val="single" w:sz="6" w:space="0" w:color="000000"/>
              <w:bottom w:val="single" w:sz="6" w:space="0" w:color="000000"/>
              <w:right w:val="single" w:sz="6" w:space="0" w:color="000000"/>
            </w:tcBorders>
          </w:tcPr>
          <w:p>
            <w:pPr>
              <w:pStyle w:val="TableParagraph"/>
              <w:spacing w:line="318" w:lineRule="exact"/>
              <w:ind w:left="107" w:right="83"/>
              <w:rPr>
                <w:rFonts w:ascii="Times New Roman" w:hAnsi="Times New Roman" w:eastAsia="Times New Roman"/>
                <w:sz w:val="21"/>
              </w:rPr>
            </w:pPr>
            <w:r>
              <w:rPr>
                <w:sz w:val="21"/>
              </w:rPr>
              <w:t>苯胺 </w:t>
            </w:r>
            <w:r>
              <w:rPr>
                <w:rFonts w:ascii="Times New Roman" w:hAnsi="Times New Roman" w:eastAsia="Times New Roman"/>
                <w:sz w:val="21"/>
              </w:rPr>
              <w:t>μg/L</w:t>
            </w:r>
          </w:p>
        </w:tc>
        <w:tc>
          <w:tcPr>
            <w:tcW w:w="163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76" w:right="246"/>
              <w:rPr>
                <w:sz w:val="21"/>
              </w:rPr>
            </w:pPr>
            <w:r>
              <w:rPr>
                <w:sz w:val="21"/>
              </w:rPr>
              <w:t>未检出</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67" w:right="141"/>
              <w:rPr>
                <w:sz w:val="21"/>
              </w:rPr>
            </w:pPr>
            <w:r>
              <w:rPr>
                <w:sz w:val="21"/>
              </w:rPr>
              <w:t>未检出</w:t>
            </w:r>
          </w:p>
        </w:tc>
        <w:tc>
          <w:tcPr>
            <w:tcW w:w="1434" w:type="dxa"/>
            <w:tcBorders>
              <w:top w:val="single" w:sz="6" w:space="0" w:color="000000"/>
              <w:left w:val="single" w:sz="6" w:space="0" w:color="000000"/>
              <w:bottom w:val="single" w:sz="6" w:space="0" w:color="000000"/>
              <w:right w:val="single" w:sz="4" w:space="0" w:color="000000"/>
            </w:tcBorders>
          </w:tcPr>
          <w:p>
            <w:pPr>
              <w:pStyle w:val="TableParagraph"/>
              <w:spacing w:line="318" w:lineRule="exact"/>
              <w:ind w:left="281" w:right="257"/>
              <w:rPr>
                <w:sz w:val="21"/>
              </w:rPr>
            </w:pPr>
            <w:r>
              <w:rPr>
                <w:sz w:val="21"/>
              </w:rPr>
              <w:t>未检出</w:t>
            </w:r>
          </w:p>
        </w:tc>
        <w:tc>
          <w:tcPr>
            <w:tcW w:w="1060" w:type="dxa"/>
            <w:tcBorders>
              <w:top w:val="single" w:sz="6" w:space="0" w:color="000000"/>
              <w:left w:val="single" w:sz="4" w:space="0" w:color="000000"/>
              <w:bottom w:val="single" w:sz="6" w:space="0" w:color="000000"/>
              <w:right w:val="single" w:sz="4" w:space="0" w:color="000000"/>
            </w:tcBorders>
          </w:tcPr>
          <w:p>
            <w:pPr>
              <w:pStyle w:val="TableParagraph"/>
              <w:spacing w:line="318" w:lineRule="exact"/>
              <w:ind w:left="202" w:right="177"/>
              <w:rPr>
                <w:sz w:val="21"/>
              </w:rPr>
            </w:pPr>
            <w:r>
              <w:rPr>
                <w:sz w:val="21"/>
              </w:rPr>
              <w:t>未检出</w:t>
            </w:r>
          </w:p>
        </w:tc>
        <w:tc>
          <w:tcPr>
            <w:tcW w:w="968" w:type="dxa"/>
            <w:tcBorders>
              <w:top w:val="single" w:sz="6" w:space="0" w:color="000000"/>
              <w:left w:val="single" w:sz="4" w:space="0" w:color="000000"/>
              <w:bottom w:val="single" w:sz="6" w:space="0" w:color="000000"/>
            </w:tcBorders>
          </w:tcPr>
          <w:p>
            <w:pPr>
              <w:pStyle w:val="TableParagraph"/>
              <w:spacing w:line="318" w:lineRule="exact"/>
              <w:ind w:left="155" w:right="122"/>
              <w:rPr>
                <w:sz w:val="21"/>
              </w:rPr>
            </w:pPr>
            <w:r>
              <w:rPr>
                <w:sz w:val="21"/>
              </w:rPr>
              <w:t>未检出</w:t>
            </w:r>
          </w:p>
        </w:tc>
      </w:tr>
      <w:tr>
        <w:trPr>
          <w:trHeight w:val="342" w:hRule="atLeast"/>
        </w:trPr>
        <w:tc>
          <w:tcPr>
            <w:tcW w:w="2235" w:type="dxa"/>
            <w:tcBorders>
              <w:top w:val="single" w:sz="6" w:space="0" w:color="000000"/>
              <w:right w:val="single" w:sz="6" w:space="0" w:color="000000"/>
            </w:tcBorders>
          </w:tcPr>
          <w:p>
            <w:pPr>
              <w:pStyle w:val="TableParagraph"/>
              <w:spacing w:line="322" w:lineRule="exact"/>
              <w:ind w:left="107" w:right="85"/>
              <w:rPr>
                <w:rFonts w:ascii="Times New Roman" w:hAnsi="Times New Roman" w:eastAsia="Times New Roman"/>
                <w:sz w:val="21"/>
              </w:rPr>
            </w:pPr>
            <w:r>
              <w:rPr>
                <w:sz w:val="21"/>
              </w:rPr>
              <w:t>二氯甲烷 </w:t>
            </w:r>
            <w:r>
              <w:rPr>
                <w:rFonts w:ascii="Times New Roman" w:hAnsi="Times New Roman" w:eastAsia="Times New Roman"/>
                <w:sz w:val="21"/>
              </w:rPr>
              <w:t>μg/L</w:t>
            </w:r>
          </w:p>
        </w:tc>
        <w:tc>
          <w:tcPr>
            <w:tcW w:w="1630" w:type="dxa"/>
            <w:tcBorders>
              <w:top w:val="single" w:sz="6" w:space="0" w:color="000000"/>
              <w:left w:val="single" w:sz="6" w:space="0" w:color="000000"/>
              <w:right w:val="single" w:sz="6" w:space="0" w:color="000000"/>
            </w:tcBorders>
          </w:tcPr>
          <w:p>
            <w:pPr>
              <w:pStyle w:val="TableParagraph"/>
              <w:spacing w:line="322" w:lineRule="exact"/>
              <w:ind w:left="276" w:right="246"/>
              <w:rPr>
                <w:sz w:val="21"/>
              </w:rPr>
            </w:pPr>
            <w:r>
              <w:rPr>
                <w:sz w:val="21"/>
              </w:rPr>
              <w:t>未检出</w:t>
            </w:r>
          </w:p>
        </w:tc>
        <w:tc>
          <w:tcPr>
            <w:tcW w:w="1206" w:type="dxa"/>
            <w:tcBorders>
              <w:top w:val="single" w:sz="6" w:space="0" w:color="000000"/>
              <w:left w:val="single" w:sz="6" w:space="0" w:color="000000"/>
              <w:right w:val="single" w:sz="6" w:space="0" w:color="000000"/>
            </w:tcBorders>
          </w:tcPr>
          <w:p>
            <w:pPr>
              <w:pStyle w:val="TableParagraph"/>
              <w:spacing w:line="322" w:lineRule="exact"/>
              <w:ind w:left="167" w:right="141"/>
              <w:rPr>
                <w:sz w:val="21"/>
              </w:rPr>
            </w:pPr>
            <w:r>
              <w:rPr>
                <w:sz w:val="21"/>
              </w:rPr>
              <w:t>未检出</w:t>
            </w:r>
          </w:p>
        </w:tc>
        <w:tc>
          <w:tcPr>
            <w:tcW w:w="1434" w:type="dxa"/>
            <w:tcBorders>
              <w:top w:val="single" w:sz="6" w:space="0" w:color="000000"/>
              <w:left w:val="single" w:sz="6" w:space="0" w:color="000000"/>
              <w:right w:val="single" w:sz="4" w:space="0" w:color="000000"/>
            </w:tcBorders>
          </w:tcPr>
          <w:p>
            <w:pPr>
              <w:pStyle w:val="TableParagraph"/>
              <w:spacing w:line="322" w:lineRule="exact"/>
              <w:ind w:left="281" w:right="257"/>
              <w:rPr>
                <w:sz w:val="21"/>
              </w:rPr>
            </w:pPr>
            <w:r>
              <w:rPr>
                <w:sz w:val="21"/>
              </w:rPr>
              <w:t>未检出</w:t>
            </w:r>
          </w:p>
        </w:tc>
        <w:tc>
          <w:tcPr>
            <w:tcW w:w="1060" w:type="dxa"/>
            <w:tcBorders>
              <w:top w:val="single" w:sz="6" w:space="0" w:color="000000"/>
              <w:left w:val="single" w:sz="4" w:space="0" w:color="000000"/>
              <w:right w:val="single" w:sz="4" w:space="0" w:color="000000"/>
            </w:tcBorders>
          </w:tcPr>
          <w:p>
            <w:pPr>
              <w:pStyle w:val="TableParagraph"/>
              <w:spacing w:line="322" w:lineRule="exact"/>
              <w:ind w:left="202" w:right="177"/>
              <w:rPr>
                <w:sz w:val="21"/>
              </w:rPr>
            </w:pPr>
            <w:r>
              <w:rPr>
                <w:sz w:val="21"/>
              </w:rPr>
              <w:t>未检出</w:t>
            </w:r>
          </w:p>
        </w:tc>
        <w:tc>
          <w:tcPr>
            <w:tcW w:w="968" w:type="dxa"/>
            <w:tcBorders>
              <w:top w:val="single" w:sz="6" w:space="0" w:color="000000"/>
              <w:left w:val="single" w:sz="4" w:space="0" w:color="000000"/>
            </w:tcBorders>
          </w:tcPr>
          <w:p>
            <w:pPr>
              <w:pStyle w:val="TableParagraph"/>
              <w:spacing w:line="322" w:lineRule="exact"/>
              <w:ind w:left="155" w:right="122"/>
              <w:rPr>
                <w:sz w:val="21"/>
              </w:rPr>
            </w:pPr>
            <w:r>
              <w:rPr>
                <w:sz w:val="21"/>
              </w:rPr>
              <w:t>未检出</w:t>
            </w:r>
          </w:p>
        </w:tc>
      </w:tr>
    </w:tbl>
    <w:p>
      <w:pPr>
        <w:pStyle w:val="Heading5"/>
        <w:numPr>
          <w:ilvl w:val="3"/>
          <w:numId w:val="7"/>
        </w:numPr>
        <w:tabs>
          <w:tab w:pos="1490" w:val="left" w:leader="none"/>
        </w:tabs>
        <w:spacing w:line="240" w:lineRule="auto" w:before="154" w:after="0"/>
        <w:ind w:left="1490" w:right="0" w:hanging="912"/>
        <w:jc w:val="left"/>
      </w:pPr>
      <w:r>
        <w:rPr/>
        <w:t>地下水环境质量现状评价</w:t>
      </w:r>
    </w:p>
    <w:p>
      <w:pPr>
        <w:pStyle w:val="BodyText"/>
        <w:spacing w:line="488" w:lineRule="exact" w:before="152"/>
        <w:ind w:left="1058"/>
      </w:pPr>
      <w:r>
        <w:rPr>
          <w:rFonts w:ascii="Times New Roman" w:eastAsia="Times New Roman"/>
        </w:rPr>
        <w:t>1</w:t>
      </w:r>
      <w:r>
        <w:rPr/>
        <w:t>、评价因子</w:t>
      </w:r>
    </w:p>
    <w:p>
      <w:pPr>
        <w:pStyle w:val="BodyText"/>
        <w:spacing w:line="468" w:lineRule="exact"/>
        <w:ind w:left="1058"/>
      </w:pPr>
      <w:r>
        <w:rPr/>
        <w:t>选择监测因子作为评价因子（各监测点均低于检出限的不做评价</w:t>
      </w:r>
      <w:r>
        <w:rPr>
          <w:spacing w:val="-119"/>
        </w:rPr>
        <w:t>）</w:t>
      </w:r>
      <w:r>
        <w:rPr/>
        <w:t>。</w:t>
      </w:r>
    </w:p>
    <w:p>
      <w:pPr>
        <w:pStyle w:val="BodyText"/>
        <w:spacing w:line="489" w:lineRule="exact"/>
        <w:ind w:left="1058"/>
      </w:pPr>
      <w:r>
        <w:rPr>
          <w:rFonts w:ascii="Times New Roman" w:eastAsia="Times New Roman"/>
        </w:rPr>
        <w:t>2</w:t>
      </w:r>
      <w:r>
        <w:rPr/>
        <w:t>、评价标准</w:t>
      </w:r>
    </w:p>
    <w:p>
      <w:pPr>
        <w:spacing w:after="0" w:line="489" w:lineRule="exact"/>
        <w:sectPr>
          <w:pgSz w:w="11910" w:h="16840"/>
          <w:pgMar w:header="877" w:footer="973" w:top="1340" w:bottom="1160" w:left="1220" w:right="1040"/>
        </w:sectPr>
      </w:pPr>
    </w:p>
    <w:p>
      <w:pPr>
        <w:pStyle w:val="BodyText"/>
        <w:spacing w:line="488" w:lineRule="exact" w:before="48"/>
        <w:ind w:left="1058"/>
      </w:pPr>
      <w:r>
        <w:rPr/>
        <w:t>项目地下水质量现状评价采用《地下水质量标准》（</w:t>
      </w:r>
      <w:r>
        <w:rPr>
          <w:rFonts w:ascii="Times New Roman" w:eastAsia="Times New Roman"/>
        </w:rPr>
        <w:t>GB/T14848-2017</w:t>
      </w:r>
      <w:r>
        <w:rPr/>
        <w:t>）中</w:t>
      </w:r>
    </w:p>
    <w:p>
      <w:pPr>
        <w:pStyle w:val="BodyText"/>
        <w:spacing w:line="488" w:lineRule="exact"/>
        <w:ind w:left="578"/>
      </w:pPr>
      <w:r>
        <w:rPr>
          <w:rFonts w:ascii="Times New Roman" w:eastAsia="Times New Roman"/>
        </w:rPr>
        <w:t>III </w:t>
      </w:r>
      <w:r>
        <w:rPr/>
        <w:t>类标准，具体标准值见表 </w:t>
      </w:r>
      <w:r>
        <w:rPr>
          <w:rFonts w:ascii="Times New Roman" w:eastAsia="Times New Roman"/>
        </w:rPr>
        <w:t>5.4-27</w:t>
      </w:r>
      <w:r>
        <w:rPr/>
        <w:t>。</w:t>
      </w:r>
    </w:p>
    <w:p>
      <w:pPr>
        <w:tabs>
          <w:tab w:pos="2352" w:val="left" w:leader="none"/>
          <w:tab w:pos="4250" w:val="left" w:leader="none"/>
        </w:tabs>
        <w:spacing w:before="150" w:after="24"/>
        <w:ind w:left="1334" w:right="0" w:firstLine="0"/>
        <w:jc w:val="left"/>
        <w:rPr>
          <w:sz w:val="21"/>
        </w:rPr>
      </w:pPr>
      <w:r>
        <w:rPr>
          <w:sz w:val="21"/>
        </w:rPr>
        <w:t>表</w:t>
      </w:r>
      <w:r>
        <w:rPr>
          <w:spacing w:val="7"/>
          <w:sz w:val="21"/>
        </w:rPr>
        <w:t> </w:t>
      </w:r>
      <w:r>
        <w:rPr>
          <w:rFonts w:ascii="Times New Roman" w:eastAsia="Times New Roman"/>
          <w:b/>
          <w:sz w:val="21"/>
        </w:rPr>
        <w:t>5.4-27</w:t>
        <w:tab/>
      </w:r>
      <w:r>
        <w:rPr>
          <w:sz w:val="21"/>
        </w:rPr>
        <w:t>地下水质量</w:t>
      </w:r>
      <w:r>
        <w:rPr>
          <w:spacing w:val="-3"/>
          <w:sz w:val="21"/>
        </w:rPr>
        <w:t>标</w:t>
      </w:r>
      <w:r>
        <w:rPr>
          <w:sz w:val="21"/>
        </w:rPr>
        <w:t>准</w:t>
        <w:tab/>
        <w:t>单位：</w:t>
      </w:r>
      <w:r>
        <w:rPr>
          <w:rFonts w:ascii="Times New Roman" w:eastAsia="Times New Roman"/>
          <w:b/>
          <w:sz w:val="21"/>
        </w:rPr>
        <w:t>mg/L</w:t>
      </w:r>
      <w:r>
        <w:rPr>
          <w:sz w:val="21"/>
        </w:rPr>
        <w:t>（</w:t>
      </w:r>
      <w:r>
        <w:rPr>
          <w:rFonts w:ascii="Times New Roman" w:eastAsia="Times New Roman"/>
          <w:b/>
          <w:sz w:val="21"/>
        </w:rPr>
        <w:t>pH</w:t>
      </w:r>
      <w:r>
        <w:rPr>
          <w:rFonts w:ascii="Times New Roman" w:eastAsia="Times New Roman"/>
          <w:b/>
          <w:spacing w:val="-3"/>
          <w:sz w:val="21"/>
        </w:rPr>
        <w:t> </w:t>
      </w:r>
      <w:r>
        <w:rPr>
          <w:sz w:val="21"/>
        </w:rPr>
        <w:t>值、粪大肠菌群除</w:t>
      </w:r>
      <w:r>
        <w:rPr>
          <w:spacing w:val="-3"/>
          <w:sz w:val="21"/>
        </w:rPr>
        <w:t>外</w:t>
      </w:r>
      <w:r>
        <w:rPr>
          <w:sz w:val="21"/>
        </w:rPr>
        <w:t>）</w:t>
      </w:r>
    </w:p>
    <w:tbl>
      <w:tblPr>
        <w:tblW w:w="0" w:type="auto"/>
        <w:jc w:val="left"/>
        <w:tblInd w:w="5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5"/>
        <w:gridCol w:w="2139"/>
        <w:gridCol w:w="1356"/>
        <w:gridCol w:w="1377"/>
        <w:gridCol w:w="2594"/>
      </w:tblGrid>
      <w:tr>
        <w:trPr>
          <w:trHeight w:val="368" w:hRule="atLeast"/>
        </w:trPr>
        <w:tc>
          <w:tcPr>
            <w:tcW w:w="955" w:type="dxa"/>
            <w:tcBorders>
              <w:bottom w:val="single" w:sz="4" w:space="0" w:color="000000"/>
              <w:right w:val="single" w:sz="4" w:space="0" w:color="000000"/>
            </w:tcBorders>
          </w:tcPr>
          <w:p>
            <w:pPr>
              <w:pStyle w:val="TableParagraph"/>
              <w:spacing w:line="349" w:lineRule="exact"/>
              <w:ind w:left="244" w:right="230"/>
              <w:rPr>
                <w:sz w:val="21"/>
              </w:rPr>
            </w:pPr>
            <w:r>
              <w:rPr>
                <w:sz w:val="21"/>
              </w:rPr>
              <w:t>序号</w:t>
            </w:r>
          </w:p>
        </w:tc>
        <w:tc>
          <w:tcPr>
            <w:tcW w:w="2139" w:type="dxa"/>
            <w:tcBorders>
              <w:left w:val="single" w:sz="4" w:space="0" w:color="000000"/>
              <w:bottom w:val="single" w:sz="4" w:space="0" w:color="000000"/>
              <w:right w:val="single" w:sz="4" w:space="0" w:color="000000"/>
            </w:tcBorders>
          </w:tcPr>
          <w:p>
            <w:pPr>
              <w:pStyle w:val="TableParagraph"/>
              <w:spacing w:line="349" w:lineRule="exact"/>
              <w:ind w:left="216" w:right="190"/>
              <w:rPr>
                <w:sz w:val="21"/>
              </w:rPr>
            </w:pPr>
            <w:r>
              <w:rPr>
                <w:sz w:val="21"/>
              </w:rPr>
              <w:t>指标名称</w:t>
            </w:r>
          </w:p>
        </w:tc>
        <w:tc>
          <w:tcPr>
            <w:tcW w:w="1356" w:type="dxa"/>
            <w:tcBorders>
              <w:left w:val="single" w:sz="4" w:space="0" w:color="000000"/>
              <w:bottom w:val="single" w:sz="4" w:space="0" w:color="000000"/>
              <w:right w:val="single" w:sz="4" w:space="0" w:color="000000"/>
            </w:tcBorders>
          </w:tcPr>
          <w:p>
            <w:pPr>
              <w:pStyle w:val="TableParagraph"/>
              <w:spacing w:line="349" w:lineRule="exact"/>
              <w:ind w:left="475"/>
              <w:jc w:val="left"/>
              <w:rPr>
                <w:sz w:val="21"/>
              </w:rPr>
            </w:pPr>
            <w:r>
              <w:rPr>
                <w:sz w:val="21"/>
              </w:rPr>
              <w:t>单位</w:t>
            </w:r>
          </w:p>
        </w:tc>
        <w:tc>
          <w:tcPr>
            <w:tcW w:w="1377" w:type="dxa"/>
            <w:tcBorders>
              <w:left w:val="single" w:sz="4" w:space="0" w:color="000000"/>
              <w:bottom w:val="single" w:sz="4" w:space="0" w:color="000000"/>
              <w:right w:val="single" w:sz="4" w:space="0" w:color="000000"/>
            </w:tcBorders>
          </w:tcPr>
          <w:p>
            <w:pPr>
              <w:pStyle w:val="TableParagraph"/>
              <w:spacing w:line="349" w:lineRule="exact"/>
              <w:ind w:left="363" w:right="333"/>
              <w:rPr>
                <w:sz w:val="21"/>
              </w:rPr>
            </w:pPr>
            <w:r>
              <w:rPr>
                <w:sz w:val="21"/>
              </w:rPr>
              <w:t>指标值</w:t>
            </w:r>
          </w:p>
        </w:tc>
        <w:tc>
          <w:tcPr>
            <w:tcW w:w="2594" w:type="dxa"/>
            <w:tcBorders>
              <w:left w:val="single" w:sz="4" w:space="0" w:color="000000"/>
              <w:bottom w:val="single" w:sz="4" w:space="0" w:color="000000"/>
            </w:tcBorders>
          </w:tcPr>
          <w:p>
            <w:pPr>
              <w:pStyle w:val="TableParagraph"/>
              <w:spacing w:line="349" w:lineRule="exact"/>
              <w:ind w:left="887"/>
              <w:jc w:val="left"/>
              <w:rPr>
                <w:sz w:val="21"/>
              </w:rPr>
            </w:pPr>
            <w:r>
              <w:rPr>
                <w:sz w:val="21"/>
              </w:rPr>
              <w:t>指标来源</w:t>
            </w:r>
          </w:p>
        </w:tc>
      </w:tr>
      <w:tr>
        <w:trPr>
          <w:trHeight w:val="359" w:hRule="atLeast"/>
        </w:trPr>
        <w:tc>
          <w:tcPr>
            <w:tcW w:w="955" w:type="dxa"/>
            <w:tcBorders>
              <w:top w:val="single" w:sz="4" w:space="0" w:color="000000"/>
              <w:bottom w:val="single" w:sz="4" w:space="0" w:color="000000"/>
              <w:right w:val="single" w:sz="4" w:space="0" w:color="000000"/>
            </w:tcBorders>
          </w:tcPr>
          <w:p>
            <w:pPr>
              <w:pStyle w:val="TableParagraph"/>
              <w:spacing w:before="63"/>
              <w:ind w:left="14"/>
              <w:rPr>
                <w:rFonts w:ascii="Times New Roman"/>
                <w:sz w:val="21"/>
              </w:rPr>
            </w:pPr>
            <w:r>
              <w:rPr>
                <w:rFonts w:ascii="Times New Roman"/>
                <w:w w:val="100"/>
                <w:sz w:val="21"/>
              </w:rPr>
              <w:t>1</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before="63"/>
              <w:ind w:left="216" w:right="190"/>
              <w:rPr>
                <w:rFonts w:ascii="Times New Roman"/>
                <w:sz w:val="21"/>
              </w:rPr>
            </w:pPr>
            <w:r>
              <w:rPr>
                <w:rFonts w:ascii="Times New Roman"/>
                <w:sz w:val="21"/>
              </w:rPr>
              <w:t>pH</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line="339" w:lineRule="exact"/>
              <w:ind w:left="371"/>
              <w:jc w:val="left"/>
              <w:rPr>
                <w:sz w:val="21"/>
              </w:rPr>
            </w:pPr>
            <w:r>
              <w:rPr>
                <w:sz w:val="21"/>
              </w:rPr>
              <w:t>无量纲</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63"/>
              <w:ind w:left="363" w:right="333"/>
              <w:rPr>
                <w:rFonts w:ascii="Times New Roman"/>
                <w:sz w:val="21"/>
              </w:rPr>
            </w:pPr>
            <w:r>
              <w:rPr>
                <w:rFonts w:ascii="Times New Roman"/>
                <w:sz w:val="21"/>
              </w:rPr>
              <w:t>6.5-8.5</w:t>
            </w:r>
          </w:p>
        </w:tc>
        <w:tc>
          <w:tcPr>
            <w:tcW w:w="2594" w:type="dxa"/>
            <w:vMerge w:val="restart"/>
            <w:tcBorders>
              <w:top w:val="single" w:sz="4" w:space="0" w:color="000000"/>
              <w:lef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0"/>
              <w:jc w:val="left"/>
              <w:rPr>
                <w:sz w:val="17"/>
              </w:rPr>
            </w:pPr>
          </w:p>
          <w:p>
            <w:pPr>
              <w:pStyle w:val="TableParagraph"/>
              <w:spacing w:line="379" w:lineRule="exact" w:before="1"/>
              <w:ind w:left="93" w:right="52"/>
              <w:rPr>
                <w:sz w:val="21"/>
              </w:rPr>
            </w:pPr>
            <w:r>
              <w:rPr>
                <w:sz w:val="21"/>
              </w:rPr>
              <w:t>《地下水质量标准》</w:t>
            </w:r>
          </w:p>
          <w:p>
            <w:pPr>
              <w:pStyle w:val="TableParagraph"/>
              <w:spacing w:line="312" w:lineRule="exact"/>
              <w:ind w:left="93" w:right="54"/>
              <w:rPr>
                <w:sz w:val="21"/>
              </w:rPr>
            </w:pPr>
            <w:r>
              <w:rPr>
                <w:sz w:val="21"/>
              </w:rPr>
              <w:t>（</w:t>
            </w:r>
            <w:r>
              <w:rPr>
                <w:rFonts w:ascii="Times New Roman" w:eastAsia="Times New Roman"/>
                <w:sz w:val="21"/>
              </w:rPr>
              <w:t>GB/T14848-2017</w:t>
            </w:r>
            <w:r>
              <w:rPr>
                <w:sz w:val="21"/>
              </w:rPr>
              <w:t>）</w:t>
            </w:r>
            <w:r>
              <w:rPr>
                <w:rFonts w:ascii="Times New Roman" w:eastAsia="Times New Roman"/>
                <w:sz w:val="21"/>
              </w:rPr>
              <w:t>III </w:t>
            </w:r>
            <w:r>
              <w:rPr>
                <w:sz w:val="21"/>
              </w:rPr>
              <w:t>类</w:t>
            </w:r>
          </w:p>
          <w:p>
            <w:pPr>
              <w:pStyle w:val="TableParagraph"/>
              <w:spacing w:line="379" w:lineRule="exact"/>
              <w:ind w:left="93" w:right="48"/>
              <w:rPr>
                <w:sz w:val="21"/>
              </w:rPr>
            </w:pPr>
            <w:r>
              <w:rPr>
                <w:sz w:val="21"/>
              </w:rPr>
              <w:t>标准</w:t>
            </w: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2</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89"/>
              <w:rPr>
                <w:sz w:val="21"/>
              </w:rPr>
            </w:pPr>
            <w:r>
              <w:rPr>
                <w:sz w:val="21"/>
              </w:rPr>
              <w:t>氨氮</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≤0.5</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3</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90"/>
              <w:rPr>
                <w:sz w:val="21"/>
              </w:rPr>
            </w:pPr>
            <w:r>
              <w:rPr>
                <w:sz w:val="21"/>
              </w:rPr>
              <w:t>高锰酸盐指数</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0"/>
              <w:rPr>
                <w:rFonts w:ascii="Times New Roman"/>
                <w:sz w:val="21"/>
              </w:rPr>
            </w:pPr>
            <w:r>
              <w:rPr>
                <w:rFonts w:ascii="Times New Roman"/>
                <w:w w:val="100"/>
                <w:sz w:val="21"/>
              </w:rPr>
              <w:t>6</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4</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30" w:lineRule="exact"/>
              <w:ind w:left="216" w:right="190"/>
              <w:rPr>
                <w:sz w:val="21"/>
              </w:rPr>
            </w:pPr>
            <w:r>
              <w:rPr>
                <w:sz w:val="21"/>
              </w:rPr>
              <w:t>硫酸盐</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≤250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5</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90"/>
              <w:rPr>
                <w:sz w:val="21"/>
              </w:rPr>
            </w:pPr>
            <w:r>
              <w:rPr>
                <w:sz w:val="21"/>
              </w:rPr>
              <w:t>氯化物</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≤250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6</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5" w:right="192"/>
              <w:rPr>
                <w:sz w:val="21"/>
              </w:rPr>
            </w:pPr>
            <w:r>
              <w:rPr>
                <w:sz w:val="21"/>
              </w:rPr>
              <w:t>硝酸盐氮</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≤20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7</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5" w:right="192"/>
              <w:rPr>
                <w:sz w:val="21"/>
              </w:rPr>
            </w:pPr>
            <w:r>
              <w:rPr>
                <w:sz w:val="21"/>
              </w:rPr>
              <w:t>亚硝酸盐氮</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≤1.0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8</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90"/>
              <w:rPr>
                <w:sz w:val="21"/>
              </w:rPr>
            </w:pPr>
            <w:r>
              <w:rPr>
                <w:sz w:val="21"/>
              </w:rPr>
              <w:t>挥发酚</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≤0.002</w:t>
            </w:r>
          </w:p>
        </w:tc>
        <w:tc>
          <w:tcPr>
            <w:tcW w:w="2594" w:type="dxa"/>
            <w:vMerge/>
            <w:tcBorders>
              <w:top w:val="nil"/>
              <w:left w:val="single" w:sz="4" w:space="0" w:color="000000"/>
            </w:tcBorders>
          </w:tcPr>
          <w:p>
            <w:pPr>
              <w:rPr>
                <w:sz w:val="2"/>
                <w:szCs w:val="2"/>
              </w:rPr>
            </w:pPr>
          </w:p>
        </w:tc>
      </w:tr>
      <w:tr>
        <w:trPr>
          <w:trHeight w:val="346" w:hRule="atLeast"/>
        </w:trPr>
        <w:tc>
          <w:tcPr>
            <w:tcW w:w="955" w:type="dxa"/>
            <w:tcBorders>
              <w:top w:val="single" w:sz="4" w:space="0" w:color="000000"/>
              <w:bottom w:val="single" w:sz="4" w:space="0" w:color="000000"/>
              <w:right w:val="single" w:sz="4" w:space="0" w:color="000000"/>
            </w:tcBorders>
          </w:tcPr>
          <w:p>
            <w:pPr>
              <w:pStyle w:val="TableParagraph"/>
              <w:spacing w:before="53"/>
              <w:ind w:left="14"/>
              <w:rPr>
                <w:rFonts w:ascii="Times New Roman"/>
                <w:sz w:val="21"/>
              </w:rPr>
            </w:pPr>
            <w:r>
              <w:rPr>
                <w:rFonts w:ascii="Times New Roman"/>
                <w:w w:val="100"/>
                <w:sz w:val="21"/>
              </w:rPr>
              <w:t>9</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7" w:lineRule="exact"/>
              <w:ind w:left="216" w:right="192"/>
              <w:rPr>
                <w:sz w:val="21"/>
              </w:rPr>
            </w:pPr>
            <w:r>
              <w:rPr>
                <w:sz w:val="21"/>
              </w:rPr>
              <w:t>氟化物（以 </w:t>
            </w:r>
            <w:r>
              <w:rPr>
                <w:rFonts w:ascii="Times New Roman" w:eastAsia="Times New Roman"/>
                <w:sz w:val="21"/>
              </w:rPr>
              <w:t>F</w:t>
            </w:r>
            <w:r>
              <w:rPr>
                <w:rFonts w:ascii="Times New Roman" w:eastAsia="Times New Roman"/>
                <w:position w:val="7"/>
                <w:sz w:val="14"/>
              </w:rPr>
              <w:t>-</w:t>
            </w:r>
            <w:r>
              <w:rPr>
                <w:sz w:val="21"/>
              </w:rPr>
              <w:t>计）</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≤1.0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5"/>
              <w:ind w:left="244" w:right="230"/>
              <w:rPr>
                <w:rFonts w:ascii="Times New Roman"/>
                <w:sz w:val="21"/>
              </w:rPr>
            </w:pPr>
            <w:r>
              <w:rPr>
                <w:rFonts w:ascii="Times New Roman"/>
                <w:sz w:val="21"/>
              </w:rPr>
              <w:t>10</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90"/>
              <w:rPr>
                <w:sz w:val="21"/>
              </w:rPr>
            </w:pPr>
            <w:r>
              <w:rPr>
                <w:sz w:val="21"/>
              </w:rPr>
              <w:t>氰化物</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5"/>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5"/>
              <w:ind w:left="363" w:right="333"/>
              <w:rPr>
                <w:rFonts w:ascii="Times New Roman" w:hAnsi="Times New Roman"/>
                <w:sz w:val="21"/>
              </w:rPr>
            </w:pPr>
            <w:r>
              <w:rPr>
                <w:rFonts w:ascii="Times New Roman" w:hAnsi="Times New Roman"/>
                <w:sz w:val="21"/>
              </w:rPr>
              <w:t>≤0.05</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39" w:right="230"/>
              <w:rPr>
                <w:rFonts w:ascii="Times New Roman"/>
                <w:sz w:val="21"/>
              </w:rPr>
            </w:pPr>
            <w:r>
              <w:rPr>
                <w:rFonts w:ascii="Times New Roman"/>
                <w:sz w:val="21"/>
              </w:rPr>
              <w:t>11</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砷</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≤0.01</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12</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汞</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≤0.001</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13</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30" w:lineRule="exact"/>
              <w:ind w:left="216" w:right="190"/>
              <w:rPr>
                <w:sz w:val="21"/>
              </w:rPr>
            </w:pPr>
            <w:r>
              <w:rPr>
                <w:sz w:val="21"/>
              </w:rPr>
              <w:t>六价铬</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≤0.05</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14</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铅</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≤0.01</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15</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镉</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≤0.005</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16</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铁</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≤0.3</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17</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锰</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≤0.1</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18</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锌</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≤1.0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19</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铜</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≤1.0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20</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90"/>
              <w:rPr>
                <w:sz w:val="21"/>
              </w:rPr>
            </w:pPr>
            <w:r>
              <w:rPr>
                <w:sz w:val="21"/>
              </w:rPr>
              <w:t>总硬度</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≤450</w:t>
            </w:r>
          </w:p>
        </w:tc>
        <w:tc>
          <w:tcPr>
            <w:tcW w:w="2594" w:type="dxa"/>
            <w:vMerge/>
            <w:tcBorders>
              <w:top w:val="nil"/>
              <w:left w:val="single" w:sz="4" w:space="0" w:color="000000"/>
            </w:tcBorders>
          </w:tcPr>
          <w:p>
            <w:pPr>
              <w:rPr>
                <w:sz w:val="2"/>
                <w:szCs w:val="2"/>
              </w:rPr>
            </w:pPr>
          </w:p>
        </w:tc>
      </w:tr>
      <w:tr>
        <w:trPr>
          <w:trHeight w:val="346"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21</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7" w:lineRule="exact"/>
              <w:ind w:left="216" w:right="190"/>
              <w:rPr>
                <w:sz w:val="21"/>
              </w:rPr>
            </w:pPr>
            <w:r>
              <w:rPr>
                <w:sz w:val="21"/>
              </w:rPr>
              <w:t>溶解性总固体</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≤1000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6"/>
              <w:ind w:left="244" w:right="230"/>
              <w:rPr>
                <w:rFonts w:ascii="Times New Roman"/>
                <w:sz w:val="21"/>
              </w:rPr>
            </w:pPr>
            <w:r>
              <w:rPr>
                <w:rFonts w:ascii="Times New Roman"/>
                <w:sz w:val="21"/>
              </w:rPr>
              <w:t>23</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30" w:lineRule="exact"/>
              <w:ind w:left="215" w:right="192"/>
              <w:rPr>
                <w:sz w:val="21"/>
              </w:rPr>
            </w:pPr>
            <w:r>
              <w:rPr>
                <w:sz w:val="21"/>
              </w:rPr>
              <w:t>总大肠菌群</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6"/>
              <w:ind w:left="307"/>
              <w:jc w:val="left"/>
              <w:rPr>
                <w:rFonts w:ascii="Times New Roman"/>
                <w:sz w:val="21"/>
              </w:rPr>
            </w:pPr>
            <w:r>
              <w:rPr>
                <w:rFonts w:ascii="Times New Roman"/>
                <w:sz w:val="21"/>
              </w:rPr>
              <w:t>CFU/mL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6"/>
              <w:ind w:left="363" w:right="333"/>
              <w:rPr>
                <w:rFonts w:ascii="Times New Roman" w:hAnsi="Times New Roman"/>
                <w:sz w:val="21"/>
              </w:rPr>
            </w:pPr>
            <w:r>
              <w:rPr>
                <w:rFonts w:ascii="Times New Roman" w:hAnsi="Times New Roman"/>
                <w:sz w:val="21"/>
              </w:rPr>
              <w:t>≤3.0</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24</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89"/>
              <w:rPr>
                <w:sz w:val="21"/>
              </w:rPr>
            </w:pPr>
            <w:r>
              <w:rPr>
                <w:sz w:val="21"/>
              </w:rPr>
              <w:t>甲苯</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≤0.7</w:t>
            </w:r>
          </w:p>
        </w:tc>
        <w:tc>
          <w:tcPr>
            <w:tcW w:w="2594" w:type="dxa"/>
            <w:vMerge/>
            <w:tcBorders>
              <w:top w:val="nil"/>
              <w:left w:val="single" w:sz="4" w:space="0" w:color="000000"/>
            </w:tcBorders>
          </w:tcPr>
          <w:p>
            <w:pPr>
              <w:rPr>
                <w:sz w:val="2"/>
                <w:szCs w:val="2"/>
              </w:rPr>
            </w:pPr>
          </w:p>
        </w:tc>
      </w:tr>
      <w:tr>
        <w:trPr>
          <w:trHeight w:val="349" w:hRule="atLeast"/>
        </w:trPr>
        <w:tc>
          <w:tcPr>
            <w:tcW w:w="955" w:type="dxa"/>
            <w:tcBorders>
              <w:top w:val="single" w:sz="4" w:space="0" w:color="000000"/>
              <w:bottom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25</w:t>
            </w:r>
          </w:p>
        </w:tc>
        <w:tc>
          <w:tcPr>
            <w:tcW w:w="2139"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16" w:right="189"/>
              <w:rPr>
                <w:sz w:val="21"/>
              </w:rPr>
            </w:pPr>
            <w:r>
              <w:rPr>
                <w:sz w:val="21"/>
              </w:rPr>
              <w:t>氯苯</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bottom w:val="single" w:sz="4" w:space="0" w:color="000000"/>
              <w:right w:val="single" w:sz="4" w:space="0" w:color="000000"/>
            </w:tcBorders>
          </w:tcPr>
          <w:p>
            <w:pPr>
              <w:pStyle w:val="TableParagraph"/>
              <w:spacing w:before="53"/>
              <w:ind w:left="363" w:right="333"/>
              <w:rPr>
                <w:rFonts w:ascii="Times New Roman"/>
                <w:sz w:val="21"/>
              </w:rPr>
            </w:pPr>
            <w:r>
              <w:rPr>
                <w:rFonts w:ascii="Times New Roman"/>
                <w:sz w:val="21"/>
              </w:rPr>
              <w:t>0.3</w:t>
            </w:r>
          </w:p>
        </w:tc>
        <w:tc>
          <w:tcPr>
            <w:tcW w:w="2594" w:type="dxa"/>
            <w:vMerge/>
            <w:tcBorders>
              <w:top w:val="nil"/>
              <w:left w:val="single" w:sz="4" w:space="0" w:color="000000"/>
            </w:tcBorders>
          </w:tcPr>
          <w:p>
            <w:pPr>
              <w:rPr>
                <w:sz w:val="2"/>
                <w:szCs w:val="2"/>
              </w:rPr>
            </w:pPr>
          </w:p>
        </w:tc>
      </w:tr>
      <w:tr>
        <w:trPr>
          <w:trHeight w:val="361" w:hRule="atLeast"/>
        </w:trPr>
        <w:tc>
          <w:tcPr>
            <w:tcW w:w="955" w:type="dxa"/>
            <w:tcBorders>
              <w:top w:val="single" w:sz="4" w:space="0" w:color="000000"/>
              <w:right w:val="single" w:sz="4" w:space="0" w:color="000000"/>
            </w:tcBorders>
          </w:tcPr>
          <w:p>
            <w:pPr>
              <w:pStyle w:val="TableParagraph"/>
              <w:spacing w:before="53"/>
              <w:ind w:left="244" w:right="230"/>
              <w:rPr>
                <w:rFonts w:ascii="Times New Roman"/>
                <w:sz w:val="21"/>
              </w:rPr>
            </w:pPr>
            <w:r>
              <w:rPr>
                <w:rFonts w:ascii="Times New Roman"/>
                <w:sz w:val="21"/>
              </w:rPr>
              <w:t>26</w:t>
            </w:r>
          </w:p>
        </w:tc>
        <w:tc>
          <w:tcPr>
            <w:tcW w:w="2139" w:type="dxa"/>
            <w:tcBorders>
              <w:top w:val="single" w:sz="4" w:space="0" w:color="000000"/>
              <w:left w:val="single" w:sz="4" w:space="0" w:color="000000"/>
              <w:right w:val="single" w:sz="4" w:space="0" w:color="000000"/>
            </w:tcBorders>
          </w:tcPr>
          <w:p>
            <w:pPr>
              <w:pStyle w:val="TableParagraph"/>
              <w:spacing w:line="341" w:lineRule="exact"/>
              <w:ind w:left="215" w:right="192"/>
              <w:rPr>
                <w:sz w:val="21"/>
              </w:rPr>
            </w:pPr>
            <w:r>
              <w:rPr>
                <w:sz w:val="21"/>
              </w:rPr>
              <w:t>二氯甲烷</w:t>
            </w:r>
          </w:p>
        </w:tc>
        <w:tc>
          <w:tcPr>
            <w:tcW w:w="1356" w:type="dxa"/>
            <w:tcBorders>
              <w:top w:val="single" w:sz="4" w:space="0" w:color="000000"/>
              <w:left w:val="single" w:sz="4" w:space="0" w:color="000000"/>
              <w:right w:val="single" w:sz="4" w:space="0" w:color="000000"/>
            </w:tcBorders>
          </w:tcPr>
          <w:p>
            <w:pPr>
              <w:pStyle w:val="TableParagraph"/>
              <w:spacing w:before="53"/>
              <w:ind w:left="458"/>
              <w:jc w:val="left"/>
              <w:rPr>
                <w:rFonts w:ascii="Times New Roman"/>
                <w:sz w:val="21"/>
              </w:rPr>
            </w:pPr>
            <w:r>
              <w:rPr>
                <w:rFonts w:ascii="Times New Roman"/>
                <w:sz w:val="21"/>
              </w:rPr>
              <w:t>mg/L</w:t>
            </w:r>
          </w:p>
        </w:tc>
        <w:tc>
          <w:tcPr>
            <w:tcW w:w="1377" w:type="dxa"/>
            <w:tcBorders>
              <w:top w:val="single" w:sz="4" w:space="0" w:color="000000"/>
              <w:left w:val="single" w:sz="4" w:space="0" w:color="000000"/>
              <w:right w:val="single" w:sz="4" w:space="0" w:color="000000"/>
            </w:tcBorders>
          </w:tcPr>
          <w:p>
            <w:pPr>
              <w:pStyle w:val="TableParagraph"/>
              <w:spacing w:before="53"/>
              <w:ind w:left="363" w:right="333"/>
              <w:rPr>
                <w:rFonts w:ascii="Times New Roman" w:hAnsi="Times New Roman"/>
                <w:sz w:val="21"/>
              </w:rPr>
            </w:pPr>
            <w:r>
              <w:rPr>
                <w:rFonts w:ascii="Times New Roman" w:hAnsi="Times New Roman"/>
                <w:sz w:val="21"/>
              </w:rPr>
              <w:t>≤20</w:t>
            </w:r>
          </w:p>
        </w:tc>
        <w:tc>
          <w:tcPr>
            <w:tcW w:w="2594" w:type="dxa"/>
            <w:vMerge/>
            <w:tcBorders>
              <w:top w:val="nil"/>
              <w:left w:val="single" w:sz="4" w:space="0" w:color="000000"/>
            </w:tcBorders>
          </w:tcPr>
          <w:p>
            <w:pPr>
              <w:rPr>
                <w:sz w:val="2"/>
                <w:szCs w:val="2"/>
              </w:rPr>
            </w:pPr>
          </w:p>
        </w:tc>
      </w:tr>
    </w:tbl>
    <w:p>
      <w:pPr>
        <w:pStyle w:val="BodyText"/>
        <w:spacing w:line="488" w:lineRule="exact" w:before="120"/>
        <w:ind w:left="1058"/>
      </w:pPr>
      <w:r>
        <w:rPr>
          <w:rFonts w:ascii="Times New Roman" w:eastAsia="Times New Roman"/>
        </w:rPr>
        <w:t>3</w:t>
      </w:r>
      <w:r>
        <w:rPr/>
        <w:t>、评价方法</w:t>
      </w:r>
    </w:p>
    <w:p>
      <w:pPr>
        <w:pStyle w:val="BodyText"/>
        <w:spacing w:line="488" w:lineRule="exact"/>
        <w:ind w:left="1058"/>
      </w:pPr>
      <w:r>
        <w:rPr/>
        <w:t>采用单因子指数法评价，即计算实测浓度值和评价标准之比。公式如下：</w:t>
      </w:r>
    </w:p>
    <w:p>
      <w:pPr>
        <w:pStyle w:val="Heading5"/>
        <w:spacing w:line="240" w:lineRule="auto" w:before="141"/>
        <w:ind w:left="558" w:right="295" w:firstLine="0"/>
        <w:jc w:val="center"/>
        <w:rPr>
          <w:rFonts w:ascii="Times New Roman"/>
        </w:rPr>
      </w:pPr>
      <w:r>
        <w:rPr>
          <w:rFonts w:ascii="Times New Roman"/>
        </w:rPr>
        <w:t>P</w:t>
      </w:r>
      <w:r>
        <w:rPr>
          <w:rFonts w:ascii="Times New Roman"/>
          <w:vertAlign w:val="subscript"/>
        </w:rPr>
        <w:t>i</w:t>
      </w:r>
      <w:r>
        <w:rPr>
          <w:rFonts w:ascii="Times New Roman"/>
          <w:vertAlign w:val="baseline"/>
        </w:rPr>
        <w:t>=C</w:t>
      </w:r>
      <w:r>
        <w:rPr>
          <w:rFonts w:ascii="Times New Roman"/>
          <w:vertAlign w:val="subscript"/>
        </w:rPr>
        <w:t>i</w:t>
      </w:r>
      <w:r>
        <w:rPr>
          <w:rFonts w:ascii="Times New Roman"/>
          <w:vertAlign w:val="baseline"/>
        </w:rPr>
        <w:t>/S</w:t>
      </w:r>
      <w:r>
        <w:rPr>
          <w:rFonts w:ascii="Times New Roman"/>
          <w:vertAlign w:val="subscript"/>
        </w:rPr>
        <w:t>i</w:t>
      </w:r>
    </w:p>
    <w:p>
      <w:pPr>
        <w:pStyle w:val="BodyText"/>
        <w:tabs>
          <w:tab w:pos="1777" w:val="left" w:leader="none"/>
        </w:tabs>
        <w:spacing w:before="230"/>
        <w:ind w:left="1058"/>
      </w:pPr>
      <w:r>
        <w:rPr>
          <w:position w:val="2"/>
        </w:rPr>
        <w:t>式中</w:t>
        <w:tab/>
      </w:r>
      <w:r>
        <w:rPr>
          <w:rFonts w:ascii="Times New Roman" w:hAnsi="Times New Roman" w:eastAsia="Times New Roman"/>
          <w:w w:val="99"/>
          <w:position w:val="2"/>
        </w:rPr>
        <w:t>P</w:t>
      </w:r>
      <w:r>
        <w:rPr>
          <w:rFonts w:ascii="Times New Roman" w:hAnsi="Times New Roman" w:eastAsia="Times New Roman"/>
          <w:w w:val="100"/>
          <w:sz w:val="16"/>
        </w:rPr>
        <w:t>i</w:t>
      </w:r>
      <w:r>
        <w:rPr>
          <w:rFonts w:ascii="Times New Roman" w:hAnsi="Times New Roman" w:eastAsia="Times New Roman"/>
          <w:position w:val="2"/>
        </w:rPr>
        <w:t>——</w:t>
      </w:r>
      <w:r>
        <w:rPr>
          <w:position w:val="2"/>
        </w:rPr>
        <w:t>第</w:t>
      </w:r>
      <w:r>
        <w:rPr>
          <w:spacing w:val="6"/>
          <w:position w:val="2"/>
        </w:rPr>
        <w:t> </w:t>
      </w:r>
      <w:r>
        <w:rPr>
          <w:rFonts w:ascii="Times New Roman" w:hAnsi="Times New Roman" w:eastAsia="Times New Roman"/>
          <w:position w:val="2"/>
        </w:rPr>
        <w:t>i  </w:t>
      </w:r>
      <w:r>
        <w:rPr>
          <w:position w:val="2"/>
        </w:rPr>
        <w:t>中</w:t>
      </w:r>
      <w:r>
        <w:rPr>
          <w:spacing w:val="-3"/>
          <w:position w:val="2"/>
        </w:rPr>
        <w:t>污</w:t>
      </w:r>
      <w:r>
        <w:rPr>
          <w:position w:val="2"/>
        </w:rPr>
        <w:t>染物的单因子指数（</w:t>
      </w:r>
      <w:r>
        <w:rPr>
          <w:rFonts w:ascii="Times New Roman" w:hAnsi="Times New Roman" w:eastAsia="Times New Roman"/>
          <w:w w:val="99"/>
          <w:position w:val="2"/>
        </w:rPr>
        <w:t>pH</w:t>
      </w:r>
      <w:r>
        <w:rPr>
          <w:rFonts w:ascii="Times New Roman" w:hAnsi="Times New Roman" w:eastAsia="Times New Roman"/>
          <w:spacing w:val="-1"/>
          <w:position w:val="2"/>
        </w:rPr>
        <w:t> </w:t>
      </w:r>
      <w:r>
        <w:rPr>
          <w:position w:val="2"/>
        </w:rPr>
        <w:t>除外</w:t>
      </w:r>
      <w:r>
        <w:rPr>
          <w:spacing w:val="-120"/>
          <w:position w:val="2"/>
        </w:rPr>
        <w:t>）</w:t>
      </w:r>
      <w:r>
        <w:rPr>
          <w:position w:val="2"/>
        </w:rPr>
        <w:t>；</w:t>
      </w:r>
    </w:p>
    <w:p>
      <w:pPr>
        <w:spacing w:after="0"/>
        <w:sectPr>
          <w:pgSz w:w="11910" w:h="16840"/>
          <w:pgMar w:header="877" w:footer="973" w:top="1340" w:bottom="1160" w:left="1220" w:right="1040"/>
        </w:sectPr>
      </w:pPr>
    </w:p>
    <w:p>
      <w:pPr>
        <w:pStyle w:val="BodyText"/>
        <w:spacing w:before="9"/>
        <w:rPr>
          <w:sz w:val="9"/>
        </w:rPr>
      </w:pPr>
    </w:p>
    <w:p>
      <w:pPr>
        <w:pStyle w:val="BodyText"/>
        <w:spacing w:line="462" w:lineRule="exact"/>
        <w:ind w:left="1778"/>
      </w:pPr>
      <w:r>
        <w:rPr>
          <w:rFonts w:ascii="Times New Roman" w:hAnsi="Times New Roman" w:eastAsia="Times New Roman"/>
          <w:position w:val="2"/>
        </w:rPr>
        <w:t>C</w:t>
      </w:r>
      <w:r>
        <w:rPr>
          <w:rFonts w:ascii="Times New Roman" w:hAnsi="Times New Roman" w:eastAsia="Times New Roman"/>
          <w:sz w:val="16"/>
        </w:rPr>
        <w:t>i-</w:t>
      </w:r>
      <w:r>
        <w:rPr>
          <w:rFonts w:ascii="Times New Roman" w:hAnsi="Times New Roman" w:eastAsia="Times New Roman"/>
          <w:position w:val="2"/>
        </w:rPr>
        <w:t>——i </w:t>
      </w:r>
      <w:r>
        <w:rPr>
          <w:position w:val="2"/>
        </w:rPr>
        <w:t>污染物的实测浓度，</w:t>
      </w:r>
      <w:r>
        <w:rPr>
          <w:rFonts w:ascii="Times New Roman" w:hAnsi="Times New Roman" w:eastAsia="Times New Roman"/>
          <w:position w:val="2"/>
        </w:rPr>
        <w:t>mg/L</w:t>
      </w:r>
      <w:r>
        <w:rPr>
          <w:position w:val="2"/>
        </w:rPr>
        <w:t>；</w:t>
      </w:r>
    </w:p>
    <w:p>
      <w:pPr>
        <w:pStyle w:val="BodyText"/>
        <w:tabs>
          <w:tab w:pos="1777" w:val="left" w:leader="none"/>
        </w:tabs>
        <w:spacing w:line="237" w:lineRule="auto"/>
        <w:ind w:left="1058" w:right="4402" w:firstLine="720"/>
      </w:pPr>
      <w:r>
        <w:rPr>
          <w:rFonts w:ascii="Times New Roman" w:hAnsi="Times New Roman" w:eastAsia="Times New Roman"/>
          <w:position w:val="2"/>
        </w:rPr>
        <w:t>S</w:t>
      </w:r>
      <w:r>
        <w:rPr>
          <w:rFonts w:ascii="Times New Roman" w:hAnsi="Times New Roman" w:eastAsia="Times New Roman"/>
          <w:sz w:val="16"/>
        </w:rPr>
        <w:t>i</w:t>
      </w:r>
      <w:r>
        <w:rPr>
          <w:rFonts w:ascii="Times New Roman" w:hAnsi="Times New Roman" w:eastAsia="Times New Roman"/>
          <w:position w:val="2"/>
        </w:rPr>
        <w:t>——i</w:t>
      </w:r>
      <w:r>
        <w:rPr>
          <w:rFonts w:ascii="Times New Roman" w:hAnsi="Times New Roman" w:eastAsia="Times New Roman"/>
          <w:spacing w:val="-2"/>
          <w:position w:val="2"/>
        </w:rPr>
        <w:t> </w:t>
      </w:r>
      <w:r>
        <w:rPr>
          <w:position w:val="2"/>
        </w:rPr>
        <w:t>污染</w:t>
      </w:r>
      <w:r>
        <w:rPr>
          <w:spacing w:val="-3"/>
          <w:position w:val="2"/>
        </w:rPr>
        <w:t>物</w:t>
      </w:r>
      <w:r>
        <w:rPr>
          <w:position w:val="2"/>
        </w:rPr>
        <w:t>评价标准，</w:t>
      </w:r>
      <w:r>
        <w:rPr>
          <w:rFonts w:ascii="Times New Roman" w:hAnsi="Times New Roman" w:eastAsia="Times New Roman"/>
          <w:position w:val="2"/>
        </w:rPr>
        <w:t>mg/L</w:t>
      </w:r>
      <w:r>
        <w:rPr>
          <w:position w:val="2"/>
        </w:rPr>
        <w:t>； </w:t>
      </w:r>
      <w:r>
        <w:rPr/>
        <w:t>对于</w:t>
        <w:tab/>
      </w:r>
      <w:r>
        <w:rPr>
          <w:rFonts w:ascii="Times New Roman" w:hAnsi="Times New Roman" w:eastAsia="Times New Roman"/>
        </w:rPr>
        <w:t>pH</w:t>
      </w:r>
      <w:r>
        <w:rPr>
          <w:rFonts w:ascii="Times New Roman" w:hAnsi="Times New Roman" w:eastAsia="Times New Roman"/>
          <w:spacing w:val="-1"/>
        </w:rPr>
        <w:t> </w:t>
      </w:r>
      <w:r>
        <w:rPr/>
        <w:t>的标准指数为：</w:t>
      </w:r>
    </w:p>
    <w:p>
      <w:pPr>
        <w:tabs>
          <w:tab w:pos="5395" w:val="left" w:leader="none"/>
        </w:tabs>
        <w:spacing w:before="131"/>
        <w:ind w:left="1778" w:right="0" w:firstLine="0"/>
        <w:jc w:val="left"/>
        <w:rPr>
          <w:rFonts w:ascii="Times New Roman" w:hAnsi="Times New Roman"/>
          <w:sz w:val="24"/>
        </w:rPr>
      </w:pPr>
      <w:r>
        <w:rPr>
          <w:rFonts w:ascii="Times New Roman" w:hAnsi="Times New Roman"/>
          <w:position w:val="2"/>
          <w:sz w:val="24"/>
        </w:rPr>
        <w:t>P</w:t>
      </w:r>
      <w:r>
        <w:rPr>
          <w:rFonts w:ascii="Times New Roman" w:hAnsi="Times New Roman"/>
          <w:sz w:val="16"/>
        </w:rPr>
        <w:t>pH,j</w:t>
      </w:r>
      <w:r>
        <w:rPr>
          <w:rFonts w:ascii="Times New Roman" w:hAnsi="Times New Roman"/>
          <w:position w:val="2"/>
          <w:sz w:val="24"/>
        </w:rPr>
        <w:t>=(7.0-pH</w:t>
      </w:r>
      <w:r>
        <w:rPr>
          <w:rFonts w:ascii="Times New Roman" w:hAnsi="Times New Roman"/>
          <w:sz w:val="16"/>
        </w:rPr>
        <w:t>ci</w:t>
      </w:r>
      <w:r>
        <w:rPr>
          <w:rFonts w:ascii="Times New Roman" w:hAnsi="Times New Roman"/>
          <w:position w:val="2"/>
          <w:sz w:val="24"/>
        </w:rPr>
        <w:t>)/(7.0-pH</w:t>
      </w:r>
      <w:r>
        <w:rPr>
          <w:rFonts w:ascii="Times New Roman" w:hAnsi="Times New Roman"/>
          <w:sz w:val="16"/>
        </w:rPr>
        <w:t>sd</w:t>
      </w:r>
      <w:r>
        <w:rPr>
          <w:rFonts w:ascii="Times New Roman" w:hAnsi="Times New Roman"/>
          <w:position w:val="2"/>
          <w:sz w:val="24"/>
        </w:rPr>
        <w:t>)</w:t>
        <w:tab/>
        <w:t>pH</w:t>
      </w:r>
      <w:r>
        <w:rPr>
          <w:rFonts w:ascii="Times New Roman" w:hAnsi="Times New Roman"/>
          <w:sz w:val="16"/>
        </w:rPr>
        <w:t>ci</w:t>
      </w:r>
      <w:r>
        <w:rPr>
          <w:rFonts w:ascii="Times New Roman" w:hAnsi="Times New Roman"/>
          <w:spacing w:val="1"/>
          <w:sz w:val="16"/>
        </w:rPr>
        <w:t> </w:t>
      </w:r>
      <w:r>
        <w:rPr>
          <w:rFonts w:ascii="Times New Roman" w:hAnsi="Times New Roman"/>
          <w:position w:val="2"/>
          <w:sz w:val="24"/>
        </w:rPr>
        <w:t>≤7.0</w:t>
      </w:r>
    </w:p>
    <w:p>
      <w:pPr>
        <w:tabs>
          <w:tab w:pos="5335" w:val="left" w:leader="none"/>
        </w:tabs>
        <w:spacing w:line="505" w:lineRule="exact" w:before="78"/>
        <w:ind w:left="1778" w:right="0" w:firstLine="0"/>
        <w:jc w:val="left"/>
        <w:rPr>
          <w:rFonts w:ascii="Times New Roman" w:eastAsia="Times New Roman"/>
          <w:sz w:val="24"/>
        </w:rPr>
      </w:pPr>
      <w:r>
        <w:rPr>
          <w:rFonts w:ascii="Times New Roman" w:eastAsia="Times New Roman"/>
          <w:position w:val="2"/>
          <w:sz w:val="24"/>
        </w:rPr>
        <w:t>P</w:t>
      </w:r>
      <w:r>
        <w:rPr>
          <w:rFonts w:ascii="Times New Roman" w:eastAsia="Times New Roman"/>
          <w:sz w:val="16"/>
        </w:rPr>
        <w:t>pH,j</w:t>
      </w:r>
      <w:r>
        <w:rPr>
          <w:rFonts w:ascii="Times New Roman" w:eastAsia="Times New Roman"/>
          <w:position w:val="2"/>
          <w:sz w:val="24"/>
        </w:rPr>
        <w:t>=(pH</w:t>
      </w:r>
      <w:r>
        <w:rPr>
          <w:rFonts w:ascii="Times New Roman" w:eastAsia="Times New Roman"/>
          <w:sz w:val="16"/>
        </w:rPr>
        <w:t>ci</w:t>
      </w:r>
      <w:r>
        <w:rPr>
          <w:rFonts w:ascii="Times New Roman" w:eastAsia="Times New Roman"/>
          <w:spacing w:val="18"/>
          <w:sz w:val="16"/>
        </w:rPr>
        <w:t> </w:t>
      </w:r>
      <w:r>
        <w:rPr>
          <w:rFonts w:ascii="Times New Roman" w:eastAsia="Times New Roman"/>
          <w:position w:val="2"/>
          <w:sz w:val="24"/>
        </w:rPr>
        <w:t>-7.0)/(pH</w:t>
      </w:r>
      <w:r>
        <w:rPr>
          <w:rFonts w:ascii="Times New Roman" w:eastAsia="Times New Roman"/>
          <w:sz w:val="16"/>
        </w:rPr>
        <w:t>su</w:t>
      </w:r>
      <w:r>
        <w:rPr>
          <w:rFonts w:ascii="Times New Roman" w:eastAsia="Times New Roman"/>
          <w:position w:val="2"/>
          <w:sz w:val="24"/>
        </w:rPr>
        <w:t>-7.0)</w:t>
        <w:tab/>
        <w:t>pH</w:t>
      </w:r>
      <w:r>
        <w:rPr>
          <w:rFonts w:ascii="Times New Roman" w:eastAsia="Times New Roman"/>
          <w:sz w:val="16"/>
        </w:rPr>
        <w:t>ci</w:t>
      </w:r>
      <w:r>
        <w:rPr>
          <w:position w:val="2"/>
          <w:sz w:val="24"/>
        </w:rPr>
        <w:t>＞</w:t>
      </w:r>
      <w:r>
        <w:rPr>
          <w:rFonts w:ascii="Times New Roman" w:eastAsia="Times New Roman"/>
          <w:position w:val="2"/>
          <w:sz w:val="24"/>
        </w:rPr>
        <w:t>7.0</w:t>
      </w:r>
    </w:p>
    <w:p>
      <w:pPr>
        <w:pStyle w:val="BodyText"/>
        <w:spacing w:line="501" w:lineRule="exact"/>
        <w:ind w:left="1058"/>
      </w:pPr>
      <w:r>
        <w:rPr>
          <w:position w:val="2"/>
        </w:rPr>
        <w:t>式中：</w:t>
      </w:r>
      <w:r>
        <w:rPr>
          <w:rFonts w:ascii="Times New Roman" w:hAnsi="Times New Roman" w:eastAsia="Times New Roman"/>
          <w:position w:val="2"/>
        </w:rPr>
        <w:t>P</w:t>
      </w:r>
      <w:r>
        <w:rPr>
          <w:rFonts w:ascii="Times New Roman" w:hAnsi="Times New Roman" w:eastAsia="Times New Roman"/>
          <w:sz w:val="16"/>
        </w:rPr>
        <w:t>pH,</w:t>
      </w:r>
      <w:r>
        <w:rPr>
          <w:rFonts w:ascii="Times New Roman" w:hAnsi="Times New Roman" w:eastAsia="Times New Roman"/>
          <w:position w:val="2"/>
        </w:rPr>
        <w:t>——pH </w:t>
      </w:r>
      <w:r>
        <w:rPr>
          <w:position w:val="2"/>
        </w:rPr>
        <w:t>标准指数；</w:t>
      </w:r>
    </w:p>
    <w:p>
      <w:pPr>
        <w:pStyle w:val="BodyText"/>
        <w:spacing w:line="500" w:lineRule="exact"/>
        <w:ind w:left="1780"/>
      </w:pPr>
      <w:r>
        <w:rPr>
          <w:rFonts w:ascii="Times New Roman" w:hAnsi="Times New Roman" w:eastAsia="Times New Roman"/>
          <w:position w:val="2"/>
        </w:rPr>
        <w:t>pH</w:t>
      </w:r>
      <w:r>
        <w:rPr>
          <w:rFonts w:ascii="Times New Roman" w:hAnsi="Times New Roman" w:eastAsia="Times New Roman"/>
          <w:sz w:val="16"/>
        </w:rPr>
        <w:t>ci</w:t>
      </w:r>
      <w:r>
        <w:rPr>
          <w:rFonts w:ascii="Times New Roman" w:hAnsi="Times New Roman" w:eastAsia="Times New Roman"/>
          <w:position w:val="2"/>
        </w:rPr>
        <w:t>——pH </w:t>
      </w:r>
      <w:r>
        <w:rPr>
          <w:position w:val="2"/>
        </w:rPr>
        <w:t>的现状监测结果；</w:t>
      </w:r>
    </w:p>
    <w:p>
      <w:pPr>
        <w:pStyle w:val="BodyText"/>
        <w:spacing w:line="500" w:lineRule="exact"/>
        <w:ind w:left="1780"/>
      </w:pPr>
      <w:r>
        <w:rPr>
          <w:rFonts w:ascii="Times New Roman" w:hAnsi="Times New Roman" w:eastAsia="Times New Roman"/>
          <w:position w:val="2"/>
        </w:rPr>
        <w:t>pH</w:t>
      </w:r>
      <w:r>
        <w:rPr>
          <w:rFonts w:ascii="Times New Roman" w:hAnsi="Times New Roman" w:eastAsia="Times New Roman"/>
          <w:sz w:val="16"/>
        </w:rPr>
        <w:t>sd</w:t>
      </w:r>
      <w:r>
        <w:rPr>
          <w:rFonts w:ascii="Times New Roman" w:hAnsi="Times New Roman" w:eastAsia="Times New Roman"/>
          <w:position w:val="2"/>
        </w:rPr>
        <w:t>——pH</w:t>
      </w:r>
      <w:r>
        <w:rPr>
          <w:rFonts w:ascii="Times New Roman" w:hAnsi="Times New Roman" w:eastAsia="Times New Roman"/>
          <w:spacing w:val="-2"/>
          <w:position w:val="2"/>
        </w:rPr>
        <w:t> </w:t>
      </w:r>
      <w:r>
        <w:rPr>
          <w:spacing w:val="-2"/>
          <w:position w:val="2"/>
        </w:rPr>
        <w:t>采用标准的下限值；</w:t>
      </w:r>
    </w:p>
    <w:p>
      <w:pPr>
        <w:pStyle w:val="BodyText"/>
        <w:spacing w:line="445" w:lineRule="exact"/>
        <w:ind w:left="1780"/>
      </w:pPr>
      <w:r>
        <w:rPr>
          <w:rFonts w:ascii="Times New Roman" w:hAnsi="Times New Roman" w:eastAsia="Times New Roman"/>
          <w:position w:val="2"/>
        </w:rPr>
        <w:t>pH</w:t>
      </w:r>
      <w:r>
        <w:rPr>
          <w:rFonts w:ascii="Times New Roman" w:hAnsi="Times New Roman" w:eastAsia="Times New Roman"/>
          <w:sz w:val="16"/>
        </w:rPr>
        <w:t>su</w:t>
      </w:r>
      <w:r>
        <w:rPr>
          <w:rFonts w:ascii="Times New Roman" w:hAnsi="Times New Roman" w:eastAsia="Times New Roman"/>
          <w:position w:val="2"/>
        </w:rPr>
        <w:t>——pH</w:t>
      </w:r>
      <w:r>
        <w:rPr>
          <w:rFonts w:ascii="Times New Roman" w:hAnsi="Times New Roman" w:eastAsia="Times New Roman"/>
          <w:spacing w:val="-2"/>
          <w:position w:val="2"/>
        </w:rPr>
        <w:t> </w:t>
      </w:r>
      <w:r>
        <w:rPr>
          <w:spacing w:val="-2"/>
          <w:position w:val="2"/>
        </w:rPr>
        <w:t>采用标准的上限值；</w:t>
      </w:r>
    </w:p>
    <w:p>
      <w:pPr>
        <w:pStyle w:val="BodyText"/>
        <w:spacing w:line="429" w:lineRule="exact"/>
        <w:ind w:left="1778"/>
      </w:pPr>
      <w:r>
        <w:rPr>
          <w:rFonts w:ascii="Times New Roman" w:hAnsi="Times New Roman" w:eastAsia="Times New Roman"/>
          <w:position w:val="2"/>
        </w:rPr>
        <w:t>P</w:t>
      </w:r>
      <w:r>
        <w:rPr>
          <w:sz w:val="12"/>
        </w:rPr>
        <w:t>i</w:t>
      </w:r>
      <w:r>
        <w:rPr>
          <w:position w:val="2"/>
        </w:rPr>
        <w:t>＞</w:t>
      </w:r>
      <w:r>
        <w:rPr>
          <w:rFonts w:ascii="Times New Roman" w:hAnsi="Times New Roman" w:eastAsia="Times New Roman"/>
          <w:position w:val="2"/>
        </w:rPr>
        <w:t>1</w:t>
      </w:r>
      <w:r>
        <w:rPr>
          <w:position w:val="2"/>
        </w:rPr>
        <w:t>，超标；</w:t>
      </w:r>
      <w:r>
        <w:rPr>
          <w:rFonts w:ascii="Times New Roman" w:hAnsi="Times New Roman" w:eastAsia="Times New Roman"/>
          <w:position w:val="2"/>
        </w:rPr>
        <w:t>P</w:t>
      </w:r>
      <w:r>
        <w:rPr>
          <w:rFonts w:ascii="Times New Roman" w:hAnsi="Times New Roman" w:eastAsia="Times New Roman"/>
          <w:sz w:val="16"/>
        </w:rPr>
        <w:t>i</w:t>
      </w:r>
      <w:r>
        <w:rPr>
          <w:position w:val="2"/>
        </w:rPr>
        <w:t>≤</w:t>
      </w:r>
      <w:r>
        <w:rPr>
          <w:rFonts w:ascii="Times New Roman" w:hAnsi="Times New Roman" w:eastAsia="Times New Roman"/>
          <w:position w:val="2"/>
        </w:rPr>
        <w:t>1</w:t>
      </w:r>
      <w:r>
        <w:rPr>
          <w:position w:val="2"/>
        </w:rPr>
        <w:t>，不超标。</w:t>
      </w:r>
    </w:p>
    <w:p>
      <w:pPr>
        <w:pStyle w:val="BodyText"/>
        <w:spacing w:line="468" w:lineRule="exact"/>
        <w:ind w:left="1058"/>
      </w:pPr>
      <w:r>
        <w:rPr/>
        <w:t>计算公式同地表水质量评价。</w:t>
      </w:r>
    </w:p>
    <w:p>
      <w:pPr>
        <w:pStyle w:val="BodyText"/>
        <w:spacing w:line="468" w:lineRule="exact"/>
        <w:ind w:left="1058"/>
      </w:pPr>
      <w:r>
        <w:rPr>
          <w:rFonts w:ascii="Times New Roman" w:eastAsia="Times New Roman"/>
        </w:rPr>
        <w:t>4</w:t>
      </w:r>
      <w:r>
        <w:rPr/>
        <w:t>、评价结果</w:t>
      </w:r>
    </w:p>
    <w:p>
      <w:pPr>
        <w:pStyle w:val="BodyText"/>
        <w:spacing w:line="220" w:lineRule="auto" w:before="8"/>
        <w:ind w:left="578" w:right="905" w:firstLine="479"/>
        <w:jc w:val="both"/>
      </w:pPr>
      <w:r>
        <w:rPr/>
        <w:t>监测因子中挥发酚、六价铬、总大肠菌群、石油类、砷、汞、铜、甲苯等因子在各监测点均未检出，不评价。其余监测因子根据以上公式计算，地下水现状评价结果见表 </w:t>
      </w:r>
      <w:r>
        <w:rPr>
          <w:rFonts w:ascii="Times New Roman" w:eastAsia="Times New Roman"/>
        </w:rPr>
        <w:t>5.4-28</w:t>
      </w:r>
      <w:r>
        <w:rPr/>
        <w:t>。</w:t>
      </w:r>
    </w:p>
    <w:p>
      <w:pPr>
        <w:tabs>
          <w:tab w:pos="3916" w:val="left" w:leader="none"/>
        </w:tabs>
        <w:spacing w:before="162" w:after="25"/>
        <w:ind w:left="2899" w:right="0" w:firstLine="0"/>
        <w:jc w:val="left"/>
        <w:rPr>
          <w:sz w:val="21"/>
        </w:rPr>
      </w:pPr>
      <w:r>
        <w:rPr/>
        <w:pict>
          <v:line style="position:absolute;mso-position-horizontal-relative:page;mso-position-vertical-relative:paragraph;z-index:-1114072" from="167.660004pt,33.120014pt" to="275.690004pt,67.080014pt" stroked="true" strokeweight=".48pt" strokecolor="#000000">
            <v:stroke dashstyle="solid"/>
            <w10:wrap type="none"/>
          </v:line>
        </w:pict>
      </w:r>
      <w:r>
        <w:rPr>
          <w:sz w:val="21"/>
        </w:rPr>
        <w:t>表</w:t>
      </w:r>
      <w:r>
        <w:rPr>
          <w:spacing w:val="7"/>
          <w:sz w:val="21"/>
        </w:rPr>
        <w:t> </w:t>
      </w:r>
      <w:r>
        <w:rPr>
          <w:rFonts w:ascii="Times New Roman" w:eastAsia="Times New Roman"/>
          <w:b/>
          <w:sz w:val="21"/>
        </w:rPr>
        <w:t>5.4-28</w:t>
        <w:tab/>
      </w:r>
      <w:r>
        <w:rPr>
          <w:sz w:val="21"/>
        </w:rPr>
        <w:t>地下水现状</w:t>
      </w:r>
      <w:r>
        <w:rPr>
          <w:spacing w:val="-3"/>
          <w:sz w:val="21"/>
        </w:rPr>
        <w:t>评</w:t>
      </w:r>
      <w:r>
        <w:rPr>
          <w:sz w:val="21"/>
        </w:rPr>
        <w:t>价结果一览表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56"/>
        <w:gridCol w:w="2175"/>
        <w:gridCol w:w="1150"/>
        <w:gridCol w:w="1231"/>
        <w:gridCol w:w="881"/>
        <w:gridCol w:w="720"/>
        <w:gridCol w:w="715"/>
      </w:tblGrid>
      <w:tr>
        <w:trPr>
          <w:trHeight w:val="680" w:hRule="atLeast"/>
        </w:trPr>
        <w:tc>
          <w:tcPr>
            <w:tcW w:w="1656" w:type="dxa"/>
            <w:tcBorders>
              <w:bottom w:val="single" w:sz="6" w:space="0" w:color="000000"/>
              <w:right w:val="single" w:sz="6" w:space="0" w:color="000000"/>
            </w:tcBorders>
          </w:tcPr>
          <w:p>
            <w:pPr>
              <w:pStyle w:val="TableParagraph"/>
              <w:spacing w:before="106"/>
              <w:ind w:left="407"/>
              <w:jc w:val="left"/>
              <w:rPr>
                <w:sz w:val="21"/>
              </w:rPr>
            </w:pPr>
            <w:r>
              <w:rPr>
                <w:sz w:val="21"/>
              </w:rPr>
              <w:t>采样日期</w:t>
            </w:r>
          </w:p>
        </w:tc>
        <w:tc>
          <w:tcPr>
            <w:tcW w:w="2175" w:type="dxa"/>
            <w:tcBorders>
              <w:left w:val="single" w:sz="6" w:space="0" w:color="000000"/>
              <w:bottom w:val="single" w:sz="6" w:space="0" w:color="000000"/>
              <w:right w:val="single" w:sz="6" w:space="0" w:color="000000"/>
            </w:tcBorders>
          </w:tcPr>
          <w:p>
            <w:pPr>
              <w:pStyle w:val="TableParagraph"/>
              <w:spacing w:line="328" w:lineRule="exact"/>
              <w:ind w:left="1097"/>
              <w:jc w:val="left"/>
              <w:rPr>
                <w:sz w:val="21"/>
              </w:rPr>
            </w:pPr>
            <w:r>
              <w:rPr>
                <w:sz w:val="21"/>
              </w:rPr>
              <w:t>点位名称</w:t>
            </w:r>
          </w:p>
          <w:p>
            <w:pPr>
              <w:pStyle w:val="TableParagraph"/>
              <w:spacing w:line="333" w:lineRule="exact"/>
              <w:ind w:left="114"/>
              <w:jc w:val="left"/>
              <w:rPr>
                <w:sz w:val="21"/>
              </w:rPr>
            </w:pPr>
            <w:r>
              <w:rPr>
                <w:sz w:val="21"/>
              </w:rPr>
              <w:t>检测项目</w:t>
            </w:r>
          </w:p>
        </w:tc>
        <w:tc>
          <w:tcPr>
            <w:tcW w:w="1150" w:type="dxa"/>
            <w:tcBorders>
              <w:left w:val="single" w:sz="6" w:space="0" w:color="000000"/>
              <w:bottom w:val="single" w:sz="6" w:space="0" w:color="000000"/>
              <w:right w:val="single" w:sz="6" w:space="0" w:color="000000"/>
            </w:tcBorders>
          </w:tcPr>
          <w:p>
            <w:pPr>
              <w:pStyle w:val="TableParagraph"/>
              <w:spacing w:line="329" w:lineRule="exact"/>
              <w:ind w:left="141" w:right="113"/>
              <w:rPr>
                <w:sz w:val="21"/>
              </w:rPr>
            </w:pPr>
            <w:r>
              <w:rPr>
                <w:sz w:val="21"/>
              </w:rPr>
              <w:t>孙家怪草</w:t>
            </w:r>
          </w:p>
          <w:p>
            <w:pPr>
              <w:pStyle w:val="TableParagraph"/>
              <w:spacing w:line="332" w:lineRule="exact"/>
              <w:ind w:left="26"/>
              <w:rPr>
                <w:sz w:val="21"/>
              </w:rPr>
            </w:pPr>
            <w:r>
              <w:rPr>
                <w:w w:val="100"/>
                <w:sz w:val="21"/>
              </w:rPr>
              <w:t>村</w:t>
            </w:r>
          </w:p>
        </w:tc>
        <w:tc>
          <w:tcPr>
            <w:tcW w:w="1231" w:type="dxa"/>
            <w:tcBorders>
              <w:left w:val="single" w:sz="6" w:space="0" w:color="000000"/>
              <w:bottom w:val="single" w:sz="6" w:space="0" w:color="000000"/>
              <w:right w:val="single" w:sz="6" w:space="0" w:color="000000"/>
            </w:tcBorders>
          </w:tcPr>
          <w:p>
            <w:pPr>
              <w:pStyle w:val="TableParagraph"/>
              <w:spacing w:before="106"/>
              <w:ind w:left="286" w:right="260"/>
              <w:rPr>
                <w:sz w:val="21"/>
              </w:rPr>
            </w:pPr>
            <w:r>
              <w:rPr>
                <w:sz w:val="21"/>
              </w:rPr>
              <w:t>左山村</w:t>
            </w:r>
          </w:p>
        </w:tc>
        <w:tc>
          <w:tcPr>
            <w:tcW w:w="881" w:type="dxa"/>
            <w:tcBorders>
              <w:left w:val="single" w:sz="6" w:space="0" w:color="000000"/>
              <w:bottom w:val="single" w:sz="6" w:space="0" w:color="000000"/>
              <w:right w:val="single" w:sz="4" w:space="0" w:color="000000"/>
            </w:tcBorders>
          </w:tcPr>
          <w:p>
            <w:pPr>
              <w:pStyle w:val="TableParagraph"/>
              <w:spacing w:line="329" w:lineRule="exact"/>
              <w:ind w:left="110" w:right="87"/>
              <w:rPr>
                <w:sz w:val="21"/>
              </w:rPr>
            </w:pPr>
            <w:r>
              <w:rPr>
                <w:sz w:val="21"/>
              </w:rPr>
              <w:t>东石沟</w:t>
            </w:r>
          </w:p>
          <w:p>
            <w:pPr>
              <w:pStyle w:val="TableParagraph"/>
              <w:spacing w:line="332" w:lineRule="exact"/>
              <w:ind w:left="23"/>
              <w:rPr>
                <w:sz w:val="21"/>
              </w:rPr>
            </w:pPr>
            <w:r>
              <w:rPr>
                <w:w w:val="100"/>
                <w:sz w:val="21"/>
              </w:rPr>
              <w:t>村</w:t>
            </w:r>
          </w:p>
        </w:tc>
        <w:tc>
          <w:tcPr>
            <w:tcW w:w="720" w:type="dxa"/>
            <w:tcBorders>
              <w:left w:val="single" w:sz="4" w:space="0" w:color="000000"/>
              <w:bottom w:val="single" w:sz="6" w:space="0" w:color="000000"/>
              <w:right w:val="single" w:sz="4" w:space="0" w:color="000000"/>
            </w:tcBorders>
          </w:tcPr>
          <w:p>
            <w:pPr>
              <w:pStyle w:val="TableParagraph"/>
              <w:spacing w:before="106"/>
              <w:ind w:left="113" w:right="84"/>
              <w:rPr>
                <w:sz w:val="21"/>
              </w:rPr>
            </w:pPr>
            <w:r>
              <w:rPr>
                <w:sz w:val="21"/>
              </w:rPr>
              <w:t>厂址</w:t>
            </w:r>
          </w:p>
        </w:tc>
        <w:tc>
          <w:tcPr>
            <w:tcW w:w="715" w:type="dxa"/>
            <w:tcBorders>
              <w:left w:val="single" w:sz="4" w:space="0" w:color="000000"/>
              <w:bottom w:val="single" w:sz="6" w:space="0" w:color="000000"/>
            </w:tcBorders>
          </w:tcPr>
          <w:p>
            <w:pPr>
              <w:pStyle w:val="TableParagraph"/>
              <w:spacing w:line="329" w:lineRule="exact"/>
              <w:ind w:left="156"/>
              <w:jc w:val="left"/>
              <w:rPr>
                <w:sz w:val="21"/>
              </w:rPr>
            </w:pPr>
            <w:r>
              <w:rPr>
                <w:sz w:val="21"/>
              </w:rPr>
              <w:t>中柴</w:t>
            </w:r>
          </w:p>
          <w:p>
            <w:pPr>
              <w:pStyle w:val="TableParagraph"/>
              <w:spacing w:line="332" w:lineRule="exact"/>
              <w:ind w:left="156"/>
              <w:jc w:val="left"/>
              <w:rPr>
                <w:sz w:val="21"/>
              </w:rPr>
            </w:pPr>
            <w:r>
              <w:rPr>
                <w:sz w:val="21"/>
              </w:rPr>
              <w:t>沟村</w:t>
            </w:r>
          </w:p>
        </w:tc>
      </w:tr>
      <w:tr>
        <w:trPr>
          <w:trHeight w:val="332" w:hRule="atLeast"/>
        </w:trPr>
        <w:tc>
          <w:tcPr>
            <w:tcW w:w="1656" w:type="dxa"/>
            <w:vMerge w:val="restart"/>
            <w:tcBorders>
              <w:top w:val="single" w:sz="6" w:space="0" w:color="000000"/>
              <w:right w:val="single" w:sz="6"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1"/>
              <w:jc w:val="left"/>
              <w:rPr>
                <w:sz w:val="32"/>
              </w:rPr>
            </w:pPr>
          </w:p>
          <w:p>
            <w:pPr>
              <w:pStyle w:val="TableParagraph"/>
              <w:spacing w:line="435" w:lineRule="exact" w:before="1"/>
              <w:ind w:left="210" w:right="192"/>
              <w:rPr>
                <w:sz w:val="21"/>
              </w:rPr>
            </w:pPr>
            <w:r>
              <w:rPr>
                <w:rFonts w:ascii="Times New Roman" w:eastAsia="Times New Roman"/>
                <w:sz w:val="21"/>
              </w:rPr>
              <w:t>2019-04-11</w:t>
            </w:r>
            <w:r>
              <w:rPr>
                <w:sz w:val="21"/>
              </w:rPr>
              <w:t>、</w:t>
            </w:r>
          </w:p>
          <w:p>
            <w:pPr>
              <w:pStyle w:val="TableParagraph"/>
              <w:spacing w:line="231" w:lineRule="exact"/>
              <w:ind w:left="210" w:right="189"/>
              <w:rPr>
                <w:rFonts w:ascii="Times New Roman"/>
                <w:sz w:val="21"/>
              </w:rPr>
            </w:pPr>
            <w:r>
              <w:rPr>
                <w:rFonts w:ascii="Times New Roman"/>
                <w:sz w:val="21"/>
              </w:rPr>
              <w:t>2019-04-15</w:t>
            </w: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444" w:right="413"/>
              <w:rPr>
                <w:sz w:val="21"/>
              </w:rPr>
            </w:pPr>
            <w:r>
              <w:rPr>
                <w:rFonts w:ascii="Times New Roman" w:eastAsia="Times New Roman"/>
                <w:sz w:val="21"/>
              </w:rPr>
              <w:t>pH </w:t>
            </w:r>
            <w:r>
              <w:rPr>
                <w:sz w:val="21"/>
              </w:rPr>
              <w:t>值</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8"/>
              <w:ind w:left="138" w:right="113"/>
              <w:rPr>
                <w:rFonts w:ascii="Times New Roman"/>
                <w:sz w:val="21"/>
              </w:rPr>
            </w:pPr>
            <w:r>
              <w:rPr>
                <w:rFonts w:ascii="Times New Roman"/>
                <w:sz w:val="21"/>
              </w:rPr>
              <w:t>0.45</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8"/>
              <w:ind w:left="286" w:right="260"/>
              <w:rPr>
                <w:rFonts w:ascii="Times New Roman"/>
                <w:sz w:val="21"/>
              </w:rPr>
            </w:pPr>
            <w:r>
              <w:rPr>
                <w:rFonts w:ascii="Times New Roman"/>
                <w:sz w:val="21"/>
              </w:rPr>
              <w:t>0.16</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8"/>
              <w:ind w:left="110" w:right="87"/>
              <w:rPr>
                <w:rFonts w:ascii="Times New Roman"/>
                <w:sz w:val="21"/>
              </w:rPr>
            </w:pPr>
            <w:r>
              <w:rPr>
                <w:rFonts w:ascii="Times New Roman"/>
                <w:sz w:val="21"/>
              </w:rPr>
              <w:t>0.39</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8"/>
              <w:ind w:left="113" w:right="84"/>
              <w:rPr>
                <w:rFonts w:ascii="Times New Roman"/>
                <w:sz w:val="21"/>
              </w:rPr>
            </w:pPr>
            <w:r>
              <w:rPr>
                <w:rFonts w:ascii="Times New Roman"/>
                <w:sz w:val="21"/>
              </w:rPr>
              <w:t>0.23</w:t>
            </w:r>
          </w:p>
        </w:tc>
        <w:tc>
          <w:tcPr>
            <w:tcW w:w="715" w:type="dxa"/>
            <w:tcBorders>
              <w:top w:val="single" w:sz="6" w:space="0" w:color="000000"/>
              <w:left w:val="single" w:sz="4" w:space="0" w:color="000000"/>
              <w:bottom w:val="single" w:sz="6" w:space="0" w:color="000000"/>
            </w:tcBorders>
          </w:tcPr>
          <w:p>
            <w:pPr>
              <w:pStyle w:val="TableParagraph"/>
              <w:spacing w:before="48"/>
              <w:ind w:left="111" w:right="71"/>
              <w:rPr>
                <w:rFonts w:ascii="Times New Roman"/>
                <w:sz w:val="21"/>
              </w:rPr>
            </w:pPr>
            <w:r>
              <w:rPr>
                <w:rFonts w:ascii="Times New Roman"/>
                <w:sz w:val="21"/>
              </w:rPr>
              <w:t>0.41</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氨氮</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9" w:right="113"/>
              <w:rPr>
                <w:rFonts w:ascii="Times New Roman"/>
                <w:sz w:val="21"/>
              </w:rPr>
            </w:pPr>
            <w:r>
              <w:rPr>
                <w:rFonts w:ascii="Times New Roman"/>
                <w:sz w:val="21"/>
              </w:rPr>
              <w:t>0.8</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1</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0.52</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0.72</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0.82</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硝酸盐</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8" w:right="113"/>
              <w:rPr>
                <w:rFonts w:ascii="Times New Roman"/>
                <w:sz w:val="21"/>
              </w:rPr>
            </w:pPr>
            <w:r>
              <w:rPr>
                <w:rFonts w:ascii="Times New Roman"/>
                <w:sz w:val="21"/>
              </w:rPr>
              <w:t>0.31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0.38</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0.295</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0.3</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0.305</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444" w:right="413"/>
              <w:rPr>
                <w:sz w:val="21"/>
              </w:rPr>
            </w:pPr>
            <w:r>
              <w:rPr>
                <w:sz w:val="21"/>
              </w:rPr>
              <w:t>亚硝酸盐</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9" w:right="113"/>
              <w:rPr>
                <w:rFonts w:ascii="Times New Roman"/>
                <w:sz w:val="21"/>
              </w:rPr>
            </w:pPr>
            <w:r>
              <w:rPr>
                <w:rFonts w:ascii="Times New Roman"/>
                <w:sz w:val="21"/>
              </w:rPr>
              <w:t>0.2</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0.25</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0.01</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0.1</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0.95</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氰化物</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8" w:right="113"/>
              <w:rPr>
                <w:rFonts w:ascii="Times New Roman"/>
                <w:sz w:val="21"/>
              </w:rPr>
            </w:pPr>
            <w:r>
              <w:rPr>
                <w:rFonts w:ascii="Times New Roman"/>
                <w:sz w:val="21"/>
              </w:rPr>
              <w:t>0.08</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2"/>
              <w:rPr>
                <w:rFonts w:ascii="Times New Roman"/>
                <w:sz w:val="21"/>
              </w:rPr>
            </w:pPr>
            <w:r>
              <w:rPr>
                <w:rFonts w:ascii="Times New Roman"/>
                <w:w w:val="100"/>
                <w:sz w:val="21"/>
              </w:rPr>
              <w:t>/</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25"/>
              <w:rPr>
                <w:rFonts w:ascii="Times New Roman"/>
                <w:sz w:val="21"/>
              </w:rPr>
            </w:pPr>
            <w:r>
              <w:rPr>
                <w:rFonts w:ascii="Times New Roman"/>
                <w:w w:val="100"/>
                <w:sz w:val="21"/>
              </w:rPr>
              <w:t>/</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30"/>
              <w:rPr>
                <w:rFonts w:ascii="Times New Roman"/>
                <w:sz w:val="21"/>
              </w:rPr>
            </w:pPr>
            <w:r>
              <w:rPr>
                <w:rFonts w:ascii="Times New Roman"/>
                <w:w w:val="100"/>
                <w:sz w:val="21"/>
              </w:rPr>
              <w:t>/</w:t>
            </w:r>
          </w:p>
        </w:tc>
        <w:tc>
          <w:tcPr>
            <w:tcW w:w="715" w:type="dxa"/>
            <w:tcBorders>
              <w:top w:val="single" w:sz="6" w:space="0" w:color="000000"/>
              <w:left w:val="single" w:sz="4" w:space="0" w:color="000000"/>
              <w:bottom w:val="single" w:sz="6" w:space="0" w:color="000000"/>
            </w:tcBorders>
          </w:tcPr>
          <w:p>
            <w:pPr>
              <w:pStyle w:val="TableParagraph"/>
              <w:spacing w:before="41"/>
              <w:ind w:left="41"/>
              <w:rPr>
                <w:rFonts w:ascii="Times New Roman"/>
                <w:sz w:val="21"/>
              </w:rPr>
            </w:pPr>
            <w:r>
              <w:rPr>
                <w:rFonts w:ascii="Times New Roman"/>
                <w:w w:val="100"/>
                <w:sz w:val="21"/>
              </w:rPr>
              <w:t>/</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总硬度</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8" w:right="113"/>
              <w:rPr>
                <w:rFonts w:ascii="Times New Roman"/>
                <w:sz w:val="21"/>
              </w:rPr>
            </w:pPr>
            <w:r>
              <w:rPr>
                <w:rFonts w:ascii="Times New Roman"/>
                <w:sz w:val="21"/>
              </w:rPr>
              <w:t>0.95</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0.73</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0.74</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0.76</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0.75</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氟化物</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rFonts w:ascii="Times New Roman"/>
                <w:sz w:val="21"/>
              </w:rPr>
            </w:pPr>
            <w:r>
              <w:rPr>
                <w:rFonts w:ascii="Times New Roman"/>
                <w:w w:val="100"/>
                <w:sz w:val="21"/>
              </w:rPr>
              <w:t>/</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0.4</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0.47</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0.44</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0.28</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溶解性总固体</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8" w:right="113"/>
              <w:rPr>
                <w:rFonts w:ascii="Times New Roman"/>
                <w:sz w:val="21"/>
              </w:rPr>
            </w:pPr>
            <w:r>
              <w:rPr>
                <w:rFonts w:ascii="Times New Roman"/>
                <w:sz w:val="21"/>
              </w:rPr>
              <w:t>0.98</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0.918</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0.906</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0.975</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0.919</w:t>
            </w:r>
          </w:p>
        </w:tc>
      </w:tr>
      <w:tr>
        <w:trPr>
          <w:trHeight w:val="322"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444" w:right="415"/>
              <w:rPr>
                <w:sz w:val="21"/>
              </w:rPr>
            </w:pPr>
            <w:r>
              <w:rPr>
                <w:sz w:val="21"/>
              </w:rPr>
              <w:t>耗氧量</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8" w:right="113"/>
              <w:rPr>
                <w:rFonts w:ascii="Times New Roman"/>
                <w:sz w:val="21"/>
              </w:rPr>
            </w:pPr>
            <w:r>
              <w:rPr>
                <w:rFonts w:ascii="Times New Roman"/>
                <w:sz w:val="21"/>
              </w:rPr>
              <w:t>0.63</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0.53</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0.47</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0.67</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0.43</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硫酸盐</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13"/>
              <w:rPr>
                <w:rFonts w:ascii="Times New Roman"/>
                <w:sz w:val="21"/>
              </w:rPr>
            </w:pPr>
            <w:r>
              <w:rPr>
                <w:rFonts w:ascii="Times New Roman"/>
                <w:sz w:val="21"/>
              </w:rPr>
              <w:t>0.30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3"/>
              <w:ind w:left="286" w:right="260"/>
              <w:rPr>
                <w:rFonts w:ascii="Times New Roman"/>
                <w:sz w:val="21"/>
              </w:rPr>
            </w:pPr>
            <w:r>
              <w:rPr>
                <w:rFonts w:ascii="Times New Roman"/>
                <w:sz w:val="21"/>
              </w:rPr>
              <w:t>0.64</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3"/>
              <w:ind w:left="110" w:right="87"/>
              <w:rPr>
                <w:rFonts w:ascii="Times New Roman"/>
                <w:sz w:val="21"/>
              </w:rPr>
            </w:pPr>
            <w:r>
              <w:rPr>
                <w:rFonts w:ascii="Times New Roman"/>
                <w:sz w:val="21"/>
              </w:rPr>
              <w:t>0.72</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3"/>
              <w:ind w:left="113" w:right="84"/>
              <w:rPr>
                <w:rFonts w:ascii="Times New Roman"/>
                <w:sz w:val="21"/>
              </w:rPr>
            </w:pPr>
            <w:r>
              <w:rPr>
                <w:rFonts w:ascii="Times New Roman"/>
                <w:sz w:val="21"/>
              </w:rPr>
              <w:t>0.78</w:t>
            </w:r>
          </w:p>
        </w:tc>
        <w:tc>
          <w:tcPr>
            <w:tcW w:w="715" w:type="dxa"/>
            <w:tcBorders>
              <w:top w:val="single" w:sz="6" w:space="0" w:color="000000"/>
              <w:left w:val="single" w:sz="4" w:space="0" w:color="000000"/>
              <w:bottom w:val="single" w:sz="6" w:space="0" w:color="000000"/>
            </w:tcBorders>
          </w:tcPr>
          <w:p>
            <w:pPr>
              <w:pStyle w:val="TableParagraph"/>
              <w:spacing w:before="43"/>
              <w:ind w:left="111" w:right="71"/>
              <w:rPr>
                <w:rFonts w:ascii="Times New Roman"/>
                <w:sz w:val="21"/>
              </w:rPr>
            </w:pPr>
            <w:r>
              <w:rPr>
                <w:rFonts w:ascii="Times New Roman"/>
                <w:sz w:val="21"/>
              </w:rPr>
              <w:t>0.70</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氯化物</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8" w:right="113"/>
              <w:rPr>
                <w:rFonts w:ascii="Times New Roman"/>
                <w:sz w:val="21"/>
              </w:rPr>
            </w:pPr>
            <w:r>
              <w:rPr>
                <w:rFonts w:ascii="Times New Roman"/>
                <w:sz w:val="21"/>
              </w:rPr>
              <w:t>0.62</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0.39</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0.39</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0.94</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0.39</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9"/>
              <w:rPr>
                <w:sz w:val="21"/>
              </w:rPr>
            </w:pPr>
            <w:r>
              <w:rPr>
                <w:w w:val="100"/>
                <w:sz w:val="21"/>
              </w:rPr>
              <w:t>铅</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9" w:right="113"/>
              <w:rPr>
                <w:rFonts w:ascii="Times New Roman"/>
                <w:sz w:val="21"/>
              </w:rPr>
            </w:pPr>
            <w:r>
              <w:rPr>
                <w:rFonts w:ascii="Times New Roman"/>
                <w:sz w:val="21"/>
              </w:rPr>
              <w:t>0.5</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0.5</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0.46</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0.62</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0.42</w:t>
            </w:r>
          </w:p>
        </w:tc>
      </w:tr>
      <w:tr>
        <w:trPr>
          <w:trHeight w:val="32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9"/>
              <w:rPr>
                <w:sz w:val="21"/>
              </w:rPr>
            </w:pPr>
            <w:r>
              <w:rPr>
                <w:w w:val="100"/>
                <w:sz w:val="21"/>
              </w:rPr>
              <w:t>镉</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41"/>
              <w:ind w:left="138" w:right="113"/>
              <w:rPr>
                <w:rFonts w:ascii="Times New Roman"/>
                <w:sz w:val="21"/>
              </w:rPr>
            </w:pPr>
            <w:r>
              <w:rPr>
                <w:rFonts w:ascii="Times New Roman"/>
                <w:sz w:val="21"/>
              </w:rPr>
              <w:t>0.16</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0.14</w:t>
            </w:r>
          </w:p>
        </w:tc>
        <w:tc>
          <w:tcPr>
            <w:tcW w:w="881" w:type="dxa"/>
            <w:tcBorders>
              <w:top w:val="single" w:sz="6" w:space="0" w:color="000000"/>
              <w:left w:val="single" w:sz="6" w:space="0" w:color="000000"/>
              <w:bottom w:val="single" w:sz="6" w:space="0" w:color="000000"/>
              <w:right w:val="single" w:sz="4" w:space="0" w:color="000000"/>
            </w:tcBorders>
          </w:tcPr>
          <w:p>
            <w:pPr>
              <w:pStyle w:val="TableParagraph"/>
              <w:spacing w:before="41"/>
              <w:ind w:left="110" w:right="87"/>
              <w:rPr>
                <w:rFonts w:ascii="Times New Roman"/>
                <w:sz w:val="21"/>
              </w:rPr>
            </w:pPr>
            <w:r>
              <w:rPr>
                <w:rFonts w:ascii="Times New Roman"/>
                <w:sz w:val="21"/>
              </w:rPr>
              <w:t>0.16</w:t>
            </w:r>
          </w:p>
        </w:tc>
        <w:tc>
          <w:tcPr>
            <w:tcW w:w="720" w:type="dxa"/>
            <w:tcBorders>
              <w:top w:val="single" w:sz="6" w:space="0" w:color="000000"/>
              <w:left w:val="single" w:sz="4" w:space="0" w:color="000000"/>
              <w:bottom w:val="single" w:sz="6" w:space="0" w:color="000000"/>
              <w:right w:val="single" w:sz="4" w:space="0" w:color="000000"/>
            </w:tcBorders>
          </w:tcPr>
          <w:p>
            <w:pPr>
              <w:pStyle w:val="TableParagraph"/>
              <w:spacing w:before="41"/>
              <w:ind w:left="113" w:right="84"/>
              <w:rPr>
                <w:rFonts w:ascii="Times New Roman"/>
                <w:sz w:val="21"/>
              </w:rPr>
            </w:pPr>
            <w:r>
              <w:rPr>
                <w:rFonts w:ascii="Times New Roman"/>
                <w:sz w:val="21"/>
              </w:rPr>
              <w:t>0.16</w:t>
            </w:r>
          </w:p>
        </w:tc>
        <w:tc>
          <w:tcPr>
            <w:tcW w:w="715" w:type="dxa"/>
            <w:tcBorders>
              <w:top w:val="single" w:sz="6" w:space="0" w:color="000000"/>
              <w:left w:val="single" w:sz="4" w:space="0" w:color="000000"/>
              <w:bottom w:val="single" w:sz="6" w:space="0" w:color="000000"/>
            </w:tcBorders>
          </w:tcPr>
          <w:p>
            <w:pPr>
              <w:pStyle w:val="TableParagraph"/>
              <w:spacing w:before="41"/>
              <w:ind w:left="111" w:right="71"/>
              <w:rPr>
                <w:rFonts w:ascii="Times New Roman"/>
                <w:sz w:val="21"/>
              </w:rPr>
            </w:pPr>
            <w:r>
              <w:rPr>
                <w:rFonts w:ascii="Times New Roman"/>
                <w:sz w:val="21"/>
              </w:rPr>
              <w:t>0.14</w:t>
            </w:r>
          </w:p>
        </w:tc>
      </w:tr>
      <w:tr>
        <w:trPr>
          <w:trHeight w:val="335"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right w:val="single" w:sz="6" w:space="0" w:color="000000"/>
            </w:tcBorders>
          </w:tcPr>
          <w:p>
            <w:pPr>
              <w:pStyle w:val="TableParagraph"/>
              <w:spacing w:line="315" w:lineRule="exact"/>
              <w:ind w:left="29"/>
              <w:rPr>
                <w:sz w:val="21"/>
              </w:rPr>
            </w:pPr>
            <w:r>
              <w:rPr>
                <w:w w:val="100"/>
                <w:sz w:val="21"/>
              </w:rPr>
              <w:t>铁</w:t>
            </w:r>
          </w:p>
        </w:tc>
        <w:tc>
          <w:tcPr>
            <w:tcW w:w="1150" w:type="dxa"/>
            <w:tcBorders>
              <w:top w:val="single" w:sz="6" w:space="0" w:color="000000"/>
              <w:left w:val="single" w:sz="6" w:space="0" w:color="000000"/>
              <w:right w:val="single" w:sz="6" w:space="0" w:color="000000"/>
            </w:tcBorders>
          </w:tcPr>
          <w:p>
            <w:pPr>
              <w:pStyle w:val="TableParagraph"/>
              <w:spacing w:before="43"/>
              <w:ind w:left="138" w:right="113"/>
              <w:rPr>
                <w:rFonts w:ascii="Times New Roman"/>
                <w:b/>
                <w:sz w:val="21"/>
              </w:rPr>
            </w:pPr>
            <w:r>
              <w:rPr>
                <w:rFonts w:ascii="Times New Roman"/>
                <w:b/>
                <w:sz w:val="21"/>
              </w:rPr>
              <w:t>2.03</w:t>
            </w:r>
          </w:p>
        </w:tc>
        <w:tc>
          <w:tcPr>
            <w:tcW w:w="1231" w:type="dxa"/>
            <w:tcBorders>
              <w:top w:val="single" w:sz="6" w:space="0" w:color="000000"/>
              <w:left w:val="single" w:sz="6" w:space="0" w:color="000000"/>
              <w:right w:val="single" w:sz="6" w:space="0" w:color="000000"/>
            </w:tcBorders>
          </w:tcPr>
          <w:p>
            <w:pPr>
              <w:pStyle w:val="TableParagraph"/>
              <w:spacing w:before="41"/>
              <w:ind w:left="286" w:right="260"/>
              <w:rPr>
                <w:rFonts w:ascii="Times New Roman"/>
                <w:sz w:val="21"/>
              </w:rPr>
            </w:pPr>
            <w:r>
              <w:rPr>
                <w:rFonts w:ascii="Times New Roman"/>
                <w:sz w:val="21"/>
              </w:rPr>
              <w:t>0.13</w:t>
            </w:r>
          </w:p>
        </w:tc>
        <w:tc>
          <w:tcPr>
            <w:tcW w:w="881" w:type="dxa"/>
            <w:tcBorders>
              <w:top w:val="single" w:sz="6" w:space="0" w:color="000000"/>
              <w:left w:val="single" w:sz="6" w:space="0" w:color="000000"/>
              <w:right w:val="single" w:sz="4" w:space="0" w:color="000000"/>
            </w:tcBorders>
          </w:tcPr>
          <w:p>
            <w:pPr>
              <w:pStyle w:val="TableParagraph"/>
              <w:spacing w:before="41"/>
              <w:ind w:left="25"/>
              <w:rPr>
                <w:rFonts w:ascii="Times New Roman"/>
                <w:sz w:val="21"/>
              </w:rPr>
            </w:pPr>
            <w:r>
              <w:rPr>
                <w:rFonts w:ascii="Times New Roman"/>
                <w:w w:val="100"/>
                <w:sz w:val="21"/>
              </w:rPr>
              <w:t>/</w:t>
            </w:r>
          </w:p>
        </w:tc>
        <w:tc>
          <w:tcPr>
            <w:tcW w:w="720" w:type="dxa"/>
            <w:tcBorders>
              <w:top w:val="single" w:sz="6" w:space="0" w:color="000000"/>
              <w:left w:val="single" w:sz="4" w:space="0" w:color="000000"/>
              <w:right w:val="single" w:sz="4" w:space="0" w:color="000000"/>
            </w:tcBorders>
          </w:tcPr>
          <w:p>
            <w:pPr>
              <w:pStyle w:val="TableParagraph"/>
              <w:spacing w:before="41"/>
              <w:ind w:left="113" w:right="84"/>
              <w:rPr>
                <w:rFonts w:ascii="Times New Roman"/>
                <w:sz w:val="21"/>
              </w:rPr>
            </w:pPr>
            <w:r>
              <w:rPr>
                <w:rFonts w:ascii="Times New Roman"/>
                <w:sz w:val="21"/>
              </w:rPr>
              <w:t>0.67</w:t>
            </w:r>
          </w:p>
        </w:tc>
        <w:tc>
          <w:tcPr>
            <w:tcW w:w="715" w:type="dxa"/>
            <w:tcBorders>
              <w:top w:val="single" w:sz="6" w:space="0" w:color="000000"/>
              <w:left w:val="single" w:sz="4" w:space="0" w:color="000000"/>
            </w:tcBorders>
          </w:tcPr>
          <w:p>
            <w:pPr>
              <w:pStyle w:val="TableParagraph"/>
              <w:spacing w:before="43"/>
              <w:ind w:left="111" w:right="71"/>
              <w:rPr>
                <w:rFonts w:ascii="Times New Roman"/>
                <w:b/>
                <w:sz w:val="21"/>
              </w:rPr>
            </w:pPr>
            <w:r>
              <w:rPr>
                <w:rFonts w:ascii="Times New Roman"/>
                <w:b/>
                <w:sz w:val="21"/>
              </w:rPr>
              <w:t>1.47</w:t>
            </w:r>
          </w:p>
        </w:tc>
      </w:tr>
    </w:tbl>
    <w:p>
      <w:pPr>
        <w:spacing w:after="0"/>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56"/>
        <w:gridCol w:w="2175"/>
        <w:gridCol w:w="1150"/>
        <w:gridCol w:w="1231"/>
        <w:gridCol w:w="881"/>
        <w:gridCol w:w="720"/>
        <w:gridCol w:w="715"/>
      </w:tblGrid>
      <w:tr>
        <w:trPr>
          <w:trHeight w:val="332" w:hRule="atLeast"/>
        </w:trPr>
        <w:tc>
          <w:tcPr>
            <w:tcW w:w="1656" w:type="dxa"/>
            <w:vMerge w:val="restart"/>
            <w:tcBorders>
              <w:right w:val="single" w:sz="6" w:space="0" w:color="000000"/>
            </w:tcBorders>
          </w:tcPr>
          <w:p>
            <w:pPr>
              <w:pStyle w:val="TableParagraph"/>
              <w:jc w:val="left"/>
              <w:rPr>
                <w:rFonts w:ascii="Times New Roman"/>
                <w:sz w:val="22"/>
              </w:rPr>
            </w:pPr>
          </w:p>
        </w:tc>
        <w:tc>
          <w:tcPr>
            <w:tcW w:w="2175" w:type="dxa"/>
            <w:tcBorders>
              <w:left w:val="single" w:sz="6" w:space="0" w:color="000000"/>
              <w:bottom w:val="single" w:sz="6" w:space="0" w:color="000000"/>
              <w:right w:val="single" w:sz="6" w:space="0" w:color="000000"/>
            </w:tcBorders>
          </w:tcPr>
          <w:p>
            <w:pPr>
              <w:pStyle w:val="TableParagraph"/>
              <w:spacing w:line="313" w:lineRule="exact"/>
              <w:ind w:left="29"/>
              <w:rPr>
                <w:sz w:val="21"/>
              </w:rPr>
            </w:pPr>
            <w:r>
              <w:rPr>
                <w:w w:val="100"/>
                <w:sz w:val="21"/>
              </w:rPr>
              <w:t>锰</w:t>
            </w:r>
          </w:p>
        </w:tc>
        <w:tc>
          <w:tcPr>
            <w:tcW w:w="1150" w:type="dxa"/>
            <w:tcBorders>
              <w:left w:val="single" w:sz="6" w:space="0" w:color="000000"/>
              <w:bottom w:val="single" w:sz="6" w:space="0" w:color="000000"/>
              <w:right w:val="single" w:sz="6" w:space="0" w:color="000000"/>
            </w:tcBorders>
          </w:tcPr>
          <w:p>
            <w:pPr>
              <w:pStyle w:val="TableParagraph"/>
              <w:spacing w:before="51"/>
              <w:ind w:left="138" w:right="113"/>
              <w:rPr>
                <w:rFonts w:ascii="Times New Roman"/>
                <w:b/>
                <w:sz w:val="21"/>
              </w:rPr>
            </w:pPr>
            <w:r>
              <w:rPr>
                <w:rFonts w:ascii="Times New Roman"/>
                <w:b/>
                <w:sz w:val="21"/>
              </w:rPr>
              <w:t>53.9</w:t>
            </w:r>
          </w:p>
        </w:tc>
        <w:tc>
          <w:tcPr>
            <w:tcW w:w="1231" w:type="dxa"/>
            <w:tcBorders>
              <w:left w:val="single" w:sz="6" w:space="0" w:color="000000"/>
              <w:bottom w:val="single" w:sz="6" w:space="0" w:color="000000"/>
              <w:right w:val="single" w:sz="6" w:space="0" w:color="000000"/>
            </w:tcBorders>
          </w:tcPr>
          <w:p>
            <w:pPr>
              <w:pStyle w:val="TableParagraph"/>
              <w:spacing w:before="51"/>
              <w:ind w:left="284" w:right="260"/>
              <w:rPr>
                <w:rFonts w:ascii="Times New Roman"/>
                <w:b/>
                <w:sz w:val="21"/>
              </w:rPr>
            </w:pPr>
            <w:r>
              <w:rPr>
                <w:rFonts w:ascii="Times New Roman"/>
                <w:b/>
                <w:sz w:val="21"/>
              </w:rPr>
              <w:t>114</w:t>
            </w:r>
          </w:p>
        </w:tc>
        <w:tc>
          <w:tcPr>
            <w:tcW w:w="881" w:type="dxa"/>
            <w:tcBorders>
              <w:left w:val="single" w:sz="6" w:space="0" w:color="000000"/>
              <w:bottom w:val="single" w:sz="6" w:space="0" w:color="000000"/>
              <w:right w:val="single" w:sz="4" w:space="0" w:color="000000"/>
            </w:tcBorders>
          </w:tcPr>
          <w:p>
            <w:pPr>
              <w:pStyle w:val="TableParagraph"/>
              <w:spacing w:before="48"/>
              <w:ind w:left="110" w:right="87"/>
              <w:rPr>
                <w:rFonts w:ascii="Times New Roman"/>
                <w:sz w:val="21"/>
              </w:rPr>
            </w:pPr>
            <w:r>
              <w:rPr>
                <w:rFonts w:ascii="Times New Roman"/>
                <w:sz w:val="21"/>
              </w:rPr>
              <w:t>0.3</w:t>
            </w:r>
          </w:p>
        </w:tc>
        <w:tc>
          <w:tcPr>
            <w:tcW w:w="720" w:type="dxa"/>
            <w:tcBorders>
              <w:left w:val="single" w:sz="4" w:space="0" w:color="000000"/>
              <w:bottom w:val="single" w:sz="6" w:space="0" w:color="000000"/>
              <w:right w:val="single" w:sz="4" w:space="0" w:color="000000"/>
            </w:tcBorders>
          </w:tcPr>
          <w:p>
            <w:pPr>
              <w:pStyle w:val="TableParagraph"/>
              <w:spacing w:before="51"/>
              <w:ind w:right="158"/>
              <w:jc w:val="right"/>
              <w:rPr>
                <w:rFonts w:ascii="Times New Roman"/>
                <w:b/>
                <w:sz w:val="21"/>
              </w:rPr>
            </w:pPr>
            <w:r>
              <w:rPr>
                <w:rFonts w:ascii="Times New Roman"/>
                <w:b/>
                <w:sz w:val="21"/>
              </w:rPr>
              <w:t>11.1</w:t>
            </w:r>
          </w:p>
        </w:tc>
        <w:tc>
          <w:tcPr>
            <w:tcW w:w="715" w:type="dxa"/>
            <w:tcBorders>
              <w:left w:val="single" w:sz="4" w:space="0" w:color="000000"/>
              <w:bottom w:val="single" w:sz="6" w:space="0" w:color="000000"/>
            </w:tcBorders>
          </w:tcPr>
          <w:p>
            <w:pPr>
              <w:pStyle w:val="TableParagraph"/>
              <w:spacing w:before="51"/>
              <w:ind w:left="111" w:right="71"/>
              <w:rPr>
                <w:rFonts w:ascii="Times New Roman"/>
                <w:b/>
                <w:sz w:val="21"/>
              </w:rPr>
            </w:pPr>
            <w:r>
              <w:rPr>
                <w:rFonts w:ascii="Times New Roman"/>
                <w:b/>
                <w:sz w:val="21"/>
              </w:rPr>
              <w:t>4.5</w:t>
            </w:r>
          </w:p>
        </w:tc>
      </w:tr>
      <w:tr>
        <w:trPr>
          <w:trHeight w:val="433" w:hRule="atLeast"/>
        </w:trPr>
        <w:tc>
          <w:tcPr>
            <w:tcW w:w="1656" w:type="dxa"/>
            <w:vMerge/>
            <w:tcBorders>
              <w:top w:val="nil"/>
              <w:right w:val="single" w:sz="6" w:space="0" w:color="000000"/>
            </w:tcBorders>
          </w:tcPr>
          <w:p>
            <w:pPr>
              <w:rPr>
                <w:sz w:val="2"/>
                <w:szCs w:val="2"/>
              </w:rPr>
            </w:pPr>
          </w:p>
        </w:tc>
        <w:tc>
          <w:tcPr>
            <w:tcW w:w="2175" w:type="dxa"/>
            <w:tcBorders>
              <w:top w:val="single" w:sz="6" w:space="0" w:color="000000"/>
              <w:left w:val="single" w:sz="6" w:space="0" w:color="000000"/>
              <w:right w:val="single" w:sz="6" w:space="0" w:color="000000"/>
            </w:tcBorders>
          </w:tcPr>
          <w:p>
            <w:pPr>
              <w:pStyle w:val="TableParagraph"/>
              <w:spacing w:line="413" w:lineRule="exact"/>
              <w:ind w:left="29"/>
              <w:rPr>
                <w:sz w:val="21"/>
              </w:rPr>
            </w:pPr>
            <w:r>
              <w:rPr>
                <w:w w:val="100"/>
                <w:sz w:val="21"/>
              </w:rPr>
              <w:t>锌</w:t>
            </w:r>
          </w:p>
        </w:tc>
        <w:tc>
          <w:tcPr>
            <w:tcW w:w="1150" w:type="dxa"/>
            <w:tcBorders>
              <w:top w:val="single" w:sz="6" w:space="0" w:color="000000"/>
              <w:left w:val="single" w:sz="6" w:space="0" w:color="000000"/>
              <w:right w:val="single" w:sz="6" w:space="0" w:color="000000"/>
            </w:tcBorders>
          </w:tcPr>
          <w:p>
            <w:pPr>
              <w:pStyle w:val="TableParagraph"/>
              <w:spacing w:before="91"/>
              <w:ind w:left="27"/>
              <w:rPr>
                <w:rFonts w:ascii="Times New Roman"/>
                <w:sz w:val="21"/>
              </w:rPr>
            </w:pPr>
            <w:r>
              <w:rPr>
                <w:rFonts w:ascii="Times New Roman"/>
                <w:w w:val="100"/>
                <w:sz w:val="21"/>
              </w:rPr>
              <w:t>/</w:t>
            </w:r>
          </w:p>
        </w:tc>
        <w:tc>
          <w:tcPr>
            <w:tcW w:w="1231" w:type="dxa"/>
            <w:tcBorders>
              <w:top w:val="single" w:sz="6" w:space="0" w:color="000000"/>
              <w:left w:val="single" w:sz="6" w:space="0" w:color="000000"/>
              <w:right w:val="single" w:sz="6" w:space="0" w:color="000000"/>
            </w:tcBorders>
          </w:tcPr>
          <w:p>
            <w:pPr>
              <w:pStyle w:val="TableParagraph"/>
              <w:spacing w:before="91"/>
              <w:ind w:left="286" w:right="260"/>
              <w:rPr>
                <w:rFonts w:ascii="Times New Roman"/>
                <w:sz w:val="21"/>
              </w:rPr>
            </w:pPr>
            <w:r>
              <w:rPr>
                <w:rFonts w:ascii="Times New Roman"/>
                <w:sz w:val="21"/>
              </w:rPr>
              <w:t>0.019</w:t>
            </w:r>
          </w:p>
        </w:tc>
        <w:tc>
          <w:tcPr>
            <w:tcW w:w="881" w:type="dxa"/>
            <w:tcBorders>
              <w:top w:val="single" w:sz="6" w:space="0" w:color="000000"/>
              <w:left w:val="single" w:sz="6" w:space="0" w:color="000000"/>
              <w:right w:val="single" w:sz="4" w:space="0" w:color="000000"/>
            </w:tcBorders>
          </w:tcPr>
          <w:p>
            <w:pPr>
              <w:pStyle w:val="TableParagraph"/>
              <w:spacing w:before="91"/>
              <w:ind w:left="25"/>
              <w:rPr>
                <w:rFonts w:ascii="Times New Roman"/>
                <w:sz w:val="21"/>
              </w:rPr>
            </w:pPr>
            <w:r>
              <w:rPr>
                <w:rFonts w:ascii="Times New Roman"/>
                <w:w w:val="100"/>
                <w:sz w:val="21"/>
              </w:rPr>
              <w:t>/</w:t>
            </w:r>
          </w:p>
        </w:tc>
        <w:tc>
          <w:tcPr>
            <w:tcW w:w="720" w:type="dxa"/>
            <w:tcBorders>
              <w:top w:val="single" w:sz="6" w:space="0" w:color="000000"/>
              <w:left w:val="single" w:sz="4" w:space="0" w:color="000000"/>
              <w:right w:val="single" w:sz="4" w:space="0" w:color="000000"/>
            </w:tcBorders>
          </w:tcPr>
          <w:p>
            <w:pPr>
              <w:pStyle w:val="TableParagraph"/>
              <w:spacing w:before="91"/>
              <w:ind w:right="100"/>
              <w:jc w:val="right"/>
              <w:rPr>
                <w:rFonts w:ascii="Times New Roman"/>
                <w:sz w:val="21"/>
              </w:rPr>
            </w:pPr>
            <w:r>
              <w:rPr>
                <w:rFonts w:ascii="Times New Roman"/>
                <w:sz w:val="21"/>
              </w:rPr>
              <w:t>0.053</w:t>
            </w:r>
          </w:p>
        </w:tc>
        <w:tc>
          <w:tcPr>
            <w:tcW w:w="715" w:type="dxa"/>
            <w:tcBorders>
              <w:top w:val="single" w:sz="6" w:space="0" w:color="000000"/>
              <w:left w:val="single" w:sz="4" w:space="0" w:color="000000"/>
            </w:tcBorders>
          </w:tcPr>
          <w:p>
            <w:pPr>
              <w:pStyle w:val="TableParagraph"/>
              <w:spacing w:before="91"/>
              <w:ind w:left="41"/>
              <w:rPr>
                <w:rFonts w:ascii="Times New Roman"/>
                <w:sz w:val="21"/>
              </w:rPr>
            </w:pPr>
            <w:r>
              <w:rPr>
                <w:rFonts w:ascii="Times New Roman"/>
                <w:w w:val="100"/>
                <w:sz w:val="21"/>
              </w:rPr>
              <w:t>/</w:t>
            </w:r>
          </w:p>
        </w:tc>
      </w:tr>
    </w:tbl>
    <w:p>
      <w:pPr>
        <w:pStyle w:val="BodyText"/>
        <w:spacing w:before="16"/>
        <w:rPr>
          <w:sz w:val="4"/>
        </w:rPr>
      </w:pPr>
    </w:p>
    <w:p>
      <w:pPr>
        <w:spacing w:line="423" w:lineRule="exact" w:before="0"/>
        <w:ind w:left="998" w:right="0" w:firstLine="0"/>
        <w:jc w:val="left"/>
        <w:rPr>
          <w:sz w:val="21"/>
        </w:rPr>
      </w:pPr>
      <w:r>
        <w:rPr>
          <w:spacing w:val="-36"/>
          <w:w w:val="100"/>
          <w:sz w:val="21"/>
        </w:rPr>
        <w:t>备注：</w:t>
      </w:r>
      <w:r>
        <w:rPr>
          <w:spacing w:val="-1"/>
          <w:w w:val="211"/>
          <w:sz w:val="21"/>
        </w:rPr>
        <w:t>“</w:t>
      </w:r>
      <w:r>
        <w:rPr>
          <w:rFonts w:ascii="Times New Roman" w:hAnsi="Times New Roman" w:eastAsia="Times New Roman"/>
          <w:spacing w:val="-2"/>
          <w:w w:val="100"/>
          <w:sz w:val="21"/>
        </w:rPr>
        <w:t>/</w:t>
      </w:r>
      <w:r>
        <w:rPr>
          <w:spacing w:val="-2"/>
          <w:w w:val="136"/>
          <w:sz w:val="21"/>
        </w:rPr>
        <w:t>”未</w:t>
      </w:r>
      <w:r>
        <w:rPr>
          <w:w w:val="100"/>
          <w:sz w:val="21"/>
        </w:rPr>
        <w:t>检出</w:t>
      </w:r>
    </w:p>
    <w:p>
      <w:pPr>
        <w:pStyle w:val="BodyText"/>
        <w:spacing w:line="220" w:lineRule="auto" w:before="93"/>
        <w:ind w:left="578" w:right="756" w:firstLine="479"/>
      </w:pPr>
      <w:r>
        <w:rPr/>
        <w:t>由上表可以看出，孙家怪草村及中柴沟村铁超标，孙家怪草村、左山村、</w:t>
      </w:r>
      <w:r>
        <w:rPr>
          <w:spacing w:val="10"/>
        </w:rPr>
        <w:t>厂址及中柴沟村锰超标，其余各监测点各监测因子满足《地下水质量标准》</w:t>
      </w:r>
    </w:p>
    <w:p>
      <w:pPr>
        <w:pStyle w:val="BodyText"/>
        <w:spacing w:line="220" w:lineRule="auto"/>
        <w:ind w:left="578" w:right="753"/>
      </w:pPr>
      <w:r>
        <w:rPr/>
        <w:t>（</w:t>
      </w:r>
      <w:r>
        <w:rPr>
          <w:rFonts w:ascii="Times New Roman" w:eastAsia="Times New Roman"/>
        </w:rPr>
        <w:t>GB/T14848-2017</w:t>
      </w:r>
      <w:r>
        <w:rPr/>
        <w:t>）中 </w:t>
      </w:r>
      <w:r>
        <w:rPr>
          <w:rFonts w:ascii="Times New Roman" w:eastAsia="Times New Roman"/>
        </w:rPr>
        <w:t>III</w:t>
      </w:r>
      <w:r>
        <w:rPr>
          <w:rFonts w:ascii="Times New Roman" w:eastAsia="Times New Roman"/>
          <w:spacing w:val="-11"/>
        </w:rPr>
        <w:t> </w:t>
      </w:r>
      <w:r>
        <w:rPr>
          <w:spacing w:val="-8"/>
        </w:rPr>
        <w:t>类标准要求。根据现场勘查，企业周围无涉及锰、铁</w:t>
      </w:r>
      <w:r>
        <w:rPr>
          <w:spacing w:val="-13"/>
        </w:rPr>
        <w:t>等特征因子的生产企业，并根据区域水文地质资料，超标原因为区域地质原因。</w:t>
      </w:r>
    </w:p>
    <w:p>
      <w:pPr>
        <w:pStyle w:val="Heading3"/>
        <w:numPr>
          <w:ilvl w:val="2"/>
          <w:numId w:val="8"/>
        </w:numPr>
        <w:tabs>
          <w:tab w:pos="1378" w:val="left" w:leader="none"/>
        </w:tabs>
        <w:spacing w:line="240" w:lineRule="auto" w:before="151" w:after="0"/>
        <w:ind w:left="1377" w:right="0" w:hanging="799"/>
        <w:jc w:val="left"/>
      </w:pPr>
      <w:r>
        <w:rPr/>
        <w:t>声环境质量现状调查</w:t>
      </w:r>
    </w:p>
    <w:p>
      <w:pPr>
        <w:pStyle w:val="Heading5"/>
        <w:numPr>
          <w:ilvl w:val="3"/>
          <w:numId w:val="8"/>
        </w:numPr>
        <w:tabs>
          <w:tab w:pos="1490" w:val="left" w:leader="none"/>
        </w:tabs>
        <w:spacing w:line="240" w:lineRule="auto" w:before="202" w:after="0"/>
        <w:ind w:left="1490" w:right="0" w:hanging="912"/>
        <w:jc w:val="left"/>
      </w:pPr>
      <w:r>
        <w:rPr/>
        <w:t>声环境质量现状监测</w:t>
      </w:r>
    </w:p>
    <w:p>
      <w:pPr>
        <w:pStyle w:val="BodyText"/>
        <w:spacing w:line="488" w:lineRule="exact" w:before="152"/>
        <w:ind w:left="1058"/>
      </w:pPr>
      <w:r>
        <w:rPr>
          <w:rFonts w:ascii="Times New Roman" w:eastAsia="Times New Roman"/>
        </w:rPr>
        <w:t>1</w:t>
      </w:r>
      <w:r>
        <w:rPr/>
        <w:t>、监测布点</w:t>
      </w:r>
    </w:p>
    <w:p>
      <w:pPr>
        <w:pStyle w:val="BodyText"/>
        <w:spacing w:line="220" w:lineRule="auto" w:before="8"/>
        <w:ind w:left="578" w:right="755" w:firstLine="479"/>
        <w:jc w:val="both"/>
      </w:pPr>
      <w:r>
        <w:rPr>
          <w:spacing w:val="-6"/>
        </w:rPr>
        <w:t>为掌握项目厂址周围噪声环境现状，根据厂区平面布置及其周围环境特点， </w:t>
      </w:r>
      <w:r>
        <w:rPr>
          <w:spacing w:val="-11"/>
        </w:rPr>
        <w:t>在项目东西厂址东、南、西、北四厂界外 </w:t>
      </w:r>
      <w:r>
        <w:rPr>
          <w:rFonts w:ascii="Times New Roman" w:eastAsia="Times New Roman"/>
        </w:rPr>
        <w:t>1m </w:t>
      </w:r>
      <w:r>
        <w:rPr>
          <w:spacing w:val="-7"/>
        </w:rPr>
        <w:t>处，各设置一个监测点，并布设 </w:t>
      </w:r>
      <w:r>
        <w:rPr>
          <w:rFonts w:ascii="Times New Roman" w:eastAsia="Times New Roman"/>
        </w:rPr>
        <w:t>1 </w:t>
      </w:r>
      <w:r>
        <w:rPr/>
        <w:t>各敏感点监测点，共 </w:t>
      </w:r>
      <w:r>
        <w:rPr>
          <w:rFonts w:ascii="Times New Roman" w:eastAsia="Times New Roman"/>
        </w:rPr>
        <w:t>5 </w:t>
      </w:r>
      <w:r>
        <w:rPr/>
        <w:t>个现状监测点。监测点位见表 </w:t>
      </w:r>
      <w:r>
        <w:rPr>
          <w:rFonts w:ascii="Times New Roman" w:eastAsia="Times New Roman"/>
        </w:rPr>
        <w:t>5.4-29</w:t>
      </w:r>
      <w:r>
        <w:rPr/>
        <w:t>。</w:t>
      </w:r>
    </w:p>
    <w:p>
      <w:pPr>
        <w:tabs>
          <w:tab w:pos="1017" w:val="left" w:leader="none"/>
        </w:tabs>
        <w:spacing w:before="163" w:after="24"/>
        <w:ind w:left="0" w:right="295" w:firstLine="0"/>
        <w:jc w:val="center"/>
        <w:rPr>
          <w:sz w:val="21"/>
        </w:rPr>
      </w:pPr>
      <w:r>
        <w:rPr>
          <w:sz w:val="21"/>
        </w:rPr>
        <w:t>表</w:t>
      </w:r>
      <w:r>
        <w:rPr>
          <w:spacing w:val="7"/>
          <w:sz w:val="21"/>
        </w:rPr>
        <w:t> </w:t>
      </w:r>
      <w:r>
        <w:rPr>
          <w:rFonts w:ascii="Times New Roman" w:eastAsia="Times New Roman"/>
          <w:b/>
          <w:sz w:val="21"/>
        </w:rPr>
        <w:t>5.4-29</w:t>
        <w:tab/>
      </w:r>
      <w:r>
        <w:rPr>
          <w:sz w:val="21"/>
        </w:rPr>
        <w:t>噪声监测布</w:t>
      </w:r>
      <w:r>
        <w:rPr>
          <w:spacing w:val="-3"/>
          <w:sz w:val="21"/>
        </w:rPr>
        <w:t>点</w:t>
      </w:r>
      <w:r>
        <w:rPr>
          <w:sz w:val="21"/>
        </w:rPr>
        <w:t>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1"/>
        <w:gridCol w:w="2717"/>
        <w:gridCol w:w="1680"/>
        <w:gridCol w:w="1197"/>
        <w:gridCol w:w="2182"/>
      </w:tblGrid>
      <w:tr>
        <w:trPr>
          <w:trHeight w:val="339" w:hRule="atLeast"/>
        </w:trPr>
        <w:tc>
          <w:tcPr>
            <w:tcW w:w="751" w:type="dxa"/>
            <w:tcBorders>
              <w:bottom w:val="single" w:sz="4" w:space="0" w:color="000000"/>
              <w:right w:val="single" w:sz="4" w:space="0" w:color="000000"/>
            </w:tcBorders>
          </w:tcPr>
          <w:p>
            <w:pPr>
              <w:pStyle w:val="TableParagraph"/>
              <w:spacing w:line="320" w:lineRule="exact"/>
              <w:ind w:left="143" w:right="127"/>
              <w:rPr>
                <w:sz w:val="21"/>
              </w:rPr>
            </w:pPr>
            <w:r>
              <w:rPr>
                <w:sz w:val="21"/>
              </w:rPr>
              <w:t>编号</w:t>
            </w:r>
          </w:p>
        </w:tc>
        <w:tc>
          <w:tcPr>
            <w:tcW w:w="2717" w:type="dxa"/>
            <w:tcBorders>
              <w:left w:val="single" w:sz="4" w:space="0" w:color="000000"/>
              <w:bottom w:val="single" w:sz="4" w:space="0" w:color="000000"/>
              <w:right w:val="single" w:sz="4" w:space="0" w:color="000000"/>
            </w:tcBorders>
          </w:tcPr>
          <w:p>
            <w:pPr>
              <w:pStyle w:val="TableParagraph"/>
              <w:spacing w:line="320" w:lineRule="exact"/>
              <w:ind w:left="821" w:right="793"/>
              <w:rPr>
                <w:sz w:val="21"/>
              </w:rPr>
            </w:pPr>
            <w:r>
              <w:rPr>
                <w:sz w:val="21"/>
              </w:rPr>
              <w:t>监测点名称</w:t>
            </w:r>
          </w:p>
        </w:tc>
        <w:tc>
          <w:tcPr>
            <w:tcW w:w="1680" w:type="dxa"/>
            <w:tcBorders>
              <w:left w:val="single" w:sz="4" w:space="0" w:color="000000"/>
              <w:bottom w:val="single" w:sz="4" w:space="0" w:color="000000"/>
              <w:right w:val="single" w:sz="4" w:space="0" w:color="000000"/>
            </w:tcBorders>
          </w:tcPr>
          <w:p>
            <w:pPr>
              <w:pStyle w:val="TableParagraph"/>
              <w:spacing w:line="320" w:lineRule="exact"/>
              <w:ind w:left="199" w:right="170"/>
              <w:rPr>
                <w:sz w:val="21"/>
              </w:rPr>
            </w:pPr>
            <w:r>
              <w:rPr>
                <w:sz w:val="21"/>
              </w:rPr>
              <w:t>相对厂址方位</w:t>
            </w:r>
          </w:p>
        </w:tc>
        <w:tc>
          <w:tcPr>
            <w:tcW w:w="1197" w:type="dxa"/>
            <w:tcBorders>
              <w:left w:val="single" w:sz="4" w:space="0" w:color="000000"/>
              <w:bottom w:val="single" w:sz="4" w:space="0" w:color="000000"/>
              <w:right w:val="single" w:sz="4" w:space="0" w:color="000000"/>
            </w:tcBorders>
          </w:tcPr>
          <w:p>
            <w:pPr>
              <w:pStyle w:val="TableParagraph"/>
              <w:spacing w:line="320" w:lineRule="exact"/>
              <w:ind w:left="377" w:right="349"/>
              <w:rPr>
                <w:sz w:val="21"/>
              </w:rPr>
            </w:pPr>
            <w:r>
              <w:rPr>
                <w:sz w:val="21"/>
              </w:rPr>
              <w:t>距离</w:t>
            </w:r>
          </w:p>
        </w:tc>
        <w:tc>
          <w:tcPr>
            <w:tcW w:w="2182" w:type="dxa"/>
            <w:tcBorders>
              <w:left w:val="single" w:sz="4" w:space="0" w:color="000000"/>
              <w:bottom w:val="single" w:sz="4" w:space="0" w:color="000000"/>
            </w:tcBorders>
          </w:tcPr>
          <w:p>
            <w:pPr>
              <w:pStyle w:val="TableParagraph"/>
              <w:spacing w:line="320" w:lineRule="exact"/>
              <w:ind w:left="138" w:right="93"/>
              <w:rPr>
                <w:sz w:val="21"/>
              </w:rPr>
            </w:pPr>
            <w:r>
              <w:rPr>
                <w:sz w:val="21"/>
              </w:rPr>
              <w:t>功能意义</w:t>
            </w:r>
          </w:p>
        </w:tc>
      </w:tr>
      <w:tr>
        <w:trPr>
          <w:trHeight w:val="340" w:hRule="atLeast"/>
        </w:trPr>
        <w:tc>
          <w:tcPr>
            <w:tcW w:w="751" w:type="dxa"/>
            <w:tcBorders>
              <w:top w:val="single" w:sz="4" w:space="0" w:color="000000"/>
              <w:bottom w:val="single" w:sz="4" w:space="0" w:color="000000"/>
              <w:right w:val="single" w:sz="4" w:space="0" w:color="000000"/>
            </w:tcBorders>
          </w:tcPr>
          <w:p>
            <w:pPr>
              <w:pStyle w:val="TableParagraph"/>
              <w:spacing w:before="48"/>
              <w:ind w:left="143" w:right="127"/>
              <w:rPr>
                <w:rFonts w:ascii="Times New Roman"/>
                <w:sz w:val="21"/>
              </w:rPr>
            </w:pPr>
            <w:r>
              <w:rPr>
                <w:rFonts w:ascii="Times New Roman"/>
                <w:sz w:val="21"/>
              </w:rPr>
              <w:t>1#</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822" w:right="791"/>
              <w:rPr>
                <w:sz w:val="21"/>
              </w:rPr>
            </w:pPr>
            <w:r>
              <w:rPr>
                <w:sz w:val="21"/>
              </w:rPr>
              <w:t>东北厂界</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48"/>
              <w:ind w:left="199" w:right="169"/>
              <w:rPr>
                <w:rFonts w:ascii="Times New Roman"/>
                <w:sz w:val="21"/>
              </w:rPr>
            </w:pPr>
            <w:r>
              <w:rPr>
                <w:rFonts w:ascii="Times New Roman"/>
                <w:sz w:val="21"/>
              </w:rPr>
              <w:t>NE</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before="43"/>
              <w:ind w:left="377" w:right="348"/>
              <w:rPr>
                <w:rFonts w:ascii="Times New Roman"/>
                <w:sz w:val="21"/>
              </w:rPr>
            </w:pPr>
            <w:r>
              <w:rPr>
                <w:rFonts w:ascii="Times New Roman"/>
                <w:sz w:val="21"/>
              </w:rPr>
              <w:t>1m</w:t>
            </w:r>
          </w:p>
        </w:tc>
        <w:tc>
          <w:tcPr>
            <w:tcW w:w="2182" w:type="dxa"/>
            <w:tcBorders>
              <w:top w:val="single" w:sz="4" w:space="0" w:color="000000"/>
              <w:left w:val="single" w:sz="4" w:space="0" w:color="000000"/>
              <w:bottom w:val="single" w:sz="4" w:space="0" w:color="000000"/>
            </w:tcBorders>
          </w:tcPr>
          <w:p>
            <w:pPr>
              <w:pStyle w:val="TableParagraph"/>
              <w:spacing w:line="320" w:lineRule="exact"/>
              <w:ind w:left="139" w:right="93"/>
              <w:rPr>
                <w:sz w:val="21"/>
              </w:rPr>
            </w:pPr>
            <w:r>
              <w:rPr>
                <w:sz w:val="21"/>
              </w:rPr>
              <w:t>了解厂界噪声现状</w:t>
            </w:r>
          </w:p>
        </w:tc>
      </w:tr>
      <w:tr>
        <w:trPr>
          <w:trHeight w:val="340" w:hRule="atLeast"/>
        </w:trPr>
        <w:tc>
          <w:tcPr>
            <w:tcW w:w="751" w:type="dxa"/>
            <w:tcBorders>
              <w:top w:val="single" w:sz="4" w:space="0" w:color="000000"/>
              <w:bottom w:val="single" w:sz="4" w:space="0" w:color="000000"/>
              <w:right w:val="single" w:sz="4" w:space="0" w:color="000000"/>
            </w:tcBorders>
          </w:tcPr>
          <w:p>
            <w:pPr>
              <w:pStyle w:val="TableParagraph"/>
              <w:spacing w:before="48"/>
              <w:ind w:left="143" w:right="127"/>
              <w:rPr>
                <w:rFonts w:ascii="Times New Roman"/>
                <w:sz w:val="21"/>
              </w:rPr>
            </w:pPr>
            <w:r>
              <w:rPr>
                <w:rFonts w:ascii="Times New Roman"/>
                <w:sz w:val="21"/>
              </w:rPr>
              <w:t>2#</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822" w:right="791"/>
              <w:rPr>
                <w:sz w:val="21"/>
              </w:rPr>
            </w:pPr>
            <w:r>
              <w:rPr>
                <w:sz w:val="21"/>
              </w:rPr>
              <w:t>东南厂界</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48"/>
              <w:ind w:left="199" w:right="168"/>
              <w:rPr>
                <w:rFonts w:ascii="Times New Roman"/>
                <w:sz w:val="21"/>
              </w:rPr>
            </w:pPr>
            <w:r>
              <w:rPr>
                <w:rFonts w:ascii="Times New Roman"/>
                <w:sz w:val="21"/>
              </w:rPr>
              <w:t>SE</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before="43"/>
              <w:ind w:left="377" w:right="348"/>
              <w:rPr>
                <w:rFonts w:ascii="Times New Roman"/>
                <w:sz w:val="21"/>
              </w:rPr>
            </w:pPr>
            <w:r>
              <w:rPr>
                <w:rFonts w:ascii="Times New Roman"/>
                <w:sz w:val="21"/>
              </w:rPr>
              <w:t>1m</w:t>
            </w:r>
          </w:p>
        </w:tc>
        <w:tc>
          <w:tcPr>
            <w:tcW w:w="2182" w:type="dxa"/>
            <w:tcBorders>
              <w:top w:val="single" w:sz="4" w:space="0" w:color="000000"/>
              <w:left w:val="single" w:sz="4" w:space="0" w:color="000000"/>
              <w:bottom w:val="single" w:sz="4" w:space="0" w:color="000000"/>
            </w:tcBorders>
          </w:tcPr>
          <w:p>
            <w:pPr>
              <w:pStyle w:val="TableParagraph"/>
              <w:spacing w:line="320" w:lineRule="exact"/>
              <w:ind w:left="139" w:right="93"/>
              <w:rPr>
                <w:sz w:val="21"/>
              </w:rPr>
            </w:pPr>
            <w:r>
              <w:rPr>
                <w:sz w:val="21"/>
              </w:rPr>
              <w:t>了解厂界噪声现状</w:t>
            </w:r>
          </w:p>
        </w:tc>
      </w:tr>
      <w:tr>
        <w:trPr>
          <w:trHeight w:val="340" w:hRule="atLeast"/>
        </w:trPr>
        <w:tc>
          <w:tcPr>
            <w:tcW w:w="751" w:type="dxa"/>
            <w:tcBorders>
              <w:top w:val="single" w:sz="4" w:space="0" w:color="000000"/>
              <w:bottom w:val="single" w:sz="4" w:space="0" w:color="000000"/>
              <w:right w:val="single" w:sz="4" w:space="0" w:color="000000"/>
            </w:tcBorders>
          </w:tcPr>
          <w:p>
            <w:pPr>
              <w:pStyle w:val="TableParagraph"/>
              <w:spacing w:before="48"/>
              <w:ind w:left="143" w:right="127"/>
              <w:rPr>
                <w:rFonts w:ascii="Times New Roman"/>
                <w:sz w:val="21"/>
              </w:rPr>
            </w:pPr>
            <w:r>
              <w:rPr>
                <w:rFonts w:ascii="Times New Roman"/>
                <w:sz w:val="21"/>
              </w:rPr>
              <w:t>3#</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821" w:right="793"/>
              <w:rPr>
                <w:sz w:val="21"/>
              </w:rPr>
            </w:pPr>
            <w:r>
              <w:rPr>
                <w:sz w:val="21"/>
              </w:rPr>
              <w:t>南厂界</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48"/>
              <w:ind w:left="27"/>
              <w:rPr>
                <w:rFonts w:ascii="Times New Roman"/>
                <w:sz w:val="21"/>
              </w:rPr>
            </w:pPr>
            <w:r>
              <w:rPr>
                <w:rFonts w:ascii="Times New Roman"/>
                <w:w w:val="100"/>
                <w:sz w:val="21"/>
              </w:rPr>
              <w:t>S</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before="43"/>
              <w:ind w:left="377" w:right="348"/>
              <w:rPr>
                <w:rFonts w:ascii="Times New Roman"/>
                <w:sz w:val="21"/>
              </w:rPr>
            </w:pPr>
            <w:r>
              <w:rPr>
                <w:rFonts w:ascii="Times New Roman"/>
                <w:sz w:val="21"/>
              </w:rPr>
              <w:t>1m</w:t>
            </w:r>
          </w:p>
        </w:tc>
        <w:tc>
          <w:tcPr>
            <w:tcW w:w="2182" w:type="dxa"/>
            <w:tcBorders>
              <w:top w:val="single" w:sz="4" w:space="0" w:color="000000"/>
              <w:left w:val="single" w:sz="4" w:space="0" w:color="000000"/>
              <w:bottom w:val="single" w:sz="4" w:space="0" w:color="000000"/>
            </w:tcBorders>
          </w:tcPr>
          <w:p>
            <w:pPr>
              <w:pStyle w:val="TableParagraph"/>
              <w:spacing w:line="320" w:lineRule="exact"/>
              <w:ind w:left="139" w:right="93"/>
              <w:rPr>
                <w:sz w:val="21"/>
              </w:rPr>
            </w:pPr>
            <w:r>
              <w:rPr>
                <w:sz w:val="21"/>
              </w:rPr>
              <w:t>了解厂界噪声现状</w:t>
            </w:r>
          </w:p>
        </w:tc>
      </w:tr>
      <w:tr>
        <w:trPr>
          <w:trHeight w:val="340" w:hRule="atLeast"/>
        </w:trPr>
        <w:tc>
          <w:tcPr>
            <w:tcW w:w="751" w:type="dxa"/>
            <w:tcBorders>
              <w:top w:val="single" w:sz="4" w:space="0" w:color="000000"/>
              <w:bottom w:val="single" w:sz="4" w:space="0" w:color="000000"/>
              <w:right w:val="single" w:sz="4" w:space="0" w:color="000000"/>
            </w:tcBorders>
          </w:tcPr>
          <w:p>
            <w:pPr>
              <w:pStyle w:val="TableParagraph"/>
              <w:spacing w:before="48"/>
              <w:ind w:left="143" w:right="127"/>
              <w:rPr>
                <w:rFonts w:ascii="Times New Roman"/>
                <w:sz w:val="21"/>
              </w:rPr>
            </w:pPr>
            <w:r>
              <w:rPr>
                <w:rFonts w:ascii="Times New Roman"/>
                <w:sz w:val="21"/>
              </w:rPr>
              <w:t>4#</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821" w:right="793"/>
              <w:rPr>
                <w:sz w:val="21"/>
              </w:rPr>
            </w:pPr>
            <w:r>
              <w:rPr>
                <w:sz w:val="21"/>
              </w:rPr>
              <w:t>西厂界</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48"/>
              <w:ind w:left="27"/>
              <w:rPr>
                <w:rFonts w:ascii="Times New Roman"/>
                <w:sz w:val="21"/>
              </w:rPr>
            </w:pPr>
            <w:r>
              <w:rPr>
                <w:rFonts w:ascii="Times New Roman"/>
                <w:w w:val="100"/>
                <w:sz w:val="21"/>
              </w:rPr>
              <w:t>W</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before="43"/>
              <w:ind w:left="377" w:right="348"/>
              <w:rPr>
                <w:rFonts w:ascii="Times New Roman"/>
                <w:sz w:val="21"/>
              </w:rPr>
            </w:pPr>
            <w:r>
              <w:rPr>
                <w:rFonts w:ascii="Times New Roman"/>
                <w:sz w:val="21"/>
              </w:rPr>
              <w:t>1m</w:t>
            </w:r>
          </w:p>
        </w:tc>
        <w:tc>
          <w:tcPr>
            <w:tcW w:w="2182" w:type="dxa"/>
            <w:tcBorders>
              <w:top w:val="single" w:sz="4" w:space="0" w:color="000000"/>
              <w:left w:val="single" w:sz="4" w:space="0" w:color="000000"/>
              <w:bottom w:val="single" w:sz="4" w:space="0" w:color="000000"/>
            </w:tcBorders>
          </w:tcPr>
          <w:p>
            <w:pPr>
              <w:pStyle w:val="TableParagraph"/>
              <w:spacing w:line="320" w:lineRule="exact"/>
              <w:ind w:left="139" w:right="93"/>
              <w:rPr>
                <w:sz w:val="21"/>
              </w:rPr>
            </w:pPr>
            <w:r>
              <w:rPr>
                <w:sz w:val="21"/>
              </w:rPr>
              <w:t>了解厂界噪声现状</w:t>
            </w:r>
          </w:p>
        </w:tc>
      </w:tr>
      <w:tr>
        <w:trPr>
          <w:trHeight w:val="340" w:hRule="atLeast"/>
        </w:trPr>
        <w:tc>
          <w:tcPr>
            <w:tcW w:w="751" w:type="dxa"/>
            <w:tcBorders>
              <w:top w:val="single" w:sz="4" w:space="0" w:color="000000"/>
              <w:bottom w:val="single" w:sz="4" w:space="0" w:color="000000"/>
              <w:right w:val="single" w:sz="4" w:space="0" w:color="000000"/>
            </w:tcBorders>
          </w:tcPr>
          <w:p>
            <w:pPr>
              <w:pStyle w:val="TableParagraph"/>
              <w:spacing w:before="48"/>
              <w:ind w:left="143" w:right="127"/>
              <w:rPr>
                <w:rFonts w:ascii="Times New Roman"/>
                <w:sz w:val="21"/>
              </w:rPr>
            </w:pPr>
            <w:r>
              <w:rPr>
                <w:rFonts w:ascii="Times New Roman"/>
                <w:sz w:val="21"/>
              </w:rPr>
              <w:t>5#</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822" w:right="791"/>
              <w:rPr>
                <w:sz w:val="21"/>
              </w:rPr>
            </w:pPr>
            <w:r>
              <w:rPr>
                <w:sz w:val="21"/>
              </w:rPr>
              <w:t>北西厂界</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48"/>
              <w:ind w:left="199" w:right="166"/>
              <w:rPr>
                <w:rFonts w:ascii="Times New Roman"/>
                <w:sz w:val="21"/>
              </w:rPr>
            </w:pPr>
            <w:r>
              <w:rPr>
                <w:rFonts w:ascii="Times New Roman"/>
                <w:sz w:val="21"/>
              </w:rPr>
              <w:t>NW</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before="41"/>
              <w:ind w:left="377" w:right="348"/>
              <w:rPr>
                <w:rFonts w:ascii="Times New Roman"/>
                <w:sz w:val="21"/>
              </w:rPr>
            </w:pPr>
            <w:r>
              <w:rPr>
                <w:rFonts w:ascii="Times New Roman"/>
                <w:sz w:val="21"/>
              </w:rPr>
              <w:t>1m</w:t>
            </w:r>
          </w:p>
        </w:tc>
        <w:tc>
          <w:tcPr>
            <w:tcW w:w="2182" w:type="dxa"/>
            <w:tcBorders>
              <w:top w:val="single" w:sz="4" w:space="0" w:color="000000"/>
              <w:left w:val="single" w:sz="4" w:space="0" w:color="000000"/>
              <w:bottom w:val="single" w:sz="4" w:space="0" w:color="000000"/>
            </w:tcBorders>
          </w:tcPr>
          <w:p>
            <w:pPr>
              <w:pStyle w:val="TableParagraph"/>
              <w:spacing w:line="320" w:lineRule="exact"/>
              <w:ind w:left="139" w:right="93"/>
              <w:rPr>
                <w:sz w:val="21"/>
              </w:rPr>
            </w:pPr>
            <w:r>
              <w:rPr>
                <w:sz w:val="21"/>
              </w:rPr>
              <w:t>了解厂界噪声现状</w:t>
            </w:r>
          </w:p>
        </w:tc>
      </w:tr>
      <w:tr>
        <w:trPr>
          <w:trHeight w:val="337" w:hRule="atLeast"/>
        </w:trPr>
        <w:tc>
          <w:tcPr>
            <w:tcW w:w="751" w:type="dxa"/>
            <w:tcBorders>
              <w:top w:val="single" w:sz="4" w:space="0" w:color="000000"/>
              <w:bottom w:val="single" w:sz="4" w:space="0" w:color="000000"/>
              <w:right w:val="single" w:sz="4" w:space="0" w:color="000000"/>
            </w:tcBorders>
          </w:tcPr>
          <w:p>
            <w:pPr>
              <w:pStyle w:val="TableParagraph"/>
              <w:spacing w:before="48"/>
              <w:ind w:left="143" w:right="127"/>
              <w:rPr>
                <w:rFonts w:ascii="Times New Roman"/>
                <w:sz w:val="21"/>
              </w:rPr>
            </w:pPr>
            <w:r>
              <w:rPr>
                <w:rFonts w:ascii="Times New Roman"/>
                <w:sz w:val="21"/>
              </w:rPr>
              <w:t>6#</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spacing w:line="318" w:lineRule="exact"/>
              <w:ind w:left="822" w:right="791"/>
              <w:rPr>
                <w:sz w:val="21"/>
              </w:rPr>
            </w:pPr>
            <w:r>
              <w:rPr>
                <w:sz w:val="21"/>
              </w:rPr>
              <w:t>北东厂界</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48"/>
              <w:ind w:left="199" w:right="169"/>
              <w:rPr>
                <w:rFonts w:ascii="Times New Roman"/>
                <w:sz w:val="21"/>
              </w:rPr>
            </w:pPr>
            <w:r>
              <w:rPr>
                <w:rFonts w:ascii="Times New Roman"/>
                <w:sz w:val="21"/>
              </w:rPr>
              <w:t>NE</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before="41"/>
              <w:ind w:left="377" w:right="348"/>
              <w:rPr>
                <w:rFonts w:ascii="Times New Roman"/>
                <w:sz w:val="21"/>
              </w:rPr>
            </w:pPr>
            <w:r>
              <w:rPr>
                <w:rFonts w:ascii="Times New Roman"/>
                <w:sz w:val="21"/>
              </w:rPr>
              <w:t>1m</w:t>
            </w:r>
          </w:p>
        </w:tc>
        <w:tc>
          <w:tcPr>
            <w:tcW w:w="2182" w:type="dxa"/>
            <w:tcBorders>
              <w:top w:val="single" w:sz="4" w:space="0" w:color="000000"/>
              <w:left w:val="single" w:sz="4" w:space="0" w:color="000000"/>
              <w:bottom w:val="single" w:sz="4" w:space="0" w:color="000000"/>
            </w:tcBorders>
          </w:tcPr>
          <w:p>
            <w:pPr>
              <w:pStyle w:val="TableParagraph"/>
              <w:spacing w:line="318" w:lineRule="exact"/>
              <w:ind w:left="139" w:right="93"/>
              <w:rPr>
                <w:sz w:val="21"/>
              </w:rPr>
            </w:pPr>
            <w:r>
              <w:rPr>
                <w:sz w:val="21"/>
              </w:rPr>
              <w:t>了解厂界噪声现状</w:t>
            </w:r>
          </w:p>
        </w:tc>
      </w:tr>
      <w:tr>
        <w:trPr>
          <w:trHeight w:val="544" w:hRule="atLeast"/>
        </w:trPr>
        <w:tc>
          <w:tcPr>
            <w:tcW w:w="751" w:type="dxa"/>
            <w:tcBorders>
              <w:top w:val="single" w:sz="4" w:space="0" w:color="000000"/>
              <w:right w:val="single" w:sz="4" w:space="0" w:color="000000"/>
            </w:tcBorders>
          </w:tcPr>
          <w:p>
            <w:pPr>
              <w:pStyle w:val="TableParagraph"/>
              <w:spacing w:before="152"/>
              <w:ind w:left="143" w:right="127"/>
              <w:rPr>
                <w:rFonts w:ascii="Times New Roman"/>
                <w:sz w:val="21"/>
              </w:rPr>
            </w:pPr>
            <w:r>
              <w:rPr>
                <w:rFonts w:ascii="Times New Roman"/>
                <w:sz w:val="21"/>
              </w:rPr>
              <w:t>7#</w:t>
            </w:r>
          </w:p>
        </w:tc>
        <w:tc>
          <w:tcPr>
            <w:tcW w:w="2717" w:type="dxa"/>
            <w:tcBorders>
              <w:top w:val="single" w:sz="4" w:space="0" w:color="000000"/>
              <w:left w:val="single" w:sz="4" w:space="0" w:color="000000"/>
              <w:right w:val="single" w:sz="4" w:space="0" w:color="000000"/>
            </w:tcBorders>
          </w:tcPr>
          <w:p>
            <w:pPr>
              <w:pStyle w:val="TableParagraph"/>
              <w:spacing w:before="40"/>
              <w:ind w:left="822" w:right="791"/>
              <w:rPr>
                <w:sz w:val="21"/>
              </w:rPr>
            </w:pPr>
            <w:r>
              <w:rPr>
                <w:sz w:val="21"/>
              </w:rPr>
              <w:t>交通背景值</w:t>
            </w:r>
          </w:p>
        </w:tc>
        <w:tc>
          <w:tcPr>
            <w:tcW w:w="1680" w:type="dxa"/>
            <w:tcBorders>
              <w:top w:val="single" w:sz="4" w:space="0" w:color="000000"/>
              <w:left w:val="single" w:sz="4" w:space="0" w:color="000000"/>
              <w:right w:val="single" w:sz="4" w:space="0" w:color="000000"/>
            </w:tcBorders>
          </w:tcPr>
          <w:p>
            <w:pPr>
              <w:pStyle w:val="TableParagraph"/>
              <w:spacing w:before="152"/>
              <w:ind w:left="199" w:right="170"/>
              <w:rPr>
                <w:rFonts w:ascii="Times New Roman"/>
                <w:sz w:val="21"/>
              </w:rPr>
            </w:pPr>
            <w:r>
              <w:rPr>
                <w:rFonts w:ascii="Times New Roman"/>
                <w:sz w:val="21"/>
              </w:rPr>
              <w:t>--</w:t>
            </w:r>
          </w:p>
        </w:tc>
        <w:tc>
          <w:tcPr>
            <w:tcW w:w="1197" w:type="dxa"/>
            <w:tcBorders>
              <w:top w:val="single" w:sz="4" w:space="0" w:color="000000"/>
              <w:left w:val="single" w:sz="4" w:space="0" w:color="000000"/>
              <w:right w:val="single" w:sz="4" w:space="0" w:color="000000"/>
            </w:tcBorders>
          </w:tcPr>
          <w:p>
            <w:pPr>
              <w:pStyle w:val="TableParagraph"/>
              <w:spacing w:before="147"/>
              <w:ind w:left="377" w:right="349"/>
              <w:rPr>
                <w:rFonts w:ascii="Times New Roman"/>
                <w:sz w:val="21"/>
              </w:rPr>
            </w:pPr>
            <w:r>
              <w:rPr>
                <w:rFonts w:ascii="Times New Roman"/>
                <w:sz w:val="21"/>
              </w:rPr>
              <w:t>--</w:t>
            </w:r>
          </w:p>
        </w:tc>
        <w:tc>
          <w:tcPr>
            <w:tcW w:w="2182" w:type="dxa"/>
            <w:tcBorders>
              <w:top w:val="single" w:sz="4" w:space="0" w:color="000000"/>
              <w:left w:val="single" w:sz="4" w:space="0" w:color="000000"/>
            </w:tcBorders>
          </w:tcPr>
          <w:p>
            <w:pPr>
              <w:pStyle w:val="TableParagraph"/>
              <w:spacing w:line="261" w:lineRule="exact"/>
              <w:ind w:left="139" w:right="93"/>
              <w:rPr>
                <w:sz w:val="21"/>
              </w:rPr>
            </w:pPr>
            <w:r>
              <w:rPr>
                <w:sz w:val="21"/>
              </w:rPr>
              <w:t>了解厂界外交通噪声</w:t>
            </w:r>
          </w:p>
          <w:p>
            <w:pPr>
              <w:pStyle w:val="TableParagraph"/>
              <w:spacing w:line="263" w:lineRule="exact"/>
              <w:ind w:left="138" w:right="93"/>
              <w:rPr>
                <w:sz w:val="21"/>
              </w:rPr>
            </w:pPr>
            <w:r>
              <w:rPr>
                <w:sz w:val="21"/>
              </w:rPr>
              <w:t>现状</w:t>
            </w:r>
          </w:p>
        </w:tc>
      </w:tr>
    </w:tbl>
    <w:p>
      <w:pPr>
        <w:pStyle w:val="BodyText"/>
        <w:spacing w:line="488" w:lineRule="exact" w:before="122"/>
        <w:ind w:left="1058"/>
      </w:pPr>
      <w:r>
        <w:rPr>
          <w:rFonts w:ascii="Times New Roman" w:eastAsia="Times New Roman"/>
        </w:rPr>
        <w:t>2</w:t>
      </w:r>
      <w:r>
        <w:rPr/>
        <w:t>、监测项目</w:t>
      </w:r>
    </w:p>
    <w:p>
      <w:pPr>
        <w:pStyle w:val="BodyText"/>
        <w:spacing w:line="468" w:lineRule="exact"/>
        <w:ind w:left="1058"/>
      </w:pPr>
      <w:r>
        <w:rPr>
          <w:position w:val="2"/>
        </w:rPr>
        <w:t>等效连续 </w:t>
      </w:r>
      <w:r>
        <w:rPr>
          <w:rFonts w:ascii="Times New Roman" w:eastAsia="Times New Roman"/>
          <w:position w:val="2"/>
        </w:rPr>
        <w:t>A </w:t>
      </w:r>
      <w:r>
        <w:rPr>
          <w:position w:val="2"/>
        </w:rPr>
        <w:t>声级 </w:t>
      </w:r>
      <w:r>
        <w:rPr>
          <w:rFonts w:ascii="Times New Roman" w:eastAsia="Times New Roman"/>
          <w:position w:val="2"/>
        </w:rPr>
        <w:t>L</w:t>
      </w:r>
      <w:r>
        <w:rPr>
          <w:rFonts w:ascii="Times New Roman" w:eastAsia="Times New Roman"/>
          <w:sz w:val="16"/>
        </w:rPr>
        <w:t>Aeq</w:t>
      </w:r>
      <w:r>
        <w:rPr>
          <w:position w:val="2"/>
        </w:rPr>
        <w:t>。</w:t>
      </w:r>
    </w:p>
    <w:p>
      <w:pPr>
        <w:pStyle w:val="BodyText"/>
        <w:spacing w:line="468" w:lineRule="exact"/>
        <w:ind w:left="1058"/>
      </w:pPr>
      <w:r>
        <w:rPr>
          <w:rFonts w:ascii="Times New Roman" w:eastAsia="Times New Roman"/>
        </w:rPr>
        <w:t>3</w:t>
      </w:r>
      <w:r>
        <w:rPr/>
        <w:t>、监测时间及频率</w:t>
      </w:r>
    </w:p>
    <w:p>
      <w:pPr>
        <w:pStyle w:val="BodyText"/>
        <w:spacing w:line="220" w:lineRule="auto" w:before="8"/>
        <w:ind w:left="578" w:right="874" w:firstLine="479"/>
      </w:pPr>
      <w:r>
        <w:rPr/>
        <w:t>监测时间为 </w:t>
      </w:r>
      <w:r>
        <w:rPr>
          <w:rFonts w:ascii="Times New Roman" w:eastAsia="Times New Roman"/>
        </w:rPr>
        <w:t>2019 </w:t>
      </w:r>
      <w:r>
        <w:rPr/>
        <w:t>年 </w:t>
      </w:r>
      <w:r>
        <w:rPr>
          <w:rFonts w:ascii="Times New Roman" w:eastAsia="Times New Roman"/>
        </w:rPr>
        <w:t>04 </w:t>
      </w:r>
      <w:r>
        <w:rPr/>
        <w:t>月 </w:t>
      </w:r>
      <w:r>
        <w:rPr>
          <w:rFonts w:ascii="Times New Roman" w:eastAsia="Times New Roman"/>
        </w:rPr>
        <w:t>11 </w:t>
      </w:r>
      <w:r>
        <w:rPr/>
        <w:t>日</w:t>
      </w:r>
      <w:r>
        <w:rPr>
          <w:rFonts w:ascii="Times New Roman" w:eastAsia="Times New Roman"/>
        </w:rPr>
        <w:t>-12 </w:t>
      </w:r>
      <w:r>
        <w:rPr/>
        <w:t>日，监测 </w:t>
      </w:r>
      <w:r>
        <w:rPr>
          <w:rFonts w:ascii="Times New Roman" w:eastAsia="Times New Roman"/>
        </w:rPr>
        <w:t>2 </w:t>
      </w:r>
      <w:r>
        <w:rPr/>
        <w:t>天，白天和夜间各一次。测量时无雨、风力小于四级。</w:t>
      </w:r>
    </w:p>
    <w:p>
      <w:pPr>
        <w:pStyle w:val="BodyText"/>
        <w:spacing w:line="481" w:lineRule="exact"/>
        <w:ind w:left="1058"/>
      </w:pPr>
      <w:r>
        <w:rPr>
          <w:rFonts w:ascii="Times New Roman" w:eastAsia="Times New Roman"/>
        </w:rPr>
        <w:t>4</w:t>
      </w:r>
      <w:r>
        <w:rPr/>
        <w:t>、监测方法</w:t>
      </w:r>
    </w:p>
    <w:p>
      <w:pPr>
        <w:spacing w:after="0" w:line="481" w:lineRule="exact"/>
        <w:sectPr>
          <w:pgSz w:w="11910" w:h="16840"/>
          <w:pgMar w:header="877" w:footer="973" w:top="1340" w:bottom="1160" w:left="1220" w:right="1040"/>
        </w:sectPr>
      </w:pPr>
    </w:p>
    <w:p>
      <w:pPr>
        <w:pStyle w:val="BodyText"/>
        <w:spacing w:line="220" w:lineRule="auto" w:before="77"/>
        <w:ind w:left="578" w:right="825" w:firstLine="479"/>
      </w:pPr>
      <w:r>
        <w:rPr/>
        <w:t>监测方法依据《工业企业厂界环境噪声排放标准》（</w:t>
      </w:r>
      <w:r>
        <w:rPr>
          <w:rFonts w:ascii="Times New Roman" w:eastAsia="Times New Roman"/>
        </w:rPr>
        <w:t>GB12348-2008</w:t>
      </w:r>
      <w:r>
        <w:rPr/>
        <w:t>）中的测量方法进行。</w:t>
      </w:r>
    </w:p>
    <w:p>
      <w:pPr>
        <w:pStyle w:val="BodyText"/>
        <w:spacing w:line="460" w:lineRule="exact"/>
        <w:ind w:left="1058"/>
      </w:pPr>
      <w:r>
        <w:rPr>
          <w:rFonts w:ascii="Times New Roman" w:eastAsia="Times New Roman"/>
        </w:rPr>
        <w:t>5</w:t>
      </w:r>
      <w:r>
        <w:rPr/>
        <w:t>、监测结果</w:t>
      </w:r>
    </w:p>
    <w:p>
      <w:pPr>
        <w:pStyle w:val="BodyText"/>
        <w:spacing w:line="488" w:lineRule="exact"/>
        <w:ind w:left="777"/>
      </w:pPr>
      <w:r>
        <w:rPr/>
        <w:t>本次噪声现状监测结果见表 </w:t>
      </w:r>
      <w:r>
        <w:rPr>
          <w:rFonts w:ascii="Times New Roman" w:eastAsia="Times New Roman"/>
        </w:rPr>
        <w:t>5.4-30</w:t>
      </w:r>
      <w:r>
        <w:rPr/>
        <w:t>。</w:t>
      </w:r>
    </w:p>
    <w:p>
      <w:pPr>
        <w:tabs>
          <w:tab w:pos="1017" w:val="left" w:leader="none"/>
          <w:tab w:pos="2916" w:val="left" w:leader="none"/>
        </w:tabs>
        <w:spacing w:before="150" w:after="24"/>
        <w:ind w:left="0" w:right="298" w:firstLine="0"/>
        <w:jc w:val="center"/>
        <w:rPr>
          <w:sz w:val="21"/>
        </w:rPr>
      </w:pPr>
      <w:r>
        <w:rPr>
          <w:sz w:val="21"/>
        </w:rPr>
        <w:t>表</w:t>
      </w:r>
      <w:r>
        <w:rPr>
          <w:spacing w:val="7"/>
          <w:sz w:val="21"/>
        </w:rPr>
        <w:t> </w:t>
      </w:r>
      <w:r>
        <w:rPr>
          <w:rFonts w:ascii="Times New Roman" w:eastAsia="Times New Roman"/>
          <w:b/>
          <w:sz w:val="21"/>
        </w:rPr>
        <w:t>5.4-30</w:t>
        <w:tab/>
      </w:r>
      <w:r>
        <w:rPr>
          <w:sz w:val="21"/>
        </w:rPr>
        <w:t>噪声现状监</w:t>
      </w:r>
      <w:r>
        <w:rPr>
          <w:spacing w:val="-3"/>
          <w:sz w:val="21"/>
        </w:rPr>
        <w:t>测</w:t>
      </w:r>
      <w:r>
        <w:rPr>
          <w:sz w:val="21"/>
        </w:rPr>
        <w:t>结果</w:t>
        <w:tab/>
        <w:t>单位：</w:t>
      </w:r>
      <w:r>
        <w:rPr>
          <w:rFonts w:ascii="Times New Roman" w:eastAsia="Times New Roman"/>
          <w:b/>
          <w:sz w:val="21"/>
        </w:rPr>
        <w:t>dB</w:t>
      </w:r>
      <w:r>
        <w:rPr>
          <w:sz w:val="21"/>
        </w:rPr>
        <w:t>（</w:t>
      </w:r>
      <w:r>
        <w:rPr>
          <w:rFonts w:ascii="Times New Roman" w:eastAsia="Times New Roman"/>
          <w:b/>
          <w:sz w:val="21"/>
        </w:rPr>
        <w:t>A</w:t>
      </w:r>
      <w:r>
        <w:rPr>
          <w:sz w:val="21"/>
        </w:rPr>
        <w:t>）</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81"/>
        <w:gridCol w:w="1820"/>
        <w:gridCol w:w="1681"/>
        <w:gridCol w:w="1364"/>
        <w:gridCol w:w="1385"/>
      </w:tblGrid>
      <w:tr>
        <w:trPr>
          <w:trHeight w:val="339" w:hRule="atLeast"/>
        </w:trPr>
        <w:tc>
          <w:tcPr>
            <w:tcW w:w="2281" w:type="dxa"/>
            <w:vMerge w:val="restart"/>
            <w:tcBorders>
              <w:bottom w:val="single" w:sz="6" w:space="0" w:color="000000"/>
              <w:right w:val="single" w:sz="6" w:space="0" w:color="000000"/>
            </w:tcBorders>
          </w:tcPr>
          <w:p>
            <w:pPr>
              <w:pStyle w:val="TableParagraph"/>
              <w:spacing w:line="292" w:lineRule="exact"/>
              <w:ind w:left="489" w:right="469"/>
              <w:rPr>
                <w:sz w:val="21"/>
              </w:rPr>
            </w:pPr>
            <w:r>
              <w:rPr>
                <w:sz w:val="21"/>
              </w:rPr>
              <w:t>检测</w:t>
            </w:r>
          </w:p>
          <w:p>
            <w:pPr>
              <w:pStyle w:val="TableParagraph"/>
              <w:spacing w:line="316" w:lineRule="exact"/>
              <w:ind w:left="489" w:right="469"/>
              <w:rPr>
                <w:sz w:val="21"/>
              </w:rPr>
            </w:pPr>
            <w:r>
              <w:rPr>
                <w:sz w:val="21"/>
              </w:rPr>
              <w:t>点位</w:t>
            </w:r>
          </w:p>
        </w:tc>
        <w:tc>
          <w:tcPr>
            <w:tcW w:w="3501" w:type="dxa"/>
            <w:gridSpan w:val="2"/>
            <w:tcBorders>
              <w:left w:val="single" w:sz="6" w:space="0" w:color="000000"/>
              <w:bottom w:val="single" w:sz="6" w:space="0" w:color="000000"/>
              <w:right w:val="single" w:sz="6" w:space="0" w:color="000000"/>
            </w:tcBorders>
          </w:tcPr>
          <w:p>
            <w:pPr>
              <w:pStyle w:val="TableParagraph"/>
              <w:spacing w:before="43"/>
              <w:ind w:left="1263" w:right="1237"/>
              <w:rPr>
                <w:rFonts w:ascii="Times New Roman"/>
                <w:sz w:val="21"/>
              </w:rPr>
            </w:pPr>
            <w:r>
              <w:rPr>
                <w:rFonts w:ascii="Times New Roman"/>
                <w:sz w:val="21"/>
              </w:rPr>
              <w:t>2019.04.11</w:t>
            </w:r>
          </w:p>
        </w:tc>
        <w:tc>
          <w:tcPr>
            <w:tcW w:w="2749" w:type="dxa"/>
            <w:gridSpan w:val="2"/>
            <w:tcBorders>
              <w:left w:val="single" w:sz="6" w:space="0" w:color="000000"/>
              <w:bottom w:val="single" w:sz="6" w:space="0" w:color="000000"/>
            </w:tcBorders>
          </w:tcPr>
          <w:p>
            <w:pPr>
              <w:pStyle w:val="TableParagraph"/>
              <w:spacing w:before="43"/>
              <w:ind w:left="905"/>
              <w:jc w:val="left"/>
              <w:rPr>
                <w:rFonts w:ascii="Times New Roman"/>
                <w:sz w:val="21"/>
              </w:rPr>
            </w:pPr>
            <w:r>
              <w:rPr>
                <w:rFonts w:ascii="Times New Roman"/>
                <w:sz w:val="21"/>
              </w:rPr>
              <w:t>2019.04.12</w:t>
            </w:r>
          </w:p>
        </w:tc>
      </w:tr>
      <w:tr>
        <w:trPr>
          <w:trHeight w:val="272" w:hRule="atLeast"/>
        </w:trPr>
        <w:tc>
          <w:tcPr>
            <w:tcW w:w="2281" w:type="dxa"/>
            <w:vMerge/>
            <w:tcBorders>
              <w:top w:val="nil"/>
              <w:bottom w:val="single" w:sz="6" w:space="0" w:color="000000"/>
              <w:right w:val="single" w:sz="6" w:space="0" w:color="000000"/>
            </w:tcBorders>
          </w:tcPr>
          <w:p>
            <w:pPr>
              <w:rPr>
                <w:sz w:val="2"/>
                <w:szCs w:val="2"/>
              </w:rPr>
            </w:pPr>
          </w:p>
        </w:tc>
        <w:tc>
          <w:tcPr>
            <w:tcW w:w="182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704"/>
              <w:jc w:val="left"/>
              <w:rPr>
                <w:sz w:val="21"/>
              </w:rPr>
            </w:pPr>
            <w:r>
              <w:rPr>
                <w:sz w:val="21"/>
              </w:rPr>
              <w:t>昼间</w:t>
            </w:r>
          </w:p>
        </w:tc>
        <w:tc>
          <w:tcPr>
            <w:tcW w:w="168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613" w:right="592"/>
              <w:rPr>
                <w:sz w:val="21"/>
              </w:rPr>
            </w:pPr>
            <w:r>
              <w:rPr>
                <w:sz w:val="21"/>
              </w:rPr>
              <w:t>夜间</w:t>
            </w:r>
          </w:p>
        </w:tc>
        <w:tc>
          <w:tcPr>
            <w:tcW w:w="136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56" w:right="432"/>
              <w:rPr>
                <w:sz w:val="21"/>
              </w:rPr>
            </w:pPr>
            <w:r>
              <w:rPr>
                <w:sz w:val="21"/>
              </w:rPr>
              <w:t>昼间</w:t>
            </w:r>
          </w:p>
        </w:tc>
        <w:tc>
          <w:tcPr>
            <w:tcW w:w="1385" w:type="dxa"/>
            <w:tcBorders>
              <w:top w:val="single" w:sz="6" w:space="0" w:color="000000"/>
              <w:left w:val="single" w:sz="6" w:space="0" w:color="000000"/>
              <w:bottom w:val="single" w:sz="6" w:space="0" w:color="000000"/>
            </w:tcBorders>
          </w:tcPr>
          <w:p>
            <w:pPr>
              <w:pStyle w:val="TableParagraph"/>
              <w:spacing w:line="253" w:lineRule="exact"/>
              <w:ind w:left="487"/>
              <w:jc w:val="left"/>
              <w:rPr>
                <w:sz w:val="21"/>
              </w:rPr>
            </w:pPr>
            <w:r>
              <w:rPr>
                <w:sz w:val="21"/>
              </w:rPr>
              <w:t>夜间</w:t>
            </w:r>
          </w:p>
        </w:tc>
      </w:tr>
      <w:tr>
        <w:trPr>
          <w:trHeight w:val="340" w:hRule="atLeast"/>
        </w:trPr>
        <w:tc>
          <w:tcPr>
            <w:tcW w:w="2281" w:type="dxa"/>
            <w:tcBorders>
              <w:top w:val="single" w:sz="6" w:space="0" w:color="000000"/>
              <w:bottom w:val="single" w:sz="6" w:space="0" w:color="000000"/>
              <w:right w:val="single" w:sz="6" w:space="0" w:color="000000"/>
            </w:tcBorders>
          </w:tcPr>
          <w:p>
            <w:pPr>
              <w:pStyle w:val="TableParagraph"/>
              <w:spacing w:line="321" w:lineRule="exact"/>
              <w:ind w:left="489" w:right="467"/>
              <w:rPr>
                <w:sz w:val="21"/>
              </w:rPr>
            </w:pPr>
            <w:r>
              <w:rPr>
                <w:rFonts w:ascii="Times New Roman" w:eastAsia="Times New Roman"/>
                <w:sz w:val="21"/>
              </w:rPr>
              <w:t>1#</w:t>
            </w:r>
            <w:r>
              <w:rPr>
                <w:sz w:val="21"/>
              </w:rPr>
              <w:t>东北厂界</w:t>
            </w:r>
          </w:p>
        </w:tc>
        <w:tc>
          <w:tcPr>
            <w:tcW w:w="1820" w:type="dxa"/>
            <w:tcBorders>
              <w:top w:val="single" w:sz="6" w:space="0" w:color="000000"/>
              <w:left w:val="single" w:sz="6" w:space="0" w:color="000000"/>
              <w:bottom w:val="single" w:sz="6" w:space="0" w:color="000000"/>
              <w:right w:val="single" w:sz="6" w:space="0" w:color="000000"/>
            </w:tcBorders>
          </w:tcPr>
          <w:p>
            <w:pPr>
              <w:pStyle w:val="TableParagraph"/>
              <w:spacing w:before="43"/>
              <w:ind w:left="731"/>
              <w:jc w:val="left"/>
              <w:rPr>
                <w:rFonts w:ascii="Times New Roman"/>
                <w:sz w:val="21"/>
              </w:rPr>
            </w:pPr>
            <w:r>
              <w:rPr>
                <w:rFonts w:ascii="Times New Roman"/>
                <w:sz w:val="21"/>
              </w:rPr>
              <w:t>53.8</w:t>
            </w:r>
          </w:p>
        </w:tc>
        <w:tc>
          <w:tcPr>
            <w:tcW w:w="1681" w:type="dxa"/>
            <w:tcBorders>
              <w:top w:val="single" w:sz="6" w:space="0" w:color="000000"/>
              <w:left w:val="single" w:sz="6" w:space="0" w:color="000000"/>
              <w:bottom w:val="single" w:sz="6" w:space="0" w:color="000000"/>
              <w:right w:val="single" w:sz="6" w:space="0" w:color="000000"/>
            </w:tcBorders>
          </w:tcPr>
          <w:p>
            <w:pPr>
              <w:pStyle w:val="TableParagraph"/>
              <w:spacing w:before="43"/>
              <w:ind w:left="613" w:right="592"/>
              <w:rPr>
                <w:rFonts w:ascii="Times New Roman"/>
                <w:sz w:val="21"/>
              </w:rPr>
            </w:pPr>
            <w:r>
              <w:rPr>
                <w:rFonts w:ascii="Times New Roman"/>
                <w:sz w:val="21"/>
              </w:rPr>
              <w:t>48.9</w:t>
            </w:r>
          </w:p>
        </w:tc>
        <w:tc>
          <w:tcPr>
            <w:tcW w:w="1364" w:type="dxa"/>
            <w:tcBorders>
              <w:top w:val="single" w:sz="6" w:space="0" w:color="000000"/>
              <w:left w:val="single" w:sz="6" w:space="0" w:color="000000"/>
              <w:bottom w:val="single" w:sz="6" w:space="0" w:color="000000"/>
              <w:right w:val="single" w:sz="6" w:space="0" w:color="000000"/>
            </w:tcBorders>
          </w:tcPr>
          <w:p>
            <w:pPr>
              <w:pStyle w:val="TableParagraph"/>
              <w:spacing w:before="43"/>
              <w:ind w:left="456" w:right="432"/>
              <w:rPr>
                <w:rFonts w:ascii="Times New Roman"/>
                <w:sz w:val="21"/>
              </w:rPr>
            </w:pPr>
            <w:r>
              <w:rPr>
                <w:rFonts w:ascii="Times New Roman"/>
                <w:sz w:val="21"/>
              </w:rPr>
              <w:t>52.4</w:t>
            </w:r>
          </w:p>
        </w:tc>
        <w:tc>
          <w:tcPr>
            <w:tcW w:w="1385" w:type="dxa"/>
            <w:tcBorders>
              <w:top w:val="single" w:sz="6" w:space="0" w:color="000000"/>
              <w:left w:val="single" w:sz="6" w:space="0" w:color="000000"/>
              <w:bottom w:val="single" w:sz="6" w:space="0" w:color="000000"/>
            </w:tcBorders>
          </w:tcPr>
          <w:p>
            <w:pPr>
              <w:pStyle w:val="TableParagraph"/>
              <w:spacing w:before="43"/>
              <w:ind w:left="513"/>
              <w:jc w:val="left"/>
              <w:rPr>
                <w:rFonts w:ascii="Times New Roman"/>
                <w:sz w:val="21"/>
              </w:rPr>
            </w:pPr>
            <w:r>
              <w:rPr>
                <w:rFonts w:ascii="Times New Roman"/>
                <w:sz w:val="21"/>
              </w:rPr>
              <w:t>49.7</w:t>
            </w:r>
          </w:p>
        </w:tc>
      </w:tr>
      <w:tr>
        <w:trPr>
          <w:trHeight w:val="340" w:hRule="atLeast"/>
        </w:trPr>
        <w:tc>
          <w:tcPr>
            <w:tcW w:w="2281" w:type="dxa"/>
            <w:tcBorders>
              <w:top w:val="single" w:sz="6" w:space="0" w:color="000000"/>
              <w:bottom w:val="single" w:sz="6" w:space="0" w:color="000000"/>
              <w:right w:val="single" w:sz="6" w:space="0" w:color="000000"/>
            </w:tcBorders>
          </w:tcPr>
          <w:p>
            <w:pPr>
              <w:pStyle w:val="TableParagraph"/>
              <w:spacing w:line="320" w:lineRule="exact"/>
              <w:ind w:left="489" w:right="467"/>
              <w:rPr>
                <w:sz w:val="21"/>
              </w:rPr>
            </w:pPr>
            <w:r>
              <w:rPr>
                <w:rFonts w:ascii="Times New Roman" w:eastAsia="Times New Roman"/>
                <w:sz w:val="21"/>
              </w:rPr>
              <w:t>2#</w:t>
            </w:r>
            <w:r>
              <w:rPr>
                <w:sz w:val="21"/>
              </w:rPr>
              <w:t>东南厂界</w:t>
            </w:r>
          </w:p>
        </w:tc>
        <w:tc>
          <w:tcPr>
            <w:tcW w:w="1820" w:type="dxa"/>
            <w:tcBorders>
              <w:top w:val="single" w:sz="6" w:space="0" w:color="000000"/>
              <w:left w:val="single" w:sz="6" w:space="0" w:color="000000"/>
              <w:bottom w:val="single" w:sz="6" w:space="0" w:color="000000"/>
              <w:right w:val="single" w:sz="6" w:space="0" w:color="000000"/>
            </w:tcBorders>
          </w:tcPr>
          <w:p>
            <w:pPr>
              <w:pStyle w:val="TableParagraph"/>
              <w:spacing w:before="43"/>
              <w:ind w:left="731"/>
              <w:jc w:val="left"/>
              <w:rPr>
                <w:rFonts w:ascii="Times New Roman"/>
                <w:sz w:val="21"/>
              </w:rPr>
            </w:pPr>
            <w:r>
              <w:rPr>
                <w:rFonts w:ascii="Times New Roman"/>
                <w:sz w:val="21"/>
              </w:rPr>
              <w:t>48.9</w:t>
            </w:r>
          </w:p>
        </w:tc>
        <w:tc>
          <w:tcPr>
            <w:tcW w:w="1681" w:type="dxa"/>
            <w:tcBorders>
              <w:top w:val="single" w:sz="6" w:space="0" w:color="000000"/>
              <w:left w:val="single" w:sz="6" w:space="0" w:color="000000"/>
              <w:bottom w:val="single" w:sz="6" w:space="0" w:color="000000"/>
              <w:right w:val="single" w:sz="6" w:space="0" w:color="000000"/>
            </w:tcBorders>
          </w:tcPr>
          <w:p>
            <w:pPr>
              <w:pStyle w:val="TableParagraph"/>
              <w:spacing w:before="43"/>
              <w:ind w:left="613" w:right="592"/>
              <w:rPr>
                <w:rFonts w:ascii="Times New Roman"/>
                <w:sz w:val="21"/>
              </w:rPr>
            </w:pPr>
            <w:r>
              <w:rPr>
                <w:rFonts w:ascii="Times New Roman"/>
                <w:sz w:val="21"/>
              </w:rPr>
              <w:t>43.7</w:t>
            </w:r>
          </w:p>
        </w:tc>
        <w:tc>
          <w:tcPr>
            <w:tcW w:w="1364" w:type="dxa"/>
            <w:tcBorders>
              <w:top w:val="single" w:sz="6" w:space="0" w:color="000000"/>
              <w:left w:val="single" w:sz="6" w:space="0" w:color="000000"/>
              <w:bottom w:val="single" w:sz="6" w:space="0" w:color="000000"/>
              <w:right w:val="single" w:sz="6" w:space="0" w:color="000000"/>
            </w:tcBorders>
          </w:tcPr>
          <w:p>
            <w:pPr>
              <w:pStyle w:val="TableParagraph"/>
              <w:spacing w:before="43"/>
              <w:ind w:left="456" w:right="432"/>
              <w:rPr>
                <w:rFonts w:ascii="Times New Roman"/>
                <w:sz w:val="21"/>
              </w:rPr>
            </w:pPr>
            <w:r>
              <w:rPr>
                <w:rFonts w:ascii="Times New Roman"/>
                <w:sz w:val="21"/>
              </w:rPr>
              <w:t>59.3</w:t>
            </w:r>
          </w:p>
        </w:tc>
        <w:tc>
          <w:tcPr>
            <w:tcW w:w="1385" w:type="dxa"/>
            <w:tcBorders>
              <w:top w:val="single" w:sz="6" w:space="0" w:color="000000"/>
              <w:left w:val="single" w:sz="6" w:space="0" w:color="000000"/>
              <w:bottom w:val="single" w:sz="6" w:space="0" w:color="000000"/>
            </w:tcBorders>
          </w:tcPr>
          <w:p>
            <w:pPr>
              <w:pStyle w:val="TableParagraph"/>
              <w:spacing w:before="43"/>
              <w:ind w:left="513"/>
              <w:jc w:val="left"/>
              <w:rPr>
                <w:rFonts w:ascii="Times New Roman"/>
                <w:sz w:val="21"/>
              </w:rPr>
            </w:pPr>
            <w:r>
              <w:rPr>
                <w:rFonts w:ascii="Times New Roman"/>
                <w:sz w:val="21"/>
              </w:rPr>
              <w:t>46.9</w:t>
            </w:r>
          </w:p>
        </w:tc>
      </w:tr>
      <w:tr>
        <w:trPr>
          <w:trHeight w:val="340" w:hRule="atLeast"/>
        </w:trPr>
        <w:tc>
          <w:tcPr>
            <w:tcW w:w="2281" w:type="dxa"/>
            <w:tcBorders>
              <w:top w:val="single" w:sz="6" w:space="0" w:color="000000"/>
              <w:bottom w:val="single" w:sz="6" w:space="0" w:color="000000"/>
              <w:right w:val="single" w:sz="6" w:space="0" w:color="000000"/>
            </w:tcBorders>
          </w:tcPr>
          <w:p>
            <w:pPr>
              <w:pStyle w:val="TableParagraph"/>
              <w:spacing w:line="320" w:lineRule="exact"/>
              <w:ind w:left="489" w:right="467"/>
              <w:rPr>
                <w:sz w:val="21"/>
              </w:rPr>
            </w:pPr>
            <w:r>
              <w:rPr>
                <w:rFonts w:ascii="Times New Roman" w:eastAsia="Times New Roman"/>
                <w:sz w:val="21"/>
              </w:rPr>
              <w:t>3#</w:t>
            </w:r>
            <w:r>
              <w:rPr>
                <w:sz w:val="21"/>
              </w:rPr>
              <w:t>南厂界</w:t>
            </w:r>
          </w:p>
        </w:tc>
        <w:tc>
          <w:tcPr>
            <w:tcW w:w="1820" w:type="dxa"/>
            <w:tcBorders>
              <w:top w:val="single" w:sz="6" w:space="0" w:color="000000"/>
              <w:left w:val="single" w:sz="6" w:space="0" w:color="000000"/>
              <w:bottom w:val="single" w:sz="6" w:space="0" w:color="000000"/>
              <w:right w:val="single" w:sz="6" w:space="0" w:color="000000"/>
            </w:tcBorders>
          </w:tcPr>
          <w:p>
            <w:pPr>
              <w:pStyle w:val="TableParagraph"/>
              <w:spacing w:before="41"/>
              <w:ind w:left="731"/>
              <w:jc w:val="left"/>
              <w:rPr>
                <w:rFonts w:ascii="Times New Roman"/>
                <w:sz w:val="21"/>
              </w:rPr>
            </w:pPr>
            <w:r>
              <w:rPr>
                <w:rFonts w:ascii="Times New Roman"/>
                <w:sz w:val="21"/>
              </w:rPr>
              <w:t>49.7</w:t>
            </w:r>
          </w:p>
        </w:tc>
        <w:tc>
          <w:tcPr>
            <w:tcW w:w="1681" w:type="dxa"/>
            <w:tcBorders>
              <w:top w:val="single" w:sz="6" w:space="0" w:color="000000"/>
              <w:left w:val="single" w:sz="6" w:space="0" w:color="000000"/>
              <w:bottom w:val="single" w:sz="6" w:space="0" w:color="000000"/>
              <w:right w:val="single" w:sz="6" w:space="0" w:color="000000"/>
            </w:tcBorders>
          </w:tcPr>
          <w:p>
            <w:pPr>
              <w:pStyle w:val="TableParagraph"/>
              <w:spacing w:before="41"/>
              <w:ind w:left="613" w:right="592"/>
              <w:rPr>
                <w:rFonts w:ascii="Times New Roman"/>
                <w:sz w:val="21"/>
              </w:rPr>
            </w:pPr>
            <w:r>
              <w:rPr>
                <w:rFonts w:ascii="Times New Roman"/>
                <w:sz w:val="21"/>
              </w:rPr>
              <w:t>48.4</w:t>
            </w:r>
          </w:p>
        </w:tc>
        <w:tc>
          <w:tcPr>
            <w:tcW w:w="1364" w:type="dxa"/>
            <w:tcBorders>
              <w:top w:val="single" w:sz="6" w:space="0" w:color="000000"/>
              <w:left w:val="single" w:sz="6" w:space="0" w:color="000000"/>
              <w:bottom w:val="single" w:sz="6" w:space="0" w:color="000000"/>
              <w:right w:val="single" w:sz="6" w:space="0" w:color="000000"/>
            </w:tcBorders>
          </w:tcPr>
          <w:p>
            <w:pPr>
              <w:pStyle w:val="TableParagraph"/>
              <w:spacing w:before="41"/>
              <w:ind w:left="456" w:right="432"/>
              <w:rPr>
                <w:rFonts w:ascii="Times New Roman"/>
                <w:sz w:val="21"/>
              </w:rPr>
            </w:pPr>
            <w:r>
              <w:rPr>
                <w:rFonts w:ascii="Times New Roman"/>
                <w:sz w:val="21"/>
              </w:rPr>
              <w:t>51.5</w:t>
            </w:r>
          </w:p>
        </w:tc>
        <w:tc>
          <w:tcPr>
            <w:tcW w:w="1385" w:type="dxa"/>
            <w:tcBorders>
              <w:top w:val="single" w:sz="6" w:space="0" w:color="000000"/>
              <w:left w:val="single" w:sz="6" w:space="0" w:color="000000"/>
              <w:bottom w:val="single" w:sz="6" w:space="0" w:color="000000"/>
            </w:tcBorders>
          </w:tcPr>
          <w:p>
            <w:pPr>
              <w:pStyle w:val="TableParagraph"/>
              <w:spacing w:before="41"/>
              <w:ind w:left="513"/>
              <w:jc w:val="left"/>
              <w:rPr>
                <w:rFonts w:ascii="Times New Roman"/>
                <w:sz w:val="21"/>
              </w:rPr>
            </w:pPr>
            <w:r>
              <w:rPr>
                <w:rFonts w:ascii="Times New Roman"/>
                <w:sz w:val="21"/>
              </w:rPr>
              <w:t>49.0</w:t>
            </w:r>
          </w:p>
        </w:tc>
      </w:tr>
      <w:tr>
        <w:trPr>
          <w:trHeight w:val="340" w:hRule="atLeast"/>
        </w:trPr>
        <w:tc>
          <w:tcPr>
            <w:tcW w:w="2281" w:type="dxa"/>
            <w:tcBorders>
              <w:top w:val="single" w:sz="6" w:space="0" w:color="000000"/>
              <w:bottom w:val="single" w:sz="6" w:space="0" w:color="000000"/>
              <w:right w:val="single" w:sz="6" w:space="0" w:color="000000"/>
            </w:tcBorders>
          </w:tcPr>
          <w:p>
            <w:pPr>
              <w:pStyle w:val="TableParagraph"/>
              <w:spacing w:line="320" w:lineRule="exact"/>
              <w:ind w:left="489" w:right="467"/>
              <w:rPr>
                <w:sz w:val="21"/>
              </w:rPr>
            </w:pPr>
            <w:r>
              <w:rPr>
                <w:rFonts w:ascii="Times New Roman" w:eastAsia="Times New Roman"/>
                <w:sz w:val="21"/>
              </w:rPr>
              <w:t>4#</w:t>
            </w:r>
            <w:r>
              <w:rPr>
                <w:sz w:val="21"/>
              </w:rPr>
              <w:t>西厂界</w:t>
            </w:r>
          </w:p>
        </w:tc>
        <w:tc>
          <w:tcPr>
            <w:tcW w:w="1820" w:type="dxa"/>
            <w:tcBorders>
              <w:top w:val="single" w:sz="6" w:space="0" w:color="000000"/>
              <w:left w:val="single" w:sz="6" w:space="0" w:color="000000"/>
              <w:bottom w:val="single" w:sz="6" w:space="0" w:color="000000"/>
              <w:right w:val="single" w:sz="6" w:space="0" w:color="000000"/>
            </w:tcBorders>
          </w:tcPr>
          <w:p>
            <w:pPr>
              <w:pStyle w:val="TableParagraph"/>
              <w:spacing w:before="41"/>
              <w:ind w:left="731"/>
              <w:jc w:val="left"/>
              <w:rPr>
                <w:rFonts w:ascii="Times New Roman"/>
                <w:sz w:val="21"/>
              </w:rPr>
            </w:pPr>
            <w:r>
              <w:rPr>
                <w:rFonts w:ascii="Times New Roman"/>
                <w:sz w:val="21"/>
              </w:rPr>
              <w:t>51.5</w:t>
            </w:r>
          </w:p>
        </w:tc>
        <w:tc>
          <w:tcPr>
            <w:tcW w:w="1681" w:type="dxa"/>
            <w:tcBorders>
              <w:top w:val="single" w:sz="6" w:space="0" w:color="000000"/>
              <w:left w:val="single" w:sz="6" w:space="0" w:color="000000"/>
              <w:bottom w:val="single" w:sz="6" w:space="0" w:color="000000"/>
              <w:right w:val="single" w:sz="6" w:space="0" w:color="000000"/>
            </w:tcBorders>
          </w:tcPr>
          <w:p>
            <w:pPr>
              <w:pStyle w:val="TableParagraph"/>
              <w:spacing w:before="41"/>
              <w:ind w:left="613" w:right="592"/>
              <w:rPr>
                <w:rFonts w:ascii="Times New Roman"/>
                <w:sz w:val="21"/>
              </w:rPr>
            </w:pPr>
            <w:r>
              <w:rPr>
                <w:rFonts w:ascii="Times New Roman"/>
                <w:sz w:val="21"/>
              </w:rPr>
              <w:t>48.1</w:t>
            </w:r>
          </w:p>
        </w:tc>
        <w:tc>
          <w:tcPr>
            <w:tcW w:w="1364" w:type="dxa"/>
            <w:tcBorders>
              <w:top w:val="single" w:sz="6" w:space="0" w:color="000000"/>
              <w:left w:val="single" w:sz="6" w:space="0" w:color="000000"/>
              <w:bottom w:val="single" w:sz="6" w:space="0" w:color="000000"/>
              <w:right w:val="single" w:sz="6" w:space="0" w:color="000000"/>
            </w:tcBorders>
          </w:tcPr>
          <w:p>
            <w:pPr>
              <w:pStyle w:val="TableParagraph"/>
              <w:spacing w:before="41"/>
              <w:ind w:left="456" w:right="432"/>
              <w:rPr>
                <w:rFonts w:ascii="Times New Roman"/>
                <w:sz w:val="21"/>
              </w:rPr>
            </w:pPr>
            <w:r>
              <w:rPr>
                <w:rFonts w:ascii="Times New Roman"/>
                <w:sz w:val="21"/>
              </w:rPr>
              <w:t>50.7</w:t>
            </w:r>
          </w:p>
        </w:tc>
        <w:tc>
          <w:tcPr>
            <w:tcW w:w="1385" w:type="dxa"/>
            <w:tcBorders>
              <w:top w:val="single" w:sz="6" w:space="0" w:color="000000"/>
              <w:left w:val="single" w:sz="6" w:space="0" w:color="000000"/>
              <w:bottom w:val="single" w:sz="6" w:space="0" w:color="000000"/>
            </w:tcBorders>
          </w:tcPr>
          <w:p>
            <w:pPr>
              <w:pStyle w:val="TableParagraph"/>
              <w:spacing w:before="41"/>
              <w:ind w:left="513"/>
              <w:jc w:val="left"/>
              <w:rPr>
                <w:rFonts w:ascii="Times New Roman"/>
                <w:sz w:val="21"/>
              </w:rPr>
            </w:pPr>
            <w:r>
              <w:rPr>
                <w:rFonts w:ascii="Times New Roman"/>
                <w:sz w:val="21"/>
              </w:rPr>
              <w:t>48.7</w:t>
            </w:r>
          </w:p>
        </w:tc>
      </w:tr>
      <w:tr>
        <w:trPr>
          <w:trHeight w:val="337" w:hRule="atLeast"/>
        </w:trPr>
        <w:tc>
          <w:tcPr>
            <w:tcW w:w="2281" w:type="dxa"/>
            <w:tcBorders>
              <w:top w:val="single" w:sz="6" w:space="0" w:color="000000"/>
              <w:bottom w:val="single" w:sz="6" w:space="0" w:color="000000"/>
              <w:right w:val="single" w:sz="6" w:space="0" w:color="000000"/>
            </w:tcBorders>
          </w:tcPr>
          <w:p>
            <w:pPr>
              <w:pStyle w:val="TableParagraph"/>
              <w:spacing w:line="318" w:lineRule="exact"/>
              <w:ind w:left="489" w:right="467"/>
              <w:rPr>
                <w:sz w:val="21"/>
              </w:rPr>
            </w:pPr>
            <w:r>
              <w:rPr>
                <w:rFonts w:ascii="Times New Roman" w:eastAsia="Times New Roman"/>
                <w:sz w:val="21"/>
              </w:rPr>
              <w:t>5#</w:t>
            </w:r>
            <w:r>
              <w:rPr>
                <w:sz w:val="21"/>
              </w:rPr>
              <w:t>北西厂界</w:t>
            </w:r>
          </w:p>
        </w:tc>
        <w:tc>
          <w:tcPr>
            <w:tcW w:w="1820" w:type="dxa"/>
            <w:tcBorders>
              <w:top w:val="single" w:sz="6" w:space="0" w:color="000000"/>
              <w:left w:val="single" w:sz="6" w:space="0" w:color="000000"/>
              <w:bottom w:val="single" w:sz="6" w:space="0" w:color="000000"/>
              <w:right w:val="single" w:sz="6" w:space="0" w:color="000000"/>
            </w:tcBorders>
          </w:tcPr>
          <w:p>
            <w:pPr>
              <w:pStyle w:val="TableParagraph"/>
              <w:spacing w:before="41"/>
              <w:ind w:left="731"/>
              <w:jc w:val="left"/>
              <w:rPr>
                <w:rFonts w:ascii="Times New Roman"/>
                <w:sz w:val="21"/>
              </w:rPr>
            </w:pPr>
            <w:r>
              <w:rPr>
                <w:rFonts w:ascii="Times New Roman"/>
                <w:sz w:val="21"/>
              </w:rPr>
              <w:t>58.4</w:t>
            </w:r>
          </w:p>
        </w:tc>
        <w:tc>
          <w:tcPr>
            <w:tcW w:w="1681" w:type="dxa"/>
            <w:tcBorders>
              <w:top w:val="single" w:sz="6" w:space="0" w:color="000000"/>
              <w:left w:val="single" w:sz="6" w:space="0" w:color="000000"/>
              <w:bottom w:val="single" w:sz="6" w:space="0" w:color="000000"/>
              <w:right w:val="single" w:sz="6" w:space="0" w:color="000000"/>
            </w:tcBorders>
          </w:tcPr>
          <w:p>
            <w:pPr>
              <w:pStyle w:val="TableParagraph"/>
              <w:spacing w:before="41"/>
              <w:ind w:left="613" w:right="592"/>
              <w:rPr>
                <w:rFonts w:ascii="Times New Roman"/>
                <w:sz w:val="21"/>
              </w:rPr>
            </w:pPr>
            <w:r>
              <w:rPr>
                <w:rFonts w:ascii="Times New Roman"/>
                <w:sz w:val="21"/>
              </w:rPr>
              <w:t>59.7</w:t>
            </w:r>
          </w:p>
        </w:tc>
        <w:tc>
          <w:tcPr>
            <w:tcW w:w="1364" w:type="dxa"/>
            <w:tcBorders>
              <w:top w:val="single" w:sz="6" w:space="0" w:color="000000"/>
              <w:left w:val="single" w:sz="6" w:space="0" w:color="000000"/>
              <w:bottom w:val="single" w:sz="6" w:space="0" w:color="000000"/>
              <w:right w:val="single" w:sz="6" w:space="0" w:color="000000"/>
            </w:tcBorders>
          </w:tcPr>
          <w:p>
            <w:pPr>
              <w:pStyle w:val="TableParagraph"/>
              <w:spacing w:before="41"/>
              <w:ind w:left="456" w:right="432"/>
              <w:rPr>
                <w:rFonts w:ascii="Times New Roman"/>
                <w:sz w:val="21"/>
              </w:rPr>
            </w:pPr>
            <w:r>
              <w:rPr>
                <w:rFonts w:ascii="Times New Roman"/>
                <w:sz w:val="21"/>
              </w:rPr>
              <w:t>58.7</w:t>
            </w:r>
          </w:p>
        </w:tc>
        <w:tc>
          <w:tcPr>
            <w:tcW w:w="1385" w:type="dxa"/>
            <w:tcBorders>
              <w:top w:val="single" w:sz="6" w:space="0" w:color="000000"/>
              <w:left w:val="single" w:sz="6" w:space="0" w:color="000000"/>
              <w:bottom w:val="single" w:sz="6" w:space="0" w:color="000000"/>
            </w:tcBorders>
          </w:tcPr>
          <w:p>
            <w:pPr>
              <w:pStyle w:val="TableParagraph"/>
              <w:spacing w:before="41"/>
              <w:ind w:left="513"/>
              <w:jc w:val="left"/>
              <w:rPr>
                <w:rFonts w:ascii="Times New Roman"/>
                <w:sz w:val="21"/>
              </w:rPr>
            </w:pPr>
            <w:r>
              <w:rPr>
                <w:rFonts w:ascii="Times New Roman"/>
                <w:sz w:val="21"/>
              </w:rPr>
              <w:t>57.1</w:t>
            </w:r>
          </w:p>
        </w:tc>
      </w:tr>
      <w:tr>
        <w:trPr>
          <w:trHeight w:val="340" w:hRule="atLeast"/>
        </w:trPr>
        <w:tc>
          <w:tcPr>
            <w:tcW w:w="2281" w:type="dxa"/>
            <w:tcBorders>
              <w:top w:val="single" w:sz="6" w:space="0" w:color="000000"/>
              <w:bottom w:val="single" w:sz="6" w:space="0" w:color="000000"/>
              <w:right w:val="single" w:sz="6" w:space="0" w:color="000000"/>
            </w:tcBorders>
          </w:tcPr>
          <w:p>
            <w:pPr>
              <w:pStyle w:val="TableParagraph"/>
              <w:spacing w:line="320" w:lineRule="exact"/>
              <w:ind w:left="489" w:right="467"/>
              <w:rPr>
                <w:sz w:val="21"/>
              </w:rPr>
            </w:pPr>
            <w:r>
              <w:rPr>
                <w:rFonts w:ascii="Times New Roman" w:eastAsia="Times New Roman"/>
                <w:sz w:val="21"/>
              </w:rPr>
              <w:t>6#</w:t>
            </w:r>
            <w:r>
              <w:rPr>
                <w:sz w:val="21"/>
              </w:rPr>
              <w:t>北东厂界</w:t>
            </w:r>
          </w:p>
        </w:tc>
        <w:tc>
          <w:tcPr>
            <w:tcW w:w="1820" w:type="dxa"/>
            <w:tcBorders>
              <w:top w:val="single" w:sz="6" w:space="0" w:color="000000"/>
              <w:left w:val="single" w:sz="6" w:space="0" w:color="000000"/>
              <w:bottom w:val="single" w:sz="6" w:space="0" w:color="000000"/>
              <w:right w:val="single" w:sz="6" w:space="0" w:color="000000"/>
            </w:tcBorders>
          </w:tcPr>
          <w:p>
            <w:pPr>
              <w:pStyle w:val="TableParagraph"/>
              <w:spacing w:before="43"/>
              <w:ind w:left="731"/>
              <w:jc w:val="left"/>
              <w:rPr>
                <w:rFonts w:ascii="Times New Roman"/>
                <w:sz w:val="21"/>
              </w:rPr>
            </w:pPr>
            <w:r>
              <w:rPr>
                <w:rFonts w:ascii="Times New Roman"/>
                <w:sz w:val="21"/>
              </w:rPr>
              <w:t>59.6</w:t>
            </w:r>
          </w:p>
        </w:tc>
        <w:tc>
          <w:tcPr>
            <w:tcW w:w="1681" w:type="dxa"/>
            <w:tcBorders>
              <w:top w:val="single" w:sz="6" w:space="0" w:color="000000"/>
              <w:left w:val="single" w:sz="6" w:space="0" w:color="000000"/>
              <w:bottom w:val="single" w:sz="6" w:space="0" w:color="000000"/>
              <w:right w:val="single" w:sz="6" w:space="0" w:color="000000"/>
            </w:tcBorders>
          </w:tcPr>
          <w:p>
            <w:pPr>
              <w:pStyle w:val="TableParagraph"/>
              <w:spacing w:before="43"/>
              <w:ind w:left="613" w:right="592"/>
              <w:rPr>
                <w:rFonts w:ascii="Times New Roman"/>
                <w:sz w:val="21"/>
              </w:rPr>
            </w:pPr>
            <w:r>
              <w:rPr>
                <w:rFonts w:ascii="Times New Roman"/>
                <w:sz w:val="21"/>
              </w:rPr>
              <w:t>57.1</w:t>
            </w:r>
          </w:p>
        </w:tc>
        <w:tc>
          <w:tcPr>
            <w:tcW w:w="1364" w:type="dxa"/>
            <w:tcBorders>
              <w:top w:val="single" w:sz="6" w:space="0" w:color="000000"/>
              <w:left w:val="single" w:sz="6" w:space="0" w:color="000000"/>
              <w:bottom w:val="single" w:sz="6" w:space="0" w:color="000000"/>
              <w:right w:val="single" w:sz="6" w:space="0" w:color="000000"/>
            </w:tcBorders>
          </w:tcPr>
          <w:p>
            <w:pPr>
              <w:pStyle w:val="TableParagraph"/>
              <w:spacing w:before="43"/>
              <w:ind w:left="456" w:right="432"/>
              <w:rPr>
                <w:rFonts w:ascii="Times New Roman"/>
                <w:sz w:val="21"/>
              </w:rPr>
            </w:pPr>
            <w:r>
              <w:rPr>
                <w:rFonts w:ascii="Times New Roman"/>
                <w:sz w:val="21"/>
              </w:rPr>
              <w:t>57.8</w:t>
            </w:r>
          </w:p>
        </w:tc>
        <w:tc>
          <w:tcPr>
            <w:tcW w:w="1385" w:type="dxa"/>
            <w:tcBorders>
              <w:top w:val="single" w:sz="6" w:space="0" w:color="000000"/>
              <w:left w:val="single" w:sz="6" w:space="0" w:color="000000"/>
              <w:bottom w:val="single" w:sz="6" w:space="0" w:color="000000"/>
            </w:tcBorders>
          </w:tcPr>
          <w:p>
            <w:pPr>
              <w:pStyle w:val="TableParagraph"/>
              <w:spacing w:before="43"/>
              <w:ind w:left="513"/>
              <w:jc w:val="left"/>
              <w:rPr>
                <w:rFonts w:ascii="Times New Roman"/>
                <w:sz w:val="21"/>
              </w:rPr>
            </w:pPr>
            <w:r>
              <w:rPr>
                <w:rFonts w:ascii="Times New Roman"/>
                <w:sz w:val="21"/>
              </w:rPr>
              <w:t>59.5</w:t>
            </w:r>
          </w:p>
        </w:tc>
      </w:tr>
      <w:tr>
        <w:trPr>
          <w:trHeight w:val="339" w:hRule="atLeast"/>
        </w:trPr>
        <w:tc>
          <w:tcPr>
            <w:tcW w:w="2281" w:type="dxa"/>
            <w:tcBorders>
              <w:top w:val="single" w:sz="6" w:space="0" w:color="000000"/>
              <w:right w:val="single" w:sz="6" w:space="0" w:color="000000"/>
            </w:tcBorders>
          </w:tcPr>
          <w:p>
            <w:pPr>
              <w:pStyle w:val="TableParagraph"/>
              <w:spacing w:line="320" w:lineRule="exact"/>
              <w:ind w:left="489" w:right="469"/>
              <w:rPr>
                <w:sz w:val="21"/>
              </w:rPr>
            </w:pPr>
            <w:r>
              <w:rPr>
                <w:rFonts w:ascii="Times New Roman" w:eastAsia="Times New Roman"/>
                <w:sz w:val="21"/>
              </w:rPr>
              <w:t>7#</w:t>
            </w:r>
            <w:r>
              <w:rPr>
                <w:sz w:val="21"/>
              </w:rPr>
              <w:t>交通背景值</w:t>
            </w:r>
          </w:p>
        </w:tc>
        <w:tc>
          <w:tcPr>
            <w:tcW w:w="1820" w:type="dxa"/>
            <w:tcBorders>
              <w:top w:val="single" w:sz="6" w:space="0" w:color="000000"/>
              <w:left w:val="single" w:sz="6" w:space="0" w:color="000000"/>
              <w:right w:val="single" w:sz="6" w:space="0" w:color="000000"/>
            </w:tcBorders>
          </w:tcPr>
          <w:p>
            <w:pPr>
              <w:pStyle w:val="TableParagraph"/>
              <w:spacing w:before="43"/>
              <w:ind w:left="731"/>
              <w:jc w:val="left"/>
              <w:rPr>
                <w:rFonts w:ascii="Times New Roman"/>
                <w:sz w:val="21"/>
              </w:rPr>
            </w:pPr>
            <w:r>
              <w:rPr>
                <w:rFonts w:ascii="Times New Roman"/>
                <w:sz w:val="21"/>
              </w:rPr>
              <w:t>68.7</w:t>
            </w:r>
          </w:p>
        </w:tc>
        <w:tc>
          <w:tcPr>
            <w:tcW w:w="1681" w:type="dxa"/>
            <w:tcBorders>
              <w:top w:val="single" w:sz="6" w:space="0" w:color="000000"/>
              <w:left w:val="single" w:sz="6" w:space="0" w:color="000000"/>
              <w:right w:val="single" w:sz="6" w:space="0" w:color="000000"/>
            </w:tcBorders>
          </w:tcPr>
          <w:p>
            <w:pPr>
              <w:pStyle w:val="TableParagraph"/>
              <w:spacing w:before="43"/>
              <w:ind w:left="613" w:right="592"/>
              <w:rPr>
                <w:rFonts w:ascii="Times New Roman"/>
                <w:sz w:val="21"/>
              </w:rPr>
            </w:pPr>
            <w:r>
              <w:rPr>
                <w:rFonts w:ascii="Times New Roman"/>
                <w:sz w:val="21"/>
              </w:rPr>
              <w:t>66.3</w:t>
            </w:r>
          </w:p>
        </w:tc>
        <w:tc>
          <w:tcPr>
            <w:tcW w:w="1364" w:type="dxa"/>
            <w:tcBorders>
              <w:top w:val="single" w:sz="6" w:space="0" w:color="000000"/>
              <w:left w:val="single" w:sz="6" w:space="0" w:color="000000"/>
              <w:right w:val="single" w:sz="6" w:space="0" w:color="000000"/>
            </w:tcBorders>
          </w:tcPr>
          <w:p>
            <w:pPr>
              <w:pStyle w:val="TableParagraph"/>
              <w:spacing w:before="43"/>
              <w:ind w:left="456" w:right="432"/>
              <w:rPr>
                <w:rFonts w:ascii="Times New Roman"/>
                <w:sz w:val="21"/>
              </w:rPr>
            </w:pPr>
            <w:r>
              <w:rPr>
                <w:rFonts w:ascii="Times New Roman"/>
                <w:sz w:val="21"/>
              </w:rPr>
              <w:t>68.0</w:t>
            </w:r>
          </w:p>
        </w:tc>
        <w:tc>
          <w:tcPr>
            <w:tcW w:w="1385" w:type="dxa"/>
            <w:tcBorders>
              <w:top w:val="single" w:sz="6" w:space="0" w:color="000000"/>
              <w:left w:val="single" w:sz="6" w:space="0" w:color="000000"/>
            </w:tcBorders>
          </w:tcPr>
          <w:p>
            <w:pPr>
              <w:pStyle w:val="TableParagraph"/>
              <w:spacing w:before="43"/>
              <w:ind w:left="513"/>
              <w:jc w:val="left"/>
              <w:rPr>
                <w:rFonts w:ascii="Times New Roman"/>
                <w:sz w:val="21"/>
              </w:rPr>
            </w:pPr>
            <w:r>
              <w:rPr>
                <w:rFonts w:ascii="Times New Roman"/>
                <w:sz w:val="21"/>
              </w:rPr>
              <w:t>65.4</w:t>
            </w:r>
          </w:p>
        </w:tc>
      </w:tr>
    </w:tbl>
    <w:p>
      <w:pPr>
        <w:pStyle w:val="Heading5"/>
        <w:numPr>
          <w:ilvl w:val="3"/>
          <w:numId w:val="8"/>
        </w:numPr>
        <w:tabs>
          <w:tab w:pos="1490" w:val="left" w:leader="none"/>
        </w:tabs>
        <w:spacing w:line="240" w:lineRule="auto" w:before="157" w:after="0"/>
        <w:ind w:left="1490" w:right="0" w:hanging="912"/>
        <w:jc w:val="left"/>
      </w:pPr>
      <w:r>
        <w:rPr/>
        <w:t>声环境质量现状评价</w:t>
      </w:r>
    </w:p>
    <w:p>
      <w:pPr>
        <w:pStyle w:val="BodyText"/>
        <w:spacing w:line="488" w:lineRule="exact" w:before="152"/>
        <w:ind w:left="1058"/>
      </w:pPr>
      <w:r>
        <w:rPr>
          <w:rFonts w:ascii="Times New Roman" w:eastAsia="Times New Roman"/>
        </w:rPr>
        <w:t>1</w:t>
      </w:r>
      <w:r>
        <w:rPr/>
        <w:t>、评价标准</w:t>
      </w:r>
    </w:p>
    <w:p>
      <w:pPr>
        <w:pStyle w:val="BodyText"/>
        <w:spacing w:line="220" w:lineRule="auto" w:before="8"/>
        <w:ind w:left="578" w:right="871" w:firstLine="479"/>
        <w:jc w:val="both"/>
        <w:rPr>
          <w:rFonts w:ascii="Times New Roman" w:eastAsia="Times New Roman"/>
        </w:rPr>
      </w:pPr>
      <w:r>
        <w:rPr>
          <w:rFonts w:ascii="Times New Roman" w:eastAsia="Times New Roman"/>
        </w:rPr>
        <w:t>7#</w:t>
      </w:r>
      <w:r>
        <w:rPr>
          <w:spacing w:val="-3"/>
        </w:rPr>
        <w:t>点位噪声现状评价按照《声环境质量标准</w:t>
      </w:r>
      <w:r>
        <w:rPr>
          <w:spacing w:val="-142"/>
        </w:rPr>
        <w:t>》</w:t>
      </w:r>
      <w:r>
        <w:rPr/>
        <w:t>（</w:t>
      </w:r>
      <w:r>
        <w:rPr>
          <w:rFonts w:ascii="Times New Roman" w:eastAsia="Times New Roman"/>
        </w:rPr>
        <w:t>GB3096-2008</w:t>
      </w:r>
      <w:r>
        <w:rPr/>
        <w:t>）</w:t>
      </w:r>
      <w:r>
        <w:rPr>
          <w:rFonts w:ascii="Times New Roman" w:eastAsia="Times New Roman"/>
        </w:rPr>
        <w:t>4a </w:t>
      </w:r>
      <w:r>
        <w:rPr/>
        <w:t>类标准执</w:t>
      </w:r>
      <w:r>
        <w:rPr>
          <w:spacing w:val="-1"/>
        </w:rPr>
        <w:t>行，即昼间 </w:t>
      </w:r>
      <w:r>
        <w:rPr>
          <w:rFonts w:ascii="Times New Roman" w:eastAsia="Times New Roman"/>
        </w:rPr>
        <w:t>70d</w:t>
      </w:r>
      <w:r>
        <w:rPr>
          <w:rFonts w:ascii="Times New Roman" w:eastAsia="Times New Roman"/>
          <w:spacing w:val="-6"/>
        </w:rPr>
        <w:t>B</w:t>
      </w:r>
      <w:r>
        <w:rPr/>
        <w:t>（</w:t>
      </w:r>
      <w:r>
        <w:rPr>
          <w:rFonts w:ascii="Times New Roman" w:eastAsia="Times New Roman"/>
          <w:spacing w:val="-1"/>
          <w:w w:val="99"/>
        </w:rPr>
        <w:t>A</w:t>
      </w:r>
      <w:r>
        <w:rPr>
          <w:spacing w:val="-120"/>
        </w:rPr>
        <w:t>）</w:t>
      </w:r>
      <w:r>
        <w:rPr/>
        <w:t>、夜间 </w:t>
      </w:r>
      <w:r>
        <w:rPr>
          <w:rFonts w:ascii="Times New Roman" w:eastAsia="Times New Roman"/>
        </w:rPr>
        <w:t>55d</w:t>
      </w:r>
      <w:r>
        <w:rPr>
          <w:rFonts w:ascii="Times New Roman" w:eastAsia="Times New Roman"/>
          <w:spacing w:val="-7"/>
        </w:rPr>
        <w:t>B</w:t>
      </w:r>
      <w:r>
        <w:rPr/>
        <w:t>（</w:t>
      </w:r>
      <w:r>
        <w:rPr>
          <w:rFonts w:ascii="Times New Roman" w:eastAsia="Times New Roman"/>
          <w:spacing w:val="-1"/>
          <w:w w:val="99"/>
        </w:rPr>
        <w:t>A</w:t>
      </w:r>
      <w:r>
        <w:rPr>
          <w:spacing w:val="-120"/>
        </w:rPr>
        <w:t>）</w:t>
      </w:r>
      <w:r>
        <w:rPr>
          <w:spacing w:val="-3"/>
        </w:rPr>
        <w:t>，其余厂界点位噪声现状评价按照《声</w:t>
      </w:r>
      <w:r>
        <w:rPr>
          <w:spacing w:val="-20"/>
        </w:rPr>
        <w:t>环境质量标准》</w:t>
      </w:r>
      <w:r>
        <w:rPr/>
        <w:t>（</w:t>
      </w:r>
      <w:r>
        <w:rPr>
          <w:rFonts w:ascii="Times New Roman" w:eastAsia="Times New Roman"/>
          <w:w w:val="99"/>
        </w:rPr>
        <w:t>G</w:t>
      </w:r>
      <w:r>
        <w:rPr>
          <w:rFonts w:ascii="Times New Roman" w:eastAsia="Times New Roman"/>
          <w:spacing w:val="-3"/>
          <w:w w:val="99"/>
        </w:rPr>
        <w:t>B</w:t>
      </w:r>
      <w:r>
        <w:rPr>
          <w:rFonts w:ascii="Times New Roman" w:eastAsia="Times New Roman"/>
        </w:rPr>
        <w:t>3</w:t>
      </w:r>
      <w:r>
        <w:rPr>
          <w:rFonts w:ascii="Times New Roman" w:eastAsia="Times New Roman"/>
          <w:spacing w:val="2"/>
        </w:rPr>
        <w:t>0</w:t>
      </w:r>
      <w:r>
        <w:rPr>
          <w:rFonts w:ascii="Times New Roman" w:eastAsia="Times New Roman"/>
        </w:rPr>
        <w:t>96</w:t>
      </w:r>
      <w:r>
        <w:rPr>
          <w:rFonts w:ascii="Times New Roman" w:eastAsia="Times New Roman"/>
          <w:spacing w:val="-1"/>
        </w:rPr>
        <w:t>-</w:t>
      </w:r>
      <w:r>
        <w:rPr>
          <w:rFonts w:ascii="Times New Roman" w:eastAsia="Times New Roman"/>
        </w:rPr>
        <w:t>2008</w:t>
      </w:r>
      <w:r>
        <w:rPr/>
        <w:t>）</w:t>
      </w:r>
      <w:r>
        <w:rPr>
          <w:rFonts w:ascii="Times New Roman" w:eastAsia="Times New Roman"/>
        </w:rPr>
        <w:t>2 </w:t>
      </w:r>
      <w:r>
        <w:rPr>
          <w:spacing w:val="1"/>
        </w:rPr>
        <w:t>类标准执行，即昼间 </w:t>
      </w:r>
      <w:r>
        <w:rPr>
          <w:rFonts w:ascii="Times New Roman" w:eastAsia="Times New Roman"/>
        </w:rPr>
        <w:t>60d</w:t>
      </w:r>
      <w:r>
        <w:rPr>
          <w:rFonts w:ascii="Times New Roman" w:eastAsia="Times New Roman"/>
          <w:spacing w:val="-2"/>
        </w:rPr>
        <w:t>B</w:t>
      </w:r>
      <w:r>
        <w:rPr/>
        <w:t>（</w:t>
      </w:r>
      <w:r>
        <w:rPr>
          <w:rFonts w:ascii="Times New Roman" w:eastAsia="Times New Roman"/>
          <w:spacing w:val="-1"/>
          <w:w w:val="99"/>
        </w:rPr>
        <w:t>A</w:t>
      </w:r>
      <w:r>
        <w:rPr>
          <w:spacing w:val="-120"/>
        </w:rPr>
        <w:t>）</w:t>
      </w:r>
      <w:r>
        <w:rPr>
          <w:spacing w:val="3"/>
        </w:rPr>
        <w:t>、夜间 </w:t>
      </w:r>
      <w:r>
        <w:rPr>
          <w:rFonts w:ascii="Times New Roman" w:eastAsia="Times New Roman"/>
        </w:rPr>
        <w:t>50dB</w:t>
      </w:r>
    </w:p>
    <w:p>
      <w:pPr>
        <w:pStyle w:val="BodyText"/>
        <w:spacing w:line="460" w:lineRule="exact"/>
        <w:ind w:left="578"/>
      </w:pPr>
      <w:r>
        <w:rPr/>
        <w:t>（</w:t>
      </w:r>
      <w:r>
        <w:rPr>
          <w:rFonts w:ascii="Times New Roman" w:eastAsia="Times New Roman"/>
        </w:rPr>
        <w:t>A</w:t>
      </w:r>
      <w:r>
        <w:rPr/>
        <w:t>）</w:t>
      </w:r>
    </w:p>
    <w:p>
      <w:pPr>
        <w:pStyle w:val="BodyText"/>
        <w:spacing w:line="468" w:lineRule="exact"/>
        <w:ind w:left="1058"/>
      </w:pPr>
      <w:r>
        <w:rPr>
          <w:rFonts w:ascii="Times New Roman" w:eastAsia="Times New Roman"/>
        </w:rPr>
        <w:t>2</w:t>
      </w:r>
      <w:r>
        <w:rPr/>
        <w:t>、评价方法</w:t>
      </w:r>
    </w:p>
    <w:p>
      <w:pPr>
        <w:pStyle w:val="BodyText"/>
        <w:spacing w:line="488" w:lineRule="exact"/>
        <w:ind w:left="1058"/>
      </w:pPr>
      <w:r>
        <w:rPr/>
        <w:t>采用超标值法进行噪声环境现状评价。计算公式为：</w:t>
      </w:r>
    </w:p>
    <w:p>
      <w:pPr>
        <w:spacing w:before="88"/>
        <w:ind w:left="0" w:right="294" w:firstLine="0"/>
        <w:jc w:val="center"/>
        <w:rPr>
          <w:rFonts w:ascii="Times New Roman"/>
          <w:sz w:val="16"/>
        </w:rPr>
      </w:pPr>
      <w:r>
        <w:rPr>
          <w:rFonts w:ascii="Times New Roman"/>
          <w:position w:val="2"/>
          <w:sz w:val="24"/>
        </w:rPr>
        <w:t>P = </w:t>
      </w:r>
      <w:r>
        <w:rPr>
          <w:rFonts w:ascii="Times New Roman"/>
          <w:i/>
          <w:position w:val="2"/>
          <w:sz w:val="24"/>
        </w:rPr>
        <w:t>L</w:t>
      </w:r>
      <w:r>
        <w:rPr>
          <w:rFonts w:ascii="Times New Roman"/>
          <w:sz w:val="16"/>
        </w:rPr>
        <w:t>eq </w:t>
      </w:r>
      <w:r>
        <w:rPr>
          <w:rFonts w:ascii="Times New Roman"/>
          <w:position w:val="2"/>
          <w:sz w:val="24"/>
        </w:rPr>
        <w:t>- </w:t>
      </w:r>
      <w:r>
        <w:rPr>
          <w:rFonts w:ascii="Times New Roman"/>
          <w:i/>
          <w:position w:val="2"/>
          <w:sz w:val="24"/>
        </w:rPr>
        <w:t>L</w:t>
      </w:r>
      <w:r>
        <w:rPr>
          <w:rFonts w:ascii="Times New Roman"/>
          <w:sz w:val="16"/>
        </w:rPr>
        <w:t>b</w:t>
      </w:r>
    </w:p>
    <w:p>
      <w:pPr>
        <w:pStyle w:val="BodyText"/>
        <w:spacing w:before="10"/>
        <w:rPr>
          <w:rFonts w:ascii="Times New Roman"/>
          <w:sz w:val="8"/>
        </w:rPr>
      </w:pPr>
    </w:p>
    <w:p>
      <w:pPr>
        <w:pStyle w:val="BodyText"/>
        <w:spacing w:line="447" w:lineRule="exact"/>
        <w:ind w:left="1058"/>
      </w:pPr>
      <w:r>
        <w:rPr/>
        <w:t>式中：</w:t>
      </w:r>
      <w:r>
        <w:rPr>
          <w:rFonts w:ascii="Times New Roman" w:hAnsi="Times New Roman" w:eastAsia="Times New Roman"/>
          <w:w w:val="99"/>
        </w:rPr>
        <w:t>P</w:t>
      </w:r>
      <w:r>
        <w:rPr>
          <w:rFonts w:ascii="Times New Roman" w:hAnsi="Times New Roman" w:eastAsia="Times New Roman"/>
        </w:rPr>
        <w:t>—</w:t>
      </w:r>
      <w:r>
        <w:rPr/>
        <w:t>超标值，</w:t>
      </w:r>
      <w:r>
        <w:rPr>
          <w:rFonts w:ascii="Times New Roman" w:hAnsi="Times New Roman" w:eastAsia="Times New Roman"/>
        </w:rPr>
        <w:t>d</w:t>
      </w:r>
      <w:r>
        <w:rPr>
          <w:rFonts w:ascii="Times New Roman" w:hAnsi="Times New Roman" w:eastAsia="Times New Roman"/>
          <w:spacing w:val="-2"/>
        </w:rPr>
        <w:t>B</w:t>
      </w:r>
      <w:r>
        <w:rPr/>
        <w:t>（</w:t>
      </w:r>
      <w:r>
        <w:rPr>
          <w:rFonts w:ascii="Times New Roman" w:hAnsi="Times New Roman" w:eastAsia="Times New Roman"/>
          <w:spacing w:val="-1"/>
          <w:w w:val="99"/>
        </w:rPr>
        <w:t>A</w:t>
      </w:r>
      <w:r>
        <w:rPr>
          <w:spacing w:val="-120"/>
        </w:rPr>
        <w:t>）；</w:t>
      </w:r>
    </w:p>
    <w:p>
      <w:pPr>
        <w:pStyle w:val="BodyText"/>
        <w:spacing w:line="468" w:lineRule="exact"/>
        <w:ind w:left="1778"/>
      </w:pPr>
      <w:r>
        <w:rPr>
          <w:rFonts w:ascii="Times New Roman" w:hAnsi="Times New Roman" w:eastAsia="Times New Roman"/>
          <w:i/>
          <w:w w:val="99"/>
          <w:position w:val="2"/>
        </w:rPr>
        <w:t>L</w:t>
      </w:r>
      <w:r>
        <w:rPr>
          <w:rFonts w:ascii="Times New Roman" w:hAnsi="Times New Roman" w:eastAsia="Times New Roman"/>
          <w:spacing w:val="-2"/>
          <w:w w:val="100"/>
          <w:sz w:val="16"/>
        </w:rPr>
        <w:t>e</w:t>
      </w:r>
      <w:r>
        <w:rPr>
          <w:rFonts w:ascii="Times New Roman" w:hAnsi="Times New Roman" w:eastAsia="Times New Roman"/>
          <w:spacing w:val="1"/>
          <w:w w:val="100"/>
          <w:sz w:val="16"/>
        </w:rPr>
        <w:t>q</w:t>
      </w:r>
      <w:r>
        <w:rPr>
          <w:rFonts w:ascii="Times New Roman" w:hAnsi="Times New Roman" w:eastAsia="Times New Roman"/>
          <w:position w:val="2"/>
        </w:rPr>
        <w:t>—</w:t>
      </w:r>
      <w:r>
        <w:rPr>
          <w:position w:val="2"/>
        </w:rPr>
        <w:t>某点实测的等效连续 </w:t>
      </w:r>
      <w:r>
        <w:rPr>
          <w:rFonts w:ascii="Times New Roman" w:hAnsi="Times New Roman" w:eastAsia="Times New Roman"/>
          <w:w w:val="99"/>
          <w:position w:val="2"/>
        </w:rPr>
        <w:t>A</w:t>
      </w:r>
      <w:r>
        <w:rPr>
          <w:rFonts w:ascii="Times New Roman" w:hAnsi="Times New Roman" w:eastAsia="Times New Roman"/>
          <w:spacing w:val="-1"/>
          <w:position w:val="2"/>
        </w:rPr>
        <w:t> </w:t>
      </w:r>
      <w:r>
        <w:rPr>
          <w:position w:val="2"/>
        </w:rPr>
        <w:t>声级，</w:t>
      </w:r>
      <w:r>
        <w:rPr>
          <w:rFonts w:ascii="Times New Roman" w:hAnsi="Times New Roman" w:eastAsia="Times New Roman"/>
          <w:position w:val="2"/>
        </w:rPr>
        <w:t>dB</w:t>
      </w:r>
      <w:r>
        <w:rPr>
          <w:position w:val="2"/>
        </w:rPr>
        <w:t>（</w:t>
      </w:r>
      <w:r>
        <w:rPr>
          <w:rFonts w:ascii="Times New Roman" w:hAnsi="Times New Roman" w:eastAsia="Times New Roman"/>
          <w:spacing w:val="-1"/>
          <w:w w:val="99"/>
          <w:position w:val="2"/>
        </w:rPr>
        <w:t>A</w:t>
      </w:r>
      <w:r>
        <w:rPr>
          <w:spacing w:val="-120"/>
          <w:position w:val="2"/>
        </w:rPr>
        <w:t>）；</w:t>
      </w:r>
    </w:p>
    <w:p>
      <w:pPr>
        <w:pStyle w:val="BodyText"/>
        <w:spacing w:line="468" w:lineRule="exact"/>
        <w:ind w:left="1778"/>
      </w:pPr>
      <w:r>
        <w:rPr>
          <w:rFonts w:ascii="Times New Roman" w:hAnsi="Times New Roman" w:eastAsia="Times New Roman"/>
          <w:i/>
          <w:w w:val="99"/>
          <w:position w:val="2"/>
        </w:rPr>
        <w:t>L</w:t>
      </w:r>
      <w:r>
        <w:rPr>
          <w:rFonts w:ascii="Times New Roman" w:hAnsi="Times New Roman" w:eastAsia="Times New Roman"/>
          <w:spacing w:val="1"/>
          <w:w w:val="100"/>
          <w:sz w:val="16"/>
        </w:rPr>
        <w:t>b</w:t>
      </w:r>
      <w:r>
        <w:rPr>
          <w:rFonts w:ascii="Times New Roman" w:hAnsi="Times New Roman" w:eastAsia="Times New Roman"/>
          <w:position w:val="2"/>
        </w:rPr>
        <w:t>—</w:t>
      </w:r>
      <w:r>
        <w:rPr>
          <w:spacing w:val="-1"/>
          <w:position w:val="2"/>
        </w:rPr>
        <w:t>评价标准，</w:t>
      </w:r>
      <w:r>
        <w:rPr>
          <w:rFonts w:ascii="Times New Roman" w:hAnsi="Times New Roman" w:eastAsia="Times New Roman"/>
          <w:position w:val="2"/>
        </w:rPr>
        <w:t>d</w:t>
      </w:r>
      <w:r>
        <w:rPr>
          <w:rFonts w:ascii="Times New Roman" w:hAnsi="Times New Roman" w:eastAsia="Times New Roman"/>
          <w:spacing w:val="-2"/>
          <w:position w:val="2"/>
        </w:rPr>
        <w:t>B</w:t>
      </w:r>
      <w:r>
        <w:rPr>
          <w:position w:val="2"/>
        </w:rPr>
        <w:t>（</w:t>
      </w:r>
      <w:r>
        <w:rPr>
          <w:rFonts w:ascii="Times New Roman" w:hAnsi="Times New Roman" w:eastAsia="Times New Roman"/>
          <w:spacing w:val="-1"/>
          <w:w w:val="99"/>
          <w:position w:val="2"/>
        </w:rPr>
        <w:t>A</w:t>
      </w:r>
      <w:r>
        <w:rPr>
          <w:spacing w:val="-120"/>
          <w:position w:val="2"/>
        </w:rPr>
        <w:t>）。</w:t>
      </w:r>
    </w:p>
    <w:p>
      <w:pPr>
        <w:pStyle w:val="BodyText"/>
        <w:spacing w:line="468" w:lineRule="exact"/>
        <w:ind w:left="1058"/>
      </w:pPr>
      <w:r>
        <w:rPr>
          <w:rFonts w:ascii="Times New Roman" w:eastAsia="Times New Roman"/>
        </w:rPr>
        <w:t>3</w:t>
      </w:r>
      <w:r>
        <w:rPr/>
        <w:t>、评价结果</w:t>
      </w:r>
    </w:p>
    <w:p>
      <w:pPr>
        <w:pStyle w:val="BodyText"/>
        <w:spacing w:line="488" w:lineRule="exact"/>
        <w:ind w:left="1058"/>
      </w:pPr>
      <w:r>
        <w:rPr/>
        <w:t>按上述评价方法，声环境质量现状评价结果见表 </w:t>
      </w:r>
      <w:r>
        <w:rPr>
          <w:rFonts w:ascii="Times New Roman" w:eastAsia="Times New Roman"/>
        </w:rPr>
        <w:t>5.4-31</w:t>
      </w:r>
      <w:r>
        <w:rPr/>
        <w:t>。</w:t>
      </w:r>
    </w:p>
    <w:p>
      <w:pPr>
        <w:tabs>
          <w:tab w:pos="3501" w:val="left" w:leader="none"/>
          <w:tab w:pos="5400" w:val="left" w:leader="none"/>
        </w:tabs>
        <w:spacing w:before="150" w:after="24"/>
        <w:ind w:left="2484" w:right="0" w:firstLine="0"/>
        <w:jc w:val="left"/>
        <w:rPr>
          <w:sz w:val="21"/>
        </w:rPr>
      </w:pPr>
      <w:r>
        <w:rPr>
          <w:sz w:val="21"/>
        </w:rPr>
        <w:t>表</w:t>
      </w:r>
      <w:r>
        <w:rPr>
          <w:spacing w:val="7"/>
          <w:sz w:val="21"/>
        </w:rPr>
        <w:t> </w:t>
      </w:r>
      <w:r>
        <w:rPr>
          <w:rFonts w:ascii="Times New Roman" w:eastAsia="Times New Roman"/>
          <w:b/>
          <w:sz w:val="21"/>
        </w:rPr>
        <w:t>5.4-31</w:t>
        <w:tab/>
      </w:r>
      <w:r>
        <w:rPr>
          <w:sz w:val="21"/>
        </w:rPr>
        <w:t>噪声现状评</w:t>
      </w:r>
      <w:r>
        <w:rPr>
          <w:spacing w:val="-3"/>
          <w:sz w:val="21"/>
        </w:rPr>
        <w:t>价</w:t>
      </w:r>
      <w:r>
        <w:rPr>
          <w:sz w:val="21"/>
        </w:rPr>
        <w:t>结果</w:t>
        <w:tab/>
        <w:t>单位：</w:t>
      </w:r>
      <w:r>
        <w:rPr>
          <w:rFonts w:ascii="Times New Roman" w:eastAsia="Times New Roman"/>
          <w:b/>
          <w:sz w:val="21"/>
        </w:rPr>
        <w:t>dB</w:t>
      </w:r>
      <w:r>
        <w:rPr>
          <w:sz w:val="21"/>
        </w:rPr>
        <w:t>（</w:t>
      </w:r>
      <w:r>
        <w:rPr>
          <w:rFonts w:ascii="Times New Roman" w:eastAsia="Times New Roman"/>
          <w:b/>
          <w:sz w:val="21"/>
        </w:rPr>
        <w:t>A</w:t>
      </w:r>
      <w:r>
        <w:rPr>
          <w:sz w:val="21"/>
        </w:rPr>
        <w:t>）</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76"/>
        <w:gridCol w:w="1678"/>
        <w:gridCol w:w="626"/>
        <w:gridCol w:w="1579"/>
        <w:gridCol w:w="1259"/>
        <w:gridCol w:w="628"/>
        <w:gridCol w:w="1278"/>
      </w:tblGrid>
      <w:tr>
        <w:trPr>
          <w:trHeight w:val="311" w:hRule="atLeast"/>
        </w:trPr>
        <w:tc>
          <w:tcPr>
            <w:tcW w:w="1476" w:type="dxa"/>
            <w:tcBorders>
              <w:right w:val="single" w:sz="6" w:space="0" w:color="000000"/>
            </w:tcBorders>
          </w:tcPr>
          <w:p>
            <w:pPr>
              <w:pStyle w:val="TableParagraph"/>
              <w:spacing w:line="291" w:lineRule="exact"/>
              <w:ind w:left="210"/>
              <w:jc w:val="left"/>
              <w:rPr>
                <w:sz w:val="21"/>
              </w:rPr>
            </w:pPr>
            <w:r>
              <w:rPr>
                <w:sz w:val="21"/>
              </w:rPr>
              <w:t>监测点编号</w:t>
            </w:r>
          </w:p>
        </w:tc>
        <w:tc>
          <w:tcPr>
            <w:tcW w:w="1678" w:type="dxa"/>
            <w:tcBorders>
              <w:left w:val="single" w:sz="6" w:space="0" w:color="000000"/>
              <w:right w:val="single" w:sz="6" w:space="0" w:color="000000"/>
            </w:tcBorders>
          </w:tcPr>
          <w:p>
            <w:pPr>
              <w:pStyle w:val="TableParagraph"/>
              <w:spacing w:line="291" w:lineRule="exact"/>
              <w:ind w:left="499" w:right="472"/>
              <w:rPr>
                <w:sz w:val="21"/>
              </w:rPr>
            </w:pPr>
            <w:r>
              <w:rPr>
                <w:sz w:val="21"/>
              </w:rPr>
              <w:t>昼间</w:t>
            </w:r>
          </w:p>
        </w:tc>
        <w:tc>
          <w:tcPr>
            <w:tcW w:w="626" w:type="dxa"/>
            <w:tcBorders>
              <w:left w:val="single" w:sz="6" w:space="0" w:color="000000"/>
              <w:right w:val="single" w:sz="6" w:space="0" w:color="000000"/>
            </w:tcBorders>
          </w:tcPr>
          <w:p>
            <w:pPr>
              <w:pStyle w:val="TableParagraph"/>
              <w:spacing w:line="291" w:lineRule="exact"/>
              <w:ind w:left="215"/>
              <w:jc w:val="left"/>
              <w:rPr>
                <w:sz w:val="21"/>
              </w:rPr>
            </w:pPr>
            <w:r>
              <w:rPr>
                <w:w w:val="100"/>
                <w:sz w:val="21"/>
              </w:rPr>
              <w:t>标</w:t>
            </w:r>
          </w:p>
        </w:tc>
        <w:tc>
          <w:tcPr>
            <w:tcW w:w="1579" w:type="dxa"/>
            <w:tcBorders>
              <w:left w:val="single" w:sz="6" w:space="0" w:color="000000"/>
              <w:right w:val="single" w:sz="6" w:space="0" w:color="000000"/>
            </w:tcBorders>
          </w:tcPr>
          <w:p>
            <w:pPr>
              <w:pStyle w:val="TableParagraph"/>
              <w:spacing w:line="291" w:lineRule="exact"/>
              <w:ind w:left="480"/>
              <w:jc w:val="left"/>
              <w:rPr>
                <w:sz w:val="21"/>
              </w:rPr>
            </w:pPr>
            <w:r>
              <w:rPr>
                <w:sz w:val="21"/>
              </w:rPr>
              <w:t>超标值</w:t>
            </w:r>
          </w:p>
        </w:tc>
        <w:tc>
          <w:tcPr>
            <w:tcW w:w="1259" w:type="dxa"/>
            <w:tcBorders>
              <w:left w:val="single" w:sz="6" w:space="0" w:color="000000"/>
              <w:right w:val="single" w:sz="6" w:space="0" w:color="000000"/>
            </w:tcBorders>
          </w:tcPr>
          <w:p>
            <w:pPr>
              <w:pStyle w:val="TableParagraph"/>
              <w:spacing w:line="291" w:lineRule="exact"/>
              <w:ind w:left="428"/>
              <w:jc w:val="left"/>
              <w:rPr>
                <w:sz w:val="21"/>
              </w:rPr>
            </w:pPr>
            <w:r>
              <w:rPr>
                <w:sz w:val="21"/>
              </w:rPr>
              <w:t>夜间</w:t>
            </w:r>
          </w:p>
        </w:tc>
        <w:tc>
          <w:tcPr>
            <w:tcW w:w="628" w:type="dxa"/>
            <w:tcBorders>
              <w:left w:val="single" w:sz="6" w:space="0" w:color="000000"/>
              <w:right w:val="single" w:sz="6" w:space="0" w:color="000000"/>
            </w:tcBorders>
          </w:tcPr>
          <w:p>
            <w:pPr>
              <w:pStyle w:val="TableParagraph"/>
              <w:spacing w:line="291" w:lineRule="exact"/>
              <w:ind w:left="218"/>
              <w:jc w:val="left"/>
              <w:rPr>
                <w:sz w:val="21"/>
              </w:rPr>
            </w:pPr>
            <w:r>
              <w:rPr>
                <w:w w:val="100"/>
                <w:sz w:val="21"/>
              </w:rPr>
              <w:t>标</w:t>
            </w:r>
          </w:p>
        </w:tc>
        <w:tc>
          <w:tcPr>
            <w:tcW w:w="1278" w:type="dxa"/>
            <w:tcBorders>
              <w:left w:val="single" w:sz="6" w:space="0" w:color="000000"/>
            </w:tcBorders>
          </w:tcPr>
          <w:p>
            <w:pPr>
              <w:pStyle w:val="TableParagraph"/>
              <w:spacing w:line="291" w:lineRule="exact"/>
              <w:ind w:left="334"/>
              <w:jc w:val="left"/>
              <w:rPr>
                <w:sz w:val="21"/>
              </w:rPr>
            </w:pPr>
            <w:r>
              <w:rPr>
                <w:sz w:val="21"/>
              </w:rPr>
              <w:t>超标值</w:t>
            </w:r>
          </w:p>
        </w:tc>
      </w:tr>
    </w:tbl>
    <w:p>
      <w:pPr>
        <w:spacing w:after="0" w:line="291"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76"/>
        <w:gridCol w:w="838"/>
        <w:gridCol w:w="840"/>
        <w:gridCol w:w="626"/>
        <w:gridCol w:w="739"/>
        <w:gridCol w:w="839"/>
        <w:gridCol w:w="628"/>
        <w:gridCol w:w="630"/>
        <w:gridCol w:w="628"/>
        <w:gridCol w:w="695"/>
        <w:gridCol w:w="582"/>
      </w:tblGrid>
      <w:tr>
        <w:trPr>
          <w:trHeight w:val="529" w:hRule="atLeast"/>
        </w:trPr>
        <w:tc>
          <w:tcPr>
            <w:tcW w:w="1476" w:type="dxa"/>
            <w:tcBorders>
              <w:bottom w:val="single" w:sz="6" w:space="0" w:color="000000"/>
              <w:right w:val="single" w:sz="6" w:space="0" w:color="000000"/>
            </w:tcBorders>
          </w:tcPr>
          <w:p>
            <w:pPr>
              <w:pStyle w:val="TableParagraph"/>
              <w:jc w:val="left"/>
              <w:rPr>
                <w:rFonts w:ascii="Times New Roman"/>
                <w:sz w:val="22"/>
              </w:rPr>
            </w:pPr>
          </w:p>
        </w:tc>
        <w:tc>
          <w:tcPr>
            <w:tcW w:w="838" w:type="dxa"/>
            <w:tcBorders>
              <w:left w:val="single" w:sz="6" w:space="0" w:color="000000"/>
              <w:bottom w:val="single" w:sz="6" w:space="0" w:color="000000"/>
              <w:right w:val="single" w:sz="6" w:space="0" w:color="000000"/>
            </w:tcBorders>
          </w:tcPr>
          <w:p>
            <w:pPr>
              <w:pStyle w:val="TableParagraph"/>
              <w:spacing w:before="144"/>
              <w:ind w:left="244"/>
              <w:jc w:val="left"/>
              <w:rPr>
                <w:rFonts w:ascii="Times New Roman"/>
                <w:sz w:val="21"/>
              </w:rPr>
            </w:pPr>
            <w:r>
              <w:rPr>
                <w:rFonts w:ascii="Times New Roman"/>
                <w:sz w:val="21"/>
              </w:rPr>
              <w:t>4.11</w:t>
            </w:r>
          </w:p>
        </w:tc>
        <w:tc>
          <w:tcPr>
            <w:tcW w:w="840" w:type="dxa"/>
            <w:tcBorders>
              <w:left w:val="single" w:sz="6" w:space="0" w:color="000000"/>
              <w:bottom w:val="single" w:sz="6" w:space="0" w:color="000000"/>
              <w:right w:val="single" w:sz="6" w:space="0" w:color="000000"/>
            </w:tcBorders>
          </w:tcPr>
          <w:p>
            <w:pPr>
              <w:pStyle w:val="TableParagraph"/>
              <w:spacing w:before="144"/>
              <w:ind w:left="168" w:right="139"/>
              <w:rPr>
                <w:rFonts w:ascii="Times New Roman"/>
                <w:sz w:val="21"/>
              </w:rPr>
            </w:pPr>
            <w:r>
              <w:rPr>
                <w:rFonts w:ascii="Times New Roman"/>
                <w:sz w:val="21"/>
              </w:rPr>
              <w:t>4.12</w:t>
            </w:r>
          </w:p>
        </w:tc>
        <w:tc>
          <w:tcPr>
            <w:tcW w:w="626" w:type="dxa"/>
            <w:tcBorders>
              <w:left w:val="single" w:sz="6" w:space="0" w:color="000000"/>
              <w:bottom w:val="single" w:sz="6" w:space="0" w:color="000000"/>
              <w:right w:val="single" w:sz="6" w:space="0" w:color="000000"/>
            </w:tcBorders>
          </w:tcPr>
          <w:p>
            <w:pPr>
              <w:pStyle w:val="TableParagraph"/>
              <w:spacing w:line="369" w:lineRule="exact"/>
              <w:ind w:left="31"/>
              <w:rPr>
                <w:sz w:val="21"/>
              </w:rPr>
            </w:pPr>
            <w:r>
              <w:rPr>
                <w:w w:val="100"/>
                <w:sz w:val="21"/>
              </w:rPr>
              <w:t>准</w:t>
            </w:r>
          </w:p>
        </w:tc>
        <w:tc>
          <w:tcPr>
            <w:tcW w:w="739" w:type="dxa"/>
            <w:tcBorders>
              <w:left w:val="single" w:sz="6" w:space="0" w:color="000000"/>
              <w:bottom w:val="single" w:sz="6" w:space="0" w:color="000000"/>
              <w:right w:val="single" w:sz="6" w:space="0" w:color="000000"/>
            </w:tcBorders>
          </w:tcPr>
          <w:p>
            <w:pPr>
              <w:pStyle w:val="TableParagraph"/>
              <w:spacing w:before="144"/>
              <w:ind w:left="194"/>
              <w:jc w:val="left"/>
              <w:rPr>
                <w:rFonts w:ascii="Times New Roman"/>
                <w:sz w:val="21"/>
              </w:rPr>
            </w:pPr>
            <w:r>
              <w:rPr>
                <w:rFonts w:ascii="Times New Roman"/>
                <w:sz w:val="21"/>
              </w:rPr>
              <w:t>4.11</w:t>
            </w:r>
          </w:p>
        </w:tc>
        <w:tc>
          <w:tcPr>
            <w:tcW w:w="839" w:type="dxa"/>
            <w:tcBorders>
              <w:left w:val="single" w:sz="6" w:space="0" w:color="000000"/>
              <w:bottom w:val="single" w:sz="6" w:space="0" w:color="000000"/>
              <w:right w:val="single" w:sz="6" w:space="0" w:color="000000"/>
            </w:tcBorders>
          </w:tcPr>
          <w:p>
            <w:pPr>
              <w:pStyle w:val="TableParagraph"/>
              <w:spacing w:before="144"/>
              <w:ind w:left="193" w:right="166"/>
              <w:rPr>
                <w:rFonts w:ascii="Times New Roman"/>
                <w:sz w:val="21"/>
              </w:rPr>
            </w:pPr>
            <w:r>
              <w:rPr>
                <w:rFonts w:ascii="Times New Roman"/>
                <w:sz w:val="21"/>
              </w:rPr>
              <w:t>4.12</w:t>
            </w:r>
          </w:p>
        </w:tc>
        <w:tc>
          <w:tcPr>
            <w:tcW w:w="628" w:type="dxa"/>
            <w:tcBorders>
              <w:left w:val="single" w:sz="6" w:space="0" w:color="000000"/>
              <w:bottom w:val="single" w:sz="6" w:space="0" w:color="000000"/>
              <w:right w:val="single" w:sz="6" w:space="0" w:color="000000"/>
            </w:tcBorders>
          </w:tcPr>
          <w:p>
            <w:pPr>
              <w:pStyle w:val="TableParagraph"/>
              <w:spacing w:before="144"/>
              <w:ind w:left="119" w:right="83"/>
              <w:rPr>
                <w:rFonts w:ascii="Times New Roman"/>
                <w:sz w:val="21"/>
              </w:rPr>
            </w:pPr>
            <w:r>
              <w:rPr>
                <w:rFonts w:ascii="Times New Roman"/>
                <w:sz w:val="21"/>
              </w:rPr>
              <w:t>4.11</w:t>
            </w:r>
          </w:p>
        </w:tc>
        <w:tc>
          <w:tcPr>
            <w:tcW w:w="630" w:type="dxa"/>
            <w:tcBorders>
              <w:left w:val="single" w:sz="6" w:space="0" w:color="000000"/>
              <w:bottom w:val="single" w:sz="6" w:space="0" w:color="000000"/>
              <w:right w:val="single" w:sz="6" w:space="0" w:color="000000"/>
            </w:tcBorders>
          </w:tcPr>
          <w:p>
            <w:pPr>
              <w:pStyle w:val="TableParagraph"/>
              <w:spacing w:before="144"/>
              <w:ind w:left="122" w:right="84"/>
              <w:rPr>
                <w:rFonts w:ascii="Times New Roman"/>
                <w:sz w:val="21"/>
              </w:rPr>
            </w:pPr>
            <w:r>
              <w:rPr>
                <w:rFonts w:ascii="Times New Roman"/>
                <w:sz w:val="21"/>
              </w:rPr>
              <w:t>4.12</w:t>
            </w:r>
          </w:p>
        </w:tc>
        <w:tc>
          <w:tcPr>
            <w:tcW w:w="628" w:type="dxa"/>
            <w:tcBorders>
              <w:left w:val="single" w:sz="6" w:space="0" w:color="000000"/>
              <w:bottom w:val="single" w:sz="6" w:space="0" w:color="000000"/>
              <w:right w:val="single" w:sz="6" w:space="0" w:color="000000"/>
            </w:tcBorders>
          </w:tcPr>
          <w:p>
            <w:pPr>
              <w:pStyle w:val="TableParagraph"/>
              <w:spacing w:line="369" w:lineRule="exact"/>
              <w:ind w:left="220"/>
              <w:jc w:val="left"/>
              <w:rPr>
                <w:sz w:val="21"/>
              </w:rPr>
            </w:pPr>
            <w:r>
              <w:rPr>
                <w:w w:val="100"/>
                <w:sz w:val="21"/>
              </w:rPr>
              <w:t>准</w:t>
            </w:r>
          </w:p>
        </w:tc>
        <w:tc>
          <w:tcPr>
            <w:tcW w:w="695" w:type="dxa"/>
            <w:tcBorders>
              <w:left w:val="single" w:sz="6" w:space="0" w:color="000000"/>
              <w:bottom w:val="single" w:sz="6" w:space="0" w:color="000000"/>
              <w:right w:val="single" w:sz="6" w:space="0" w:color="000000"/>
            </w:tcBorders>
          </w:tcPr>
          <w:p>
            <w:pPr>
              <w:pStyle w:val="TableParagraph"/>
              <w:spacing w:before="144"/>
              <w:ind w:left="97" w:right="54"/>
              <w:rPr>
                <w:rFonts w:ascii="Times New Roman"/>
                <w:sz w:val="21"/>
              </w:rPr>
            </w:pPr>
            <w:r>
              <w:rPr>
                <w:rFonts w:ascii="Times New Roman"/>
                <w:sz w:val="21"/>
              </w:rPr>
              <w:t>4.11</w:t>
            </w:r>
          </w:p>
        </w:tc>
        <w:tc>
          <w:tcPr>
            <w:tcW w:w="582" w:type="dxa"/>
            <w:tcBorders>
              <w:left w:val="single" w:sz="6" w:space="0" w:color="000000"/>
              <w:bottom w:val="single" w:sz="6" w:space="0" w:color="000000"/>
            </w:tcBorders>
          </w:tcPr>
          <w:p>
            <w:pPr>
              <w:pStyle w:val="TableParagraph"/>
              <w:spacing w:before="144"/>
              <w:ind w:left="52"/>
              <w:rPr>
                <w:rFonts w:ascii="Times New Roman"/>
                <w:sz w:val="21"/>
              </w:rPr>
            </w:pPr>
            <w:r>
              <w:rPr>
                <w:rFonts w:ascii="Times New Roman"/>
                <w:sz w:val="21"/>
              </w:rPr>
              <w:t>4.12</w:t>
            </w:r>
          </w:p>
        </w:tc>
      </w:tr>
      <w:tr>
        <w:trPr>
          <w:trHeight w:val="313" w:hRule="atLeast"/>
        </w:trPr>
        <w:tc>
          <w:tcPr>
            <w:tcW w:w="1476" w:type="dxa"/>
            <w:tcBorders>
              <w:top w:val="single" w:sz="6" w:space="0" w:color="000000"/>
              <w:bottom w:val="single" w:sz="6" w:space="0" w:color="000000"/>
              <w:right w:val="single" w:sz="6" w:space="0" w:color="000000"/>
            </w:tcBorders>
          </w:tcPr>
          <w:p>
            <w:pPr>
              <w:pStyle w:val="TableParagraph"/>
              <w:spacing w:line="294" w:lineRule="exact"/>
              <w:ind w:left="88" w:right="62"/>
              <w:rPr>
                <w:sz w:val="21"/>
              </w:rPr>
            </w:pPr>
            <w:r>
              <w:rPr>
                <w:rFonts w:ascii="Times New Roman" w:eastAsia="Times New Roman"/>
                <w:sz w:val="21"/>
              </w:rPr>
              <w:t>1#</w:t>
            </w:r>
            <w:r>
              <w:rPr>
                <w:sz w:val="21"/>
              </w:rPr>
              <w:t>东北厂界</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29"/>
              <w:ind w:left="239"/>
              <w:jc w:val="left"/>
              <w:rPr>
                <w:rFonts w:ascii="Times New Roman"/>
                <w:sz w:val="21"/>
              </w:rPr>
            </w:pPr>
            <w:r>
              <w:rPr>
                <w:rFonts w:ascii="Times New Roman"/>
                <w:sz w:val="21"/>
              </w:rPr>
              <w:t>53.8</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29"/>
              <w:ind w:left="168" w:right="139"/>
              <w:rPr>
                <w:rFonts w:ascii="Times New Roman"/>
                <w:sz w:val="21"/>
              </w:rPr>
            </w:pPr>
            <w:r>
              <w:rPr>
                <w:rFonts w:ascii="Times New Roman"/>
                <w:sz w:val="21"/>
              </w:rPr>
              <w:t>52.4</w:t>
            </w:r>
          </w:p>
        </w:tc>
        <w:tc>
          <w:tcPr>
            <w:tcW w:w="62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2"/>
              </w:rPr>
            </w:pPr>
          </w:p>
          <w:p>
            <w:pPr>
              <w:pStyle w:val="TableParagraph"/>
              <w:spacing w:before="4"/>
              <w:jc w:val="left"/>
              <w:rPr>
                <w:sz w:val="18"/>
              </w:rPr>
            </w:pPr>
          </w:p>
          <w:p>
            <w:pPr>
              <w:pStyle w:val="TableParagraph"/>
              <w:ind w:left="211"/>
              <w:jc w:val="left"/>
              <w:rPr>
                <w:rFonts w:ascii="Times New Roman"/>
                <w:sz w:val="21"/>
              </w:rPr>
            </w:pPr>
            <w:r>
              <w:rPr>
                <w:rFonts w:ascii="Times New Roman"/>
                <w:sz w:val="21"/>
              </w:rPr>
              <w:t>60</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36"/>
              <w:ind w:left="209"/>
              <w:jc w:val="left"/>
              <w:rPr>
                <w:rFonts w:ascii="Times New Roman"/>
                <w:sz w:val="21"/>
              </w:rPr>
            </w:pPr>
            <w:r>
              <w:rPr>
                <w:rFonts w:ascii="Times New Roman"/>
                <w:sz w:val="21"/>
              </w:rPr>
              <w:t>-6.2</w:t>
            </w:r>
          </w:p>
        </w:tc>
        <w:tc>
          <w:tcPr>
            <w:tcW w:w="839" w:type="dxa"/>
            <w:tcBorders>
              <w:top w:val="single" w:sz="6" w:space="0" w:color="000000"/>
              <w:left w:val="single" w:sz="6" w:space="0" w:color="000000"/>
              <w:bottom w:val="single" w:sz="6" w:space="0" w:color="000000"/>
              <w:right w:val="single" w:sz="6" w:space="0" w:color="000000"/>
            </w:tcBorders>
          </w:tcPr>
          <w:p>
            <w:pPr>
              <w:pStyle w:val="TableParagraph"/>
              <w:spacing w:before="36"/>
              <w:ind w:left="188" w:right="166"/>
              <w:rPr>
                <w:rFonts w:ascii="Times New Roman"/>
                <w:sz w:val="21"/>
              </w:rPr>
            </w:pPr>
            <w:r>
              <w:rPr>
                <w:rFonts w:ascii="Times New Roman"/>
                <w:sz w:val="21"/>
              </w:rPr>
              <w:t>-7.6</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29"/>
              <w:ind w:left="117" w:right="84"/>
              <w:rPr>
                <w:rFonts w:ascii="Times New Roman"/>
                <w:sz w:val="21"/>
              </w:rPr>
            </w:pPr>
            <w:r>
              <w:rPr>
                <w:rFonts w:ascii="Times New Roman"/>
                <w:sz w:val="21"/>
              </w:rPr>
              <w:t>48.9</w:t>
            </w:r>
          </w:p>
        </w:tc>
        <w:tc>
          <w:tcPr>
            <w:tcW w:w="630"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84"/>
              <w:rPr>
                <w:rFonts w:ascii="Times New Roman"/>
                <w:sz w:val="21"/>
              </w:rPr>
            </w:pPr>
            <w:r>
              <w:rPr>
                <w:rFonts w:ascii="Times New Roman"/>
                <w:sz w:val="21"/>
              </w:rPr>
              <w:t>49.7</w:t>
            </w:r>
          </w:p>
        </w:tc>
        <w:tc>
          <w:tcPr>
            <w:tcW w:w="62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2"/>
              </w:rPr>
            </w:pPr>
          </w:p>
          <w:p>
            <w:pPr>
              <w:pStyle w:val="TableParagraph"/>
              <w:spacing w:before="4"/>
              <w:jc w:val="left"/>
              <w:rPr>
                <w:sz w:val="18"/>
              </w:rPr>
            </w:pPr>
          </w:p>
          <w:p>
            <w:pPr>
              <w:pStyle w:val="TableParagraph"/>
              <w:ind w:left="220"/>
              <w:jc w:val="left"/>
              <w:rPr>
                <w:rFonts w:ascii="Times New Roman"/>
                <w:sz w:val="21"/>
              </w:rPr>
            </w:pPr>
            <w:r>
              <w:rPr>
                <w:rFonts w:ascii="Times New Roman"/>
                <w:sz w:val="21"/>
              </w:rPr>
              <w:t>50</w:t>
            </w:r>
          </w:p>
        </w:tc>
        <w:tc>
          <w:tcPr>
            <w:tcW w:w="695" w:type="dxa"/>
            <w:tcBorders>
              <w:top w:val="single" w:sz="6" w:space="0" w:color="000000"/>
              <w:left w:val="single" w:sz="6" w:space="0" w:color="000000"/>
              <w:bottom w:val="single" w:sz="6" w:space="0" w:color="000000"/>
              <w:right w:val="single" w:sz="6" w:space="0" w:color="000000"/>
            </w:tcBorders>
          </w:tcPr>
          <w:p>
            <w:pPr>
              <w:pStyle w:val="TableParagraph"/>
              <w:spacing w:before="36"/>
              <w:ind w:left="93" w:right="57"/>
              <w:rPr>
                <w:rFonts w:ascii="Times New Roman"/>
                <w:sz w:val="21"/>
              </w:rPr>
            </w:pPr>
            <w:r>
              <w:rPr>
                <w:rFonts w:ascii="Times New Roman"/>
                <w:sz w:val="21"/>
              </w:rPr>
              <w:t>-1.1</w:t>
            </w:r>
          </w:p>
        </w:tc>
        <w:tc>
          <w:tcPr>
            <w:tcW w:w="582" w:type="dxa"/>
            <w:tcBorders>
              <w:top w:val="single" w:sz="6" w:space="0" w:color="000000"/>
              <w:left w:val="single" w:sz="6" w:space="0" w:color="000000"/>
              <w:bottom w:val="single" w:sz="6" w:space="0" w:color="000000"/>
            </w:tcBorders>
          </w:tcPr>
          <w:p>
            <w:pPr>
              <w:pStyle w:val="TableParagraph"/>
              <w:spacing w:before="36"/>
              <w:ind w:left="38"/>
              <w:rPr>
                <w:rFonts w:ascii="Times New Roman"/>
                <w:sz w:val="21"/>
              </w:rPr>
            </w:pPr>
            <w:r>
              <w:rPr>
                <w:rFonts w:ascii="Times New Roman"/>
                <w:sz w:val="21"/>
              </w:rPr>
              <w:t>-0.3</w:t>
            </w:r>
          </w:p>
        </w:tc>
      </w:tr>
      <w:tr>
        <w:trPr>
          <w:trHeight w:val="311" w:hRule="atLeast"/>
        </w:trPr>
        <w:tc>
          <w:tcPr>
            <w:tcW w:w="1476" w:type="dxa"/>
            <w:tcBorders>
              <w:top w:val="single" w:sz="6" w:space="0" w:color="000000"/>
              <w:bottom w:val="single" w:sz="6" w:space="0" w:color="000000"/>
              <w:right w:val="single" w:sz="6" w:space="0" w:color="000000"/>
            </w:tcBorders>
          </w:tcPr>
          <w:p>
            <w:pPr>
              <w:pStyle w:val="TableParagraph"/>
              <w:spacing w:line="291" w:lineRule="exact"/>
              <w:ind w:left="88" w:right="62"/>
              <w:rPr>
                <w:sz w:val="21"/>
              </w:rPr>
            </w:pPr>
            <w:r>
              <w:rPr>
                <w:rFonts w:ascii="Times New Roman" w:eastAsia="Times New Roman"/>
                <w:sz w:val="21"/>
              </w:rPr>
              <w:t>2#</w:t>
            </w:r>
            <w:r>
              <w:rPr>
                <w:sz w:val="21"/>
              </w:rPr>
              <w:t>东南厂界</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29"/>
              <w:ind w:left="239"/>
              <w:jc w:val="left"/>
              <w:rPr>
                <w:rFonts w:ascii="Times New Roman"/>
                <w:sz w:val="21"/>
              </w:rPr>
            </w:pPr>
            <w:r>
              <w:rPr>
                <w:rFonts w:ascii="Times New Roman"/>
                <w:sz w:val="21"/>
              </w:rPr>
              <w:t>48.9</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29"/>
              <w:ind w:left="168" w:right="139"/>
              <w:rPr>
                <w:rFonts w:ascii="Times New Roman"/>
                <w:sz w:val="21"/>
              </w:rPr>
            </w:pPr>
            <w:r>
              <w:rPr>
                <w:rFonts w:ascii="Times New Roman"/>
                <w:sz w:val="21"/>
              </w:rPr>
              <w:t>59.3</w:t>
            </w:r>
          </w:p>
        </w:tc>
        <w:tc>
          <w:tcPr>
            <w:tcW w:w="626" w:type="dxa"/>
            <w:vMerge/>
            <w:tcBorders>
              <w:top w:val="nil"/>
              <w:left w:val="single" w:sz="6" w:space="0" w:color="000000"/>
              <w:bottom w:val="single" w:sz="6" w:space="0" w:color="000000"/>
              <w:right w:val="single" w:sz="6" w:space="0" w:color="000000"/>
            </w:tcBorders>
          </w:tcPr>
          <w:p>
            <w:pPr>
              <w:rPr>
                <w:sz w:val="2"/>
                <w:szCs w:val="2"/>
              </w:rPr>
            </w:pP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34"/>
              <w:ind w:left="161"/>
              <w:jc w:val="left"/>
              <w:rPr>
                <w:rFonts w:ascii="Times New Roman"/>
                <w:sz w:val="21"/>
              </w:rPr>
            </w:pPr>
            <w:r>
              <w:rPr>
                <w:rFonts w:ascii="Times New Roman"/>
                <w:sz w:val="21"/>
              </w:rPr>
              <w:t>-11.1</w:t>
            </w:r>
          </w:p>
        </w:tc>
        <w:tc>
          <w:tcPr>
            <w:tcW w:w="839" w:type="dxa"/>
            <w:tcBorders>
              <w:top w:val="single" w:sz="6" w:space="0" w:color="000000"/>
              <w:left w:val="single" w:sz="6" w:space="0" w:color="000000"/>
              <w:bottom w:val="single" w:sz="6" w:space="0" w:color="000000"/>
              <w:right w:val="single" w:sz="6" w:space="0" w:color="000000"/>
            </w:tcBorders>
          </w:tcPr>
          <w:p>
            <w:pPr>
              <w:pStyle w:val="TableParagraph"/>
              <w:spacing w:before="34"/>
              <w:ind w:left="188" w:right="166"/>
              <w:rPr>
                <w:rFonts w:ascii="Times New Roman"/>
                <w:sz w:val="21"/>
              </w:rPr>
            </w:pPr>
            <w:r>
              <w:rPr>
                <w:rFonts w:ascii="Times New Roman"/>
                <w:sz w:val="21"/>
              </w:rPr>
              <w:t>-0.7</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29"/>
              <w:ind w:left="117" w:right="84"/>
              <w:rPr>
                <w:rFonts w:ascii="Times New Roman"/>
                <w:sz w:val="21"/>
              </w:rPr>
            </w:pPr>
            <w:r>
              <w:rPr>
                <w:rFonts w:ascii="Times New Roman"/>
                <w:sz w:val="21"/>
              </w:rPr>
              <w:t>43.7</w:t>
            </w:r>
          </w:p>
        </w:tc>
        <w:tc>
          <w:tcPr>
            <w:tcW w:w="630"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84"/>
              <w:rPr>
                <w:rFonts w:ascii="Times New Roman"/>
                <w:sz w:val="21"/>
              </w:rPr>
            </w:pPr>
            <w:r>
              <w:rPr>
                <w:rFonts w:ascii="Times New Roman"/>
                <w:sz w:val="21"/>
              </w:rPr>
              <w:t>46.9</w:t>
            </w:r>
          </w:p>
        </w:tc>
        <w:tc>
          <w:tcPr>
            <w:tcW w:w="628" w:type="dxa"/>
            <w:vMerge/>
            <w:tcBorders>
              <w:top w:val="nil"/>
              <w:left w:val="single" w:sz="6" w:space="0" w:color="000000"/>
              <w:bottom w:val="single" w:sz="6" w:space="0" w:color="000000"/>
              <w:right w:val="single" w:sz="6" w:space="0" w:color="000000"/>
            </w:tcBorders>
          </w:tcPr>
          <w:p>
            <w:pPr>
              <w:rPr>
                <w:sz w:val="2"/>
                <w:szCs w:val="2"/>
              </w:rPr>
            </w:pPr>
          </w:p>
        </w:tc>
        <w:tc>
          <w:tcPr>
            <w:tcW w:w="695" w:type="dxa"/>
            <w:tcBorders>
              <w:top w:val="single" w:sz="6" w:space="0" w:color="000000"/>
              <w:left w:val="single" w:sz="6" w:space="0" w:color="000000"/>
              <w:bottom w:val="single" w:sz="6" w:space="0" w:color="000000"/>
              <w:right w:val="single" w:sz="6" w:space="0" w:color="000000"/>
            </w:tcBorders>
          </w:tcPr>
          <w:p>
            <w:pPr>
              <w:pStyle w:val="TableParagraph"/>
              <w:spacing w:before="34"/>
              <w:ind w:left="93" w:right="57"/>
              <w:rPr>
                <w:rFonts w:ascii="Times New Roman"/>
                <w:sz w:val="21"/>
              </w:rPr>
            </w:pPr>
            <w:r>
              <w:rPr>
                <w:rFonts w:ascii="Times New Roman"/>
                <w:sz w:val="21"/>
              </w:rPr>
              <w:t>-6.3</w:t>
            </w:r>
          </w:p>
        </w:tc>
        <w:tc>
          <w:tcPr>
            <w:tcW w:w="582" w:type="dxa"/>
            <w:tcBorders>
              <w:top w:val="single" w:sz="6" w:space="0" w:color="000000"/>
              <w:left w:val="single" w:sz="6" w:space="0" w:color="000000"/>
              <w:bottom w:val="single" w:sz="6" w:space="0" w:color="000000"/>
            </w:tcBorders>
          </w:tcPr>
          <w:p>
            <w:pPr>
              <w:pStyle w:val="TableParagraph"/>
              <w:spacing w:before="34"/>
              <w:ind w:left="38"/>
              <w:rPr>
                <w:rFonts w:ascii="Times New Roman"/>
                <w:sz w:val="21"/>
              </w:rPr>
            </w:pPr>
            <w:r>
              <w:rPr>
                <w:rFonts w:ascii="Times New Roman"/>
                <w:sz w:val="21"/>
              </w:rPr>
              <w:t>-3.1</w:t>
            </w:r>
          </w:p>
        </w:tc>
      </w:tr>
      <w:tr>
        <w:trPr>
          <w:trHeight w:val="311" w:hRule="atLeast"/>
        </w:trPr>
        <w:tc>
          <w:tcPr>
            <w:tcW w:w="1476" w:type="dxa"/>
            <w:tcBorders>
              <w:top w:val="single" w:sz="6" w:space="0" w:color="000000"/>
              <w:bottom w:val="single" w:sz="6" w:space="0" w:color="000000"/>
              <w:right w:val="single" w:sz="6" w:space="0" w:color="000000"/>
            </w:tcBorders>
          </w:tcPr>
          <w:p>
            <w:pPr>
              <w:pStyle w:val="TableParagraph"/>
              <w:spacing w:line="291" w:lineRule="exact"/>
              <w:ind w:left="88" w:right="62"/>
              <w:rPr>
                <w:sz w:val="21"/>
              </w:rPr>
            </w:pPr>
            <w:r>
              <w:rPr>
                <w:rFonts w:ascii="Times New Roman" w:eastAsia="Times New Roman"/>
                <w:sz w:val="21"/>
              </w:rPr>
              <w:t>3#</w:t>
            </w:r>
            <w:r>
              <w:rPr>
                <w:sz w:val="21"/>
              </w:rPr>
              <w:t>南厂界</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29"/>
              <w:ind w:left="239"/>
              <w:jc w:val="left"/>
              <w:rPr>
                <w:rFonts w:ascii="Times New Roman"/>
                <w:sz w:val="21"/>
              </w:rPr>
            </w:pPr>
            <w:r>
              <w:rPr>
                <w:rFonts w:ascii="Times New Roman"/>
                <w:sz w:val="21"/>
              </w:rPr>
              <w:t>49.7</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29"/>
              <w:ind w:left="168" w:right="139"/>
              <w:rPr>
                <w:rFonts w:ascii="Times New Roman"/>
                <w:sz w:val="21"/>
              </w:rPr>
            </w:pPr>
            <w:r>
              <w:rPr>
                <w:rFonts w:ascii="Times New Roman"/>
                <w:sz w:val="21"/>
              </w:rPr>
              <w:t>51.5</w:t>
            </w:r>
          </w:p>
        </w:tc>
        <w:tc>
          <w:tcPr>
            <w:tcW w:w="626" w:type="dxa"/>
            <w:vMerge/>
            <w:tcBorders>
              <w:top w:val="nil"/>
              <w:left w:val="single" w:sz="6" w:space="0" w:color="000000"/>
              <w:bottom w:val="single" w:sz="6" w:space="0" w:color="000000"/>
              <w:right w:val="single" w:sz="6" w:space="0" w:color="000000"/>
            </w:tcBorders>
          </w:tcPr>
          <w:p>
            <w:pPr>
              <w:rPr>
                <w:sz w:val="2"/>
                <w:szCs w:val="2"/>
              </w:rPr>
            </w:pP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34"/>
              <w:ind w:left="156"/>
              <w:jc w:val="left"/>
              <w:rPr>
                <w:rFonts w:ascii="Times New Roman"/>
                <w:sz w:val="21"/>
              </w:rPr>
            </w:pPr>
            <w:r>
              <w:rPr>
                <w:rFonts w:ascii="Times New Roman"/>
                <w:sz w:val="21"/>
              </w:rPr>
              <w:t>-10.3</w:t>
            </w:r>
          </w:p>
        </w:tc>
        <w:tc>
          <w:tcPr>
            <w:tcW w:w="839" w:type="dxa"/>
            <w:tcBorders>
              <w:top w:val="single" w:sz="6" w:space="0" w:color="000000"/>
              <w:left w:val="single" w:sz="6" w:space="0" w:color="000000"/>
              <w:bottom w:val="single" w:sz="6" w:space="0" w:color="000000"/>
              <w:right w:val="single" w:sz="6" w:space="0" w:color="000000"/>
            </w:tcBorders>
          </w:tcPr>
          <w:p>
            <w:pPr>
              <w:pStyle w:val="TableParagraph"/>
              <w:spacing w:before="34"/>
              <w:ind w:left="188" w:right="166"/>
              <w:rPr>
                <w:rFonts w:ascii="Times New Roman"/>
                <w:sz w:val="21"/>
              </w:rPr>
            </w:pPr>
            <w:r>
              <w:rPr>
                <w:rFonts w:ascii="Times New Roman"/>
                <w:sz w:val="21"/>
              </w:rPr>
              <w:t>-8.5</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29"/>
              <w:ind w:left="117" w:right="84"/>
              <w:rPr>
                <w:rFonts w:ascii="Times New Roman"/>
                <w:sz w:val="21"/>
              </w:rPr>
            </w:pPr>
            <w:r>
              <w:rPr>
                <w:rFonts w:ascii="Times New Roman"/>
                <w:sz w:val="21"/>
              </w:rPr>
              <w:t>48.4</w:t>
            </w:r>
          </w:p>
        </w:tc>
        <w:tc>
          <w:tcPr>
            <w:tcW w:w="630"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84"/>
              <w:rPr>
                <w:rFonts w:ascii="Times New Roman"/>
                <w:sz w:val="21"/>
              </w:rPr>
            </w:pPr>
            <w:r>
              <w:rPr>
                <w:rFonts w:ascii="Times New Roman"/>
                <w:sz w:val="21"/>
              </w:rPr>
              <w:t>49.0</w:t>
            </w:r>
          </w:p>
        </w:tc>
        <w:tc>
          <w:tcPr>
            <w:tcW w:w="628" w:type="dxa"/>
            <w:vMerge/>
            <w:tcBorders>
              <w:top w:val="nil"/>
              <w:left w:val="single" w:sz="6" w:space="0" w:color="000000"/>
              <w:bottom w:val="single" w:sz="6" w:space="0" w:color="000000"/>
              <w:right w:val="single" w:sz="6" w:space="0" w:color="000000"/>
            </w:tcBorders>
          </w:tcPr>
          <w:p>
            <w:pPr>
              <w:rPr>
                <w:sz w:val="2"/>
                <w:szCs w:val="2"/>
              </w:rPr>
            </w:pPr>
          </w:p>
        </w:tc>
        <w:tc>
          <w:tcPr>
            <w:tcW w:w="695" w:type="dxa"/>
            <w:tcBorders>
              <w:top w:val="single" w:sz="6" w:space="0" w:color="000000"/>
              <w:left w:val="single" w:sz="6" w:space="0" w:color="000000"/>
              <w:bottom w:val="single" w:sz="6" w:space="0" w:color="000000"/>
              <w:right w:val="single" w:sz="6" w:space="0" w:color="000000"/>
            </w:tcBorders>
          </w:tcPr>
          <w:p>
            <w:pPr>
              <w:pStyle w:val="TableParagraph"/>
              <w:spacing w:before="34"/>
              <w:ind w:left="93" w:right="57"/>
              <w:rPr>
                <w:rFonts w:ascii="Times New Roman"/>
                <w:sz w:val="21"/>
              </w:rPr>
            </w:pPr>
            <w:r>
              <w:rPr>
                <w:rFonts w:ascii="Times New Roman"/>
                <w:sz w:val="21"/>
              </w:rPr>
              <w:t>-1.6</w:t>
            </w:r>
          </w:p>
        </w:tc>
        <w:tc>
          <w:tcPr>
            <w:tcW w:w="582" w:type="dxa"/>
            <w:tcBorders>
              <w:top w:val="single" w:sz="6" w:space="0" w:color="000000"/>
              <w:left w:val="single" w:sz="6" w:space="0" w:color="000000"/>
              <w:bottom w:val="single" w:sz="6" w:space="0" w:color="000000"/>
            </w:tcBorders>
          </w:tcPr>
          <w:p>
            <w:pPr>
              <w:pStyle w:val="TableParagraph"/>
              <w:spacing w:before="34"/>
              <w:ind w:left="38"/>
              <w:rPr>
                <w:rFonts w:ascii="Times New Roman"/>
                <w:sz w:val="21"/>
              </w:rPr>
            </w:pPr>
            <w:r>
              <w:rPr>
                <w:rFonts w:ascii="Times New Roman"/>
                <w:sz w:val="21"/>
              </w:rPr>
              <w:t>-1</w:t>
            </w:r>
          </w:p>
        </w:tc>
      </w:tr>
      <w:tr>
        <w:trPr>
          <w:trHeight w:val="311" w:hRule="atLeast"/>
        </w:trPr>
        <w:tc>
          <w:tcPr>
            <w:tcW w:w="1476" w:type="dxa"/>
            <w:tcBorders>
              <w:top w:val="single" w:sz="6" w:space="0" w:color="000000"/>
              <w:bottom w:val="single" w:sz="6" w:space="0" w:color="000000"/>
              <w:right w:val="single" w:sz="6" w:space="0" w:color="000000"/>
            </w:tcBorders>
          </w:tcPr>
          <w:p>
            <w:pPr>
              <w:pStyle w:val="TableParagraph"/>
              <w:spacing w:line="291" w:lineRule="exact"/>
              <w:ind w:left="88" w:right="62"/>
              <w:rPr>
                <w:sz w:val="21"/>
              </w:rPr>
            </w:pPr>
            <w:r>
              <w:rPr>
                <w:rFonts w:ascii="Times New Roman" w:eastAsia="Times New Roman"/>
                <w:sz w:val="21"/>
              </w:rPr>
              <w:t>4#</w:t>
            </w:r>
            <w:r>
              <w:rPr>
                <w:sz w:val="21"/>
              </w:rPr>
              <w:t>西厂界</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29"/>
              <w:ind w:left="239"/>
              <w:jc w:val="left"/>
              <w:rPr>
                <w:rFonts w:ascii="Times New Roman"/>
                <w:sz w:val="21"/>
              </w:rPr>
            </w:pPr>
            <w:r>
              <w:rPr>
                <w:rFonts w:ascii="Times New Roman"/>
                <w:sz w:val="21"/>
              </w:rPr>
              <w:t>51.5</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29"/>
              <w:ind w:left="168" w:right="139"/>
              <w:rPr>
                <w:rFonts w:ascii="Times New Roman"/>
                <w:sz w:val="21"/>
              </w:rPr>
            </w:pPr>
            <w:r>
              <w:rPr>
                <w:rFonts w:ascii="Times New Roman"/>
                <w:sz w:val="21"/>
              </w:rPr>
              <w:t>50.7</w:t>
            </w:r>
          </w:p>
        </w:tc>
        <w:tc>
          <w:tcPr>
            <w:tcW w:w="626" w:type="dxa"/>
            <w:vMerge/>
            <w:tcBorders>
              <w:top w:val="nil"/>
              <w:left w:val="single" w:sz="6" w:space="0" w:color="000000"/>
              <w:bottom w:val="single" w:sz="6" w:space="0" w:color="000000"/>
              <w:right w:val="single" w:sz="6" w:space="0" w:color="000000"/>
            </w:tcBorders>
          </w:tcPr>
          <w:p>
            <w:pPr>
              <w:rPr>
                <w:sz w:val="2"/>
                <w:szCs w:val="2"/>
              </w:rPr>
            </w:pP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34"/>
              <w:ind w:left="209"/>
              <w:jc w:val="left"/>
              <w:rPr>
                <w:rFonts w:ascii="Times New Roman"/>
                <w:sz w:val="21"/>
              </w:rPr>
            </w:pPr>
            <w:r>
              <w:rPr>
                <w:rFonts w:ascii="Times New Roman"/>
                <w:sz w:val="21"/>
              </w:rPr>
              <w:t>-8.5</w:t>
            </w:r>
          </w:p>
        </w:tc>
        <w:tc>
          <w:tcPr>
            <w:tcW w:w="839" w:type="dxa"/>
            <w:tcBorders>
              <w:top w:val="single" w:sz="6" w:space="0" w:color="000000"/>
              <w:left w:val="single" w:sz="6" w:space="0" w:color="000000"/>
              <w:bottom w:val="single" w:sz="6" w:space="0" w:color="000000"/>
              <w:right w:val="single" w:sz="6" w:space="0" w:color="000000"/>
            </w:tcBorders>
          </w:tcPr>
          <w:p>
            <w:pPr>
              <w:pStyle w:val="TableParagraph"/>
              <w:spacing w:before="34"/>
              <w:ind w:left="188" w:right="166"/>
              <w:rPr>
                <w:rFonts w:ascii="Times New Roman"/>
                <w:sz w:val="21"/>
              </w:rPr>
            </w:pPr>
            <w:r>
              <w:rPr>
                <w:rFonts w:ascii="Times New Roman"/>
                <w:sz w:val="21"/>
              </w:rPr>
              <w:t>-9.3</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29"/>
              <w:ind w:left="117" w:right="84"/>
              <w:rPr>
                <w:rFonts w:ascii="Times New Roman"/>
                <w:sz w:val="21"/>
              </w:rPr>
            </w:pPr>
            <w:r>
              <w:rPr>
                <w:rFonts w:ascii="Times New Roman"/>
                <w:sz w:val="21"/>
              </w:rPr>
              <w:t>48.1</w:t>
            </w:r>
          </w:p>
        </w:tc>
        <w:tc>
          <w:tcPr>
            <w:tcW w:w="630"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84"/>
              <w:rPr>
                <w:rFonts w:ascii="Times New Roman"/>
                <w:sz w:val="21"/>
              </w:rPr>
            </w:pPr>
            <w:r>
              <w:rPr>
                <w:rFonts w:ascii="Times New Roman"/>
                <w:sz w:val="21"/>
              </w:rPr>
              <w:t>48.7</w:t>
            </w:r>
          </w:p>
        </w:tc>
        <w:tc>
          <w:tcPr>
            <w:tcW w:w="628" w:type="dxa"/>
            <w:vMerge/>
            <w:tcBorders>
              <w:top w:val="nil"/>
              <w:left w:val="single" w:sz="6" w:space="0" w:color="000000"/>
              <w:bottom w:val="single" w:sz="6" w:space="0" w:color="000000"/>
              <w:right w:val="single" w:sz="6" w:space="0" w:color="000000"/>
            </w:tcBorders>
          </w:tcPr>
          <w:p>
            <w:pPr>
              <w:rPr>
                <w:sz w:val="2"/>
                <w:szCs w:val="2"/>
              </w:rPr>
            </w:pPr>
          </w:p>
        </w:tc>
        <w:tc>
          <w:tcPr>
            <w:tcW w:w="695" w:type="dxa"/>
            <w:tcBorders>
              <w:top w:val="single" w:sz="6" w:space="0" w:color="000000"/>
              <w:left w:val="single" w:sz="6" w:space="0" w:color="000000"/>
              <w:bottom w:val="single" w:sz="6" w:space="0" w:color="000000"/>
              <w:right w:val="single" w:sz="6" w:space="0" w:color="000000"/>
            </w:tcBorders>
          </w:tcPr>
          <w:p>
            <w:pPr>
              <w:pStyle w:val="TableParagraph"/>
              <w:spacing w:before="34"/>
              <w:ind w:left="93" w:right="57"/>
              <w:rPr>
                <w:rFonts w:ascii="Times New Roman"/>
                <w:sz w:val="21"/>
              </w:rPr>
            </w:pPr>
            <w:r>
              <w:rPr>
                <w:rFonts w:ascii="Times New Roman"/>
                <w:sz w:val="21"/>
              </w:rPr>
              <w:t>-1.9</w:t>
            </w:r>
          </w:p>
        </w:tc>
        <w:tc>
          <w:tcPr>
            <w:tcW w:w="582" w:type="dxa"/>
            <w:tcBorders>
              <w:top w:val="single" w:sz="6" w:space="0" w:color="000000"/>
              <w:left w:val="single" w:sz="6" w:space="0" w:color="000000"/>
              <w:bottom w:val="single" w:sz="6" w:space="0" w:color="000000"/>
            </w:tcBorders>
          </w:tcPr>
          <w:p>
            <w:pPr>
              <w:pStyle w:val="TableParagraph"/>
              <w:spacing w:before="34"/>
              <w:ind w:left="38"/>
              <w:rPr>
                <w:rFonts w:ascii="Times New Roman"/>
                <w:sz w:val="21"/>
              </w:rPr>
            </w:pPr>
            <w:r>
              <w:rPr>
                <w:rFonts w:ascii="Times New Roman"/>
                <w:sz w:val="21"/>
              </w:rPr>
              <w:t>-1.3</w:t>
            </w:r>
          </w:p>
        </w:tc>
      </w:tr>
      <w:tr>
        <w:trPr>
          <w:trHeight w:val="313" w:hRule="atLeast"/>
        </w:trPr>
        <w:tc>
          <w:tcPr>
            <w:tcW w:w="1476" w:type="dxa"/>
            <w:tcBorders>
              <w:top w:val="single" w:sz="6" w:space="0" w:color="000000"/>
              <w:bottom w:val="single" w:sz="6" w:space="0" w:color="000000"/>
              <w:right w:val="single" w:sz="6" w:space="0" w:color="000000"/>
            </w:tcBorders>
          </w:tcPr>
          <w:p>
            <w:pPr>
              <w:pStyle w:val="TableParagraph"/>
              <w:spacing w:line="294" w:lineRule="exact"/>
              <w:ind w:left="88" w:right="62"/>
              <w:rPr>
                <w:sz w:val="21"/>
              </w:rPr>
            </w:pPr>
            <w:r>
              <w:rPr>
                <w:rFonts w:ascii="Times New Roman" w:eastAsia="Times New Roman"/>
                <w:sz w:val="21"/>
              </w:rPr>
              <w:t>5#</w:t>
            </w:r>
            <w:r>
              <w:rPr>
                <w:sz w:val="21"/>
              </w:rPr>
              <w:t>北西厂界</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29"/>
              <w:ind w:left="239"/>
              <w:jc w:val="left"/>
              <w:rPr>
                <w:rFonts w:ascii="Times New Roman"/>
                <w:sz w:val="21"/>
              </w:rPr>
            </w:pPr>
            <w:r>
              <w:rPr>
                <w:rFonts w:ascii="Times New Roman"/>
                <w:sz w:val="21"/>
              </w:rPr>
              <w:t>58.4</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29"/>
              <w:ind w:left="168" w:right="139"/>
              <w:rPr>
                <w:rFonts w:ascii="Times New Roman"/>
                <w:sz w:val="21"/>
              </w:rPr>
            </w:pPr>
            <w:r>
              <w:rPr>
                <w:rFonts w:ascii="Times New Roman"/>
                <w:sz w:val="21"/>
              </w:rPr>
              <w:t>58.7</w:t>
            </w:r>
          </w:p>
        </w:tc>
        <w:tc>
          <w:tcPr>
            <w:tcW w:w="626" w:type="dxa"/>
            <w:vMerge/>
            <w:tcBorders>
              <w:top w:val="nil"/>
              <w:left w:val="single" w:sz="6" w:space="0" w:color="000000"/>
              <w:bottom w:val="single" w:sz="6" w:space="0" w:color="000000"/>
              <w:right w:val="single" w:sz="6" w:space="0" w:color="000000"/>
            </w:tcBorders>
          </w:tcPr>
          <w:p>
            <w:pPr>
              <w:rPr>
                <w:sz w:val="2"/>
                <w:szCs w:val="2"/>
              </w:rPr>
            </w:pP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36"/>
              <w:ind w:left="209"/>
              <w:jc w:val="left"/>
              <w:rPr>
                <w:rFonts w:ascii="Times New Roman"/>
                <w:sz w:val="21"/>
              </w:rPr>
            </w:pPr>
            <w:r>
              <w:rPr>
                <w:rFonts w:ascii="Times New Roman"/>
                <w:sz w:val="21"/>
              </w:rPr>
              <w:t>-1.6</w:t>
            </w:r>
          </w:p>
        </w:tc>
        <w:tc>
          <w:tcPr>
            <w:tcW w:w="839" w:type="dxa"/>
            <w:tcBorders>
              <w:top w:val="single" w:sz="6" w:space="0" w:color="000000"/>
              <w:left w:val="single" w:sz="6" w:space="0" w:color="000000"/>
              <w:bottom w:val="single" w:sz="6" w:space="0" w:color="000000"/>
              <w:right w:val="single" w:sz="6" w:space="0" w:color="000000"/>
            </w:tcBorders>
          </w:tcPr>
          <w:p>
            <w:pPr>
              <w:pStyle w:val="TableParagraph"/>
              <w:spacing w:before="36"/>
              <w:ind w:left="188" w:right="166"/>
              <w:rPr>
                <w:rFonts w:ascii="Times New Roman"/>
                <w:sz w:val="21"/>
              </w:rPr>
            </w:pPr>
            <w:r>
              <w:rPr>
                <w:rFonts w:ascii="Times New Roman"/>
                <w:sz w:val="21"/>
              </w:rPr>
              <w:t>-1.3</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29"/>
              <w:ind w:left="117" w:right="84"/>
              <w:rPr>
                <w:rFonts w:ascii="Times New Roman"/>
                <w:sz w:val="21"/>
              </w:rPr>
            </w:pPr>
            <w:r>
              <w:rPr>
                <w:rFonts w:ascii="Times New Roman"/>
                <w:sz w:val="21"/>
              </w:rPr>
              <w:t>59.7</w:t>
            </w:r>
          </w:p>
        </w:tc>
        <w:tc>
          <w:tcPr>
            <w:tcW w:w="630"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84"/>
              <w:rPr>
                <w:rFonts w:ascii="Times New Roman"/>
                <w:sz w:val="21"/>
              </w:rPr>
            </w:pPr>
            <w:r>
              <w:rPr>
                <w:rFonts w:ascii="Times New Roman"/>
                <w:sz w:val="21"/>
              </w:rPr>
              <w:t>57.1</w:t>
            </w:r>
          </w:p>
        </w:tc>
        <w:tc>
          <w:tcPr>
            <w:tcW w:w="628" w:type="dxa"/>
            <w:vMerge/>
            <w:tcBorders>
              <w:top w:val="nil"/>
              <w:left w:val="single" w:sz="6" w:space="0" w:color="000000"/>
              <w:bottom w:val="single" w:sz="6" w:space="0" w:color="000000"/>
              <w:right w:val="single" w:sz="6" w:space="0" w:color="000000"/>
            </w:tcBorders>
          </w:tcPr>
          <w:p>
            <w:pPr>
              <w:rPr>
                <w:sz w:val="2"/>
                <w:szCs w:val="2"/>
              </w:rPr>
            </w:pPr>
          </w:p>
        </w:tc>
        <w:tc>
          <w:tcPr>
            <w:tcW w:w="695" w:type="dxa"/>
            <w:tcBorders>
              <w:top w:val="single" w:sz="6" w:space="0" w:color="000000"/>
              <w:left w:val="single" w:sz="6" w:space="0" w:color="000000"/>
              <w:bottom w:val="single" w:sz="6" w:space="0" w:color="000000"/>
              <w:right w:val="single" w:sz="6" w:space="0" w:color="000000"/>
            </w:tcBorders>
          </w:tcPr>
          <w:p>
            <w:pPr>
              <w:pStyle w:val="TableParagraph"/>
              <w:spacing w:before="36"/>
              <w:ind w:left="97" w:right="57"/>
              <w:rPr>
                <w:rFonts w:ascii="Times New Roman"/>
                <w:sz w:val="21"/>
              </w:rPr>
            </w:pPr>
            <w:r>
              <w:rPr>
                <w:rFonts w:ascii="Times New Roman"/>
                <w:sz w:val="21"/>
              </w:rPr>
              <w:t>9.7</w:t>
            </w:r>
          </w:p>
        </w:tc>
        <w:tc>
          <w:tcPr>
            <w:tcW w:w="582" w:type="dxa"/>
            <w:tcBorders>
              <w:top w:val="single" w:sz="6" w:space="0" w:color="000000"/>
              <w:left w:val="single" w:sz="6" w:space="0" w:color="000000"/>
              <w:bottom w:val="single" w:sz="6" w:space="0" w:color="000000"/>
            </w:tcBorders>
          </w:tcPr>
          <w:p>
            <w:pPr>
              <w:pStyle w:val="TableParagraph"/>
              <w:spacing w:before="36"/>
              <w:ind w:left="43"/>
              <w:rPr>
                <w:rFonts w:ascii="Times New Roman"/>
                <w:sz w:val="21"/>
              </w:rPr>
            </w:pPr>
            <w:r>
              <w:rPr>
                <w:rFonts w:ascii="Times New Roman"/>
                <w:sz w:val="21"/>
              </w:rPr>
              <w:t>7.1</w:t>
            </w:r>
          </w:p>
        </w:tc>
      </w:tr>
      <w:tr>
        <w:trPr>
          <w:trHeight w:val="311" w:hRule="atLeast"/>
        </w:trPr>
        <w:tc>
          <w:tcPr>
            <w:tcW w:w="1476" w:type="dxa"/>
            <w:tcBorders>
              <w:top w:val="single" w:sz="6" w:space="0" w:color="000000"/>
              <w:bottom w:val="single" w:sz="6" w:space="0" w:color="000000"/>
              <w:right w:val="single" w:sz="6" w:space="0" w:color="000000"/>
            </w:tcBorders>
          </w:tcPr>
          <w:p>
            <w:pPr>
              <w:pStyle w:val="TableParagraph"/>
              <w:spacing w:line="291" w:lineRule="exact"/>
              <w:ind w:left="88" w:right="62"/>
              <w:rPr>
                <w:sz w:val="21"/>
              </w:rPr>
            </w:pPr>
            <w:r>
              <w:rPr>
                <w:rFonts w:ascii="Times New Roman" w:eastAsia="Times New Roman"/>
                <w:sz w:val="21"/>
              </w:rPr>
              <w:t>6#</w:t>
            </w:r>
            <w:r>
              <w:rPr>
                <w:sz w:val="21"/>
              </w:rPr>
              <w:t>北东厂界</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29"/>
              <w:ind w:left="239"/>
              <w:jc w:val="left"/>
              <w:rPr>
                <w:rFonts w:ascii="Times New Roman"/>
                <w:sz w:val="21"/>
              </w:rPr>
            </w:pPr>
            <w:r>
              <w:rPr>
                <w:rFonts w:ascii="Times New Roman"/>
                <w:sz w:val="21"/>
              </w:rPr>
              <w:t>59.6</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29"/>
              <w:ind w:left="168" w:right="139"/>
              <w:rPr>
                <w:rFonts w:ascii="Times New Roman"/>
                <w:sz w:val="21"/>
              </w:rPr>
            </w:pPr>
            <w:r>
              <w:rPr>
                <w:rFonts w:ascii="Times New Roman"/>
                <w:sz w:val="21"/>
              </w:rPr>
              <w:t>57.8</w:t>
            </w:r>
          </w:p>
        </w:tc>
        <w:tc>
          <w:tcPr>
            <w:tcW w:w="626" w:type="dxa"/>
            <w:vMerge/>
            <w:tcBorders>
              <w:top w:val="nil"/>
              <w:left w:val="single" w:sz="6" w:space="0" w:color="000000"/>
              <w:bottom w:val="single" w:sz="6" w:space="0" w:color="000000"/>
              <w:right w:val="single" w:sz="6" w:space="0" w:color="000000"/>
            </w:tcBorders>
          </w:tcPr>
          <w:p>
            <w:pPr>
              <w:rPr>
                <w:sz w:val="2"/>
                <w:szCs w:val="2"/>
              </w:rPr>
            </w:pP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34"/>
              <w:ind w:left="209"/>
              <w:jc w:val="left"/>
              <w:rPr>
                <w:rFonts w:ascii="Times New Roman"/>
                <w:sz w:val="21"/>
              </w:rPr>
            </w:pPr>
            <w:r>
              <w:rPr>
                <w:rFonts w:ascii="Times New Roman"/>
                <w:sz w:val="21"/>
              </w:rPr>
              <w:t>-0.4</w:t>
            </w:r>
          </w:p>
        </w:tc>
        <w:tc>
          <w:tcPr>
            <w:tcW w:w="839" w:type="dxa"/>
            <w:tcBorders>
              <w:top w:val="single" w:sz="6" w:space="0" w:color="000000"/>
              <w:left w:val="single" w:sz="6" w:space="0" w:color="000000"/>
              <w:bottom w:val="single" w:sz="6" w:space="0" w:color="000000"/>
              <w:right w:val="single" w:sz="6" w:space="0" w:color="000000"/>
            </w:tcBorders>
          </w:tcPr>
          <w:p>
            <w:pPr>
              <w:pStyle w:val="TableParagraph"/>
              <w:spacing w:before="34"/>
              <w:ind w:left="188" w:right="166"/>
              <w:rPr>
                <w:rFonts w:ascii="Times New Roman"/>
                <w:sz w:val="21"/>
              </w:rPr>
            </w:pPr>
            <w:r>
              <w:rPr>
                <w:rFonts w:ascii="Times New Roman"/>
                <w:sz w:val="21"/>
              </w:rPr>
              <w:t>-2.2</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29"/>
              <w:ind w:left="117" w:right="84"/>
              <w:rPr>
                <w:rFonts w:ascii="Times New Roman"/>
                <w:sz w:val="21"/>
              </w:rPr>
            </w:pPr>
            <w:r>
              <w:rPr>
                <w:rFonts w:ascii="Times New Roman"/>
                <w:sz w:val="21"/>
              </w:rPr>
              <w:t>57.1</w:t>
            </w:r>
          </w:p>
        </w:tc>
        <w:tc>
          <w:tcPr>
            <w:tcW w:w="630"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84"/>
              <w:rPr>
                <w:rFonts w:ascii="Times New Roman"/>
                <w:sz w:val="21"/>
              </w:rPr>
            </w:pPr>
            <w:r>
              <w:rPr>
                <w:rFonts w:ascii="Times New Roman"/>
                <w:sz w:val="21"/>
              </w:rPr>
              <w:t>59.5</w:t>
            </w:r>
          </w:p>
        </w:tc>
        <w:tc>
          <w:tcPr>
            <w:tcW w:w="628" w:type="dxa"/>
            <w:vMerge/>
            <w:tcBorders>
              <w:top w:val="nil"/>
              <w:left w:val="single" w:sz="6" w:space="0" w:color="000000"/>
              <w:bottom w:val="single" w:sz="6" w:space="0" w:color="000000"/>
              <w:right w:val="single" w:sz="6" w:space="0" w:color="000000"/>
            </w:tcBorders>
          </w:tcPr>
          <w:p>
            <w:pPr>
              <w:rPr>
                <w:sz w:val="2"/>
                <w:szCs w:val="2"/>
              </w:rPr>
            </w:pPr>
          </w:p>
        </w:tc>
        <w:tc>
          <w:tcPr>
            <w:tcW w:w="695" w:type="dxa"/>
            <w:tcBorders>
              <w:top w:val="single" w:sz="6" w:space="0" w:color="000000"/>
              <w:left w:val="single" w:sz="6" w:space="0" w:color="000000"/>
              <w:bottom w:val="single" w:sz="6" w:space="0" w:color="000000"/>
              <w:right w:val="single" w:sz="6" w:space="0" w:color="000000"/>
            </w:tcBorders>
          </w:tcPr>
          <w:p>
            <w:pPr>
              <w:pStyle w:val="TableParagraph"/>
              <w:spacing w:before="34"/>
              <w:ind w:left="97" w:right="57"/>
              <w:rPr>
                <w:rFonts w:ascii="Times New Roman"/>
                <w:sz w:val="21"/>
              </w:rPr>
            </w:pPr>
            <w:r>
              <w:rPr>
                <w:rFonts w:ascii="Times New Roman"/>
                <w:sz w:val="21"/>
              </w:rPr>
              <w:t>7.1</w:t>
            </w:r>
          </w:p>
        </w:tc>
        <w:tc>
          <w:tcPr>
            <w:tcW w:w="582" w:type="dxa"/>
            <w:tcBorders>
              <w:top w:val="single" w:sz="6" w:space="0" w:color="000000"/>
              <w:left w:val="single" w:sz="6" w:space="0" w:color="000000"/>
              <w:bottom w:val="single" w:sz="6" w:space="0" w:color="000000"/>
            </w:tcBorders>
          </w:tcPr>
          <w:p>
            <w:pPr>
              <w:pStyle w:val="TableParagraph"/>
              <w:spacing w:before="34"/>
              <w:ind w:left="43"/>
              <w:rPr>
                <w:rFonts w:ascii="Times New Roman"/>
                <w:sz w:val="21"/>
              </w:rPr>
            </w:pPr>
            <w:r>
              <w:rPr>
                <w:rFonts w:ascii="Times New Roman"/>
                <w:sz w:val="21"/>
              </w:rPr>
              <w:t>9.5</w:t>
            </w:r>
          </w:p>
        </w:tc>
      </w:tr>
      <w:tr>
        <w:trPr>
          <w:trHeight w:val="311" w:hRule="atLeast"/>
        </w:trPr>
        <w:tc>
          <w:tcPr>
            <w:tcW w:w="1476" w:type="dxa"/>
            <w:tcBorders>
              <w:top w:val="single" w:sz="6" w:space="0" w:color="000000"/>
              <w:right w:val="single" w:sz="6" w:space="0" w:color="000000"/>
            </w:tcBorders>
          </w:tcPr>
          <w:p>
            <w:pPr>
              <w:pStyle w:val="TableParagraph"/>
              <w:spacing w:line="291" w:lineRule="exact"/>
              <w:ind w:left="90" w:right="62"/>
              <w:rPr>
                <w:sz w:val="21"/>
              </w:rPr>
            </w:pPr>
            <w:r>
              <w:rPr>
                <w:rFonts w:ascii="Times New Roman" w:eastAsia="Times New Roman"/>
                <w:sz w:val="21"/>
              </w:rPr>
              <w:t>7#</w:t>
            </w:r>
            <w:r>
              <w:rPr>
                <w:sz w:val="21"/>
              </w:rPr>
              <w:t>交通背景值</w:t>
            </w:r>
          </w:p>
        </w:tc>
        <w:tc>
          <w:tcPr>
            <w:tcW w:w="838" w:type="dxa"/>
            <w:tcBorders>
              <w:top w:val="single" w:sz="6" w:space="0" w:color="000000"/>
              <w:left w:val="single" w:sz="6" w:space="0" w:color="000000"/>
              <w:right w:val="single" w:sz="6" w:space="0" w:color="000000"/>
            </w:tcBorders>
          </w:tcPr>
          <w:p>
            <w:pPr>
              <w:pStyle w:val="TableParagraph"/>
              <w:spacing w:before="29"/>
              <w:ind w:left="239"/>
              <w:jc w:val="left"/>
              <w:rPr>
                <w:rFonts w:ascii="Times New Roman"/>
                <w:sz w:val="21"/>
              </w:rPr>
            </w:pPr>
            <w:r>
              <w:rPr>
                <w:rFonts w:ascii="Times New Roman"/>
                <w:sz w:val="21"/>
              </w:rPr>
              <w:t>68.7</w:t>
            </w:r>
          </w:p>
        </w:tc>
        <w:tc>
          <w:tcPr>
            <w:tcW w:w="840" w:type="dxa"/>
            <w:tcBorders>
              <w:top w:val="single" w:sz="6" w:space="0" w:color="000000"/>
              <w:left w:val="single" w:sz="6" w:space="0" w:color="000000"/>
              <w:right w:val="single" w:sz="6" w:space="0" w:color="000000"/>
            </w:tcBorders>
          </w:tcPr>
          <w:p>
            <w:pPr>
              <w:pStyle w:val="TableParagraph"/>
              <w:spacing w:before="29"/>
              <w:ind w:left="168" w:right="139"/>
              <w:rPr>
                <w:rFonts w:ascii="Times New Roman"/>
                <w:sz w:val="21"/>
              </w:rPr>
            </w:pPr>
            <w:r>
              <w:rPr>
                <w:rFonts w:ascii="Times New Roman"/>
                <w:sz w:val="21"/>
              </w:rPr>
              <w:t>68.0</w:t>
            </w:r>
          </w:p>
        </w:tc>
        <w:tc>
          <w:tcPr>
            <w:tcW w:w="626" w:type="dxa"/>
            <w:tcBorders>
              <w:top w:val="single" w:sz="6" w:space="0" w:color="000000"/>
              <w:left w:val="single" w:sz="6" w:space="0" w:color="000000"/>
              <w:right w:val="single" w:sz="6" w:space="0" w:color="000000"/>
            </w:tcBorders>
          </w:tcPr>
          <w:p>
            <w:pPr>
              <w:pStyle w:val="TableParagraph"/>
              <w:spacing w:before="34"/>
              <w:ind w:left="191" w:right="169"/>
              <w:rPr>
                <w:rFonts w:ascii="Times New Roman"/>
                <w:sz w:val="21"/>
              </w:rPr>
            </w:pPr>
            <w:r>
              <w:rPr>
                <w:rFonts w:ascii="Times New Roman"/>
                <w:sz w:val="21"/>
              </w:rPr>
              <w:t>70</w:t>
            </w:r>
          </w:p>
        </w:tc>
        <w:tc>
          <w:tcPr>
            <w:tcW w:w="739" w:type="dxa"/>
            <w:tcBorders>
              <w:top w:val="single" w:sz="6" w:space="0" w:color="000000"/>
              <w:left w:val="single" w:sz="6" w:space="0" w:color="000000"/>
              <w:right w:val="single" w:sz="6" w:space="0" w:color="000000"/>
            </w:tcBorders>
          </w:tcPr>
          <w:p>
            <w:pPr>
              <w:pStyle w:val="TableParagraph"/>
              <w:spacing w:before="34"/>
              <w:ind w:left="209"/>
              <w:jc w:val="left"/>
              <w:rPr>
                <w:rFonts w:ascii="Times New Roman"/>
                <w:sz w:val="21"/>
              </w:rPr>
            </w:pPr>
            <w:r>
              <w:rPr>
                <w:rFonts w:ascii="Times New Roman"/>
                <w:sz w:val="21"/>
              </w:rPr>
              <w:t>-1.3</w:t>
            </w:r>
          </w:p>
        </w:tc>
        <w:tc>
          <w:tcPr>
            <w:tcW w:w="839" w:type="dxa"/>
            <w:tcBorders>
              <w:top w:val="single" w:sz="6" w:space="0" w:color="000000"/>
              <w:left w:val="single" w:sz="6" w:space="0" w:color="000000"/>
              <w:right w:val="single" w:sz="6" w:space="0" w:color="000000"/>
            </w:tcBorders>
          </w:tcPr>
          <w:p>
            <w:pPr>
              <w:pStyle w:val="TableParagraph"/>
              <w:spacing w:before="34"/>
              <w:ind w:left="188" w:right="166"/>
              <w:rPr>
                <w:rFonts w:ascii="Times New Roman"/>
                <w:sz w:val="21"/>
              </w:rPr>
            </w:pPr>
            <w:r>
              <w:rPr>
                <w:rFonts w:ascii="Times New Roman"/>
                <w:sz w:val="21"/>
              </w:rPr>
              <w:t>-2</w:t>
            </w:r>
          </w:p>
        </w:tc>
        <w:tc>
          <w:tcPr>
            <w:tcW w:w="628" w:type="dxa"/>
            <w:tcBorders>
              <w:top w:val="single" w:sz="6" w:space="0" w:color="000000"/>
              <w:left w:val="single" w:sz="6" w:space="0" w:color="000000"/>
              <w:right w:val="single" w:sz="6" w:space="0" w:color="000000"/>
            </w:tcBorders>
          </w:tcPr>
          <w:p>
            <w:pPr>
              <w:pStyle w:val="TableParagraph"/>
              <w:spacing w:before="29"/>
              <w:ind w:left="117" w:right="84"/>
              <w:rPr>
                <w:rFonts w:ascii="Times New Roman"/>
                <w:sz w:val="21"/>
              </w:rPr>
            </w:pPr>
            <w:r>
              <w:rPr>
                <w:rFonts w:ascii="Times New Roman"/>
                <w:sz w:val="21"/>
              </w:rPr>
              <w:t>66.3</w:t>
            </w:r>
          </w:p>
        </w:tc>
        <w:tc>
          <w:tcPr>
            <w:tcW w:w="630" w:type="dxa"/>
            <w:tcBorders>
              <w:top w:val="single" w:sz="6" w:space="0" w:color="000000"/>
              <w:left w:val="single" w:sz="6" w:space="0" w:color="000000"/>
              <w:right w:val="single" w:sz="6" w:space="0" w:color="000000"/>
            </w:tcBorders>
          </w:tcPr>
          <w:p>
            <w:pPr>
              <w:pStyle w:val="TableParagraph"/>
              <w:spacing w:before="29"/>
              <w:ind w:left="122" w:right="84"/>
              <w:rPr>
                <w:rFonts w:ascii="Times New Roman"/>
                <w:sz w:val="21"/>
              </w:rPr>
            </w:pPr>
            <w:r>
              <w:rPr>
                <w:rFonts w:ascii="Times New Roman"/>
                <w:sz w:val="21"/>
              </w:rPr>
              <w:t>65.4</w:t>
            </w:r>
          </w:p>
        </w:tc>
        <w:tc>
          <w:tcPr>
            <w:tcW w:w="628" w:type="dxa"/>
            <w:tcBorders>
              <w:top w:val="single" w:sz="6" w:space="0" w:color="000000"/>
              <w:left w:val="single" w:sz="6" w:space="0" w:color="000000"/>
              <w:right w:val="single" w:sz="6" w:space="0" w:color="000000"/>
            </w:tcBorders>
          </w:tcPr>
          <w:p>
            <w:pPr>
              <w:pStyle w:val="TableParagraph"/>
              <w:spacing w:before="34"/>
              <w:ind w:left="220"/>
              <w:jc w:val="left"/>
              <w:rPr>
                <w:rFonts w:ascii="Times New Roman"/>
                <w:sz w:val="21"/>
              </w:rPr>
            </w:pPr>
            <w:r>
              <w:rPr>
                <w:rFonts w:ascii="Times New Roman"/>
                <w:sz w:val="21"/>
              </w:rPr>
              <w:t>55</w:t>
            </w:r>
          </w:p>
        </w:tc>
        <w:tc>
          <w:tcPr>
            <w:tcW w:w="695" w:type="dxa"/>
            <w:tcBorders>
              <w:top w:val="single" w:sz="6" w:space="0" w:color="000000"/>
              <w:left w:val="single" w:sz="6" w:space="0" w:color="000000"/>
              <w:right w:val="single" w:sz="6" w:space="0" w:color="000000"/>
            </w:tcBorders>
          </w:tcPr>
          <w:p>
            <w:pPr>
              <w:pStyle w:val="TableParagraph"/>
              <w:spacing w:before="34"/>
              <w:ind w:left="97" w:right="57"/>
              <w:rPr>
                <w:rFonts w:ascii="Times New Roman"/>
                <w:sz w:val="21"/>
              </w:rPr>
            </w:pPr>
            <w:r>
              <w:rPr>
                <w:rFonts w:ascii="Times New Roman"/>
                <w:sz w:val="21"/>
              </w:rPr>
              <w:t>+11.3</w:t>
            </w:r>
          </w:p>
        </w:tc>
        <w:tc>
          <w:tcPr>
            <w:tcW w:w="582" w:type="dxa"/>
            <w:tcBorders>
              <w:top w:val="single" w:sz="6" w:space="0" w:color="000000"/>
              <w:left w:val="single" w:sz="6" w:space="0" w:color="000000"/>
            </w:tcBorders>
          </w:tcPr>
          <w:p>
            <w:pPr>
              <w:pStyle w:val="TableParagraph"/>
              <w:spacing w:before="34"/>
              <w:ind w:left="45"/>
              <w:rPr>
                <w:rFonts w:ascii="Times New Roman"/>
                <w:sz w:val="21"/>
              </w:rPr>
            </w:pPr>
            <w:r>
              <w:rPr>
                <w:rFonts w:ascii="Times New Roman"/>
                <w:sz w:val="21"/>
              </w:rPr>
              <w:t>+10.4</w:t>
            </w:r>
          </w:p>
        </w:tc>
      </w:tr>
    </w:tbl>
    <w:p>
      <w:pPr>
        <w:pStyle w:val="BodyText"/>
        <w:spacing w:before="15"/>
        <w:rPr>
          <w:sz w:val="7"/>
        </w:rPr>
      </w:pPr>
    </w:p>
    <w:p>
      <w:pPr>
        <w:pStyle w:val="BodyText"/>
        <w:spacing w:line="220" w:lineRule="auto"/>
        <w:ind w:left="578" w:right="871" w:firstLine="482"/>
        <w:jc w:val="both"/>
      </w:pPr>
      <w:r>
        <w:rPr>
          <w:spacing w:val="-2"/>
        </w:rPr>
        <w:t>根据现状监测数据可以看出，除 </w:t>
      </w:r>
      <w:r>
        <w:rPr>
          <w:rFonts w:ascii="Times New Roman" w:eastAsia="Times New Roman"/>
        </w:rPr>
        <w:t>7#</w:t>
      </w:r>
      <w:r>
        <w:rPr>
          <w:spacing w:val="-1"/>
        </w:rPr>
        <w:t>点位夜间交通噪声背景值超标外，其它</w:t>
      </w:r>
      <w:r>
        <w:rPr>
          <w:spacing w:val="-9"/>
        </w:rPr>
        <w:t>厂界的昼、夜间现状噪声均能满足《声环境质量标准》</w:t>
      </w:r>
      <w:r>
        <w:rPr/>
        <w:t>（</w:t>
      </w:r>
      <w:r>
        <w:rPr>
          <w:rFonts w:ascii="Times New Roman" w:eastAsia="Times New Roman"/>
        </w:rPr>
        <w:t>GB3096-2008</w:t>
      </w:r>
      <w:r>
        <w:rPr/>
        <w:t>）</w:t>
      </w:r>
      <w:r>
        <w:rPr>
          <w:spacing w:val="1"/>
        </w:rPr>
        <w:t>中 </w:t>
      </w:r>
      <w:r>
        <w:rPr>
          <w:rFonts w:ascii="Times New Roman" w:eastAsia="Times New Roman"/>
        </w:rPr>
        <w:t>2 </w:t>
      </w:r>
      <w:r>
        <w:rPr/>
        <w:t>类声环境功能区标准。</w:t>
      </w:r>
    </w:p>
    <w:p>
      <w:pPr>
        <w:pStyle w:val="Heading3"/>
        <w:numPr>
          <w:ilvl w:val="2"/>
          <w:numId w:val="9"/>
        </w:numPr>
        <w:tabs>
          <w:tab w:pos="1378" w:val="left" w:leader="none"/>
        </w:tabs>
        <w:spacing w:line="240" w:lineRule="auto" w:before="138" w:after="0"/>
        <w:ind w:left="1377" w:right="0" w:hanging="799"/>
        <w:jc w:val="left"/>
      </w:pPr>
      <w:r>
        <w:rPr/>
        <w:t>土壤环境现状评价</w:t>
      </w:r>
    </w:p>
    <w:p>
      <w:pPr>
        <w:pStyle w:val="Heading5"/>
        <w:numPr>
          <w:ilvl w:val="3"/>
          <w:numId w:val="9"/>
        </w:numPr>
        <w:tabs>
          <w:tab w:pos="1490" w:val="left" w:leader="none"/>
        </w:tabs>
        <w:spacing w:line="240" w:lineRule="auto" w:before="203" w:after="0"/>
        <w:ind w:left="1490" w:right="0" w:hanging="912"/>
        <w:jc w:val="left"/>
      </w:pPr>
      <w:r>
        <w:rPr/>
        <w:t>土壤环境现状监测</w:t>
      </w:r>
    </w:p>
    <w:p>
      <w:pPr>
        <w:pStyle w:val="BodyText"/>
        <w:spacing w:line="489" w:lineRule="exact" w:before="152"/>
        <w:ind w:left="1058"/>
      </w:pPr>
      <w:r>
        <w:rPr>
          <w:rFonts w:ascii="Times New Roman" w:eastAsia="Times New Roman"/>
        </w:rPr>
        <w:t>1</w:t>
      </w:r>
      <w:r>
        <w:rPr/>
        <w:t>、监测布点</w:t>
      </w:r>
    </w:p>
    <w:p>
      <w:pPr>
        <w:pStyle w:val="BodyText"/>
        <w:spacing w:line="489" w:lineRule="exact"/>
        <w:ind w:left="1058"/>
      </w:pPr>
      <w:r>
        <w:rPr/>
        <w:t>本次评价在厂址处布设 </w:t>
      </w:r>
      <w:r>
        <w:rPr>
          <w:rFonts w:ascii="Times New Roman" w:eastAsia="Times New Roman"/>
        </w:rPr>
        <w:t>3 </w:t>
      </w:r>
      <w:r>
        <w:rPr/>
        <w:t>处监测点，具体布点情况见表 </w:t>
      </w:r>
      <w:r>
        <w:rPr>
          <w:rFonts w:ascii="Times New Roman" w:eastAsia="Times New Roman"/>
        </w:rPr>
        <w:t>5.4-32</w:t>
      </w:r>
      <w:r>
        <w:rPr/>
        <w:t>。</w:t>
      </w:r>
    </w:p>
    <w:p>
      <w:pPr>
        <w:tabs>
          <w:tab w:pos="1141" w:val="left" w:leader="none"/>
        </w:tabs>
        <w:spacing w:before="150" w:after="24"/>
        <w:ind w:left="124" w:right="0" w:firstLine="0"/>
        <w:jc w:val="center"/>
        <w:rPr>
          <w:sz w:val="21"/>
        </w:rPr>
      </w:pPr>
      <w:r>
        <w:rPr>
          <w:sz w:val="21"/>
        </w:rPr>
        <w:t>表</w:t>
      </w:r>
      <w:r>
        <w:rPr>
          <w:spacing w:val="7"/>
          <w:sz w:val="21"/>
        </w:rPr>
        <w:t> </w:t>
      </w:r>
      <w:r>
        <w:rPr>
          <w:rFonts w:ascii="Times New Roman" w:eastAsia="Times New Roman"/>
          <w:b/>
          <w:sz w:val="21"/>
        </w:rPr>
        <w:t>5.4-32</w:t>
        <w:tab/>
      </w:r>
      <w:r>
        <w:rPr>
          <w:sz w:val="21"/>
        </w:rPr>
        <w:t>土壤监测具</w:t>
      </w:r>
      <w:r>
        <w:rPr>
          <w:spacing w:val="-3"/>
          <w:sz w:val="21"/>
        </w:rPr>
        <w:t>体</w:t>
      </w:r>
      <w:r>
        <w:rPr>
          <w:sz w:val="21"/>
        </w:rPr>
        <w:t>布点情况和选点依据</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1"/>
        <w:gridCol w:w="1702"/>
        <w:gridCol w:w="1562"/>
        <w:gridCol w:w="994"/>
        <w:gridCol w:w="3449"/>
      </w:tblGrid>
      <w:tr>
        <w:trPr>
          <w:trHeight w:val="339" w:hRule="atLeast"/>
        </w:trPr>
        <w:tc>
          <w:tcPr>
            <w:tcW w:w="821" w:type="dxa"/>
            <w:tcBorders>
              <w:bottom w:val="single" w:sz="6" w:space="0" w:color="000000"/>
              <w:right w:val="single" w:sz="6" w:space="0" w:color="000000"/>
            </w:tcBorders>
          </w:tcPr>
          <w:p>
            <w:pPr>
              <w:pStyle w:val="TableParagraph"/>
              <w:spacing w:line="320" w:lineRule="exact"/>
              <w:ind w:left="179" w:right="158"/>
              <w:rPr>
                <w:sz w:val="21"/>
              </w:rPr>
            </w:pPr>
            <w:r>
              <w:rPr>
                <w:sz w:val="21"/>
              </w:rPr>
              <w:t>编号</w:t>
            </w:r>
          </w:p>
        </w:tc>
        <w:tc>
          <w:tcPr>
            <w:tcW w:w="1702" w:type="dxa"/>
            <w:tcBorders>
              <w:left w:val="single" w:sz="6" w:space="0" w:color="000000"/>
              <w:bottom w:val="single" w:sz="6" w:space="0" w:color="000000"/>
              <w:right w:val="single" w:sz="6" w:space="0" w:color="000000"/>
            </w:tcBorders>
          </w:tcPr>
          <w:p>
            <w:pPr>
              <w:pStyle w:val="TableParagraph"/>
              <w:spacing w:line="320" w:lineRule="exact"/>
              <w:ind w:left="103" w:right="73"/>
              <w:rPr>
                <w:sz w:val="21"/>
              </w:rPr>
            </w:pPr>
            <w:r>
              <w:rPr>
                <w:sz w:val="21"/>
              </w:rPr>
              <w:t>监测点名称</w:t>
            </w:r>
          </w:p>
        </w:tc>
        <w:tc>
          <w:tcPr>
            <w:tcW w:w="1562" w:type="dxa"/>
            <w:tcBorders>
              <w:left w:val="single" w:sz="6" w:space="0" w:color="000000"/>
              <w:bottom w:val="single" w:sz="6" w:space="0" w:color="000000"/>
              <w:right w:val="single" w:sz="6" w:space="0" w:color="000000"/>
            </w:tcBorders>
          </w:tcPr>
          <w:p>
            <w:pPr>
              <w:pStyle w:val="TableParagraph"/>
              <w:spacing w:line="320" w:lineRule="exact"/>
              <w:ind w:left="139" w:right="108"/>
              <w:rPr>
                <w:sz w:val="21"/>
              </w:rPr>
            </w:pPr>
            <w:r>
              <w:rPr>
                <w:sz w:val="21"/>
              </w:rPr>
              <w:t>相对厂址方位</w:t>
            </w:r>
          </w:p>
        </w:tc>
        <w:tc>
          <w:tcPr>
            <w:tcW w:w="994" w:type="dxa"/>
            <w:tcBorders>
              <w:left w:val="single" w:sz="6" w:space="0" w:color="000000"/>
              <w:bottom w:val="single" w:sz="6" w:space="0" w:color="000000"/>
              <w:right w:val="single" w:sz="6" w:space="0" w:color="000000"/>
            </w:tcBorders>
          </w:tcPr>
          <w:p>
            <w:pPr>
              <w:pStyle w:val="TableParagraph"/>
              <w:spacing w:line="320" w:lineRule="exact"/>
              <w:ind w:left="271" w:right="246"/>
              <w:rPr>
                <w:sz w:val="21"/>
              </w:rPr>
            </w:pPr>
            <w:r>
              <w:rPr>
                <w:sz w:val="21"/>
              </w:rPr>
              <w:t>距离</w:t>
            </w:r>
          </w:p>
        </w:tc>
        <w:tc>
          <w:tcPr>
            <w:tcW w:w="3449" w:type="dxa"/>
            <w:tcBorders>
              <w:left w:val="single" w:sz="6" w:space="0" w:color="000000"/>
              <w:bottom w:val="single" w:sz="6" w:space="0" w:color="000000"/>
            </w:tcBorders>
          </w:tcPr>
          <w:p>
            <w:pPr>
              <w:pStyle w:val="TableParagraph"/>
              <w:spacing w:line="320" w:lineRule="exact"/>
              <w:ind w:left="137" w:right="98"/>
              <w:rPr>
                <w:sz w:val="21"/>
              </w:rPr>
            </w:pPr>
            <w:r>
              <w:rPr>
                <w:sz w:val="21"/>
              </w:rPr>
              <w:t>功能意义</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1"/>
              <w:ind w:left="179" w:right="158"/>
              <w:rPr>
                <w:rFonts w:ascii="Times New Roman"/>
                <w:sz w:val="21"/>
              </w:rPr>
            </w:pPr>
            <w:r>
              <w:rPr>
                <w:rFonts w:ascii="Times New Roman"/>
                <w:sz w:val="21"/>
              </w:rPr>
              <w:t>1#</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厂址装置区</w:t>
            </w:r>
          </w:p>
        </w:tc>
        <w:tc>
          <w:tcPr>
            <w:tcW w:w="1562" w:type="dxa"/>
            <w:tcBorders>
              <w:top w:val="single" w:sz="6" w:space="0" w:color="000000"/>
              <w:left w:val="single" w:sz="6" w:space="0" w:color="000000"/>
              <w:bottom w:val="single" w:sz="6" w:space="0" w:color="000000"/>
              <w:right w:val="single" w:sz="6" w:space="0" w:color="000000"/>
            </w:tcBorders>
          </w:tcPr>
          <w:p>
            <w:pPr>
              <w:pStyle w:val="TableParagraph"/>
              <w:spacing w:before="46"/>
              <w:ind w:left="134" w:right="108"/>
              <w:rPr>
                <w:rFonts w:ascii="Times New Roman"/>
                <w:b/>
                <w:sz w:val="21"/>
              </w:rPr>
            </w:pPr>
            <w:r>
              <w:rPr>
                <w:rFonts w:ascii="Times New Roman"/>
                <w:b/>
                <w:sz w:val="21"/>
              </w:rPr>
              <w:t>--</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46"/>
              <w:ind w:left="271" w:right="246"/>
              <w:rPr>
                <w:rFonts w:ascii="Times New Roman"/>
                <w:b/>
                <w:sz w:val="21"/>
              </w:rPr>
            </w:pPr>
            <w:r>
              <w:rPr>
                <w:rFonts w:ascii="Times New Roman"/>
                <w:b/>
                <w:sz w:val="21"/>
              </w:rPr>
              <w:t>--</w:t>
            </w:r>
          </w:p>
        </w:tc>
        <w:tc>
          <w:tcPr>
            <w:tcW w:w="3449" w:type="dxa"/>
            <w:tcBorders>
              <w:top w:val="single" w:sz="6" w:space="0" w:color="000000"/>
              <w:left w:val="single" w:sz="6" w:space="0" w:color="000000"/>
              <w:bottom w:val="single" w:sz="6" w:space="0" w:color="000000"/>
            </w:tcBorders>
          </w:tcPr>
          <w:p>
            <w:pPr>
              <w:pStyle w:val="TableParagraph"/>
              <w:spacing w:line="320" w:lineRule="exact"/>
              <w:ind w:left="135" w:right="98"/>
              <w:rPr>
                <w:sz w:val="21"/>
              </w:rPr>
            </w:pPr>
            <w:r>
              <w:rPr>
                <w:sz w:val="21"/>
              </w:rPr>
              <w:t>了解项目区土壤环境质量现状</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1"/>
              <w:ind w:left="179" w:right="158"/>
              <w:rPr>
                <w:rFonts w:ascii="Times New Roman"/>
                <w:sz w:val="21"/>
              </w:rPr>
            </w:pPr>
            <w:r>
              <w:rPr>
                <w:rFonts w:ascii="Times New Roman"/>
                <w:sz w:val="21"/>
              </w:rPr>
              <w:t>2#</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3" w:right="73"/>
              <w:rPr>
                <w:sz w:val="21"/>
              </w:rPr>
            </w:pPr>
            <w:r>
              <w:rPr>
                <w:sz w:val="21"/>
              </w:rPr>
              <w:t>厂址南侧厂界</w:t>
            </w:r>
          </w:p>
        </w:tc>
        <w:tc>
          <w:tcPr>
            <w:tcW w:w="1562" w:type="dxa"/>
            <w:tcBorders>
              <w:top w:val="single" w:sz="6" w:space="0" w:color="000000"/>
              <w:left w:val="single" w:sz="6" w:space="0" w:color="000000"/>
              <w:bottom w:val="single" w:sz="6" w:space="0" w:color="000000"/>
              <w:right w:val="single" w:sz="6" w:space="0" w:color="000000"/>
            </w:tcBorders>
          </w:tcPr>
          <w:p>
            <w:pPr>
              <w:pStyle w:val="TableParagraph"/>
              <w:spacing w:before="41"/>
              <w:ind w:left="134" w:right="108"/>
              <w:rPr>
                <w:rFonts w:ascii="Times New Roman"/>
                <w:sz w:val="21"/>
              </w:rPr>
            </w:pPr>
            <w:r>
              <w:rPr>
                <w:rFonts w:ascii="Times New Roman"/>
                <w:sz w:val="21"/>
              </w:rPr>
              <w:t>--</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41"/>
              <w:ind w:left="271" w:right="246"/>
              <w:rPr>
                <w:rFonts w:ascii="Times New Roman"/>
                <w:sz w:val="21"/>
              </w:rPr>
            </w:pPr>
            <w:r>
              <w:rPr>
                <w:rFonts w:ascii="Times New Roman"/>
                <w:sz w:val="21"/>
              </w:rPr>
              <w:t>--</w:t>
            </w:r>
          </w:p>
        </w:tc>
        <w:tc>
          <w:tcPr>
            <w:tcW w:w="3449" w:type="dxa"/>
            <w:tcBorders>
              <w:top w:val="single" w:sz="6" w:space="0" w:color="000000"/>
              <w:left w:val="single" w:sz="6" w:space="0" w:color="000000"/>
              <w:bottom w:val="single" w:sz="6" w:space="0" w:color="000000"/>
            </w:tcBorders>
          </w:tcPr>
          <w:p>
            <w:pPr>
              <w:pStyle w:val="TableParagraph"/>
              <w:spacing w:line="320" w:lineRule="exact"/>
              <w:ind w:left="137" w:right="98"/>
              <w:rPr>
                <w:sz w:val="21"/>
              </w:rPr>
            </w:pPr>
            <w:r>
              <w:rPr>
                <w:sz w:val="21"/>
              </w:rPr>
              <w:t>了解厂区上风向土壤环境质量现状</w:t>
            </w:r>
          </w:p>
        </w:tc>
      </w:tr>
      <w:tr>
        <w:trPr>
          <w:trHeight w:val="337" w:hRule="atLeast"/>
        </w:trPr>
        <w:tc>
          <w:tcPr>
            <w:tcW w:w="821" w:type="dxa"/>
            <w:tcBorders>
              <w:top w:val="single" w:sz="6" w:space="0" w:color="000000"/>
              <w:right w:val="single" w:sz="6" w:space="0" w:color="000000"/>
            </w:tcBorders>
          </w:tcPr>
          <w:p>
            <w:pPr>
              <w:pStyle w:val="TableParagraph"/>
              <w:spacing w:before="41"/>
              <w:ind w:left="179" w:right="158"/>
              <w:rPr>
                <w:rFonts w:ascii="Times New Roman"/>
                <w:sz w:val="21"/>
              </w:rPr>
            </w:pPr>
            <w:r>
              <w:rPr>
                <w:rFonts w:ascii="Times New Roman"/>
                <w:sz w:val="21"/>
              </w:rPr>
              <w:t>3#</w:t>
            </w:r>
          </w:p>
        </w:tc>
        <w:tc>
          <w:tcPr>
            <w:tcW w:w="1702" w:type="dxa"/>
            <w:tcBorders>
              <w:top w:val="single" w:sz="6" w:space="0" w:color="000000"/>
              <w:left w:val="single" w:sz="6" w:space="0" w:color="000000"/>
              <w:right w:val="single" w:sz="6" w:space="0" w:color="000000"/>
            </w:tcBorders>
          </w:tcPr>
          <w:p>
            <w:pPr>
              <w:pStyle w:val="TableParagraph"/>
              <w:spacing w:line="317" w:lineRule="exact"/>
              <w:ind w:left="103" w:right="73"/>
              <w:rPr>
                <w:sz w:val="21"/>
              </w:rPr>
            </w:pPr>
            <w:r>
              <w:rPr>
                <w:sz w:val="21"/>
              </w:rPr>
              <w:t>后柴沟村表层土</w:t>
            </w:r>
          </w:p>
        </w:tc>
        <w:tc>
          <w:tcPr>
            <w:tcW w:w="1562" w:type="dxa"/>
            <w:tcBorders>
              <w:top w:val="single" w:sz="6" w:space="0" w:color="000000"/>
              <w:left w:val="single" w:sz="6" w:space="0" w:color="000000"/>
              <w:right w:val="single" w:sz="6" w:space="0" w:color="000000"/>
            </w:tcBorders>
          </w:tcPr>
          <w:p>
            <w:pPr>
              <w:pStyle w:val="TableParagraph"/>
              <w:spacing w:line="317" w:lineRule="exact"/>
              <w:ind w:left="139" w:right="108"/>
              <w:rPr>
                <w:sz w:val="21"/>
              </w:rPr>
            </w:pPr>
            <w:r>
              <w:rPr>
                <w:sz w:val="21"/>
              </w:rPr>
              <w:t>西北</w:t>
            </w:r>
          </w:p>
        </w:tc>
        <w:tc>
          <w:tcPr>
            <w:tcW w:w="994" w:type="dxa"/>
            <w:tcBorders>
              <w:top w:val="single" w:sz="6" w:space="0" w:color="000000"/>
              <w:left w:val="single" w:sz="6" w:space="0" w:color="000000"/>
              <w:right w:val="single" w:sz="6" w:space="0" w:color="000000"/>
            </w:tcBorders>
          </w:tcPr>
          <w:p>
            <w:pPr>
              <w:pStyle w:val="TableParagraph"/>
              <w:spacing w:before="41"/>
              <w:ind w:left="272" w:right="245"/>
              <w:rPr>
                <w:rFonts w:ascii="Times New Roman"/>
                <w:sz w:val="21"/>
              </w:rPr>
            </w:pPr>
            <w:r>
              <w:rPr>
                <w:rFonts w:ascii="Times New Roman"/>
                <w:sz w:val="21"/>
              </w:rPr>
              <w:t>1150</w:t>
            </w:r>
          </w:p>
        </w:tc>
        <w:tc>
          <w:tcPr>
            <w:tcW w:w="3449" w:type="dxa"/>
            <w:tcBorders>
              <w:top w:val="single" w:sz="6" w:space="0" w:color="000000"/>
              <w:left w:val="single" w:sz="6" w:space="0" w:color="000000"/>
            </w:tcBorders>
          </w:tcPr>
          <w:p>
            <w:pPr>
              <w:pStyle w:val="TableParagraph"/>
              <w:spacing w:line="317" w:lineRule="exact"/>
              <w:ind w:left="137" w:right="98"/>
              <w:rPr>
                <w:sz w:val="21"/>
              </w:rPr>
            </w:pPr>
            <w:r>
              <w:rPr>
                <w:sz w:val="21"/>
              </w:rPr>
              <w:t>了解厂区下风向土壤环境质量现状</w:t>
            </w:r>
          </w:p>
        </w:tc>
      </w:tr>
    </w:tbl>
    <w:p>
      <w:pPr>
        <w:pStyle w:val="BodyText"/>
        <w:spacing w:line="454" w:lineRule="exact"/>
        <w:ind w:left="1058"/>
      </w:pPr>
      <w:r>
        <w:rPr>
          <w:rFonts w:ascii="Times New Roman" w:eastAsia="Times New Roman"/>
        </w:rPr>
        <w:t>2</w:t>
      </w:r>
      <w:r>
        <w:rPr/>
        <w:t>、监测项目</w:t>
      </w:r>
    </w:p>
    <w:p>
      <w:pPr>
        <w:pStyle w:val="BodyText"/>
        <w:spacing w:line="220" w:lineRule="auto" w:before="8"/>
        <w:ind w:left="578" w:right="871" w:firstLine="479"/>
      </w:pPr>
      <w:r>
        <w:rPr>
          <w:spacing w:val="-8"/>
        </w:rPr>
        <w:t>土壤监测项目为：建设用地监测项目为《土壤环境质量 建设用地土壤污染风险管控标准》（</w:t>
      </w:r>
      <w:r>
        <w:rPr>
          <w:rFonts w:ascii="Times New Roman" w:eastAsia="Times New Roman"/>
          <w:spacing w:val="-8"/>
        </w:rPr>
        <w:t>GB36600-2018</w:t>
      </w:r>
      <w:r>
        <w:rPr>
          <w:spacing w:val="-8"/>
        </w:rPr>
        <w:t>）</w:t>
      </w:r>
      <w:r>
        <w:rPr>
          <w:spacing w:val="-2"/>
        </w:rPr>
        <w:t>表 </w:t>
      </w:r>
      <w:r>
        <w:rPr>
          <w:rFonts w:ascii="Times New Roman" w:eastAsia="Times New Roman"/>
        </w:rPr>
        <w:t>1 </w:t>
      </w:r>
      <w:r>
        <w:rPr>
          <w:spacing w:val="1"/>
        </w:rPr>
        <w:t>基本项目 </w:t>
      </w:r>
      <w:r>
        <w:rPr>
          <w:rFonts w:ascii="Times New Roman" w:eastAsia="Times New Roman"/>
        </w:rPr>
        <w:t>45 </w:t>
      </w:r>
      <w:r>
        <w:rPr/>
        <w:t>项。</w:t>
      </w:r>
    </w:p>
    <w:p>
      <w:pPr>
        <w:pStyle w:val="BodyText"/>
        <w:spacing w:line="460" w:lineRule="exact"/>
        <w:ind w:left="1058"/>
      </w:pPr>
      <w:r>
        <w:rPr>
          <w:rFonts w:ascii="Times New Roman" w:eastAsia="Times New Roman"/>
        </w:rPr>
        <w:t>3</w:t>
      </w:r>
      <w:r>
        <w:rPr/>
        <w:t>、监测时间与频率</w:t>
      </w:r>
    </w:p>
    <w:p>
      <w:pPr>
        <w:pStyle w:val="BodyText"/>
        <w:spacing w:line="468" w:lineRule="exact"/>
        <w:ind w:left="1060"/>
      </w:pPr>
      <w:r>
        <w:rPr/>
        <w:t>山东城控检测技术有限公司 </w:t>
      </w:r>
      <w:r>
        <w:rPr>
          <w:rFonts w:ascii="Times New Roman" w:eastAsia="Times New Roman"/>
        </w:rPr>
        <w:t>2019 </w:t>
      </w:r>
      <w:r>
        <w:rPr/>
        <w:t>年 </w:t>
      </w:r>
      <w:r>
        <w:rPr>
          <w:rFonts w:ascii="Times New Roman" w:eastAsia="Times New Roman"/>
        </w:rPr>
        <w:t>4 </w:t>
      </w:r>
      <w:r>
        <w:rPr/>
        <w:t>月 </w:t>
      </w:r>
      <w:r>
        <w:rPr>
          <w:rFonts w:ascii="Times New Roman" w:eastAsia="Times New Roman"/>
        </w:rPr>
        <w:t>13 </w:t>
      </w:r>
      <w:r>
        <w:rPr/>
        <w:t>日采样监测 </w:t>
      </w:r>
      <w:r>
        <w:rPr>
          <w:rFonts w:ascii="Times New Roman" w:eastAsia="Times New Roman"/>
        </w:rPr>
        <w:t>1 </w:t>
      </w:r>
      <w:r>
        <w:rPr/>
        <w:t>天，采样 </w:t>
      </w:r>
      <w:r>
        <w:rPr>
          <w:rFonts w:ascii="Times New Roman" w:eastAsia="Times New Roman"/>
        </w:rPr>
        <w:t>1 </w:t>
      </w:r>
      <w:r>
        <w:rPr/>
        <w:t>次。</w:t>
      </w:r>
    </w:p>
    <w:p>
      <w:pPr>
        <w:pStyle w:val="BodyText"/>
        <w:spacing w:line="468" w:lineRule="exact"/>
        <w:ind w:left="1058"/>
      </w:pPr>
      <w:r>
        <w:rPr/>
        <w:t>青岛衡立检测有限公司 </w:t>
      </w:r>
      <w:r>
        <w:rPr>
          <w:rFonts w:ascii="Times New Roman" w:eastAsia="Times New Roman"/>
        </w:rPr>
        <w:t>2019 </w:t>
      </w:r>
      <w:r>
        <w:rPr/>
        <w:t>年 </w:t>
      </w:r>
      <w:r>
        <w:rPr>
          <w:rFonts w:ascii="Times New Roman" w:eastAsia="Times New Roman"/>
        </w:rPr>
        <w:t>4 </w:t>
      </w:r>
      <w:r>
        <w:rPr/>
        <w:t>月 </w:t>
      </w:r>
      <w:r>
        <w:rPr>
          <w:rFonts w:ascii="Times New Roman" w:eastAsia="Times New Roman"/>
        </w:rPr>
        <w:t>14 </w:t>
      </w:r>
      <w:r>
        <w:rPr/>
        <w:t>日采样监测 </w:t>
      </w:r>
      <w:r>
        <w:rPr>
          <w:rFonts w:ascii="Times New Roman" w:eastAsia="Times New Roman"/>
        </w:rPr>
        <w:t>1 </w:t>
      </w:r>
      <w:r>
        <w:rPr/>
        <w:t>天，采样 </w:t>
      </w:r>
      <w:r>
        <w:rPr>
          <w:rFonts w:ascii="Times New Roman" w:eastAsia="Times New Roman"/>
        </w:rPr>
        <w:t>1 </w:t>
      </w:r>
      <w:r>
        <w:rPr/>
        <w:t>次。</w:t>
      </w:r>
    </w:p>
    <w:p>
      <w:pPr>
        <w:pStyle w:val="BodyText"/>
        <w:spacing w:line="468" w:lineRule="exact"/>
        <w:ind w:left="1058"/>
      </w:pPr>
      <w:r>
        <w:rPr>
          <w:rFonts w:ascii="Times New Roman" w:eastAsia="Times New Roman"/>
        </w:rPr>
        <w:t>4</w:t>
      </w:r>
      <w:r>
        <w:rPr/>
        <w:t>、监测分析方法</w:t>
      </w:r>
    </w:p>
    <w:p>
      <w:pPr>
        <w:pStyle w:val="BodyText"/>
        <w:spacing w:line="488" w:lineRule="exact"/>
        <w:ind w:left="1058"/>
      </w:pPr>
      <w:r>
        <w:rPr/>
        <w:t>监测分析方法具体见表 </w:t>
      </w:r>
      <w:r>
        <w:rPr>
          <w:rFonts w:ascii="Times New Roman" w:eastAsia="Times New Roman"/>
        </w:rPr>
        <w:t>5.4-33</w:t>
      </w:r>
      <w:r>
        <w:rPr/>
        <w:t>。</w:t>
      </w:r>
    </w:p>
    <w:p>
      <w:pPr>
        <w:tabs>
          <w:tab w:pos="1017" w:val="left" w:leader="none"/>
        </w:tabs>
        <w:spacing w:before="150"/>
        <w:ind w:left="0" w:right="295" w:firstLine="0"/>
        <w:jc w:val="center"/>
        <w:rPr>
          <w:sz w:val="21"/>
        </w:rPr>
      </w:pPr>
      <w:r>
        <w:rPr>
          <w:sz w:val="21"/>
        </w:rPr>
        <w:t>表</w:t>
      </w:r>
      <w:r>
        <w:rPr>
          <w:spacing w:val="7"/>
          <w:sz w:val="21"/>
        </w:rPr>
        <w:t> </w:t>
      </w:r>
      <w:r>
        <w:rPr>
          <w:rFonts w:ascii="Times New Roman" w:eastAsia="Times New Roman"/>
          <w:b/>
          <w:sz w:val="21"/>
        </w:rPr>
        <w:t>5.4-33</w:t>
        <w:tab/>
      </w:r>
      <w:r>
        <w:rPr>
          <w:sz w:val="21"/>
        </w:rPr>
        <w:t>土壤监测分</w:t>
      </w:r>
      <w:r>
        <w:rPr>
          <w:spacing w:val="-3"/>
          <w:sz w:val="21"/>
        </w:rPr>
        <w:t>析</w:t>
      </w:r>
      <w:r>
        <w:rPr>
          <w:sz w:val="21"/>
        </w:rPr>
        <w:t>方法一览表</w:t>
      </w:r>
    </w:p>
    <w:p>
      <w:pPr>
        <w:spacing w:after="0"/>
        <w:jc w:val="center"/>
        <w:rPr>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1846"/>
        <w:gridCol w:w="4676"/>
        <w:gridCol w:w="1332"/>
      </w:tblGrid>
      <w:tr>
        <w:trPr>
          <w:trHeight w:val="467" w:hRule="atLeast"/>
        </w:trPr>
        <w:tc>
          <w:tcPr>
            <w:tcW w:w="674" w:type="dxa"/>
            <w:tcBorders>
              <w:bottom w:val="single" w:sz="6" w:space="0" w:color="000000"/>
              <w:right w:val="single" w:sz="6" w:space="0" w:color="000000"/>
            </w:tcBorders>
          </w:tcPr>
          <w:p>
            <w:pPr>
              <w:pStyle w:val="TableParagraph"/>
              <w:spacing w:before="1"/>
              <w:ind w:left="102" w:right="83"/>
              <w:rPr>
                <w:sz w:val="21"/>
              </w:rPr>
            </w:pPr>
            <w:r>
              <w:rPr>
                <w:sz w:val="21"/>
              </w:rPr>
              <w:t>序号</w:t>
            </w:r>
          </w:p>
        </w:tc>
        <w:tc>
          <w:tcPr>
            <w:tcW w:w="1846" w:type="dxa"/>
            <w:tcBorders>
              <w:left w:val="single" w:sz="6" w:space="0" w:color="000000"/>
              <w:bottom w:val="single" w:sz="6" w:space="0" w:color="000000"/>
              <w:right w:val="single" w:sz="6" w:space="0" w:color="000000"/>
            </w:tcBorders>
          </w:tcPr>
          <w:p>
            <w:pPr>
              <w:pStyle w:val="TableParagraph"/>
              <w:spacing w:before="1"/>
              <w:ind w:left="112" w:right="86"/>
              <w:rPr>
                <w:sz w:val="21"/>
              </w:rPr>
            </w:pPr>
            <w:r>
              <w:rPr>
                <w:sz w:val="21"/>
              </w:rPr>
              <w:t>参数</w:t>
            </w:r>
          </w:p>
        </w:tc>
        <w:tc>
          <w:tcPr>
            <w:tcW w:w="4676" w:type="dxa"/>
            <w:tcBorders>
              <w:left w:val="single" w:sz="6" w:space="0" w:color="000000"/>
              <w:bottom w:val="single" w:sz="6" w:space="0" w:color="000000"/>
              <w:right w:val="single" w:sz="6" w:space="0" w:color="000000"/>
            </w:tcBorders>
          </w:tcPr>
          <w:p>
            <w:pPr>
              <w:pStyle w:val="TableParagraph"/>
              <w:spacing w:before="1"/>
              <w:ind w:left="153" w:right="124"/>
              <w:rPr>
                <w:sz w:val="21"/>
              </w:rPr>
            </w:pPr>
            <w:r>
              <w:rPr>
                <w:sz w:val="21"/>
              </w:rPr>
              <w:t>分析方法</w:t>
            </w:r>
            <w:r>
              <w:rPr>
                <w:rFonts w:ascii="Times New Roman" w:eastAsia="Times New Roman"/>
                <w:b/>
                <w:sz w:val="21"/>
              </w:rPr>
              <w:t>/</w:t>
            </w:r>
            <w:r>
              <w:rPr>
                <w:sz w:val="21"/>
              </w:rPr>
              <w:t>方法依据</w:t>
            </w:r>
          </w:p>
        </w:tc>
        <w:tc>
          <w:tcPr>
            <w:tcW w:w="1332" w:type="dxa"/>
            <w:tcBorders>
              <w:left w:val="single" w:sz="6" w:space="0" w:color="000000"/>
              <w:bottom w:val="single" w:sz="6" w:space="0" w:color="000000"/>
            </w:tcBorders>
          </w:tcPr>
          <w:p>
            <w:pPr>
              <w:pStyle w:val="TableParagraph"/>
              <w:spacing w:before="1"/>
              <w:ind w:left="129" w:right="89"/>
              <w:rPr>
                <w:sz w:val="21"/>
              </w:rPr>
            </w:pPr>
            <w:r>
              <w:rPr>
                <w:sz w:val="21"/>
              </w:rPr>
              <w:t>最低检出限</w:t>
            </w:r>
          </w:p>
        </w:tc>
      </w:tr>
      <w:tr>
        <w:trPr>
          <w:trHeight w:val="335" w:hRule="atLeast"/>
        </w:trPr>
        <w:tc>
          <w:tcPr>
            <w:tcW w:w="674" w:type="dxa"/>
            <w:tcBorders>
              <w:top w:val="single" w:sz="6" w:space="0" w:color="000000"/>
              <w:bottom w:val="single" w:sz="6" w:space="0" w:color="000000"/>
              <w:right w:val="single" w:sz="6" w:space="0" w:color="000000"/>
            </w:tcBorders>
          </w:tcPr>
          <w:p>
            <w:pPr>
              <w:pStyle w:val="TableParagraph"/>
              <w:spacing w:before="46"/>
              <w:ind w:left="19"/>
              <w:rPr>
                <w:rFonts w:ascii="Times New Roman"/>
                <w:sz w:val="21"/>
              </w:rPr>
            </w:pPr>
            <w:r>
              <w:rPr>
                <w:rFonts w:ascii="Times New Roman"/>
                <w:w w:val="100"/>
                <w:sz w:val="21"/>
              </w:rPr>
              <w:t>1</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315" w:lineRule="exact"/>
              <w:ind w:left="26"/>
              <w:rPr>
                <w:sz w:val="21"/>
              </w:rPr>
            </w:pPr>
            <w:r>
              <w:rPr>
                <w:w w:val="100"/>
                <w:sz w:val="21"/>
              </w:rPr>
              <w:t>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15" w:lineRule="exact"/>
              <w:ind w:left="152" w:right="125"/>
              <w:rPr>
                <w:rFonts w:ascii="Times New Roman" w:eastAsia="Times New Roman"/>
                <w:sz w:val="21"/>
              </w:rPr>
            </w:pPr>
            <w:r>
              <w:rPr>
                <w:sz w:val="21"/>
              </w:rPr>
              <w:t>微波消解</w:t>
            </w:r>
            <w:r>
              <w:rPr>
                <w:rFonts w:ascii="Times New Roman" w:eastAsia="Times New Roman"/>
                <w:sz w:val="21"/>
              </w:rPr>
              <w:t>/</w:t>
            </w:r>
            <w:r>
              <w:rPr>
                <w:sz w:val="21"/>
              </w:rPr>
              <w:t>原子荧光法 </w:t>
            </w:r>
            <w:r>
              <w:rPr>
                <w:rFonts w:ascii="Times New Roman" w:eastAsia="Times New Roman"/>
                <w:sz w:val="21"/>
              </w:rPr>
              <w:t>HJ 680-2013</w:t>
            </w:r>
          </w:p>
        </w:tc>
        <w:tc>
          <w:tcPr>
            <w:tcW w:w="1332" w:type="dxa"/>
            <w:tcBorders>
              <w:top w:val="single" w:sz="6" w:space="0" w:color="000000"/>
              <w:left w:val="single" w:sz="6" w:space="0" w:color="000000"/>
              <w:bottom w:val="single" w:sz="6" w:space="0" w:color="000000"/>
            </w:tcBorders>
          </w:tcPr>
          <w:p>
            <w:pPr>
              <w:pStyle w:val="TableParagraph"/>
              <w:spacing w:before="41"/>
              <w:ind w:left="126" w:right="89"/>
              <w:rPr>
                <w:rFonts w:ascii="Times New Roman"/>
                <w:sz w:val="21"/>
              </w:rPr>
            </w:pPr>
            <w:r>
              <w:rPr>
                <w:rFonts w:ascii="Times New Roman"/>
                <w:sz w:val="21"/>
              </w:rPr>
              <w:t>0.01mg/kg</w:t>
            </w:r>
          </w:p>
        </w:tc>
      </w:tr>
      <w:tr>
        <w:trPr>
          <w:trHeight w:val="513" w:hRule="atLeast"/>
        </w:trPr>
        <w:tc>
          <w:tcPr>
            <w:tcW w:w="674" w:type="dxa"/>
            <w:tcBorders>
              <w:top w:val="single" w:sz="6" w:space="0" w:color="000000"/>
              <w:bottom w:val="single" w:sz="6" w:space="0" w:color="000000"/>
              <w:right w:val="single" w:sz="6" w:space="0" w:color="000000"/>
            </w:tcBorders>
          </w:tcPr>
          <w:p>
            <w:pPr>
              <w:pStyle w:val="TableParagraph"/>
              <w:spacing w:before="135"/>
              <w:ind w:left="19"/>
              <w:rPr>
                <w:rFonts w:ascii="Times New Roman"/>
                <w:sz w:val="21"/>
              </w:rPr>
            </w:pPr>
            <w:r>
              <w:rPr>
                <w:rFonts w:ascii="Times New Roman"/>
                <w:w w:val="100"/>
                <w:sz w:val="21"/>
              </w:rPr>
              <w:t>2</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439" w:lineRule="exact" w:before="53"/>
              <w:ind w:left="26"/>
              <w:rPr>
                <w:sz w:val="21"/>
              </w:rPr>
            </w:pPr>
            <w:r>
              <w:rPr>
                <w:w w:val="100"/>
                <w:sz w:val="21"/>
              </w:rPr>
              <w:t>镉</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52" w:right="125"/>
              <w:rPr>
                <w:sz w:val="21"/>
              </w:rPr>
            </w:pPr>
            <w:r>
              <w:rPr>
                <w:sz w:val="21"/>
              </w:rPr>
              <w:t>电感耦合等离子体发射光谱法</w:t>
            </w:r>
          </w:p>
          <w:p>
            <w:pPr>
              <w:pStyle w:val="TableParagraph"/>
              <w:spacing w:line="187" w:lineRule="exact"/>
              <w:ind w:left="152" w:right="125"/>
              <w:rPr>
                <w:rFonts w:ascii="Times New Roman"/>
                <w:sz w:val="21"/>
              </w:rPr>
            </w:pPr>
            <w:r>
              <w:rPr>
                <w:rFonts w:ascii="Times New Roman"/>
                <w:sz w:val="21"/>
              </w:rPr>
              <w:t>HJ 781-2016</w:t>
            </w:r>
          </w:p>
        </w:tc>
        <w:tc>
          <w:tcPr>
            <w:tcW w:w="1332" w:type="dxa"/>
            <w:tcBorders>
              <w:top w:val="single" w:sz="6" w:space="0" w:color="000000"/>
              <w:left w:val="single" w:sz="6" w:space="0" w:color="000000"/>
              <w:bottom w:val="single" w:sz="6" w:space="0" w:color="000000"/>
            </w:tcBorders>
          </w:tcPr>
          <w:p>
            <w:pPr>
              <w:pStyle w:val="TableParagraph"/>
              <w:spacing w:before="130"/>
              <w:ind w:left="126" w:right="89"/>
              <w:rPr>
                <w:rFonts w:ascii="Times New Roman"/>
                <w:sz w:val="21"/>
              </w:rPr>
            </w:pPr>
            <w:r>
              <w:rPr>
                <w:rFonts w:ascii="Times New Roman"/>
                <w:sz w:val="21"/>
              </w:rPr>
              <w:t>0.1mg/kg</w:t>
            </w:r>
          </w:p>
        </w:tc>
      </w:tr>
      <w:tr>
        <w:trPr>
          <w:trHeight w:val="515" w:hRule="atLeast"/>
        </w:trPr>
        <w:tc>
          <w:tcPr>
            <w:tcW w:w="674" w:type="dxa"/>
            <w:tcBorders>
              <w:top w:val="single" w:sz="6" w:space="0" w:color="000000"/>
              <w:bottom w:val="single" w:sz="6" w:space="0" w:color="000000"/>
              <w:right w:val="single" w:sz="6" w:space="0" w:color="000000"/>
            </w:tcBorders>
          </w:tcPr>
          <w:p>
            <w:pPr>
              <w:pStyle w:val="TableParagraph"/>
              <w:spacing w:before="137"/>
              <w:ind w:left="19"/>
              <w:rPr>
                <w:rFonts w:ascii="Times New Roman"/>
                <w:sz w:val="21"/>
              </w:rPr>
            </w:pPr>
            <w:r>
              <w:rPr>
                <w:rFonts w:ascii="Times New Roman"/>
                <w:w w:val="100"/>
                <w:sz w:val="21"/>
              </w:rPr>
              <w:t>3</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442" w:lineRule="exact" w:before="53"/>
              <w:ind w:left="112" w:right="86"/>
              <w:rPr>
                <w:sz w:val="21"/>
              </w:rPr>
            </w:pPr>
            <w:r>
              <w:rPr>
                <w:sz w:val="21"/>
              </w:rPr>
              <w:t>六价铬</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7" w:lineRule="exact"/>
              <w:ind w:left="151" w:right="125"/>
              <w:rPr>
                <w:sz w:val="21"/>
              </w:rPr>
            </w:pPr>
            <w:r>
              <w:rPr>
                <w:sz w:val="21"/>
              </w:rPr>
              <w:t>碱消解</w:t>
            </w:r>
            <w:r>
              <w:rPr>
                <w:rFonts w:ascii="Times New Roman" w:eastAsia="Times New Roman"/>
                <w:sz w:val="21"/>
              </w:rPr>
              <w:t>/</w:t>
            </w:r>
            <w:r>
              <w:rPr>
                <w:sz w:val="21"/>
              </w:rPr>
              <w:t>火焰原子吸收分光光度法</w:t>
            </w:r>
          </w:p>
          <w:p>
            <w:pPr>
              <w:pStyle w:val="TableParagraph"/>
              <w:spacing w:line="188" w:lineRule="exact"/>
              <w:ind w:left="152" w:right="125"/>
              <w:rPr>
                <w:rFonts w:ascii="Times New Roman"/>
                <w:sz w:val="21"/>
              </w:rPr>
            </w:pPr>
            <w:r>
              <w:rPr>
                <w:rFonts w:ascii="Times New Roman"/>
                <w:sz w:val="21"/>
              </w:rPr>
              <w:t>HJ 687-2014</w:t>
            </w:r>
          </w:p>
        </w:tc>
        <w:tc>
          <w:tcPr>
            <w:tcW w:w="1332" w:type="dxa"/>
            <w:tcBorders>
              <w:top w:val="single" w:sz="6" w:space="0" w:color="000000"/>
              <w:left w:val="single" w:sz="6" w:space="0" w:color="000000"/>
              <w:bottom w:val="single" w:sz="6" w:space="0" w:color="000000"/>
            </w:tcBorders>
          </w:tcPr>
          <w:p>
            <w:pPr>
              <w:pStyle w:val="TableParagraph"/>
              <w:spacing w:before="130"/>
              <w:ind w:left="126" w:right="89"/>
              <w:rPr>
                <w:rFonts w:ascii="Times New Roman"/>
                <w:sz w:val="21"/>
              </w:rPr>
            </w:pPr>
            <w:r>
              <w:rPr>
                <w:rFonts w:ascii="Times New Roman"/>
                <w:sz w:val="21"/>
              </w:rPr>
              <w:t>2mg/kg</w:t>
            </w:r>
          </w:p>
        </w:tc>
      </w:tr>
      <w:tr>
        <w:trPr>
          <w:trHeight w:val="512" w:hRule="atLeast"/>
        </w:trPr>
        <w:tc>
          <w:tcPr>
            <w:tcW w:w="674" w:type="dxa"/>
            <w:tcBorders>
              <w:top w:val="single" w:sz="6" w:space="0" w:color="000000"/>
              <w:bottom w:val="single" w:sz="6" w:space="0" w:color="000000"/>
              <w:right w:val="single" w:sz="6" w:space="0" w:color="000000"/>
            </w:tcBorders>
          </w:tcPr>
          <w:p>
            <w:pPr>
              <w:pStyle w:val="TableParagraph"/>
              <w:spacing w:before="135"/>
              <w:ind w:left="19"/>
              <w:rPr>
                <w:rFonts w:ascii="Times New Roman"/>
                <w:sz w:val="21"/>
              </w:rPr>
            </w:pPr>
            <w:r>
              <w:rPr>
                <w:rFonts w:ascii="Times New Roman"/>
                <w:w w:val="100"/>
                <w:sz w:val="21"/>
              </w:rPr>
              <w:t>4</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442" w:lineRule="exact" w:before="51"/>
              <w:ind w:left="26"/>
              <w:rPr>
                <w:sz w:val="21"/>
              </w:rPr>
            </w:pPr>
            <w:r>
              <w:rPr>
                <w:w w:val="100"/>
                <w:sz w:val="21"/>
              </w:rPr>
              <w:t>铜</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52" w:right="125"/>
              <w:rPr>
                <w:sz w:val="21"/>
              </w:rPr>
            </w:pPr>
            <w:r>
              <w:rPr>
                <w:sz w:val="21"/>
              </w:rPr>
              <w:t>电感耦合等离子体发射光谱法</w:t>
            </w:r>
          </w:p>
          <w:p>
            <w:pPr>
              <w:pStyle w:val="TableParagraph"/>
              <w:spacing w:line="188" w:lineRule="exact"/>
              <w:ind w:left="152" w:right="125"/>
              <w:rPr>
                <w:rFonts w:ascii="Times New Roman"/>
                <w:sz w:val="21"/>
              </w:rPr>
            </w:pPr>
            <w:r>
              <w:rPr>
                <w:rFonts w:ascii="Times New Roman"/>
                <w:sz w:val="21"/>
              </w:rPr>
              <w:t>HJ 781-2016</w:t>
            </w:r>
          </w:p>
        </w:tc>
        <w:tc>
          <w:tcPr>
            <w:tcW w:w="1332" w:type="dxa"/>
            <w:tcBorders>
              <w:top w:val="single" w:sz="6" w:space="0" w:color="000000"/>
              <w:left w:val="single" w:sz="6" w:space="0" w:color="000000"/>
              <w:bottom w:val="single" w:sz="6" w:space="0" w:color="000000"/>
            </w:tcBorders>
          </w:tcPr>
          <w:p>
            <w:pPr>
              <w:pStyle w:val="TableParagraph"/>
              <w:spacing w:before="130"/>
              <w:ind w:left="126" w:right="89"/>
              <w:rPr>
                <w:rFonts w:ascii="Times New Roman"/>
                <w:sz w:val="21"/>
              </w:rPr>
            </w:pPr>
            <w:r>
              <w:rPr>
                <w:rFonts w:ascii="Times New Roman"/>
                <w:sz w:val="21"/>
              </w:rPr>
              <w:t>0.4mg/kg</w:t>
            </w:r>
          </w:p>
        </w:tc>
      </w:tr>
      <w:tr>
        <w:trPr>
          <w:trHeight w:val="512" w:hRule="atLeast"/>
        </w:trPr>
        <w:tc>
          <w:tcPr>
            <w:tcW w:w="674" w:type="dxa"/>
            <w:tcBorders>
              <w:top w:val="single" w:sz="6" w:space="0" w:color="000000"/>
              <w:bottom w:val="single" w:sz="6" w:space="0" w:color="000000"/>
              <w:right w:val="single" w:sz="6" w:space="0" w:color="000000"/>
            </w:tcBorders>
          </w:tcPr>
          <w:p>
            <w:pPr>
              <w:pStyle w:val="TableParagraph"/>
              <w:spacing w:before="135"/>
              <w:ind w:left="19"/>
              <w:rPr>
                <w:rFonts w:ascii="Times New Roman"/>
                <w:sz w:val="21"/>
              </w:rPr>
            </w:pPr>
            <w:r>
              <w:rPr>
                <w:rFonts w:ascii="Times New Roman"/>
                <w:w w:val="100"/>
                <w:sz w:val="21"/>
              </w:rPr>
              <w:t>5</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439" w:lineRule="exact" w:before="53"/>
              <w:ind w:left="26"/>
              <w:rPr>
                <w:sz w:val="21"/>
              </w:rPr>
            </w:pPr>
            <w:r>
              <w:rPr>
                <w:w w:val="100"/>
                <w:sz w:val="21"/>
              </w:rPr>
              <w:t>铅</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52" w:right="125"/>
              <w:rPr>
                <w:sz w:val="21"/>
              </w:rPr>
            </w:pPr>
            <w:r>
              <w:rPr>
                <w:sz w:val="21"/>
              </w:rPr>
              <w:t>电感耦合等离子体发射光谱法</w:t>
            </w:r>
          </w:p>
          <w:p>
            <w:pPr>
              <w:pStyle w:val="TableParagraph"/>
              <w:spacing w:line="187" w:lineRule="exact"/>
              <w:ind w:left="152" w:right="125"/>
              <w:rPr>
                <w:rFonts w:ascii="Times New Roman"/>
                <w:sz w:val="21"/>
              </w:rPr>
            </w:pPr>
            <w:r>
              <w:rPr>
                <w:rFonts w:ascii="Times New Roman"/>
                <w:sz w:val="21"/>
              </w:rPr>
              <w:t>HJ 781-2016</w:t>
            </w:r>
          </w:p>
        </w:tc>
        <w:tc>
          <w:tcPr>
            <w:tcW w:w="1332" w:type="dxa"/>
            <w:tcBorders>
              <w:top w:val="single" w:sz="6" w:space="0" w:color="000000"/>
              <w:left w:val="single" w:sz="6" w:space="0" w:color="000000"/>
              <w:bottom w:val="single" w:sz="6" w:space="0" w:color="000000"/>
            </w:tcBorders>
          </w:tcPr>
          <w:p>
            <w:pPr>
              <w:pStyle w:val="TableParagraph"/>
              <w:spacing w:before="130"/>
              <w:ind w:left="126" w:right="89"/>
              <w:rPr>
                <w:rFonts w:ascii="Times New Roman"/>
                <w:sz w:val="21"/>
              </w:rPr>
            </w:pPr>
            <w:r>
              <w:rPr>
                <w:rFonts w:ascii="Times New Roman"/>
                <w:sz w:val="21"/>
              </w:rPr>
              <w:t>1.4mg/kg</w:t>
            </w:r>
          </w:p>
        </w:tc>
      </w:tr>
      <w:tr>
        <w:trPr>
          <w:trHeight w:val="516" w:hRule="atLeast"/>
        </w:trPr>
        <w:tc>
          <w:tcPr>
            <w:tcW w:w="674" w:type="dxa"/>
            <w:tcBorders>
              <w:top w:val="single" w:sz="6" w:space="0" w:color="000000"/>
              <w:bottom w:val="single" w:sz="6" w:space="0" w:color="000000"/>
              <w:right w:val="single" w:sz="6" w:space="0" w:color="000000"/>
            </w:tcBorders>
          </w:tcPr>
          <w:p>
            <w:pPr>
              <w:pStyle w:val="TableParagraph"/>
              <w:spacing w:before="137"/>
              <w:ind w:left="19"/>
              <w:rPr>
                <w:rFonts w:ascii="Times New Roman"/>
                <w:sz w:val="21"/>
              </w:rPr>
            </w:pPr>
            <w:r>
              <w:rPr>
                <w:rFonts w:ascii="Times New Roman"/>
                <w:w w:val="100"/>
                <w:sz w:val="21"/>
              </w:rPr>
              <w:t>6</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442" w:lineRule="exact" w:before="53"/>
              <w:ind w:left="26"/>
              <w:rPr>
                <w:sz w:val="21"/>
              </w:rPr>
            </w:pPr>
            <w:r>
              <w:rPr>
                <w:w w:val="100"/>
                <w:sz w:val="21"/>
              </w:rPr>
              <w:t>汞</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8" w:lineRule="exact"/>
              <w:ind w:left="152" w:right="125"/>
              <w:rPr>
                <w:sz w:val="21"/>
              </w:rPr>
            </w:pPr>
            <w:r>
              <w:rPr>
                <w:sz w:val="21"/>
              </w:rPr>
              <w:t>微波消解</w:t>
            </w:r>
            <w:r>
              <w:rPr>
                <w:rFonts w:ascii="Times New Roman" w:eastAsia="Times New Roman"/>
                <w:sz w:val="21"/>
              </w:rPr>
              <w:t>/</w:t>
            </w:r>
            <w:r>
              <w:rPr>
                <w:sz w:val="21"/>
              </w:rPr>
              <w:t>原子荧光法</w:t>
            </w:r>
          </w:p>
          <w:p>
            <w:pPr>
              <w:pStyle w:val="TableParagraph"/>
              <w:spacing w:line="188" w:lineRule="exact"/>
              <w:ind w:left="152" w:right="125"/>
              <w:rPr>
                <w:rFonts w:ascii="Times New Roman"/>
                <w:sz w:val="21"/>
              </w:rPr>
            </w:pPr>
            <w:r>
              <w:rPr>
                <w:rFonts w:ascii="Times New Roman"/>
                <w:sz w:val="21"/>
              </w:rPr>
              <w:t>HJ 680-2013</w:t>
            </w:r>
          </w:p>
        </w:tc>
        <w:tc>
          <w:tcPr>
            <w:tcW w:w="1332" w:type="dxa"/>
            <w:tcBorders>
              <w:top w:val="single" w:sz="6" w:space="0" w:color="000000"/>
              <w:left w:val="single" w:sz="6" w:space="0" w:color="000000"/>
              <w:bottom w:val="single" w:sz="6" w:space="0" w:color="000000"/>
            </w:tcBorders>
          </w:tcPr>
          <w:p>
            <w:pPr>
              <w:pStyle w:val="TableParagraph"/>
              <w:spacing w:before="130"/>
              <w:ind w:left="126" w:right="89"/>
              <w:rPr>
                <w:rFonts w:ascii="Times New Roman"/>
                <w:sz w:val="21"/>
              </w:rPr>
            </w:pPr>
            <w:r>
              <w:rPr>
                <w:rFonts w:ascii="Times New Roman"/>
                <w:sz w:val="21"/>
              </w:rPr>
              <w:t>0.002mg/kg</w:t>
            </w:r>
          </w:p>
        </w:tc>
      </w:tr>
      <w:tr>
        <w:trPr>
          <w:trHeight w:val="332" w:hRule="atLeast"/>
        </w:trPr>
        <w:tc>
          <w:tcPr>
            <w:tcW w:w="674" w:type="dxa"/>
            <w:tcBorders>
              <w:top w:val="single" w:sz="6" w:space="0" w:color="000000"/>
              <w:bottom w:val="single" w:sz="6" w:space="0" w:color="000000"/>
              <w:right w:val="single" w:sz="6" w:space="0" w:color="000000"/>
            </w:tcBorders>
          </w:tcPr>
          <w:p>
            <w:pPr>
              <w:pStyle w:val="TableParagraph"/>
              <w:spacing w:before="46"/>
              <w:ind w:left="19"/>
              <w:rPr>
                <w:rFonts w:ascii="Times New Roman"/>
                <w:sz w:val="21"/>
              </w:rPr>
            </w:pPr>
            <w:r>
              <w:rPr>
                <w:rFonts w:ascii="Times New Roman"/>
                <w:w w:val="100"/>
                <w:sz w:val="21"/>
              </w:rPr>
              <w:t>7</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6"/>
              <w:rPr>
                <w:sz w:val="21"/>
              </w:rPr>
            </w:pPr>
            <w:r>
              <w:rPr>
                <w:w w:val="100"/>
                <w:sz w:val="21"/>
              </w:rPr>
              <w:t>镍</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152" w:right="125"/>
              <w:rPr>
                <w:rFonts w:ascii="Times New Roman" w:eastAsia="Times New Roman"/>
                <w:sz w:val="21"/>
              </w:rPr>
            </w:pPr>
            <w:r>
              <w:rPr>
                <w:sz w:val="21"/>
              </w:rPr>
              <w:t>电感耦合等离子体发射光谱法 </w:t>
            </w:r>
            <w:r>
              <w:rPr>
                <w:rFonts w:ascii="Times New Roman" w:eastAsia="Times New Roman"/>
                <w:sz w:val="21"/>
              </w:rPr>
              <w:t>HJ 781-2016</w:t>
            </w:r>
          </w:p>
        </w:tc>
        <w:tc>
          <w:tcPr>
            <w:tcW w:w="1332" w:type="dxa"/>
            <w:tcBorders>
              <w:top w:val="single" w:sz="6" w:space="0" w:color="000000"/>
              <w:left w:val="single" w:sz="6" w:space="0" w:color="000000"/>
              <w:bottom w:val="single" w:sz="6" w:space="0" w:color="000000"/>
            </w:tcBorders>
          </w:tcPr>
          <w:p>
            <w:pPr>
              <w:pStyle w:val="TableParagraph"/>
              <w:spacing w:before="39"/>
              <w:ind w:left="126" w:right="89"/>
              <w:rPr>
                <w:rFonts w:ascii="Times New Roman"/>
                <w:sz w:val="21"/>
              </w:rPr>
            </w:pPr>
            <w:r>
              <w:rPr>
                <w:rFonts w:ascii="Times New Roman"/>
                <w:sz w:val="21"/>
              </w:rPr>
              <w:t>0.4mg/kg</w:t>
            </w:r>
          </w:p>
        </w:tc>
      </w:tr>
      <w:tr>
        <w:trPr>
          <w:trHeight w:val="625" w:hRule="atLeast"/>
        </w:trPr>
        <w:tc>
          <w:tcPr>
            <w:tcW w:w="674" w:type="dxa"/>
            <w:tcBorders>
              <w:top w:val="single" w:sz="6" w:space="0" w:color="000000"/>
              <w:bottom w:val="single" w:sz="6" w:space="0" w:color="000000"/>
              <w:right w:val="single" w:sz="6" w:space="0" w:color="000000"/>
            </w:tcBorders>
          </w:tcPr>
          <w:p>
            <w:pPr>
              <w:pStyle w:val="TableParagraph"/>
              <w:spacing w:before="192"/>
              <w:ind w:left="19"/>
              <w:rPr>
                <w:rFonts w:ascii="Times New Roman"/>
                <w:sz w:val="21"/>
              </w:rPr>
            </w:pPr>
            <w:r>
              <w:rPr>
                <w:rFonts w:ascii="Times New Roman"/>
                <w:w w:val="100"/>
                <w:sz w:val="21"/>
              </w:rPr>
              <w:t>8</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80"/>
              <w:ind w:left="112" w:right="86"/>
              <w:rPr>
                <w:sz w:val="21"/>
              </w:rPr>
            </w:pPr>
            <w:r>
              <w:rPr>
                <w:rFonts w:ascii="Times New Roman" w:eastAsia="Times New Roman"/>
                <w:position w:val="1"/>
                <w:sz w:val="21"/>
              </w:rPr>
              <w:t>1,1-</w:t>
            </w:r>
            <w:r>
              <w:rPr>
                <w:sz w:val="21"/>
              </w:rPr>
              <w:t>二氯乙烯</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2"/>
              <w:ind w:left="123" w:right="89"/>
              <w:rPr>
                <w:rFonts w:ascii="Times New Roman" w:hAnsi="Times New Roman"/>
                <w:sz w:val="21"/>
              </w:rPr>
            </w:pPr>
            <w:r>
              <w:rPr>
                <w:rFonts w:ascii="Times New Roman" w:hAnsi="Times New Roman"/>
                <w:sz w:val="21"/>
              </w:rPr>
              <w:t>1.0μg/kg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9"/>
              <w:rPr>
                <w:rFonts w:ascii="Times New Roman"/>
                <w:sz w:val="21"/>
              </w:rPr>
            </w:pPr>
            <w:r>
              <w:rPr>
                <w:rFonts w:ascii="Times New Roman"/>
                <w:w w:val="100"/>
                <w:sz w:val="21"/>
              </w:rPr>
              <w:t>9</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5" w:right="86"/>
              <w:rPr>
                <w:sz w:val="21"/>
              </w:rPr>
            </w:pPr>
            <w:r>
              <w:rPr>
                <w:sz w:val="21"/>
              </w:rPr>
              <w:t>二氯甲烷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1.5μg/kg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10</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2" w:right="86"/>
              <w:rPr>
                <w:sz w:val="21"/>
              </w:rPr>
            </w:pPr>
            <w:r>
              <w:rPr>
                <w:sz w:val="21"/>
              </w:rPr>
              <w:t>反</w:t>
            </w:r>
            <w:r>
              <w:rPr>
                <w:rFonts w:ascii="Times New Roman" w:eastAsia="Times New Roman"/>
                <w:position w:val="1"/>
                <w:sz w:val="21"/>
              </w:rPr>
              <w:t>-1,2-</w:t>
            </w:r>
            <w:r>
              <w:rPr>
                <w:sz w:val="21"/>
              </w:rPr>
              <w:t>二氯乙烯</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1.4μg/kg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97" w:right="83"/>
              <w:rPr>
                <w:rFonts w:ascii="Times New Roman"/>
                <w:sz w:val="21"/>
              </w:rPr>
            </w:pPr>
            <w:r>
              <w:rPr>
                <w:rFonts w:ascii="Times New Roman"/>
                <w:sz w:val="21"/>
              </w:rPr>
              <w:t>11</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2" w:right="86"/>
              <w:rPr>
                <w:sz w:val="21"/>
              </w:rPr>
            </w:pPr>
            <w:r>
              <w:rPr>
                <w:rFonts w:ascii="Times New Roman" w:eastAsia="Times New Roman"/>
                <w:position w:val="1"/>
                <w:sz w:val="21"/>
              </w:rPr>
              <w:t>1,1-</w:t>
            </w:r>
            <w:r>
              <w:rPr>
                <w:sz w:val="21"/>
              </w:rPr>
              <w:t>二氯乙烷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6" w:hRule="atLeast"/>
        </w:trPr>
        <w:tc>
          <w:tcPr>
            <w:tcW w:w="674" w:type="dxa"/>
            <w:tcBorders>
              <w:top w:val="single" w:sz="6" w:space="0" w:color="000000"/>
              <w:bottom w:val="single" w:sz="6" w:space="0" w:color="000000"/>
              <w:right w:val="single" w:sz="6" w:space="0" w:color="000000"/>
            </w:tcBorders>
          </w:tcPr>
          <w:p>
            <w:pPr>
              <w:pStyle w:val="TableParagraph"/>
              <w:spacing w:before="193"/>
              <w:ind w:left="102" w:right="83"/>
              <w:rPr>
                <w:rFonts w:ascii="Times New Roman"/>
                <w:sz w:val="21"/>
              </w:rPr>
            </w:pPr>
            <w:r>
              <w:rPr>
                <w:rFonts w:ascii="Times New Roman"/>
                <w:sz w:val="21"/>
              </w:rPr>
              <w:t>12</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80"/>
              <w:ind w:left="112" w:right="86"/>
              <w:rPr>
                <w:sz w:val="21"/>
              </w:rPr>
            </w:pPr>
            <w:r>
              <w:rPr>
                <w:sz w:val="21"/>
              </w:rPr>
              <w:t>顺</w:t>
            </w:r>
            <w:r>
              <w:rPr>
                <w:rFonts w:ascii="Times New Roman" w:eastAsia="Times New Roman"/>
                <w:position w:val="1"/>
                <w:sz w:val="21"/>
              </w:rPr>
              <w:t>-1,2-</w:t>
            </w:r>
            <w:r>
              <w:rPr>
                <w:sz w:val="21"/>
              </w:rPr>
              <w:t>二氯乙烯</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3"/>
              <w:ind w:left="123" w:right="89"/>
              <w:rPr>
                <w:rFonts w:ascii="Times New Roman" w:hAnsi="Times New Roman"/>
                <w:sz w:val="21"/>
              </w:rPr>
            </w:pPr>
            <w:r>
              <w:rPr>
                <w:rFonts w:ascii="Times New Roman" w:hAnsi="Times New Roman"/>
                <w:sz w:val="21"/>
              </w:rPr>
              <w:t>1.3μg/kg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13</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2" w:right="86"/>
              <w:rPr>
                <w:sz w:val="21"/>
              </w:rPr>
            </w:pPr>
            <w:r>
              <w:rPr>
                <w:sz w:val="21"/>
              </w:rPr>
              <w:t>氯仿</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1.1μg/kg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14</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5" w:right="86"/>
              <w:rPr>
                <w:sz w:val="21"/>
              </w:rPr>
            </w:pPr>
            <w:r>
              <w:rPr>
                <w:rFonts w:ascii="Times New Roman" w:eastAsia="Times New Roman"/>
                <w:position w:val="1"/>
                <w:sz w:val="21"/>
              </w:rPr>
              <w:t>1,1,1-</w:t>
            </w:r>
            <w:r>
              <w:rPr>
                <w:sz w:val="21"/>
              </w:rPr>
              <w:t>三氯乙烷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1.3μg/kg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15</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5" w:right="86"/>
              <w:rPr>
                <w:sz w:val="21"/>
              </w:rPr>
            </w:pPr>
            <w:r>
              <w:rPr>
                <w:sz w:val="21"/>
              </w:rPr>
              <w:t>四氯化碳</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1.3μg/kg</w:t>
            </w:r>
          </w:p>
        </w:tc>
      </w:tr>
      <w:tr>
        <w:trPr>
          <w:trHeight w:val="625" w:hRule="atLeast"/>
        </w:trPr>
        <w:tc>
          <w:tcPr>
            <w:tcW w:w="674" w:type="dxa"/>
            <w:tcBorders>
              <w:top w:val="single" w:sz="6" w:space="0" w:color="000000"/>
              <w:bottom w:val="single" w:sz="6" w:space="0" w:color="000000"/>
              <w:right w:val="single" w:sz="6" w:space="0" w:color="000000"/>
            </w:tcBorders>
          </w:tcPr>
          <w:p>
            <w:pPr>
              <w:pStyle w:val="TableParagraph"/>
              <w:spacing w:before="192"/>
              <w:ind w:left="102" w:right="83"/>
              <w:rPr>
                <w:rFonts w:ascii="Times New Roman"/>
                <w:sz w:val="21"/>
              </w:rPr>
            </w:pPr>
            <w:r>
              <w:rPr>
                <w:rFonts w:ascii="Times New Roman"/>
                <w:sz w:val="21"/>
              </w:rPr>
              <w:t>16</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80"/>
              <w:ind w:left="26"/>
              <w:rPr>
                <w:sz w:val="21"/>
              </w:rPr>
            </w:pPr>
            <w:r>
              <w:rPr>
                <w:w w:val="100"/>
                <w:sz w:val="21"/>
              </w:rPr>
              <w:t>苯</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2"/>
              <w:ind w:left="123" w:right="89"/>
              <w:rPr>
                <w:rFonts w:ascii="Times New Roman" w:hAnsi="Times New Roman"/>
                <w:sz w:val="21"/>
              </w:rPr>
            </w:pPr>
            <w:r>
              <w:rPr>
                <w:rFonts w:ascii="Times New Roman" w:hAnsi="Times New Roman"/>
                <w:sz w:val="21"/>
              </w:rPr>
              <w:t>1.9μg/kg</w:t>
            </w:r>
          </w:p>
        </w:tc>
      </w:tr>
      <w:tr>
        <w:trPr>
          <w:trHeight w:val="624"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17</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2" w:right="86"/>
              <w:rPr>
                <w:sz w:val="21"/>
              </w:rPr>
            </w:pPr>
            <w:r>
              <w:rPr>
                <w:rFonts w:ascii="Times New Roman" w:eastAsia="Times New Roman"/>
                <w:position w:val="1"/>
                <w:sz w:val="21"/>
              </w:rPr>
              <w:t>1,2-</w:t>
            </w:r>
            <w:r>
              <w:rPr>
                <w:sz w:val="21"/>
              </w:rPr>
              <w:t>二氯乙烷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1.3μg/kg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18</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5" w:right="86"/>
              <w:rPr>
                <w:sz w:val="21"/>
              </w:rPr>
            </w:pPr>
            <w:r>
              <w:rPr>
                <w:sz w:val="21"/>
              </w:rPr>
              <w:t>三氯乙烯</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19</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2" w:right="86"/>
              <w:rPr>
                <w:sz w:val="21"/>
              </w:rPr>
            </w:pPr>
            <w:r>
              <w:rPr>
                <w:rFonts w:ascii="Times New Roman" w:eastAsia="Times New Roman"/>
                <w:position w:val="1"/>
                <w:sz w:val="21"/>
              </w:rPr>
              <w:t>1,2-</w:t>
            </w:r>
            <w:r>
              <w:rPr>
                <w:sz w:val="21"/>
              </w:rPr>
              <w:t>二氯丙烷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1.1μg/kg</w:t>
            </w:r>
          </w:p>
        </w:tc>
      </w:tr>
      <w:tr>
        <w:trPr>
          <w:trHeight w:val="625" w:hRule="atLeast"/>
        </w:trPr>
        <w:tc>
          <w:tcPr>
            <w:tcW w:w="674" w:type="dxa"/>
            <w:tcBorders>
              <w:top w:val="single" w:sz="6" w:space="0" w:color="000000"/>
              <w:bottom w:val="single" w:sz="6" w:space="0" w:color="000000"/>
              <w:right w:val="single" w:sz="6" w:space="0" w:color="000000"/>
            </w:tcBorders>
          </w:tcPr>
          <w:p>
            <w:pPr>
              <w:pStyle w:val="TableParagraph"/>
              <w:spacing w:before="192"/>
              <w:ind w:left="102" w:right="83"/>
              <w:rPr>
                <w:rFonts w:ascii="Times New Roman"/>
                <w:sz w:val="21"/>
              </w:rPr>
            </w:pPr>
            <w:r>
              <w:rPr>
                <w:rFonts w:ascii="Times New Roman"/>
                <w:sz w:val="21"/>
              </w:rPr>
              <w:t>20</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80"/>
              <w:ind w:left="112" w:right="86"/>
              <w:rPr>
                <w:sz w:val="21"/>
              </w:rPr>
            </w:pPr>
            <w:r>
              <w:rPr>
                <w:sz w:val="21"/>
              </w:rPr>
              <w:t>甲苯</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2"/>
              <w:ind w:left="123" w:right="89"/>
              <w:rPr>
                <w:rFonts w:ascii="Times New Roman" w:hAnsi="Times New Roman"/>
                <w:sz w:val="21"/>
              </w:rPr>
            </w:pPr>
            <w:r>
              <w:rPr>
                <w:rFonts w:ascii="Times New Roman" w:hAnsi="Times New Roman"/>
                <w:sz w:val="21"/>
              </w:rPr>
              <w:t>1.3μg/kg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21</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5" w:right="86"/>
              <w:rPr>
                <w:sz w:val="21"/>
              </w:rPr>
            </w:pPr>
            <w:r>
              <w:rPr>
                <w:rFonts w:ascii="Times New Roman" w:eastAsia="Times New Roman"/>
                <w:position w:val="1"/>
                <w:sz w:val="21"/>
              </w:rPr>
              <w:t>1,1,2-</w:t>
            </w:r>
            <w:r>
              <w:rPr>
                <w:sz w:val="21"/>
              </w:rPr>
              <w:t>三氯乙烷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3" w:hRule="atLeast"/>
        </w:trPr>
        <w:tc>
          <w:tcPr>
            <w:tcW w:w="674" w:type="dxa"/>
            <w:tcBorders>
              <w:top w:val="single" w:sz="6" w:space="0" w:color="000000"/>
              <w:bottom w:val="single" w:sz="6" w:space="0" w:color="000000"/>
              <w:right w:val="single" w:sz="6" w:space="0" w:color="000000"/>
            </w:tcBorders>
          </w:tcPr>
          <w:p>
            <w:pPr>
              <w:pStyle w:val="TableParagraph"/>
              <w:spacing w:before="190"/>
              <w:ind w:left="102" w:right="83"/>
              <w:rPr>
                <w:rFonts w:ascii="Times New Roman"/>
                <w:sz w:val="21"/>
              </w:rPr>
            </w:pPr>
            <w:r>
              <w:rPr>
                <w:rFonts w:ascii="Times New Roman"/>
                <w:sz w:val="21"/>
              </w:rPr>
              <w:t>22</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before="77"/>
              <w:ind w:left="115" w:right="86"/>
              <w:rPr>
                <w:sz w:val="21"/>
              </w:rPr>
            </w:pPr>
            <w:r>
              <w:rPr>
                <w:sz w:val="21"/>
              </w:rPr>
              <w:t>四氯乙烯</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4"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top w:val="single" w:sz="6" w:space="0" w:color="000000"/>
              <w:left w:val="single" w:sz="6" w:space="0" w:color="000000"/>
              <w:bottom w:val="single" w:sz="6" w:space="0" w:color="000000"/>
            </w:tcBorders>
          </w:tcPr>
          <w:p>
            <w:pPr>
              <w:pStyle w:val="TableParagraph"/>
              <w:spacing w:before="190"/>
              <w:ind w:left="123" w:right="89"/>
              <w:rPr>
                <w:rFonts w:ascii="Times New Roman" w:hAnsi="Times New Roman"/>
                <w:sz w:val="21"/>
              </w:rPr>
            </w:pPr>
            <w:r>
              <w:rPr>
                <w:rFonts w:ascii="Times New Roman" w:hAnsi="Times New Roman"/>
                <w:sz w:val="21"/>
              </w:rPr>
              <w:t>1.4μg/kg</w:t>
            </w:r>
          </w:p>
        </w:tc>
      </w:tr>
      <w:tr>
        <w:trPr>
          <w:trHeight w:val="313" w:hRule="atLeast"/>
        </w:trPr>
        <w:tc>
          <w:tcPr>
            <w:tcW w:w="674" w:type="dxa"/>
            <w:tcBorders>
              <w:top w:val="single" w:sz="6" w:space="0" w:color="000000"/>
              <w:bottom w:val="single" w:sz="6" w:space="0" w:color="000000"/>
              <w:right w:val="single" w:sz="6" w:space="0" w:color="000000"/>
            </w:tcBorders>
          </w:tcPr>
          <w:p>
            <w:pPr>
              <w:pStyle w:val="TableParagraph"/>
              <w:spacing w:before="34"/>
              <w:ind w:left="102" w:right="83"/>
              <w:rPr>
                <w:rFonts w:ascii="Times New Roman"/>
                <w:sz w:val="21"/>
              </w:rPr>
            </w:pPr>
            <w:r>
              <w:rPr>
                <w:rFonts w:ascii="Times New Roman"/>
                <w:sz w:val="21"/>
              </w:rPr>
              <w:t>23</w:t>
            </w:r>
          </w:p>
        </w:tc>
        <w:tc>
          <w:tcPr>
            <w:tcW w:w="1846"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15" w:right="86"/>
              <w:rPr>
                <w:sz w:val="21"/>
              </w:rPr>
            </w:pPr>
            <w:r>
              <w:rPr>
                <w:rFonts w:ascii="Times New Roman" w:eastAsia="Times New Roman"/>
                <w:position w:val="1"/>
                <w:sz w:val="21"/>
              </w:rPr>
              <w:t>1,1,2,2-</w:t>
            </w:r>
            <w:r>
              <w:rPr>
                <w:sz w:val="21"/>
              </w:rPr>
              <w:t>四氯乙烷</w:t>
            </w:r>
          </w:p>
        </w:tc>
        <w:tc>
          <w:tcPr>
            <w:tcW w:w="4676"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52" w:right="125"/>
              <w:rPr>
                <w:sz w:val="21"/>
              </w:rPr>
            </w:pPr>
            <w:r>
              <w:rPr>
                <w:rFonts w:ascii="Times New Roman" w:eastAsia="Times New Roman"/>
                <w:position w:val="1"/>
                <w:sz w:val="21"/>
              </w:rPr>
              <w:t>HJ 605-2011 </w:t>
            </w:r>
            <w:r>
              <w:rPr>
                <w:sz w:val="21"/>
              </w:rPr>
              <w:t>土壤和沉积物 挥发性有机物的测</w:t>
            </w:r>
          </w:p>
        </w:tc>
        <w:tc>
          <w:tcPr>
            <w:tcW w:w="1332" w:type="dxa"/>
            <w:tcBorders>
              <w:top w:val="single" w:sz="6" w:space="0" w:color="000000"/>
              <w:left w:val="single" w:sz="6" w:space="0" w:color="000000"/>
              <w:bottom w:val="single" w:sz="6" w:space="0" w:color="000000"/>
            </w:tcBorders>
          </w:tcPr>
          <w:p>
            <w:pPr>
              <w:pStyle w:val="TableParagraph"/>
              <w:spacing w:before="34"/>
              <w:ind w:left="123" w:right="89"/>
              <w:rPr>
                <w:rFonts w:ascii="Times New Roman" w:hAnsi="Times New Roman"/>
                <w:sz w:val="21"/>
              </w:rPr>
            </w:pPr>
            <w:r>
              <w:rPr>
                <w:rFonts w:ascii="Times New Roman" w:hAnsi="Times New Roman"/>
                <w:sz w:val="21"/>
              </w:rPr>
              <w:t>1.2μg/kg</w:t>
            </w:r>
          </w:p>
        </w:tc>
      </w:tr>
    </w:tbl>
    <w:p>
      <w:pPr>
        <w:spacing w:after="0"/>
        <w:rPr>
          <w:rFonts w:ascii="Times New Roman" w:hAnsi="Times New Roman"/>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846"/>
        <w:gridCol w:w="4676"/>
        <w:gridCol w:w="1332"/>
      </w:tblGrid>
      <w:tr>
        <w:trPr>
          <w:trHeight w:val="311" w:hRule="atLeast"/>
        </w:trPr>
        <w:tc>
          <w:tcPr>
            <w:tcW w:w="674" w:type="dxa"/>
            <w:tcBorders>
              <w:left w:val="single" w:sz="12" w:space="0" w:color="000000"/>
            </w:tcBorders>
          </w:tcPr>
          <w:p>
            <w:pPr>
              <w:pStyle w:val="TableParagraph"/>
              <w:jc w:val="left"/>
              <w:rPr>
                <w:rFonts w:ascii="Times New Roman"/>
                <w:sz w:val="20"/>
              </w:rPr>
            </w:pPr>
          </w:p>
        </w:tc>
        <w:tc>
          <w:tcPr>
            <w:tcW w:w="1846" w:type="dxa"/>
          </w:tcPr>
          <w:p>
            <w:pPr>
              <w:pStyle w:val="TableParagraph"/>
              <w:jc w:val="left"/>
              <w:rPr>
                <w:rFonts w:ascii="Times New Roman"/>
                <w:sz w:val="20"/>
              </w:rPr>
            </w:pPr>
          </w:p>
        </w:tc>
        <w:tc>
          <w:tcPr>
            <w:tcW w:w="4676" w:type="dxa"/>
          </w:tcPr>
          <w:p>
            <w:pPr>
              <w:pStyle w:val="TableParagraph"/>
              <w:spacing w:line="292" w:lineRule="exact"/>
              <w:ind w:left="993"/>
              <w:jc w:val="left"/>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jc w:val="left"/>
              <w:rPr>
                <w:rFonts w:ascii="Times New Roman"/>
                <w:sz w:val="20"/>
              </w:rPr>
            </w:pP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24</w:t>
            </w:r>
          </w:p>
        </w:tc>
        <w:tc>
          <w:tcPr>
            <w:tcW w:w="1846" w:type="dxa"/>
          </w:tcPr>
          <w:p>
            <w:pPr>
              <w:pStyle w:val="TableParagraph"/>
              <w:spacing w:before="77"/>
              <w:ind w:left="112" w:right="86"/>
              <w:rPr>
                <w:sz w:val="21"/>
              </w:rPr>
            </w:pPr>
            <w:r>
              <w:rPr>
                <w:sz w:val="21"/>
              </w:rPr>
              <w:t>氯苯</w:t>
            </w:r>
          </w:p>
        </w:tc>
        <w:tc>
          <w:tcPr>
            <w:tcW w:w="4676" w:type="dxa"/>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5" w:hRule="atLeast"/>
        </w:trPr>
        <w:tc>
          <w:tcPr>
            <w:tcW w:w="674" w:type="dxa"/>
            <w:tcBorders>
              <w:left w:val="single" w:sz="12" w:space="0" w:color="000000"/>
            </w:tcBorders>
          </w:tcPr>
          <w:p>
            <w:pPr>
              <w:pStyle w:val="TableParagraph"/>
              <w:spacing w:before="192"/>
              <w:ind w:left="102" w:right="83"/>
              <w:rPr>
                <w:rFonts w:ascii="Times New Roman"/>
                <w:sz w:val="21"/>
              </w:rPr>
            </w:pPr>
            <w:r>
              <w:rPr>
                <w:rFonts w:ascii="Times New Roman"/>
                <w:sz w:val="21"/>
              </w:rPr>
              <w:t>25</w:t>
            </w:r>
          </w:p>
        </w:tc>
        <w:tc>
          <w:tcPr>
            <w:tcW w:w="1846" w:type="dxa"/>
          </w:tcPr>
          <w:p>
            <w:pPr>
              <w:pStyle w:val="TableParagraph"/>
              <w:spacing w:before="80"/>
              <w:ind w:left="112" w:right="86"/>
              <w:rPr>
                <w:sz w:val="21"/>
              </w:rPr>
            </w:pPr>
            <w:r>
              <w:rPr>
                <w:sz w:val="21"/>
              </w:rPr>
              <w:t>乙苯</w:t>
            </w:r>
          </w:p>
        </w:tc>
        <w:tc>
          <w:tcPr>
            <w:tcW w:w="4676" w:type="dxa"/>
          </w:tcPr>
          <w:p>
            <w:pPr>
              <w:pStyle w:val="TableParagraph"/>
              <w:spacing w:line="303"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2"/>
              <w:ind w:left="123" w:right="89"/>
              <w:rPr>
                <w:rFonts w:ascii="Times New Roman" w:hAnsi="Times New Roman"/>
                <w:sz w:val="21"/>
              </w:rPr>
            </w:pPr>
            <w:r>
              <w:rPr>
                <w:rFonts w:ascii="Times New Roman" w:hAnsi="Times New Roman"/>
                <w:sz w:val="21"/>
              </w:rPr>
              <w:t>1.2μg/kg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26</w:t>
            </w:r>
          </w:p>
        </w:tc>
        <w:tc>
          <w:tcPr>
            <w:tcW w:w="1846" w:type="dxa"/>
          </w:tcPr>
          <w:p>
            <w:pPr>
              <w:pStyle w:val="TableParagraph"/>
              <w:spacing w:before="77"/>
              <w:ind w:left="115" w:right="86"/>
              <w:rPr>
                <w:sz w:val="21"/>
              </w:rPr>
            </w:pPr>
            <w:r>
              <w:rPr>
                <w:rFonts w:ascii="Times New Roman" w:eastAsia="Times New Roman"/>
                <w:position w:val="1"/>
                <w:sz w:val="21"/>
              </w:rPr>
              <w:t>1,1,1,2-</w:t>
            </w:r>
            <w:r>
              <w:rPr>
                <w:sz w:val="21"/>
              </w:rPr>
              <w:t>四氯乙烷</w:t>
            </w:r>
          </w:p>
        </w:tc>
        <w:tc>
          <w:tcPr>
            <w:tcW w:w="4676" w:type="dxa"/>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27</w:t>
            </w:r>
          </w:p>
        </w:tc>
        <w:tc>
          <w:tcPr>
            <w:tcW w:w="1846" w:type="dxa"/>
          </w:tcPr>
          <w:p>
            <w:pPr>
              <w:pStyle w:val="TableParagraph"/>
              <w:spacing w:line="300" w:lineRule="exact"/>
              <w:ind w:left="115" w:right="86"/>
              <w:rPr>
                <w:sz w:val="21"/>
              </w:rPr>
            </w:pPr>
            <w:r>
              <w:rPr>
                <w:sz w:val="21"/>
              </w:rPr>
              <w:t>间二甲苯</w:t>
            </w:r>
            <w:r>
              <w:rPr>
                <w:rFonts w:ascii="Times New Roman" w:eastAsia="Times New Roman"/>
                <w:position w:val="1"/>
                <w:sz w:val="21"/>
              </w:rPr>
              <w:t>+</w:t>
            </w:r>
            <w:r>
              <w:rPr>
                <w:sz w:val="21"/>
              </w:rPr>
              <w:t>对二甲</w:t>
            </w:r>
          </w:p>
          <w:p>
            <w:pPr>
              <w:pStyle w:val="TableParagraph"/>
              <w:spacing w:line="303" w:lineRule="exact"/>
              <w:ind w:left="26"/>
              <w:rPr>
                <w:sz w:val="21"/>
              </w:rPr>
            </w:pPr>
            <w:r>
              <w:rPr>
                <w:w w:val="100"/>
                <w:sz w:val="21"/>
              </w:rPr>
              <w:t>苯</w:t>
            </w:r>
          </w:p>
        </w:tc>
        <w:tc>
          <w:tcPr>
            <w:tcW w:w="4676" w:type="dxa"/>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28</w:t>
            </w:r>
          </w:p>
        </w:tc>
        <w:tc>
          <w:tcPr>
            <w:tcW w:w="1846" w:type="dxa"/>
          </w:tcPr>
          <w:p>
            <w:pPr>
              <w:pStyle w:val="TableParagraph"/>
              <w:spacing w:before="77"/>
              <w:ind w:left="115" w:right="86"/>
              <w:rPr>
                <w:sz w:val="21"/>
              </w:rPr>
            </w:pPr>
            <w:r>
              <w:rPr>
                <w:sz w:val="21"/>
              </w:rPr>
              <w:t>邻二甲苯</w:t>
            </w:r>
          </w:p>
        </w:tc>
        <w:tc>
          <w:tcPr>
            <w:tcW w:w="4676" w:type="dxa"/>
          </w:tcPr>
          <w:p>
            <w:pPr>
              <w:pStyle w:val="TableParagraph"/>
              <w:spacing w:line="301"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5" w:hRule="atLeast"/>
        </w:trPr>
        <w:tc>
          <w:tcPr>
            <w:tcW w:w="674" w:type="dxa"/>
            <w:tcBorders>
              <w:left w:val="single" w:sz="12" w:space="0" w:color="000000"/>
            </w:tcBorders>
          </w:tcPr>
          <w:p>
            <w:pPr>
              <w:pStyle w:val="TableParagraph"/>
              <w:spacing w:before="192"/>
              <w:ind w:left="102" w:right="83"/>
              <w:rPr>
                <w:rFonts w:ascii="Times New Roman"/>
                <w:sz w:val="21"/>
              </w:rPr>
            </w:pPr>
            <w:r>
              <w:rPr>
                <w:rFonts w:ascii="Times New Roman"/>
                <w:sz w:val="21"/>
              </w:rPr>
              <w:t>29</w:t>
            </w:r>
          </w:p>
        </w:tc>
        <w:tc>
          <w:tcPr>
            <w:tcW w:w="1846" w:type="dxa"/>
          </w:tcPr>
          <w:p>
            <w:pPr>
              <w:pStyle w:val="TableParagraph"/>
              <w:spacing w:before="80"/>
              <w:ind w:left="112" w:right="86"/>
              <w:rPr>
                <w:sz w:val="21"/>
              </w:rPr>
            </w:pPr>
            <w:r>
              <w:rPr>
                <w:sz w:val="21"/>
              </w:rPr>
              <w:t>苯乙烯</w:t>
            </w:r>
          </w:p>
        </w:tc>
        <w:tc>
          <w:tcPr>
            <w:tcW w:w="4676" w:type="dxa"/>
          </w:tcPr>
          <w:p>
            <w:pPr>
              <w:pStyle w:val="TableParagraph"/>
              <w:spacing w:line="303"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2"/>
              <w:ind w:left="123" w:right="89"/>
              <w:rPr>
                <w:rFonts w:ascii="Times New Roman" w:hAnsi="Times New Roman"/>
                <w:sz w:val="21"/>
              </w:rPr>
            </w:pPr>
            <w:r>
              <w:rPr>
                <w:rFonts w:ascii="Times New Roman" w:hAnsi="Times New Roman"/>
                <w:sz w:val="21"/>
              </w:rPr>
              <w:t>1.1μg/kg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30</w:t>
            </w:r>
          </w:p>
        </w:tc>
        <w:tc>
          <w:tcPr>
            <w:tcW w:w="1846" w:type="dxa"/>
          </w:tcPr>
          <w:p>
            <w:pPr>
              <w:pStyle w:val="TableParagraph"/>
              <w:spacing w:before="77"/>
              <w:ind w:left="115" w:right="86"/>
              <w:rPr>
                <w:sz w:val="21"/>
              </w:rPr>
            </w:pPr>
            <w:r>
              <w:rPr>
                <w:rFonts w:ascii="Times New Roman" w:eastAsia="Times New Roman"/>
                <w:position w:val="1"/>
                <w:sz w:val="21"/>
              </w:rPr>
              <w:t>1,2,3-</w:t>
            </w:r>
            <w:r>
              <w:rPr>
                <w:sz w:val="21"/>
              </w:rPr>
              <w:t>三氯丙烷</w:t>
            </w:r>
          </w:p>
        </w:tc>
        <w:tc>
          <w:tcPr>
            <w:tcW w:w="4676" w:type="dxa"/>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1.2μg/kg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31</w:t>
            </w:r>
          </w:p>
        </w:tc>
        <w:tc>
          <w:tcPr>
            <w:tcW w:w="1846" w:type="dxa"/>
          </w:tcPr>
          <w:p>
            <w:pPr>
              <w:pStyle w:val="TableParagraph"/>
              <w:spacing w:before="77"/>
              <w:ind w:left="112" w:right="86"/>
              <w:rPr>
                <w:sz w:val="21"/>
              </w:rPr>
            </w:pPr>
            <w:r>
              <w:rPr>
                <w:rFonts w:ascii="Times New Roman" w:eastAsia="Times New Roman"/>
                <w:position w:val="1"/>
                <w:sz w:val="21"/>
              </w:rPr>
              <w:t>1,4-</w:t>
            </w:r>
            <w:r>
              <w:rPr>
                <w:sz w:val="21"/>
              </w:rPr>
              <w:t>二氯苯</w:t>
            </w:r>
          </w:p>
        </w:tc>
        <w:tc>
          <w:tcPr>
            <w:tcW w:w="4676" w:type="dxa"/>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1.5μg/kg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32</w:t>
            </w:r>
          </w:p>
        </w:tc>
        <w:tc>
          <w:tcPr>
            <w:tcW w:w="1846" w:type="dxa"/>
          </w:tcPr>
          <w:p>
            <w:pPr>
              <w:pStyle w:val="TableParagraph"/>
              <w:spacing w:before="77"/>
              <w:ind w:left="112" w:right="86"/>
              <w:rPr>
                <w:sz w:val="21"/>
              </w:rPr>
            </w:pPr>
            <w:r>
              <w:rPr>
                <w:rFonts w:ascii="Times New Roman" w:eastAsia="Times New Roman"/>
                <w:position w:val="1"/>
                <w:sz w:val="21"/>
              </w:rPr>
              <w:t>1,2-</w:t>
            </w:r>
            <w:r>
              <w:rPr>
                <w:sz w:val="21"/>
              </w:rPr>
              <w:t>二氯苯</w:t>
            </w:r>
          </w:p>
        </w:tc>
        <w:tc>
          <w:tcPr>
            <w:tcW w:w="4676" w:type="dxa"/>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1.5μg/kg</w:t>
            </w:r>
          </w:p>
        </w:tc>
      </w:tr>
      <w:tr>
        <w:trPr>
          <w:trHeight w:val="625" w:hRule="atLeast"/>
        </w:trPr>
        <w:tc>
          <w:tcPr>
            <w:tcW w:w="674" w:type="dxa"/>
            <w:tcBorders>
              <w:left w:val="single" w:sz="12" w:space="0" w:color="000000"/>
            </w:tcBorders>
          </w:tcPr>
          <w:p>
            <w:pPr>
              <w:pStyle w:val="TableParagraph"/>
              <w:spacing w:before="192"/>
              <w:ind w:left="102" w:right="83"/>
              <w:rPr>
                <w:rFonts w:ascii="Times New Roman"/>
                <w:sz w:val="21"/>
              </w:rPr>
            </w:pPr>
            <w:r>
              <w:rPr>
                <w:rFonts w:ascii="Times New Roman"/>
                <w:sz w:val="21"/>
              </w:rPr>
              <w:t>33</w:t>
            </w:r>
          </w:p>
        </w:tc>
        <w:tc>
          <w:tcPr>
            <w:tcW w:w="1846" w:type="dxa"/>
          </w:tcPr>
          <w:p>
            <w:pPr>
              <w:pStyle w:val="TableParagraph"/>
              <w:spacing w:before="80"/>
              <w:ind w:left="26"/>
              <w:rPr>
                <w:sz w:val="21"/>
              </w:rPr>
            </w:pPr>
            <w:r>
              <w:rPr>
                <w:w w:val="100"/>
                <w:sz w:val="21"/>
              </w:rPr>
              <w:t>萘</w:t>
            </w:r>
          </w:p>
        </w:tc>
        <w:tc>
          <w:tcPr>
            <w:tcW w:w="4676" w:type="dxa"/>
          </w:tcPr>
          <w:p>
            <w:pPr>
              <w:pStyle w:val="TableParagraph"/>
              <w:spacing w:line="303"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2"/>
              <w:ind w:left="123" w:right="89"/>
              <w:rPr>
                <w:rFonts w:ascii="Times New Roman" w:hAnsi="Times New Roman"/>
                <w:sz w:val="21"/>
              </w:rPr>
            </w:pPr>
            <w:r>
              <w:rPr>
                <w:rFonts w:ascii="Times New Roman" w:hAnsi="Times New Roman"/>
                <w:sz w:val="21"/>
              </w:rPr>
              <w:t>0.4μg/kg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34</w:t>
            </w:r>
          </w:p>
        </w:tc>
        <w:tc>
          <w:tcPr>
            <w:tcW w:w="1846" w:type="dxa"/>
          </w:tcPr>
          <w:p>
            <w:pPr>
              <w:pStyle w:val="TableParagraph"/>
              <w:spacing w:before="78"/>
              <w:ind w:left="112" w:right="86"/>
              <w:rPr>
                <w:sz w:val="21"/>
              </w:rPr>
            </w:pPr>
            <w:r>
              <w:rPr>
                <w:sz w:val="21"/>
              </w:rPr>
              <w:t>氯甲烷</w:t>
            </w:r>
          </w:p>
        </w:tc>
        <w:tc>
          <w:tcPr>
            <w:tcW w:w="4676" w:type="dxa"/>
          </w:tcPr>
          <w:p>
            <w:pPr>
              <w:pStyle w:val="TableParagraph"/>
              <w:spacing w:line="301"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1.0μg/kg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35</w:t>
            </w:r>
          </w:p>
        </w:tc>
        <w:tc>
          <w:tcPr>
            <w:tcW w:w="1846" w:type="dxa"/>
          </w:tcPr>
          <w:p>
            <w:pPr>
              <w:pStyle w:val="TableParagraph"/>
              <w:spacing w:before="77"/>
              <w:ind w:left="112" w:right="86"/>
              <w:rPr>
                <w:sz w:val="21"/>
              </w:rPr>
            </w:pPr>
            <w:r>
              <w:rPr>
                <w:sz w:val="21"/>
              </w:rPr>
              <w:t>氯乙烯</w:t>
            </w:r>
          </w:p>
        </w:tc>
        <w:tc>
          <w:tcPr>
            <w:tcW w:w="4676" w:type="dxa"/>
          </w:tcPr>
          <w:p>
            <w:pPr>
              <w:pStyle w:val="TableParagraph"/>
              <w:spacing w:line="300" w:lineRule="exact"/>
              <w:ind w:left="152" w:right="125"/>
              <w:rPr>
                <w:sz w:val="21"/>
              </w:rPr>
            </w:pPr>
            <w:r>
              <w:rPr>
                <w:rFonts w:ascii="Times New Roman" w:eastAsia="Times New Roman"/>
                <w:position w:val="1"/>
                <w:sz w:val="21"/>
              </w:rPr>
              <w:t>HJ 605-2011 </w:t>
            </w:r>
            <w:r>
              <w:rPr>
                <w:sz w:val="21"/>
              </w:rPr>
              <w:t>土壤和沉积物 挥发性有机物的测</w:t>
            </w:r>
          </w:p>
          <w:p>
            <w:pPr>
              <w:pStyle w:val="TableParagraph"/>
              <w:spacing w:line="303"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3" w:right="89"/>
              <w:rPr>
                <w:rFonts w:ascii="Times New Roman" w:hAnsi="Times New Roman"/>
                <w:sz w:val="21"/>
              </w:rPr>
            </w:pPr>
            <w:r>
              <w:rPr>
                <w:rFonts w:ascii="Times New Roman" w:hAnsi="Times New Roman"/>
                <w:sz w:val="21"/>
              </w:rPr>
              <w:t>1.0μg/kg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36</w:t>
            </w:r>
          </w:p>
        </w:tc>
        <w:tc>
          <w:tcPr>
            <w:tcW w:w="1846" w:type="dxa"/>
          </w:tcPr>
          <w:p>
            <w:pPr>
              <w:pStyle w:val="TableParagraph"/>
              <w:spacing w:before="77"/>
              <w:ind w:left="112" w:right="86"/>
              <w:rPr>
                <w:sz w:val="21"/>
              </w:rPr>
            </w:pPr>
            <w:r>
              <w:rPr>
                <w:rFonts w:ascii="Times New Roman" w:eastAsia="Times New Roman"/>
                <w:position w:val="1"/>
                <w:sz w:val="21"/>
              </w:rPr>
              <w:t>2-</w:t>
            </w:r>
            <w:r>
              <w:rPr>
                <w:sz w:val="21"/>
              </w:rPr>
              <w:t>氯酚</w:t>
            </w:r>
          </w:p>
        </w:tc>
        <w:tc>
          <w:tcPr>
            <w:tcW w:w="4676" w:type="dxa"/>
          </w:tcPr>
          <w:p>
            <w:pPr>
              <w:pStyle w:val="TableParagraph"/>
              <w:spacing w:line="300" w:lineRule="exact"/>
              <w:ind w:left="152" w:right="125"/>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5" w:right="89"/>
              <w:rPr>
                <w:rFonts w:ascii="Times New Roman"/>
                <w:sz w:val="21"/>
              </w:rPr>
            </w:pPr>
            <w:r>
              <w:rPr>
                <w:rFonts w:ascii="Times New Roman"/>
                <w:sz w:val="21"/>
              </w:rPr>
              <w:t>0.06mg/kg</w:t>
            </w:r>
          </w:p>
        </w:tc>
      </w:tr>
      <w:tr>
        <w:trPr>
          <w:trHeight w:val="625" w:hRule="atLeast"/>
        </w:trPr>
        <w:tc>
          <w:tcPr>
            <w:tcW w:w="674" w:type="dxa"/>
            <w:tcBorders>
              <w:left w:val="single" w:sz="12" w:space="0" w:color="000000"/>
            </w:tcBorders>
          </w:tcPr>
          <w:p>
            <w:pPr>
              <w:pStyle w:val="TableParagraph"/>
              <w:spacing w:before="192"/>
              <w:ind w:left="102" w:right="83"/>
              <w:rPr>
                <w:rFonts w:ascii="Times New Roman"/>
                <w:sz w:val="21"/>
              </w:rPr>
            </w:pPr>
            <w:r>
              <w:rPr>
                <w:rFonts w:ascii="Times New Roman"/>
                <w:sz w:val="21"/>
              </w:rPr>
              <w:t>37</w:t>
            </w:r>
          </w:p>
        </w:tc>
        <w:tc>
          <w:tcPr>
            <w:tcW w:w="1846" w:type="dxa"/>
          </w:tcPr>
          <w:p>
            <w:pPr>
              <w:pStyle w:val="TableParagraph"/>
              <w:spacing w:before="80"/>
              <w:ind w:left="112" w:right="86"/>
              <w:rPr>
                <w:sz w:val="21"/>
              </w:rPr>
            </w:pPr>
            <w:r>
              <w:rPr>
                <w:sz w:val="21"/>
              </w:rPr>
              <w:t>硝基苯</w:t>
            </w:r>
          </w:p>
        </w:tc>
        <w:tc>
          <w:tcPr>
            <w:tcW w:w="4676" w:type="dxa"/>
          </w:tcPr>
          <w:p>
            <w:pPr>
              <w:pStyle w:val="TableParagraph"/>
              <w:spacing w:line="303" w:lineRule="exact"/>
              <w:ind w:left="152" w:right="125"/>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2"/>
              <w:ind w:left="125" w:right="89"/>
              <w:rPr>
                <w:rFonts w:ascii="Times New Roman"/>
                <w:sz w:val="21"/>
              </w:rPr>
            </w:pPr>
            <w:r>
              <w:rPr>
                <w:rFonts w:ascii="Times New Roman"/>
                <w:sz w:val="21"/>
              </w:rPr>
              <w:t>0.09mg/kg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38</w:t>
            </w:r>
          </w:p>
        </w:tc>
        <w:tc>
          <w:tcPr>
            <w:tcW w:w="1846" w:type="dxa"/>
          </w:tcPr>
          <w:p>
            <w:pPr>
              <w:pStyle w:val="TableParagraph"/>
              <w:spacing w:before="77"/>
              <w:ind w:left="112" w:right="86"/>
              <w:rPr>
                <w:sz w:val="21"/>
              </w:rPr>
            </w:pPr>
            <w:r>
              <w:rPr>
                <w:sz w:val="21"/>
              </w:rPr>
              <w:t>苯胺</w:t>
            </w:r>
          </w:p>
        </w:tc>
        <w:tc>
          <w:tcPr>
            <w:tcW w:w="4676" w:type="dxa"/>
          </w:tcPr>
          <w:p>
            <w:pPr>
              <w:pStyle w:val="TableParagraph"/>
              <w:spacing w:line="300" w:lineRule="exact"/>
              <w:ind w:left="153" w:right="124"/>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5" w:right="89"/>
              <w:rPr>
                <w:rFonts w:ascii="Times New Roman"/>
                <w:sz w:val="21"/>
              </w:rPr>
            </w:pPr>
            <w:r>
              <w:rPr>
                <w:rFonts w:ascii="Times New Roman"/>
                <w:sz w:val="21"/>
              </w:rPr>
              <w:t>0.05mg/kg</w:t>
            </w:r>
          </w:p>
        </w:tc>
      </w:tr>
      <w:tr>
        <w:trPr>
          <w:trHeight w:val="624" w:hRule="atLeast"/>
        </w:trPr>
        <w:tc>
          <w:tcPr>
            <w:tcW w:w="674" w:type="dxa"/>
            <w:tcBorders>
              <w:left w:val="single" w:sz="12" w:space="0" w:color="000000"/>
            </w:tcBorders>
          </w:tcPr>
          <w:p>
            <w:pPr>
              <w:pStyle w:val="TableParagraph"/>
              <w:spacing w:before="186"/>
              <w:ind w:left="102" w:right="83"/>
              <w:rPr>
                <w:rFonts w:ascii="Times New Roman"/>
                <w:sz w:val="21"/>
              </w:rPr>
            </w:pPr>
            <w:r>
              <w:rPr>
                <w:rFonts w:ascii="Times New Roman"/>
                <w:sz w:val="21"/>
              </w:rPr>
              <w:t>39</w:t>
            </w:r>
          </w:p>
        </w:tc>
        <w:tc>
          <w:tcPr>
            <w:tcW w:w="1846" w:type="dxa"/>
          </w:tcPr>
          <w:p>
            <w:pPr>
              <w:pStyle w:val="TableParagraph"/>
              <w:spacing w:before="78"/>
              <w:ind w:left="115" w:right="86"/>
              <w:rPr>
                <w:sz w:val="21"/>
              </w:rPr>
            </w:pPr>
            <w:r>
              <w:rPr>
                <w:sz w:val="21"/>
              </w:rPr>
              <w:t>苯并</w:t>
            </w:r>
            <w:r>
              <w:rPr>
                <w:rFonts w:ascii="Times New Roman" w:eastAsia="Times New Roman"/>
                <w:position w:val="1"/>
                <w:sz w:val="21"/>
              </w:rPr>
              <w:t>(a)</w:t>
            </w:r>
            <w:r>
              <w:rPr>
                <w:sz w:val="21"/>
              </w:rPr>
              <w:t>蒽</w:t>
            </w:r>
          </w:p>
        </w:tc>
        <w:tc>
          <w:tcPr>
            <w:tcW w:w="4676" w:type="dxa"/>
          </w:tcPr>
          <w:p>
            <w:pPr>
              <w:pStyle w:val="TableParagraph"/>
              <w:spacing w:line="301" w:lineRule="exact"/>
              <w:ind w:left="153" w:right="124"/>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5" w:right="89"/>
              <w:rPr>
                <w:rFonts w:ascii="Times New Roman"/>
                <w:sz w:val="21"/>
              </w:rPr>
            </w:pPr>
            <w:r>
              <w:rPr>
                <w:rFonts w:ascii="Times New Roman"/>
                <w:sz w:val="21"/>
              </w:rPr>
              <w:t>0.1mg/kg</w:t>
            </w:r>
          </w:p>
        </w:tc>
      </w:tr>
      <w:tr>
        <w:trPr>
          <w:trHeight w:val="623" w:hRule="atLeast"/>
        </w:trPr>
        <w:tc>
          <w:tcPr>
            <w:tcW w:w="674" w:type="dxa"/>
            <w:tcBorders>
              <w:left w:val="single" w:sz="12" w:space="0" w:color="000000"/>
            </w:tcBorders>
          </w:tcPr>
          <w:p>
            <w:pPr>
              <w:pStyle w:val="TableParagraph"/>
              <w:spacing w:before="185"/>
              <w:ind w:left="102" w:right="83"/>
              <w:rPr>
                <w:rFonts w:ascii="Times New Roman"/>
                <w:sz w:val="21"/>
              </w:rPr>
            </w:pPr>
            <w:r>
              <w:rPr>
                <w:rFonts w:ascii="Times New Roman"/>
                <w:sz w:val="21"/>
              </w:rPr>
              <w:t>40</w:t>
            </w:r>
          </w:p>
        </w:tc>
        <w:tc>
          <w:tcPr>
            <w:tcW w:w="1846" w:type="dxa"/>
          </w:tcPr>
          <w:p>
            <w:pPr>
              <w:pStyle w:val="TableParagraph"/>
              <w:spacing w:before="77"/>
              <w:ind w:left="115" w:right="86"/>
              <w:rPr>
                <w:sz w:val="21"/>
              </w:rPr>
            </w:pPr>
            <w:r>
              <w:rPr>
                <w:sz w:val="21"/>
              </w:rPr>
              <w:t>苯并</w:t>
            </w:r>
            <w:r>
              <w:rPr>
                <w:rFonts w:ascii="Times New Roman" w:eastAsia="Times New Roman"/>
                <w:position w:val="1"/>
                <w:sz w:val="21"/>
              </w:rPr>
              <w:t>(a)</w:t>
            </w:r>
            <w:r>
              <w:rPr>
                <w:sz w:val="21"/>
              </w:rPr>
              <w:t>芘</w:t>
            </w:r>
          </w:p>
        </w:tc>
        <w:tc>
          <w:tcPr>
            <w:tcW w:w="4676" w:type="dxa"/>
          </w:tcPr>
          <w:p>
            <w:pPr>
              <w:pStyle w:val="TableParagraph"/>
              <w:spacing w:line="300" w:lineRule="exact"/>
              <w:ind w:left="153" w:right="124"/>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5" w:right="89"/>
              <w:rPr>
                <w:rFonts w:ascii="Times New Roman"/>
                <w:sz w:val="21"/>
              </w:rPr>
            </w:pPr>
            <w:r>
              <w:rPr>
                <w:rFonts w:ascii="Times New Roman"/>
                <w:sz w:val="21"/>
              </w:rPr>
              <w:t>0.1mg/kg</w:t>
            </w:r>
          </w:p>
        </w:tc>
      </w:tr>
      <w:tr>
        <w:trPr>
          <w:trHeight w:val="625" w:hRule="atLeast"/>
        </w:trPr>
        <w:tc>
          <w:tcPr>
            <w:tcW w:w="674" w:type="dxa"/>
            <w:tcBorders>
              <w:left w:val="single" w:sz="12" w:space="0" w:color="000000"/>
            </w:tcBorders>
          </w:tcPr>
          <w:p>
            <w:pPr>
              <w:pStyle w:val="TableParagraph"/>
              <w:spacing w:before="185"/>
              <w:ind w:left="102" w:right="83"/>
              <w:rPr>
                <w:rFonts w:ascii="Times New Roman"/>
                <w:sz w:val="21"/>
              </w:rPr>
            </w:pPr>
            <w:r>
              <w:rPr>
                <w:rFonts w:ascii="Times New Roman"/>
                <w:sz w:val="21"/>
              </w:rPr>
              <w:t>41</w:t>
            </w:r>
          </w:p>
        </w:tc>
        <w:tc>
          <w:tcPr>
            <w:tcW w:w="1846" w:type="dxa"/>
          </w:tcPr>
          <w:p>
            <w:pPr>
              <w:pStyle w:val="TableParagraph"/>
              <w:spacing w:before="80"/>
              <w:ind w:left="112" w:right="86"/>
              <w:rPr>
                <w:sz w:val="21"/>
              </w:rPr>
            </w:pPr>
            <w:r>
              <w:rPr>
                <w:sz w:val="21"/>
              </w:rPr>
              <w:t>苯并</w:t>
            </w:r>
            <w:r>
              <w:rPr>
                <w:rFonts w:ascii="Times New Roman" w:eastAsia="Times New Roman"/>
                <w:position w:val="1"/>
                <w:sz w:val="21"/>
              </w:rPr>
              <w:t>(b)</w:t>
            </w:r>
            <w:r>
              <w:rPr>
                <w:sz w:val="21"/>
              </w:rPr>
              <w:t>荧蒽</w:t>
            </w:r>
          </w:p>
        </w:tc>
        <w:tc>
          <w:tcPr>
            <w:tcW w:w="4676" w:type="dxa"/>
          </w:tcPr>
          <w:p>
            <w:pPr>
              <w:pStyle w:val="TableParagraph"/>
              <w:spacing w:line="303" w:lineRule="exact"/>
              <w:ind w:left="153" w:right="124"/>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2"/>
              <w:ind w:left="125" w:right="89"/>
              <w:rPr>
                <w:rFonts w:ascii="Times New Roman"/>
                <w:sz w:val="21"/>
              </w:rPr>
            </w:pPr>
            <w:r>
              <w:rPr>
                <w:rFonts w:ascii="Times New Roman"/>
                <w:sz w:val="21"/>
              </w:rPr>
              <w:t>0.2mg/kg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42</w:t>
            </w:r>
          </w:p>
        </w:tc>
        <w:tc>
          <w:tcPr>
            <w:tcW w:w="1846" w:type="dxa"/>
          </w:tcPr>
          <w:p>
            <w:pPr>
              <w:pStyle w:val="TableParagraph"/>
              <w:spacing w:before="77"/>
              <w:ind w:left="112" w:right="86"/>
              <w:rPr>
                <w:sz w:val="21"/>
              </w:rPr>
            </w:pPr>
            <w:r>
              <w:rPr>
                <w:sz w:val="21"/>
              </w:rPr>
              <w:t>苯并</w:t>
            </w:r>
            <w:r>
              <w:rPr>
                <w:rFonts w:ascii="Times New Roman" w:eastAsia="Times New Roman"/>
                <w:position w:val="1"/>
                <w:sz w:val="21"/>
              </w:rPr>
              <w:t>(k)</w:t>
            </w:r>
            <w:r>
              <w:rPr>
                <w:sz w:val="21"/>
              </w:rPr>
              <w:t>荧蒽</w:t>
            </w:r>
          </w:p>
        </w:tc>
        <w:tc>
          <w:tcPr>
            <w:tcW w:w="4676" w:type="dxa"/>
          </w:tcPr>
          <w:p>
            <w:pPr>
              <w:pStyle w:val="TableParagraph"/>
              <w:spacing w:line="300" w:lineRule="exact"/>
              <w:ind w:left="153" w:right="124"/>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5" w:right="89"/>
              <w:rPr>
                <w:rFonts w:ascii="Times New Roman"/>
                <w:sz w:val="21"/>
              </w:rPr>
            </w:pPr>
            <w:r>
              <w:rPr>
                <w:rFonts w:ascii="Times New Roman"/>
                <w:sz w:val="21"/>
              </w:rPr>
              <w:t>0.1mg/kg</w:t>
            </w:r>
          </w:p>
        </w:tc>
      </w:tr>
      <w:tr>
        <w:trPr>
          <w:trHeight w:val="623"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43</w:t>
            </w:r>
          </w:p>
        </w:tc>
        <w:tc>
          <w:tcPr>
            <w:tcW w:w="1846" w:type="dxa"/>
          </w:tcPr>
          <w:p>
            <w:pPr>
              <w:pStyle w:val="TableParagraph"/>
              <w:spacing w:before="77"/>
              <w:ind w:left="26"/>
              <w:rPr>
                <w:sz w:val="21"/>
              </w:rPr>
            </w:pPr>
            <w:r>
              <w:rPr>
                <w:w w:val="100"/>
                <w:sz w:val="21"/>
              </w:rPr>
              <w:t>䓛</w:t>
            </w:r>
          </w:p>
        </w:tc>
        <w:tc>
          <w:tcPr>
            <w:tcW w:w="4676" w:type="dxa"/>
          </w:tcPr>
          <w:p>
            <w:pPr>
              <w:pStyle w:val="TableParagraph"/>
              <w:spacing w:line="300" w:lineRule="exact"/>
              <w:ind w:left="153" w:right="124"/>
              <w:rPr>
                <w:sz w:val="21"/>
              </w:rPr>
            </w:pPr>
            <w:r>
              <w:rPr>
                <w:rFonts w:ascii="Times New Roman" w:eastAsia="Times New Roman"/>
                <w:position w:val="1"/>
                <w:sz w:val="21"/>
              </w:rPr>
              <w:t>HJ 834-2017 </w:t>
            </w:r>
            <w:r>
              <w:rPr>
                <w:sz w:val="21"/>
              </w:rPr>
              <w:t>土壤和沉积物 半挥发性有机物的测</w:t>
            </w:r>
          </w:p>
          <w:p>
            <w:pPr>
              <w:pStyle w:val="TableParagraph"/>
              <w:spacing w:line="303"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5" w:right="89"/>
              <w:rPr>
                <w:rFonts w:ascii="Times New Roman"/>
                <w:sz w:val="21"/>
              </w:rPr>
            </w:pPr>
            <w:r>
              <w:rPr>
                <w:rFonts w:ascii="Times New Roman"/>
                <w:sz w:val="21"/>
              </w:rPr>
              <w:t>0.1mg/kg</w:t>
            </w:r>
          </w:p>
        </w:tc>
      </w:tr>
      <w:tr>
        <w:trPr>
          <w:trHeight w:val="626" w:hRule="atLeast"/>
        </w:trPr>
        <w:tc>
          <w:tcPr>
            <w:tcW w:w="674" w:type="dxa"/>
            <w:tcBorders>
              <w:left w:val="single" w:sz="12" w:space="0" w:color="000000"/>
            </w:tcBorders>
          </w:tcPr>
          <w:p>
            <w:pPr>
              <w:pStyle w:val="TableParagraph"/>
              <w:spacing w:before="190"/>
              <w:ind w:left="102" w:right="83"/>
              <w:rPr>
                <w:rFonts w:ascii="Times New Roman"/>
                <w:sz w:val="21"/>
              </w:rPr>
            </w:pPr>
            <w:r>
              <w:rPr>
                <w:rFonts w:ascii="Times New Roman"/>
                <w:sz w:val="21"/>
              </w:rPr>
              <w:t>44</w:t>
            </w:r>
          </w:p>
        </w:tc>
        <w:tc>
          <w:tcPr>
            <w:tcW w:w="1846" w:type="dxa"/>
          </w:tcPr>
          <w:p>
            <w:pPr>
              <w:pStyle w:val="TableParagraph"/>
              <w:spacing w:before="78"/>
              <w:ind w:left="113" w:right="86"/>
              <w:rPr>
                <w:sz w:val="21"/>
              </w:rPr>
            </w:pPr>
            <w:r>
              <w:rPr>
                <w:sz w:val="21"/>
              </w:rPr>
              <w:t>二苯并</w:t>
            </w:r>
            <w:r>
              <w:rPr>
                <w:rFonts w:ascii="Times New Roman" w:eastAsia="Times New Roman"/>
                <w:position w:val="1"/>
                <w:sz w:val="21"/>
              </w:rPr>
              <w:t>(a,h)</w:t>
            </w:r>
            <w:r>
              <w:rPr>
                <w:sz w:val="21"/>
              </w:rPr>
              <w:t>蒽</w:t>
            </w:r>
          </w:p>
        </w:tc>
        <w:tc>
          <w:tcPr>
            <w:tcW w:w="4676" w:type="dxa"/>
          </w:tcPr>
          <w:p>
            <w:pPr>
              <w:pStyle w:val="TableParagraph"/>
              <w:spacing w:line="300" w:lineRule="exact"/>
              <w:ind w:left="153" w:right="124"/>
              <w:rPr>
                <w:sz w:val="21"/>
              </w:rPr>
            </w:pPr>
            <w:r>
              <w:rPr>
                <w:rFonts w:ascii="Times New Roman" w:eastAsia="Times New Roman"/>
                <w:position w:val="1"/>
                <w:sz w:val="21"/>
              </w:rPr>
              <w:t>HJ 834-2017 </w:t>
            </w:r>
            <w:r>
              <w:rPr>
                <w:sz w:val="21"/>
              </w:rPr>
              <w:t>土壤和沉积物 半挥发性有机物的测</w:t>
            </w:r>
          </w:p>
          <w:p>
            <w:pPr>
              <w:pStyle w:val="TableParagraph"/>
              <w:spacing w:line="306" w:lineRule="exact"/>
              <w:ind w:left="153" w:right="124"/>
              <w:rPr>
                <w:sz w:val="21"/>
              </w:rPr>
            </w:pPr>
            <w:r>
              <w:rPr>
                <w:sz w:val="21"/>
              </w:rPr>
              <w:t>定 气相色谱</w:t>
            </w:r>
            <w:r>
              <w:rPr>
                <w:rFonts w:ascii="Times New Roman" w:eastAsia="Times New Roman"/>
                <w:position w:val="1"/>
                <w:sz w:val="21"/>
              </w:rPr>
              <w:t>-</w:t>
            </w:r>
            <w:r>
              <w:rPr>
                <w:sz w:val="21"/>
              </w:rPr>
              <w:t>质谱法</w:t>
            </w:r>
          </w:p>
        </w:tc>
        <w:tc>
          <w:tcPr>
            <w:tcW w:w="1332" w:type="dxa"/>
            <w:tcBorders>
              <w:right w:val="single" w:sz="12" w:space="0" w:color="000000"/>
            </w:tcBorders>
          </w:tcPr>
          <w:p>
            <w:pPr>
              <w:pStyle w:val="TableParagraph"/>
              <w:spacing w:before="190"/>
              <w:ind w:left="125" w:right="89"/>
              <w:rPr>
                <w:rFonts w:ascii="Times New Roman"/>
                <w:sz w:val="21"/>
              </w:rPr>
            </w:pPr>
            <w:r>
              <w:rPr>
                <w:rFonts w:ascii="Times New Roman"/>
                <w:sz w:val="21"/>
              </w:rPr>
              <w:t>0.1mg/kg</w:t>
            </w:r>
          </w:p>
        </w:tc>
      </w:tr>
    </w:tbl>
    <w:p>
      <w:pPr>
        <w:spacing w:after="0"/>
        <w:rPr>
          <w:rFonts w:ascii="Times New Roman"/>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846"/>
        <w:gridCol w:w="4676"/>
        <w:gridCol w:w="1332"/>
      </w:tblGrid>
      <w:tr>
        <w:trPr>
          <w:trHeight w:val="625" w:hRule="atLeast"/>
        </w:trPr>
        <w:tc>
          <w:tcPr>
            <w:tcW w:w="674" w:type="dxa"/>
            <w:tcBorders>
              <w:left w:val="single" w:sz="12" w:space="0" w:color="000000"/>
              <w:bottom w:val="single" w:sz="12" w:space="0" w:color="000000"/>
            </w:tcBorders>
          </w:tcPr>
          <w:p>
            <w:pPr>
              <w:pStyle w:val="TableParagraph"/>
              <w:spacing w:before="190"/>
              <w:ind w:left="229"/>
              <w:jc w:val="left"/>
              <w:rPr>
                <w:rFonts w:ascii="Times New Roman"/>
                <w:sz w:val="21"/>
              </w:rPr>
            </w:pPr>
            <w:r>
              <w:rPr>
                <w:rFonts w:ascii="Times New Roman"/>
                <w:sz w:val="21"/>
              </w:rPr>
              <w:t>45</w:t>
            </w:r>
          </w:p>
        </w:tc>
        <w:tc>
          <w:tcPr>
            <w:tcW w:w="1846" w:type="dxa"/>
            <w:tcBorders>
              <w:bottom w:val="single" w:sz="12" w:space="0" w:color="000000"/>
            </w:tcBorders>
          </w:tcPr>
          <w:p>
            <w:pPr>
              <w:pStyle w:val="TableParagraph"/>
              <w:spacing w:before="78"/>
              <w:ind w:left="172"/>
              <w:jc w:val="left"/>
              <w:rPr>
                <w:sz w:val="21"/>
              </w:rPr>
            </w:pPr>
            <w:r>
              <w:rPr>
                <w:sz w:val="21"/>
              </w:rPr>
              <w:t>茚并</w:t>
            </w:r>
            <w:r>
              <w:rPr>
                <w:rFonts w:ascii="Times New Roman" w:eastAsia="Times New Roman"/>
                <w:position w:val="1"/>
                <w:sz w:val="21"/>
              </w:rPr>
              <w:t>(1,2,3-c,d)</w:t>
            </w:r>
            <w:r>
              <w:rPr>
                <w:sz w:val="21"/>
              </w:rPr>
              <w:t>芘</w:t>
            </w:r>
          </w:p>
        </w:tc>
        <w:tc>
          <w:tcPr>
            <w:tcW w:w="4676" w:type="dxa"/>
            <w:tcBorders>
              <w:bottom w:val="single" w:sz="12" w:space="0" w:color="000000"/>
            </w:tcBorders>
          </w:tcPr>
          <w:p>
            <w:pPr>
              <w:pStyle w:val="TableParagraph"/>
              <w:spacing w:line="301" w:lineRule="exact"/>
              <w:ind w:left="153" w:right="124"/>
              <w:rPr>
                <w:sz w:val="21"/>
              </w:rPr>
            </w:pPr>
            <w:r>
              <w:rPr>
                <w:rFonts w:ascii="Times New Roman" w:eastAsia="Times New Roman"/>
                <w:position w:val="1"/>
                <w:sz w:val="21"/>
              </w:rPr>
              <w:t>HJ 605-2011 </w:t>
            </w:r>
            <w:r>
              <w:rPr>
                <w:sz w:val="21"/>
              </w:rPr>
              <w:t>土壤和沉积物 挥发性有机物的测</w:t>
            </w:r>
          </w:p>
          <w:p>
            <w:pPr>
              <w:pStyle w:val="TableParagraph"/>
              <w:spacing w:line="305" w:lineRule="exact"/>
              <w:ind w:left="153" w:right="124"/>
              <w:rPr>
                <w:sz w:val="21"/>
              </w:rPr>
            </w:pPr>
            <w:r>
              <w:rPr>
                <w:sz w:val="21"/>
              </w:rPr>
              <w:t>定 吹扫捕集</w:t>
            </w:r>
            <w:r>
              <w:rPr>
                <w:rFonts w:ascii="Times New Roman" w:eastAsia="Times New Roman"/>
                <w:position w:val="1"/>
                <w:sz w:val="21"/>
              </w:rPr>
              <w:t>/</w:t>
            </w:r>
            <w:r>
              <w:rPr>
                <w:sz w:val="21"/>
              </w:rPr>
              <w:t>气相色谱</w:t>
            </w:r>
            <w:r>
              <w:rPr>
                <w:rFonts w:ascii="Times New Roman" w:eastAsia="Times New Roman"/>
                <w:position w:val="1"/>
                <w:sz w:val="21"/>
              </w:rPr>
              <w:t>-</w:t>
            </w:r>
            <w:r>
              <w:rPr>
                <w:sz w:val="21"/>
              </w:rPr>
              <w:t>质谱法</w:t>
            </w:r>
          </w:p>
        </w:tc>
        <w:tc>
          <w:tcPr>
            <w:tcW w:w="1332" w:type="dxa"/>
            <w:tcBorders>
              <w:bottom w:val="single" w:sz="12" w:space="0" w:color="000000"/>
              <w:right w:val="single" w:sz="12" w:space="0" w:color="000000"/>
            </w:tcBorders>
          </w:tcPr>
          <w:p>
            <w:pPr>
              <w:pStyle w:val="TableParagraph"/>
              <w:spacing w:before="190"/>
              <w:ind w:left="269"/>
              <w:jc w:val="left"/>
              <w:rPr>
                <w:rFonts w:ascii="Times New Roman"/>
                <w:sz w:val="21"/>
              </w:rPr>
            </w:pPr>
            <w:r>
              <w:rPr>
                <w:rFonts w:ascii="Times New Roman"/>
                <w:sz w:val="21"/>
              </w:rPr>
              <w:t>0.1mg/kg</w:t>
            </w:r>
          </w:p>
        </w:tc>
      </w:tr>
    </w:tbl>
    <w:p>
      <w:pPr>
        <w:pStyle w:val="BodyText"/>
        <w:spacing w:line="453" w:lineRule="exact"/>
        <w:ind w:left="1058"/>
      </w:pPr>
      <w:r>
        <w:rPr>
          <w:rFonts w:ascii="Times New Roman" w:eastAsia="Times New Roman"/>
        </w:rPr>
        <w:t>5</w:t>
      </w:r>
      <w:r>
        <w:rPr/>
        <w:t>、监测结果</w:t>
      </w:r>
    </w:p>
    <w:p>
      <w:pPr>
        <w:pStyle w:val="BodyText"/>
        <w:spacing w:line="485" w:lineRule="exact"/>
        <w:ind w:left="1058"/>
      </w:pPr>
      <w:r>
        <w:rPr/>
        <w:t>土壤监测结果具体见表 </w:t>
      </w:r>
      <w:r>
        <w:rPr>
          <w:rFonts w:ascii="Times New Roman" w:eastAsia="Times New Roman"/>
        </w:rPr>
        <w:t>5.4-34</w:t>
      </w:r>
      <w:r>
        <w:rPr/>
        <w:t>。</w:t>
      </w:r>
    </w:p>
    <w:p>
      <w:pPr>
        <w:tabs>
          <w:tab w:pos="1142" w:val="left" w:leader="none"/>
        </w:tabs>
        <w:spacing w:line="442" w:lineRule="exact" w:before="0" w:after="24"/>
        <w:ind w:left="124" w:right="0" w:firstLine="0"/>
        <w:jc w:val="center"/>
        <w:rPr>
          <w:sz w:val="21"/>
        </w:rPr>
      </w:pPr>
      <w:r>
        <w:rPr>
          <w:sz w:val="21"/>
        </w:rPr>
        <w:t>表</w:t>
      </w:r>
      <w:r>
        <w:rPr>
          <w:spacing w:val="7"/>
          <w:sz w:val="21"/>
        </w:rPr>
        <w:t> </w:t>
      </w:r>
      <w:r>
        <w:rPr>
          <w:rFonts w:ascii="Times New Roman" w:eastAsia="Times New Roman"/>
          <w:b/>
          <w:sz w:val="21"/>
        </w:rPr>
        <w:t>5.4-34</w:t>
        <w:tab/>
      </w:r>
      <w:r>
        <w:rPr>
          <w:sz w:val="21"/>
        </w:rPr>
        <w:t>土壤环境现</w:t>
      </w:r>
      <w:r>
        <w:rPr>
          <w:spacing w:val="-3"/>
          <w:sz w:val="21"/>
        </w:rPr>
        <w:t>状</w:t>
      </w:r>
      <w:r>
        <w:rPr>
          <w:sz w:val="21"/>
        </w:rPr>
        <w:t>监测结果</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6"/>
        <w:gridCol w:w="1058"/>
        <w:gridCol w:w="753"/>
        <w:gridCol w:w="845"/>
        <w:gridCol w:w="1034"/>
        <w:gridCol w:w="843"/>
        <w:gridCol w:w="941"/>
        <w:gridCol w:w="787"/>
      </w:tblGrid>
      <w:tr>
        <w:trPr>
          <w:trHeight w:val="311" w:hRule="atLeast"/>
        </w:trPr>
        <w:tc>
          <w:tcPr>
            <w:tcW w:w="2266" w:type="dxa"/>
            <w:vMerge w:val="restart"/>
            <w:tcBorders>
              <w:bottom w:val="single" w:sz="6" w:space="0" w:color="000000"/>
              <w:right w:val="single" w:sz="6" w:space="0" w:color="000000"/>
            </w:tcBorders>
          </w:tcPr>
          <w:p>
            <w:pPr>
              <w:pStyle w:val="TableParagraph"/>
              <w:spacing w:before="7"/>
              <w:jc w:val="left"/>
              <w:rPr>
                <w:sz w:val="11"/>
              </w:rPr>
            </w:pPr>
          </w:p>
          <w:p>
            <w:pPr>
              <w:pStyle w:val="TableParagraph"/>
              <w:ind w:left="712"/>
              <w:jc w:val="left"/>
              <w:rPr>
                <w:sz w:val="21"/>
              </w:rPr>
            </w:pPr>
            <w:r>
              <w:rPr>
                <w:sz w:val="21"/>
              </w:rPr>
              <w:t>检测点位</w:t>
            </w:r>
          </w:p>
        </w:tc>
        <w:tc>
          <w:tcPr>
            <w:tcW w:w="6261" w:type="dxa"/>
            <w:gridSpan w:val="7"/>
            <w:tcBorders>
              <w:left w:val="single" w:sz="6" w:space="0" w:color="000000"/>
              <w:bottom w:val="single" w:sz="6" w:space="0" w:color="000000"/>
            </w:tcBorders>
          </w:tcPr>
          <w:p>
            <w:pPr>
              <w:pStyle w:val="TableParagraph"/>
              <w:spacing w:line="291" w:lineRule="exact"/>
              <w:ind w:left="2700" w:right="2658"/>
              <w:rPr>
                <w:sz w:val="21"/>
              </w:rPr>
            </w:pPr>
            <w:r>
              <w:rPr>
                <w:sz w:val="21"/>
              </w:rPr>
              <w:t>检测项目</w:t>
            </w:r>
          </w:p>
        </w:tc>
      </w:tr>
      <w:tr>
        <w:trPr>
          <w:trHeight w:val="623" w:hRule="atLeast"/>
        </w:trPr>
        <w:tc>
          <w:tcPr>
            <w:tcW w:w="2266" w:type="dxa"/>
            <w:vMerge/>
            <w:tcBorders>
              <w:top w:val="nil"/>
              <w:bottom w:val="single" w:sz="6" w:space="0" w:color="000000"/>
              <w:right w:val="single" w:sz="6" w:space="0" w:color="000000"/>
            </w:tcBorders>
          </w:tcPr>
          <w:p>
            <w:pPr>
              <w:rPr>
                <w:sz w:val="2"/>
                <w:szCs w:val="2"/>
              </w:rPr>
            </w:pP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line="356" w:lineRule="exact"/>
              <w:ind w:left="27"/>
              <w:rPr>
                <w:sz w:val="21"/>
              </w:rPr>
            </w:pPr>
            <w:r>
              <w:rPr>
                <w:w w:val="100"/>
                <w:sz w:val="21"/>
              </w:rPr>
              <w:t>砷</w:t>
            </w:r>
          </w:p>
          <w:p>
            <w:pPr>
              <w:pStyle w:val="TableParagraph"/>
              <w:spacing w:line="231" w:lineRule="exact"/>
              <w:ind w:left="245" w:right="221"/>
              <w:rPr>
                <w:rFonts w:ascii="Times New Roman"/>
                <w:sz w:val="21"/>
              </w:rPr>
            </w:pPr>
            <w:r>
              <w:rPr>
                <w:rFonts w:ascii="Times New Roman"/>
                <w:sz w:val="21"/>
              </w:rPr>
              <w:t>mg/kg</w:t>
            </w:r>
          </w:p>
        </w:tc>
        <w:tc>
          <w:tcPr>
            <w:tcW w:w="753" w:type="dxa"/>
            <w:tcBorders>
              <w:top w:val="single" w:sz="6" w:space="0" w:color="000000"/>
              <w:left w:val="single" w:sz="6" w:space="0" w:color="000000"/>
              <w:bottom w:val="single" w:sz="6" w:space="0" w:color="000000"/>
              <w:right w:val="single" w:sz="6" w:space="0" w:color="000000"/>
            </w:tcBorders>
          </w:tcPr>
          <w:p>
            <w:pPr>
              <w:pStyle w:val="TableParagraph"/>
              <w:spacing w:line="356" w:lineRule="exact"/>
              <w:ind w:left="30"/>
              <w:rPr>
                <w:sz w:val="21"/>
              </w:rPr>
            </w:pPr>
            <w:r>
              <w:rPr>
                <w:w w:val="100"/>
                <w:sz w:val="21"/>
              </w:rPr>
              <w:t>镉</w:t>
            </w:r>
          </w:p>
          <w:p>
            <w:pPr>
              <w:pStyle w:val="TableParagraph"/>
              <w:spacing w:line="231" w:lineRule="exact"/>
              <w:ind w:left="94" w:right="67"/>
              <w:rPr>
                <w:rFonts w:ascii="Times New Roman"/>
                <w:sz w:val="21"/>
              </w:rPr>
            </w:pPr>
            <w:r>
              <w:rPr>
                <w:rFonts w:ascii="Times New Roman"/>
                <w:sz w:val="21"/>
              </w:rPr>
              <w:t>mg/kg</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line="356" w:lineRule="exact"/>
              <w:ind w:left="116"/>
              <w:jc w:val="left"/>
              <w:rPr>
                <w:sz w:val="21"/>
              </w:rPr>
            </w:pPr>
            <w:r>
              <w:rPr>
                <w:sz w:val="21"/>
              </w:rPr>
              <w:t>六价铬</w:t>
            </w:r>
          </w:p>
          <w:p>
            <w:pPr>
              <w:pStyle w:val="TableParagraph"/>
              <w:spacing w:line="231" w:lineRule="exact"/>
              <w:ind w:left="161"/>
              <w:jc w:val="left"/>
              <w:rPr>
                <w:rFonts w:ascii="Times New Roman"/>
                <w:sz w:val="21"/>
              </w:rPr>
            </w:pPr>
            <w:r>
              <w:rPr>
                <w:rFonts w:ascii="Times New Roman"/>
                <w:sz w:val="21"/>
              </w:rPr>
              <w:t>mg/kg</w:t>
            </w:r>
          </w:p>
        </w:tc>
        <w:tc>
          <w:tcPr>
            <w:tcW w:w="1034" w:type="dxa"/>
            <w:tcBorders>
              <w:top w:val="single" w:sz="6" w:space="0" w:color="000000"/>
              <w:left w:val="single" w:sz="6" w:space="0" w:color="000000"/>
              <w:bottom w:val="single" w:sz="6" w:space="0" w:color="000000"/>
              <w:right w:val="single" w:sz="6" w:space="0" w:color="000000"/>
            </w:tcBorders>
          </w:tcPr>
          <w:p>
            <w:pPr>
              <w:pStyle w:val="TableParagraph"/>
              <w:spacing w:line="356" w:lineRule="exact"/>
              <w:ind w:left="29"/>
              <w:rPr>
                <w:sz w:val="21"/>
              </w:rPr>
            </w:pPr>
            <w:r>
              <w:rPr>
                <w:w w:val="100"/>
                <w:sz w:val="21"/>
              </w:rPr>
              <w:t>铜</w:t>
            </w:r>
          </w:p>
          <w:p>
            <w:pPr>
              <w:pStyle w:val="TableParagraph"/>
              <w:spacing w:line="231" w:lineRule="exact"/>
              <w:ind w:left="234" w:right="208"/>
              <w:rPr>
                <w:rFonts w:ascii="Times New Roman"/>
                <w:sz w:val="21"/>
              </w:rPr>
            </w:pPr>
            <w:r>
              <w:rPr>
                <w:rFonts w:ascii="Times New Roman"/>
                <w:sz w:val="21"/>
              </w:rPr>
              <w:t>mg/kg</w:t>
            </w:r>
          </w:p>
        </w:tc>
        <w:tc>
          <w:tcPr>
            <w:tcW w:w="843" w:type="dxa"/>
            <w:tcBorders>
              <w:top w:val="single" w:sz="6" w:space="0" w:color="000000"/>
              <w:left w:val="single" w:sz="6" w:space="0" w:color="000000"/>
              <w:bottom w:val="single" w:sz="6" w:space="0" w:color="000000"/>
              <w:right w:val="single" w:sz="6" w:space="0" w:color="000000"/>
            </w:tcBorders>
          </w:tcPr>
          <w:p>
            <w:pPr>
              <w:pStyle w:val="TableParagraph"/>
              <w:spacing w:line="356" w:lineRule="exact"/>
              <w:ind w:left="24"/>
              <w:rPr>
                <w:sz w:val="21"/>
              </w:rPr>
            </w:pPr>
            <w:r>
              <w:rPr>
                <w:w w:val="100"/>
                <w:sz w:val="21"/>
              </w:rPr>
              <w:t>铅</w:t>
            </w:r>
          </w:p>
          <w:p>
            <w:pPr>
              <w:pStyle w:val="TableParagraph"/>
              <w:spacing w:line="231" w:lineRule="exact"/>
              <w:ind w:left="136" w:right="115"/>
              <w:rPr>
                <w:rFonts w:ascii="Times New Roman"/>
                <w:sz w:val="21"/>
              </w:rPr>
            </w:pPr>
            <w:r>
              <w:rPr>
                <w:rFonts w:ascii="Times New Roman"/>
                <w:sz w:val="21"/>
              </w:rPr>
              <w:t>mg/kg</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line="356" w:lineRule="exact"/>
              <w:ind w:left="32"/>
              <w:rPr>
                <w:sz w:val="21"/>
              </w:rPr>
            </w:pPr>
            <w:r>
              <w:rPr>
                <w:w w:val="100"/>
                <w:sz w:val="21"/>
              </w:rPr>
              <w:t>汞</w:t>
            </w:r>
          </w:p>
          <w:p>
            <w:pPr>
              <w:pStyle w:val="TableParagraph"/>
              <w:spacing w:line="231" w:lineRule="exact"/>
              <w:ind w:left="189" w:right="160"/>
              <w:rPr>
                <w:rFonts w:ascii="Times New Roman"/>
                <w:sz w:val="21"/>
              </w:rPr>
            </w:pPr>
            <w:r>
              <w:rPr>
                <w:rFonts w:ascii="Times New Roman"/>
                <w:sz w:val="21"/>
              </w:rPr>
              <w:t>mg/kg</w:t>
            </w:r>
          </w:p>
        </w:tc>
        <w:tc>
          <w:tcPr>
            <w:tcW w:w="787" w:type="dxa"/>
            <w:tcBorders>
              <w:top w:val="single" w:sz="6" w:space="0" w:color="000000"/>
              <w:left w:val="single" w:sz="6" w:space="0" w:color="000000"/>
              <w:bottom w:val="single" w:sz="6" w:space="0" w:color="000000"/>
            </w:tcBorders>
          </w:tcPr>
          <w:p>
            <w:pPr>
              <w:pStyle w:val="TableParagraph"/>
              <w:spacing w:line="356" w:lineRule="exact"/>
              <w:ind w:left="39"/>
              <w:rPr>
                <w:sz w:val="21"/>
              </w:rPr>
            </w:pPr>
            <w:r>
              <w:rPr>
                <w:w w:val="100"/>
                <w:sz w:val="21"/>
              </w:rPr>
              <w:t>镍</w:t>
            </w:r>
          </w:p>
          <w:p>
            <w:pPr>
              <w:pStyle w:val="TableParagraph"/>
              <w:spacing w:line="231" w:lineRule="exact"/>
              <w:ind w:left="112" w:right="75"/>
              <w:rPr>
                <w:rFonts w:ascii="Times New Roman"/>
                <w:sz w:val="21"/>
              </w:rPr>
            </w:pPr>
            <w:r>
              <w:rPr>
                <w:rFonts w:ascii="Times New Roman"/>
                <w:sz w:val="21"/>
              </w:rPr>
              <w:t>mg/kg</w:t>
            </w:r>
          </w:p>
        </w:tc>
      </w:tr>
      <w:tr>
        <w:trPr>
          <w:trHeight w:val="369" w:hRule="atLeast"/>
        </w:trPr>
        <w:tc>
          <w:tcPr>
            <w:tcW w:w="2266" w:type="dxa"/>
            <w:tcBorders>
              <w:top w:val="single" w:sz="6" w:space="0" w:color="000000"/>
              <w:bottom w:val="single" w:sz="6" w:space="0" w:color="000000"/>
              <w:right w:val="single" w:sz="6" w:space="0" w:color="000000"/>
            </w:tcBorders>
          </w:tcPr>
          <w:p>
            <w:pPr>
              <w:pStyle w:val="TableParagraph"/>
              <w:spacing w:line="350" w:lineRule="exact"/>
              <w:ind w:left="168" w:right="145"/>
              <w:rPr>
                <w:sz w:val="21"/>
              </w:rPr>
            </w:pPr>
            <w:r>
              <w:rPr>
                <w:sz w:val="21"/>
              </w:rPr>
              <w:t>厂址装置区表层土</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before="58"/>
              <w:ind w:left="245" w:right="214"/>
              <w:rPr>
                <w:rFonts w:ascii="Times New Roman"/>
                <w:sz w:val="21"/>
              </w:rPr>
            </w:pPr>
            <w:r>
              <w:rPr>
                <w:rFonts w:ascii="Times New Roman"/>
                <w:sz w:val="21"/>
              </w:rPr>
              <w:t>7.03</w:t>
            </w:r>
          </w:p>
        </w:tc>
        <w:tc>
          <w:tcPr>
            <w:tcW w:w="753" w:type="dxa"/>
            <w:tcBorders>
              <w:top w:val="single" w:sz="6" w:space="0" w:color="000000"/>
              <w:left w:val="single" w:sz="6" w:space="0" w:color="000000"/>
              <w:bottom w:val="single" w:sz="6" w:space="0" w:color="000000"/>
              <w:right w:val="single" w:sz="6" w:space="0" w:color="000000"/>
            </w:tcBorders>
          </w:tcPr>
          <w:p>
            <w:pPr>
              <w:pStyle w:val="TableParagraph"/>
              <w:spacing w:before="58"/>
              <w:ind w:left="94" w:right="64"/>
              <w:rPr>
                <w:rFonts w:ascii="Times New Roman"/>
                <w:sz w:val="21"/>
              </w:rPr>
            </w:pPr>
            <w:r>
              <w:rPr>
                <w:rFonts w:ascii="Times New Roman"/>
                <w:sz w:val="21"/>
              </w:rPr>
              <w:t>0.7</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before="58"/>
              <w:ind w:left="301" w:right="265"/>
              <w:rPr>
                <w:rFonts w:ascii="Times New Roman"/>
                <w:sz w:val="21"/>
              </w:rPr>
            </w:pPr>
            <w:r>
              <w:rPr>
                <w:rFonts w:ascii="Times New Roman"/>
                <w:sz w:val="21"/>
              </w:rPr>
              <w:t>&lt;2</w:t>
            </w:r>
          </w:p>
        </w:tc>
        <w:tc>
          <w:tcPr>
            <w:tcW w:w="1034" w:type="dxa"/>
            <w:tcBorders>
              <w:top w:val="single" w:sz="6" w:space="0" w:color="000000"/>
              <w:left w:val="single" w:sz="6" w:space="0" w:color="000000"/>
              <w:bottom w:val="single" w:sz="6" w:space="0" w:color="000000"/>
              <w:right w:val="single" w:sz="6" w:space="0" w:color="000000"/>
            </w:tcBorders>
          </w:tcPr>
          <w:p>
            <w:pPr>
              <w:pStyle w:val="TableParagraph"/>
              <w:spacing w:before="58"/>
              <w:ind w:left="339"/>
              <w:jc w:val="left"/>
              <w:rPr>
                <w:rFonts w:ascii="Times New Roman"/>
                <w:sz w:val="21"/>
              </w:rPr>
            </w:pPr>
            <w:r>
              <w:rPr>
                <w:rFonts w:ascii="Times New Roman"/>
                <w:sz w:val="21"/>
              </w:rPr>
              <w:t>18.6</w:t>
            </w:r>
          </w:p>
        </w:tc>
        <w:tc>
          <w:tcPr>
            <w:tcW w:w="843" w:type="dxa"/>
            <w:tcBorders>
              <w:top w:val="single" w:sz="6" w:space="0" w:color="000000"/>
              <w:left w:val="single" w:sz="6" w:space="0" w:color="000000"/>
              <w:bottom w:val="single" w:sz="6" w:space="0" w:color="000000"/>
              <w:right w:val="single" w:sz="6" w:space="0" w:color="000000"/>
            </w:tcBorders>
          </w:tcPr>
          <w:p>
            <w:pPr>
              <w:pStyle w:val="TableParagraph"/>
              <w:spacing w:before="58"/>
              <w:ind w:left="136" w:right="107"/>
              <w:rPr>
                <w:rFonts w:ascii="Times New Roman"/>
                <w:sz w:val="21"/>
              </w:rPr>
            </w:pPr>
            <w:r>
              <w:rPr>
                <w:rFonts w:ascii="Times New Roman"/>
                <w:sz w:val="21"/>
              </w:rPr>
              <w:t>37.3</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58"/>
              <w:ind w:left="189" w:right="153"/>
              <w:rPr>
                <w:rFonts w:ascii="Times New Roman"/>
                <w:sz w:val="21"/>
              </w:rPr>
            </w:pPr>
            <w:r>
              <w:rPr>
                <w:rFonts w:ascii="Times New Roman"/>
                <w:sz w:val="21"/>
              </w:rPr>
              <w:t>0.191</w:t>
            </w:r>
          </w:p>
        </w:tc>
        <w:tc>
          <w:tcPr>
            <w:tcW w:w="787" w:type="dxa"/>
            <w:tcBorders>
              <w:top w:val="single" w:sz="6" w:space="0" w:color="000000"/>
              <w:left w:val="single" w:sz="6" w:space="0" w:color="000000"/>
              <w:bottom w:val="single" w:sz="6" w:space="0" w:color="000000"/>
            </w:tcBorders>
          </w:tcPr>
          <w:p>
            <w:pPr>
              <w:pStyle w:val="TableParagraph"/>
              <w:spacing w:before="65"/>
              <w:ind w:left="112" w:right="73"/>
              <w:rPr>
                <w:rFonts w:ascii="Times New Roman"/>
                <w:sz w:val="21"/>
              </w:rPr>
            </w:pPr>
            <w:r>
              <w:rPr>
                <w:rFonts w:ascii="Times New Roman"/>
                <w:sz w:val="21"/>
              </w:rPr>
              <w:t>36.1</w:t>
            </w:r>
          </w:p>
        </w:tc>
      </w:tr>
      <w:tr>
        <w:trPr>
          <w:trHeight w:val="368" w:hRule="atLeast"/>
        </w:trPr>
        <w:tc>
          <w:tcPr>
            <w:tcW w:w="2266" w:type="dxa"/>
            <w:tcBorders>
              <w:top w:val="single" w:sz="6" w:space="0" w:color="000000"/>
              <w:bottom w:val="single" w:sz="6" w:space="0" w:color="000000"/>
              <w:right w:val="single" w:sz="6" w:space="0" w:color="000000"/>
            </w:tcBorders>
          </w:tcPr>
          <w:p>
            <w:pPr>
              <w:pStyle w:val="TableParagraph"/>
              <w:spacing w:line="349" w:lineRule="exact"/>
              <w:ind w:left="168" w:right="145"/>
              <w:rPr>
                <w:sz w:val="21"/>
              </w:rPr>
            </w:pPr>
            <w:r>
              <w:rPr>
                <w:sz w:val="21"/>
              </w:rPr>
              <w:t>厂址装置区中层土</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before="58"/>
              <w:ind w:left="245" w:right="214"/>
              <w:rPr>
                <w:rFonts w:ascii="Times New Roman"/>
                <w:sz w:val="21"/>
              </w:rPr>
            </w:pPr>
            <w:r>
              <w:rPr>
                <w:rFonts w:ascii="Times New Roman"/>
                <w:sz w:val="21"/>
              </w:rPr>
              <w:t>5.19</w:t>
            </w:r>
          </w:p>
        </w:tc>
        <w:tc>
          <w:tcPr>
            <w:tcW w:w="753" w:type="dxa"/>
            <w:tcBorders>
              <w:top w:val="single" w:sz="6" w:space="0" w:color="000000"/>
              <w:left w:val="single" w:sz="6" w:space="0" w:color="000000"/>
              <w:bottom w:val="single" w:sz="6" w:space="0" w:color="000000"/>
              <w:right w:val="single" w:sz="6" w:space="0" w:color="000000"/>
            </w:tcBorders>
          </w:tcPr>
          <w:p>
            <w:pPr>
              <w:pStyle w:val="TableParagraph"/>
              <w:spacing w:before="58"/>
              <w:ind w:left="94" w:right="64"/>
              <w:rPr>
                <w:rFonts w:ascii="Times New Roman"/>
                <w:sz w:val="21"/>
              </w:rPr>
            </w:pPr>
            <w:r>
              <w:rPr>
                <w:rFonts w:ascii="Times New Roman"/>
                <w:sz w:val="21"/>
              </w:rPr>
              <w:t>0.6</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before="58"/>
              <w:ind w:left="301" w:right="265"/>
              <w:rPr>
                <w:rFonts w:ascii="Times New Roman"/>
                <w:sz w:val="21"/>
              </w:rPr>
            </w:pPr>
            <w:r>
              <w:rPr>
                <w:rFonts w:ascii="Times New Roman"/>
                <w:sz w:val="21"/>
              </w:rPr>
              <w:t>&lt;2</w:t>
            </w:r>
          </w:p>
        </w:tc>
        <w:tc>
          <w:tcPr>
            <w:tcW w:w="1034" w:type="dxa"/>
            <w:tcBorders>
              <w:top w:val="single" w:sz="6" w:space="0" w:color="000000"/>
              <w:left w:val="single" w:sz="6" w:space="0" w:color="000000"/>
              <w:bottom w:val="single" w:sz="6" w:space="0" w:color="000000"/>
              <w:right w:val="single" w:sz="6" w:space="0" w:color="000000"/>
            </w:tcBorders>
          </w:tcPr>
          <w:p>
            <w:pPr>
              <w:pStyle w:val="TableParagraph"/>
              <w:spacing w:before="65"/>
              <w:ind w:left="339"/>
              <w:jc w:val="left"/>
              <w:rPr>
                <w:rFonts w:ascii="Times New Roman"/>
                <w:sz w:val="21"/>
              </w:rPr>
            </w:pPr>
            <w:r>
              <w:rPr>
                <w:rFonts w:ascii="Times New Roman"/>
                <w:sz w:val="21"/>
              </w:rPr>
              <w:t>13.3</w:t>
            </w:r>
          </w:p>
        </w:tc>
        <w:tc>
          <w:tcPr>
            <w:tcW w:w="843" w:type="dxa"/>
            <w:tcBorders>
              <w:top w:val="single" w:sz="6" w:space="0" w:color="000000"/>
              <w:left w:val="single" w:sz="6" w:space="0" w:color="000000"/>
              <w:bottom w:val="single" w:sz="6" w:space="0" w:color="000000"/>
              <w:right w:val="single" w:sz="6" w:space="0" w:color="000000"/>
            </w:tcBorders>
          </w:tcPr>
          <w:p>
            <w:pPr>
              <w:pStyle w:val="TableParagraph"/>
              <w:spacing w:before="58"/>
              <w:ind w:left="136" w:right="107"/>
              <w:rPr>
                <w:rFonts w:ascii="Times New Roman"/>
                <w:sz w:val="21"/>
              </w:rPr>
            </w:pPr>
            <w:r>
              <w:rPr>
                <w:rFonts w:ascii="Times New Roman"/>
                <w:sz w:val="21"/>
              </w:rPr>
              <w:t>18.2</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58"/>
              <w:ind w:left="189" w:right="153"/>
              <w:rPr>
                <w:rFonts w:ascii="Times New Roman"/>
                <w:sz w:val="21"/>
              </w:rPr>
            </w:pPr>
            <w:r>
              <w:rPr>
                <w:rFonts w:ascii="Times New Roman"/>
                <w:sz w:val="21"/>
              </w:rPr>
              <w:t>0.088</w:t>
            </w:r>
          </w:p>
        </w:tc>
        <w:tc>
          <w:tcPr>
            <w:tcW w:w="787" w:type="dxa"/>
            <w:tcBorders>
              <w:top w:val="single" w:sz="6" w:space="0" w:color="000000"/>
              <w:left w:val="single" w:sz="6" w:space="0" w:color="000000"/>
              <w:bottom w:val="single" w:sz="6" w:space="0" w:color="000000"/>
            </w:tcBorders>
          </w:tcPr>
          <w:p>
            <w:pPr>
              <w:pStyle w:val="TableParagraph"/>
              <w:spacing w:before="65"/>
              <w:ind w:left="112" w:right="73"/>
              <w:rPr>
                <w:rFonts w:ascii="Times New Roman"/>
                <w:sz w:val="21"/>
              </w:rPr>
            </w:pPr>
            <w:r>
              <w:rPr>
                <w:rFonts w:ascii="Times New Roman"/>
                <w:sz w:val="21"/>
              </w:rPr>
              <w:t>24.9</w:t>
            </w:r>
          </w:p>
        </w:tc>
      </w:tr>
      <w:tr>
        <w:trPr>
          <w:trHeight w:val="546" w:hRule="atLeast"/>
        </w:trPr>
        <w:tc>
          <w:tcPr>
            <w:tcW w:w="2266" w:type="dxa"/>
            <w:tcBorders>
              <w:top w:val="single" w:sz="6" w:space="0" w:color="000000"/>
              <w:bottom w:val="single" w:sz="6" w:space="0" w:color="000000"/>
              <w:right w:val="single" w:sz="6" w:space="0" w:color="000000"/>
            </w:tcBorders>
          </w:tcPr>
          <w:p>
            <w:pPr>
              <w:pStyle w:val="TableParagraph"/>
              <w:spacing w:line="261" w:lineRule="exact"/>
              <w:ind w:left="168" w:right="145"/>
              <w:rPr>
                <w:sz w:val="21"/>
              </w:rPr>
            </w:pPr>
            <w:r>
              <w:rPr>
                <w:sz w:val="21"/>
              </w:rPr>
              <w:t>厂址南侧厂界外表层</w:t>
            </w:r>
          </w:p>
          <w:p>
            <w:pPr>
              <w:pStyle w:val="TableParagraph"/>
              <w:spacing w:line="266" w:lineRule="exact"/>
              <w:ind w:left="20"/>
              <w:rPr>
                <w:sz w:val="21"/>
              </w:rPr>
            </w:pPr>
            <w:r>
              <w:rPr>
                <w:w w:val="100"/>
                <w:sz w:val="21"/>
              </w:rPr>
              <w:t>土</w:t>
            </w:r>
          </w:p>
        </w:tc>
        <w:tc>
          <w:tcPr>
            <w:tcW w:w="1058" w:type="dxa"/>
            <w:tcBorders>
              <w:top w:val="single" w:sz="6" w:space="0" w:color="000000"/>
              <w:left w:val="single" w:sz="6" w:space="0" w:color="000000"/>
              <w:bottom w:val="single" w:sz="6" w:space="0" w:color="000000"/>
              <w:right w:val="single" w:sz="6" w:space="0" w:color="000000"/>
            </w:tcBorders>
          </w:tcPr>
          <w:p>
            <w:pPr>
              <w:pStyle w:val="TableParagraph"/>
              <w:spacing w:before="147"/>
              <w:ind w:left="245" w:right="214"/>
              <w:rPr>
                <w:rFonts w:ascii="Times New Roman"/>
                <w:sz w:val="21"/>
              </w:rPr>
            </w:pPr>
            <w:r>
              <w:rPr>
                <w:rFonts w:ascii="Times New Roman"/>
                <w:sz w:val="21"/>
              </w:rPr>
              <w:t>5.93</w:t>
            </w:r>
          </w:p>
        </w:tc>
        <w:tc>
          <w:tcPr>
            <w:tcW w:w="753" w:type="dxa"/>
            <w:tcBorders>
              <w:top w:val="single" w:sz="6" w:space="0" w:color="000000"/>
              <w:left w:val="single" w:sz="6" w:space="0" w:color="000000"/>
              <w:bottom w:val="single" w:sz="6" w:space="0" w:color="000000"/>
              <w:right w:val="single" w:sz="6" w:space="0" w:color="000000"/>
            </w:tcBorders>
          </w:tcPr>
          <w:p>
            <w:pPr>
              <w:pStyle w:val="TableParagraph"/>
              <w:spacing w:before="147"/>
              <w:ind w:left="94" w:right="64"/>
              <w:rPr>
                <w:rFonts w:ascii="Times New Roman"/>
                <w:sz w:val="21"/>
              </w:rPr>
            </w:pPr>
            <w:r>
              <w:rPr>
                <w:rFonts w:ascii="Times New Roman"/>
                <w:sz w:val="21"/>
              </w:rPr>
              <w:t>0.7</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before="147"/>
              <w:ind w:left="301" w:right="265"/>
              <w:rPr>
                <w:rFonts w:ascii="Times New Roman"/>
                <w:sz w:val="21"/>
              </w:rPr>
            </w:pPr>
            <w:r>
              <w:rPr>
                <w:rFonts w:ascii="Times New Roman"/>
                <w:sz w:val="21"/>
              </w:rPr>
              <w:t>&lt;2</w:t>
            </w:r>
          </w:p>
        </w:tc>
        <w:tc>
          <w:tcPr>
            <w:tcW w:w="1034" w:type="dxa"/>
            <w:tcBorders>
              <w:top w:val="single" w:sz="6" w:space="0" w:color="000000"/>
              <w:left w:val="single" w:sz="6" w:space="0" w:color="000000"/>
              <w:bottom w:val="single" w:sz="6" w:space="0" w:color="000000"/>
              <w:right w:val="single" w:sz="6" w:space="0" w:color="000000"/>
            </w:tcBorders>
          </w:tcPr>
          <w:p>
            <w:pPr>
              <w:pStyle w:val="TableParagraph"/>
              <w:spacing w:before="151"/>
              <w:ind w:left="339"/>
              <w:jc w:val="left"/>
              <w:rPr>
                <w:rFonts w:ascii="Times New Roman"/>
                <w:sz w:val="21"/>
              </w:rPr>
            </w:pPr>
            <w:r>
              <w:rPr>
                <w:rFonts w:ascii="Times New Roman"/>
                <w:sz w:val="21"/>
              </w:rPr>
              <w:t>17.6</w:t>
            </w:r>
          </w:p>
        </w:tc>
        <w:tc>
          <w:tcPr>
            <w:tcW w:w="843" w:type="dxa"/>
            <w:tcBorders>
              <w:top w:val="single" w:sz="6" w:space="0" w:color="000000"/>
              <w:left w:val="single" w:sz="6" w:space="0" w:color="000000"/>
              <w:bottom w:val="single" w:sz="6" w:space="0" w:color="000000"/>
              <w:right w:val="single" w:sz="6" w:space="0" w:color="000000"/>
            </w:tcBorders>
          </w:tcPr>
          <w:p>
            <w:pPr>
              <w:pStyle w:val="TableParagraph"/>
              <w:spacing w:before="147"/>
              <w:ind w:left="136" w:right="107"/>
              <w:rPr>
                <w:rFonts w:ascii="Times New Roman"/>
                <w:sz w:val="21"/>
              </w:rPr>
            </w:pPr>
            <w:r>
              <w:rPr>
                <w:rFonts w:ascii="Times New Roman"/>
                <w:sz w:val="21"/>
              </w:rPr>
              <w:t>29.6</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47"/>
              <w:ind w:left="189" w:right="153"/>
              <w:rPr>
                <w:rFonts w:ascii="Times New Roman"/>
                <w:sz w:val="21"/>
              </w:rPr>
            </w:pPr>
            <w:r>
              <w:rPr>
                <w:rFonts w:ascii="Times New Roman"/>
                <w:sz w:val="21"/>
              </w:rPr>
              <w:t>0.478</w:t>
            </w:r>
          </w:p>
        </w:tc>
        <w:tc>
          <w:tcPr>
            <w:tcW w:w="787" w:type="dxa"/>
            <w:tcBorders>
              <w:top w:val="single" w:sz="6" w:space="0" w:color="000000"/>
              <w:left w:val="single" w:sz="6" w:space="0" w:color="000000"/>
              <w:bottom w:val="single" w:sz="6" w:space="0" w:color="000000"/>
            </w:tcBorders>
          </w:tcPr>
          <w:p>
            <w:pPr>
              <w:pStyle w:val="TableParagraph"/>
              <w:spacing w:before="151"/>
              <w:ind w:left="112" w:right="73"/>
              <w:rPr>
                <w:rFonts w:ascii="Times New Roman"/>
                <w:sz w:val="21"/>
              </w:rPr>
            </w:pPr>
            <w:r>
              <w:rPr>
                <w:rFonts w:ascii="Times New Roman"/>
                <w:sz w:val="21"/>
              </w:rPr>
              <w:t>30.8</w:t>
            </w:r>
          </w:p>
        </w:tc>
      </w:tr>
      <w:tr>
        <w:trPr>
          <w:trHeight w:val="366" w:hRule="atLeast"/>
        </w:trPr>
        <w:tc>
          <w:tcPr>
            <w:tcW w:w="2266" w:type="dxa"/>
            <w:tcBorders>
              <w:top w:val="single" w:sz="6" w:space="0" w:color="000000"/>
              <w:right w:val="single" w:sz="6" w:space="0" w:color="000000"/>
            </w:tcBorders>
          </w:tcPr>
          <w:p>
            <w:pPr>
              <w:pStyle w:val="TableParagraph"/>
              <w:spacing w:line="346" w:lineRule="exact"/>
              <w:ind w:left="165" w:right="145"/>
              <w:rPr>
                <w:sz w:val="21"/>
              </w:rPr>
            </w:pPr>
            <w:r>
              <w:rPr>
                <w:sz w:val="21"/>
              </w:rPr>
              <w:t>后柴沟村表层土</w:t>
            </w:r>
          </w:p>
        </w:tc>
        <w:tc>
          <w:tcPr>
            <w:tcW w:w="1058" w:type="dxa"/>
            <w:tcBorders>
              <w:top w:val="single" w:sz="6" w:space="0" w:color="000000"/>
              <w:left w:val="single" w:sz="6" w:space="0" w:color="000000"/>
              <w:right w:val="single" w:sz="6" w:space="0" w:color="000000"/>
            </w:tcBorders>
          </w:tcPr>
          <w:p>
            <w:pPr>
              <w:pStyle w:val="TableParagraph"/>
              <w:spacing w:before="58"/>
              <w:ind w:left="245" w:right="214"/>
              <w:rPr>
                <w:rFonts w:ascii="Times New Roman"/>
                <w:sz w:val="21"/>
              </w:rPr>
            </w:pPr>
            <w:r>
              <w:rPr>
                <w:rFonts w:ascii="Times New Roman"/>
                <w:sz w:val="21"/>
              </w:rPr>
              <w:t>5.28</w:t>
            </w:r>
          </w:p>
        </w:tc>
        <w:tc>
          <w:tcPr>
            <w:tcW w:w="753" w:type="dxa"/>
            <w:tcBorders>
              <w:top w:val="single" w:sz="6" w:space="0" w:color="000000"/>
              <w:left w:val="single" w:sz="6" w:space="0" w:color="000000"/>
              <w:right w:val="single" w:sz="6" w:space="0" w:color="000000"/>
            </w:tcBorders>
          </w:tcPr>
          <w:p>
            <w:pPr>
              <w:pStyle w:val="TableParagraph"/>
              <w:spacing w:before="58"/>
              <w:ind w:left="94" w:right="64"/>
              <w:rPr>
                <w:rFonts w:ascii="Times New Roman"/>
                <w:sz w:val="21"/>
              </w:rPr>
            </w:pPr>
            <w:r>
              <w:rPr>
                <w:rFonts w:ascii="Times New Roman"/>
                <w:sz w:val="21"/>
              </w:rPr>
              <w:t>0.7</w:t>
            </w:r>
          </w:p>
        </w:tc>
        <w:tc>
          <w:tcPr>
            <w:tcW w:w="845" w:type="dxa"/>
            <w:tcBorders>
              <w:top w:val="single" w:sz="6" w:space="0" w:color="000000"/>
              <w:left w:val="single" w:sz="6" w:space="0" w:color="000000"/>
              <w:right w:val="single" w:sz="6" w:space="0" w:color="000000"/>
            </w:tcBorders>
          </w:tcPr>
          <w:p>
            <w:pPr>
              <w:pStyle w:val="TableParagraph"/>
              <w:spacing w:before="58"/>
              <w:ind w:left="301" w:right="265"/>
              <w:rPr>
                <w:rFonts w:ascii="Times New Roman"/>
                <w:sz w:val="21"/>
              </w:rPr>
            </w:pPr>
            <w:r>
              <w:rPr>
                <w:rFonts w:ascii="Times New Roman"/>
                <w:sz w:val="21"/>
              </w:rPr>
              <w:t>&lt;2</w:t>
            </w:r>
          </w:p>
        </w:tc>
        <w:tc>
          <w:tcPr>
            <w:tcW w:w="1034" w:type="dxa"/>
            <w:tcBorders>
              <w:top w:val="single" w:sz="6" w:space="0" w:color="000000"/>
              <w:left w:val="single" w:sz="6" w:space="0" w:color="000000"/>
              <w:right w:val="single" w:sz="6" w:space="0" w:color="000000"/>
            </w:tcBorders>
          </w:tcPr>
          <w:p>
            <w:pPr>
              <w:pStyle w:val="TableParagraph"/>
              <w:spacing w:before="63"/>
              <w:ind w:left="339"/>
              <w:jc w:val="left"/>
              <w:rPr>
                <w:rFonts w:ascii="Times New Roman"/>
                <w:sz w:val="21"/>
              </w:rPr>
            </w:pPr>
            <w:r>
              <w:rPr>
                <w:rFonts w:ascii="Times New Roman"/>
                <w:sz w:val="21"/>
              </w:rPr>
              <w:t>16.6</w:t>
            </w:r>
          </w:p>
        </w:tc>
        <w:tc>
          <w:tcPr>
            <w:tcW w:w="843" w:type="dxa"/>
            <w:tcBorders>
              <w:top w:val="single" w:sz="6" w:space="0" w:color="000000"/>
              <w:left w:val="single" w:sz="6" w:space="0" w:color="000000"/>
              <w:right w:val="single" w:sz="6" w:space="0" w:color="000000"/>
            </w:tcBorders>
          </w:tcPr>
          <w:p>
            <w:pPr>
              <w:pStyle w:val="TableParagraph"/>
              <w:spacing w:before="58"/>
              <w:ind w:left="136" w:right="107"/>
              <w:rPr>
                <w:rFonts w:ascii="Times New Roman"/>
                <w:sz w:val="21"/>
              </w:rPr>
            </w:pPr>
            <w:r>
              <w:rPr>
                <w:rFonts w:ascii="Times New Roman"/>
                <w:sz w:val="21"/>
              </w:rPr>
              <w:t>19.5</w:t>
            </w:r>
          </w:p>
        </w:tc>
        <w:tc>
          <w:tcPr>
            <w:tcW w:w="941" w:type="dxa"/>
            <w:tcBorders>
              <w:top w:val="single" w:sz="6" w:space="0" w:color="000000"/>
              <w:left w:val="single" w:sz="6" w:space="0" w:color="000000"/>
              <w:right w:val="single" w:sz="6" w:space="0" w:color="000000"/>
            </w:tcBorders>
          </w:tcPr>
          <w:p>
            <w:pPr>
              <w:pStyle w:val="TableParagraph"/>
              <w:spacing w:before="58"/>
              <w:ind w:left="189" w:right="153"/>
              <w:rPr>
                <w:rFonts w:ascii="Times New Roman"/>
                <w:sz w:val="21"/>
              </w:rPr>
            </w:pPr>
            <w:r>
              <w:rPr>
                <w:rFonts w:ascii="Times New Roman"/>
                <w:sz w:val="21"/>
              </w:rPr>
              <w:t>0.258</w:t>
            </w:r>
          </w:p>
        </w:tc>
        <w:tc>
          <w:tcPr>
            <w:tcW w:w="787" w:type="dxa"/>
            <w:tcBorders>
              <w:top w:val="single" w:sz="6" w:space="0" w:color="000000"/>
              <w:left w:val="single" w:sz="6" w:space="0" w:color="000000"/>
            </w:tcBorders>
          </w:tcPr>
          <w:p>
            <w:pPr>
              <w:pStyle w:val="TableParagraph"/>
              <w:spacing w:before="63"/>
              <w:ind w:left="112" w:right="73"/>
              <w:rPr>
                <w:rFonts w:ascii="Times New Roman"/>
                <w:sz w:val="21"/>
              </w:rPr>
            </w:pPr>
            <w:r>
              <w:rPr>
                <w:rFonts w:ascii="Times New Roman"/>
                <w:sz w:val="21"/>
              </w:rPr>
              <w:t>21.8</w:t>
            </w:r>
          </w:p>
        </w:tc>
      </w:tr>
    </w:tbl>
    <w:p>
      <w:pPr>
        <w:tabs>
          <w:tab w:pos="1353" w:val="left" w:leader="none"/>
        </w:tabs>
        <w:spacing w:before="1" w:after="24"/>
        <w:ind w:left="124" w:right="0" w:firstLine="0"/>
        <w:jc w:val="center"/>
        <w:rPr>
          <w:sz w:val="21"/>
        </w:rPr>
      </w:pPr>
      <w:r>
        <w:rPr>
          <w:sz w:val="21"/>
        </w:rPr>
        <w:t>续表</w:t>
      </w:r>
      <w:r>
        <w:rPr>
          <w:spacing w:val="5"/>
          <w:sz w:val="21"/>
        </w:rPr>
        <w:t> </w:t>
      </w:r>
      <w:r>
        <w:rPr>
          <w:rFonts w:ascii="Times New Roman" w:eastAsia="Times New Roman"/>
          <w:b/>
          <w:sz w:val="21"/>
        </w:rPr>
        <w:t>5.4-34</w:t>
        <w:tab/>
      </w:r>
      <w:r>
        <w:rPr>
          <w:sz w:val="21"/>
        </w:rPr>
        <w:t>土壤环境</w:t>
      </w:r>
      <w:r>
        <w:rPr>
          <w:spacing w:val="-3"/>
          <w:sz w:val="21"/>
        </w:rPr>
        <w:t>现</w:t>
      </w:r>
      <w:r>
        <w:rPr>
          <w:sz w:val="21"/>
        </w:rPr>
        <w:t>状监测结果</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885"/>
        <w:gridCol w:w="1097"/>
        <w:gridCol w:w="866"/>
        <w:gridCol w:w="871"/>
        <w:gridCol w:w="886"/>
        <w:gridCol w:w="871"/>
        <w:gridCol w:w="869"/>
        <w:gridCol w:w="871"/>
        <w:gridCol w:w="883"/>
      </w:tblGrid>
      <w:tr>
        <w:trPr>
          <w:trHeight w:val="313" w:hRule="atLeast"/>
        </w:trPr>
        <w:tc>
          <w:tcPr>
            <w:tcW w:w="427" w:type="dxa"/>
            <w:vMerge w:val="restart"/>
            <w:tcBorders>
              <w:bottom w:val="single" w:sz="6" w:space="0" w:color="000000"/>
              <w:right w:val="single" w:sz="6" w:space="0" w:color="000000"/>
            </w:tcBorders>
          </w:tcPr>
          <w:p>
            <w:pPr>
              <w:pStyle w:val="TableParagraph"/>
              <w:spacing w:line="168" w:lineRule="auto" w:before="144"/>
              <w:ind w:left="107" w:right="83"/>
              <w:jc w:val="both"/>
              <w:rPr>
                <w:sz w:val="21"/>
              </w:rPr>
            </w:pPr>
            <w:r>
              <w:rPr>
                <w:sz w:val="21"/>
              </w:rPr>
              <w:t>检测点位</w:t>
            </w:r>
          </w:p>
        </w:tc>
        <w:tc>
          <w:tcPr>
            <w:tcW w:w="8099" w:type="dxa"/>
            <w:gridSpan w:val="9"/>
            <w:tcBorders>
              <w:left w:val="single" w:sz="6" w:space="0" w:color="000000"/>
              <w:bottom w:val="single" w:sz="6" w:space="0" w:color="000000"/>
            </w:tcBorders>
          </w:tcPr>
          <w:p>
            <w:pPr>
              <w:pStyle w:val="TableParagraph"/>
              <w:spacing w:line="294" w:lineRule="exact"/>
              <w:ind w:left="3617" w:right="3579"/>
              <w:rPr>
                <w:sz w:val="21"/>
              </w:rPr>
            </w:pPr>
            <w:r>
              <w:rPr>
                <w:sz w:val="21"/>
              </w:rPr>
              <w:t>检测项目</w:t>
            </w:r>
          </w:p>
        </w:tc>
      </w:tr>
      <w:tr>
        <w:trPr>
          <w:trHeight w:val="1178" w:hRule="atLeast"/>
        </w:trPr>
        <w:tc>
          <w:tcPr>
            <w:tcW w:w="427" w:type="dxa"/>
            <w:vMerge/>
            <w:tcBorders>
              <w:top w:val="nil"/>
              <w:bottom w:val="single" w:sz="6" w:space="0" w:color="000000"/>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41"/>
              <w:ind w:left="177"/>
              <w:jc w:val="left"/>
              <w:rPr>
                <w:sz w:val="21"/>
              </w:rPr>
            </w:pPr>
            <w:r>
              <w:rPr>
                <w:rFonts w:ascii="Times New Roman" w:eastAsia="Times New Roman"/>
                <w:sz w:val="21"/>
              </w:rPr>
              <w:t>1,1-</w:t>
            </w:r>
            <w:r>
              <w:rPr>
                <w:sz w:val="21"/>
              </w:rPr>
              <w:t>二</w:t>
            </w:r>
          </w:p>
          <w:p>
            <w:pPr>
              <w:pStyle w:val="TableParagraph"/>
              <w:spacing w:line="368" w:lineRule="exact"/>
              <w:ind w:left="131"/>
              <w:jc w:val="left"/>
              <w:rPr>
                <w:sz w:val="21"/>
              </w:rPr>
            </w:pPr>
            <w:r>
              <w:rPr>
                <w:sz w:val="21"/>
              </w:rPr>
              <w:t>氯乙烯</w:t>
            </w:r>
          </w:p>
          <w:p>
            <w:pPr>
              <w:pStyle w:val="TableParagraph"/>
              <w:spacing w:line="231" w:lineRule="exact"/>
              <w:ind w:left="206"/>
              <w:jc w:val="left"/>
              <w:rPr>
                <w:rFonts w:ascii="Times New Roman" w:hAnsi="Times New Roman"/>
                <w:sz w:val="21"/>
              </w:rPr>
            </w:pPr>
            <w:r>
              <w:rPr>
                <w:rFonts w:ascii="Times New Roman" w:hAnsi="Times New Roman"/>
                <w:sz w:val="21"/>
              </w:rPr>
              <w:t>μg/kg</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9"/>
              </w:rPr>
            </w:pPr>
          </w:p>
          <w:p>
            <w:pPr>
              <w:pStyle w:val="TableParagraph"/>
              <w:spacing w:line="435" w:lineRule="exact" w:before="1"/>
              <w:ind w:left="95" w:right="65"/>
              <w:rPr>
                <w:sz w:val="21"/>
              </w:rPr>
            </w:pPr>
            <w:r>
              <w:rPr>
                <w:sz w:val="21"/>
              </w:rPr>
              <w:t>二氯甲烷</w:t>
            </w:r>
          </w:p>
          <w:p>
            <w:pPr>
              <w:pStyle w:val="TableParagraph"/>
              <w:spacing w:line="231" w:lineRule="exact"/>
              <w:ind w:left="94" w:right="65"/>
              <w:rPr>
                <w:rFonts w:ascii="Times New Roman" w:hAnsi="Times New Roman"/>
                <w:sz w:val="21"/>
              </w:rPr>
            </w:pPr>
            <w:r>
              <w:rPr>
                <w:rFonts w:ascii="Times New Roman" w:hAnsi="Times New Roman"/>
                <w:sz w:val="21"/>
              </w:rPr>
              <w:t>μg/kg</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35"/>
              <w:jc w:val="left"/>
              <w:rPr>
                <w:rFonts w:ascii="Times New Roman" w:eastAsia="Times New Roman"/>
                <w:sz w:val="21"/>
              </w:rPr>
            </w:pPr>
            <w:r>
              <w:rPr>
                <w:sz w:val="21"/>
              </w:rPr>
              <w:t>反</w:t>
            </w:r>
            <w:r>
              <w:rPr>
                <w:rFonts w:ascii="Times New Roman" w:eastAsia="Times New Roman"/>
                <w:sz w:val="21"/>
              </w:rPr>
              <w:t>-1,2-</w:t>
            </w:r>
          </w:p>
          <w:p>
            <w:pPr>
              <w:pStyle w:val="TableParagraph"/>
              <w:spacing w:line="160" w:lineRule="auto" w:before="15"/>
              <w:ind w:left="125" w:right="89"/>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94"/>
              <w:ind w:left="171"/>
              <w:jc w:val="left"/>
              <w:rPr>
                <w:sz w:val="21"/>
              </w:rPr>
            </w:pPr>
            <w:r>
              <w:rPr>
                <w:rFonts w:ascii="Times New Roman" w:eastAsia="Times New Roman"/>
                <w:sz w:val="21"/>
              </w:rPr>
              <w:t>1,1-</w:t>
            </w:r>
            <w:r>
              <w:rPr>
                <w:sz w:val="21"/>
              </w:rPr>
              <w:t>二</w:t>
            </w:r>
          </w:p>
          <w:p>
            <w:pPr>
              <w:pStyle w:val="TableParagraph"/>
              <w:spacing w:line="319" w:lineRule="exact"/>
              <w:ind w:left="126"/>
              <w:jc w:val="left"/>
              <w:rPr>
                <w:sz w:val="21"/>
              </w:rPr>
            </w:pPr>
            <w:r>
              <w:rPr>
                <w:sz w:val="21"/>
              </w:rPr>
              <w:t>氯乙烷</w:t>
            </w:r>
          </w:p>
          <w:p>
            <w:pPr>
              <w:pStyle w:val="TableParagraph"/>
              <w:spacing w:line="201" w:lineRule="exact"/>
              <w:ind w:left="200"/>
              <w:jc w:val="left"/>
              <w:rPr>
                <w:rFonts w:ascii="Times New Roman" w:hAnsi="Times New Roman"/>
                <w:sz w:val="21"/>
              </w:rPr>
            </w:pPr>
            <w:r>
              <w:rPr>
                <w:rFonts w:ascii="Times New Roman" w:hAnsi="Times New Roman"/>
                <w:sz w:val="21"/>
              </w:rPr>
              <w:t>μg/kg</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43"/>
              <w:jc w:val="left"/>
              <w:rPr>
                <w:rFonts w:ascii="Times New Roman" w:eastAsia="Times New Roman"/>
                <w:sz w:val="21"/>
              </w:rPr>
            </w:pPr>
            <w:r>
              <w:rPr>
                <w:sz w:val="21"/>
              </w:rPr>
              <w:t>顺</w:t>
            </w:r>
            <w:r>
              <w:rPr>
                <w:rFonts w:ascii="Times New Roman" w:eastAsia="Times New Roman"/>
                <w:sz w:val="21"/>
              </w:rPr>
              <w:t>-1,2-</w:t>
            </w:r>
          </w:p>
          <w:p>
            <w:pPr>
              <w:pStyle w:val="TableParagraph"/>
              <w:spacing w:line="168" w:lineRule="auto" w:before="26"/>
              <w:ind w:left="345" w:right="101" w:hanging="212"/>
              <w:jc w:val="left"/>
              <w:rPr>
                <w:sz w:val="21"/>
              </w:rPr>
            </w:pPr>
            <w:r>
              <w:rPr>
                <w:sz w:val="21"/>
              </w:rPr>
              <w:t>二氯乙烯</w:t>
            </w:r>
          </w:p>
          <w:p>
            <w:pPr>
              <w:pStyle w:val="TableParagraph"/>
              <w:spacing w:line="208" w:lineRule="exact"/>
              <w:ind w:left="208"/>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0"/>
              </w:rPr>
            </w:pPr>
          </w:p>
          <w:p>
            <w:pPr>
              <w:pStyle w:val="TableParagraph"/>
              <w:spacing w:line="406" w:lineRule="exact"/>
              <w:ind w:left="231"/>
              <w:jc w:val="left"/>
              <w:rPr>
                <w:sz w:val="21"/>
              </w:rPr>
            </w:pPr>
            <w:r>
              <w:rPr>
                <w:sz w:val="21"/>
              </w:rPr>
              <w:t>氯仿</w:t>
            </w:r>
          </w:p>
          <w:p>
            <w:pPr>
              <w:pStyle w:val="TableParagraph"/>
              <w:spacing w:line="202" w:lineRule="exact"/>
              <w:ind w:left="200"/>
              <w:jc w:val="left"/>
              <w:rPr>
                <w:rFonts w:ascii="Times New Roman" w:hAnsi="Times New Roman"/>
                <w:sz w:val="21"/>
              </w:rPr>
            </w:pPr>
            <w:r>
              <w:rPr>
                <w:rFonts w:ascii="Times New Roman" w:hAnsi="Times New Roman"/>
                <w:sz w:val="21"/>
              </w:rPr>
              <w:t>μg/kg</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34"/>
              <w:ind w:left="196"/>
              <w:jc w:val="left"/>
              <w:rPr>
                <w:rFonts w:ascii="Times New Roman"/>
                <w:sz w:val="21"/>
              </w:rPr>
            </w:pPr>
            <w:r>
              <w:rPr>
                <w:rFonts w:ascii="Times New Roman"/>
                <w:sz w:val="21"/>
              </w:rPr>
              <w:t>1,1,1-</w:t>
            </w:r>
          </w:p>
          <w:p>
            <w:pPr>
              <w:pStyle w:val="TableParagraph"/>
              <w:spacing w:line="168" w:lineRule="auto" w:before="72"/>
              <w:ind w:left="335" w:right="94" w:hanging="212"/>
              <w:jc w:val="left"/>
              <w:rPr>
                <w:sz w:val="21"/>
              </w:rPr>
            </w:pPr>
            <w:r>
              <w:rPr>
                <w:sz w:val="21"/>
              </w:rPr>
              <w:t>三氯乙烷</w:t>
            </w:r>
          </w:p>
          <w:p>
            <w:pPr>
              <w:pStyle w:val="TableParagraph"/>
              <w:spacing w:line="208" w:lineRule="exact"/>
              <w:ind w:left="198"/>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180" w:lineRule="auto" w:before="155"/>
              <w:ind w:left="126" w:right="93"/>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883" w:type="dxa"/>
            <w:tcBorders>
              <w:top w:val="single" w:sz="6" w:space="0" w:color="000000"/>
              <w:left w:val="single" w:sz="6" w:space="0" w:color="000000"/>
              <w:bottom w:val="single" w:sz="6" w:space="0" w:color="000000"/>
            </w:tcBorders>
          </w:tcPr>
          <w:p>
            <w:pPr>
              <w:pStyle w:val="TableParagraph"/>
              <w:jc w:val="left"/>
              <w:rPr>
                <w:sz w:val="11"/>
              </w:rPr>
            </w:pPr>
          </w:p>
          <w:p>
            <w:pPr>
              <w:pStyle w:val="TableParagraph"/>
              <w:spacing w:line="414" w:lineRule="exact"/>
              <w:ind w:left="36"/>
              <w:rPr>
                <w:sz w:val="21"/>
              </w:rPr>
            </w:pPr>
            <w:r>
              <w:rPr>
                <w:w w:val="100"/>
                <w:sz w:val="21"/>
              </w:rPr>
              <w:t>苯</w:t>
            </w:r>
          </w:p>
          <w:p>
            <w:pPr>
              <w:pStyle w:val="TableParagraph"/>
              <w:spacing w:line="211" w:lineRule="exact"/>
              <w:ind w:left="96" w:right="57"/>
              <w:rPr>
                <w:rFonts w:ascii="Times New Roman" w:hAnsi="Times New Roman"/>
                <w:sz w:val="21"/>
              </w:rPr>
            </w:pPr>
            <w:r>
              <w:rPr>
                <w:rFonts w:ascii="Times New Roman" w:hAnsi="Times New Roman"/>
                <w:sz w:val="21"/>
              </w:rPr>
              <w:t>μg/kg</w:t>
            </w:r>
          </w:p>
        </w:tc>
      </w:tr>
      <w:tr>
        <w:trPr>
          <w:trHeight w:val="361" w:hRule="atLeast"/>
        </w:trPr>
        <w:tc>
          <w:tcPr>
            <w:tcW w:w="427"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5"/>
              </w:rPr>
            </w:pPr>
          </w:p>
          <w:p>
            <w:pPr>
              <w:pStyle w:val="TableParagraph"/>
              <w:spacing w:line="168" w:lineRule="auto" w:before="1"/>
              <w:ind w:left="107" w:right="83"/>
              <w:jc w:val="both"/>
              <w:rPr>
                <w:sz w:val="21"/>
              </w:rPr>
            </w:pPr>
            <w:r>
              <w:rPr>
                <w:sz w:val="21"/>
              </w:rPr>
              <w:t>项目厂址装置区土壤</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93"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right="103"/>
              <w:jc w:val="right"/>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41" w:lineRule="exact"/>
              <w:ind w:left="77" w:right="74"/>
              <w:rPr>
                <w:sz w:val="21"/>
              </w:rPr>
            </w:pPr>
            <w:r>
              <w:rPr>
                <w:sz w:val="21"/>
              </w:rPr>
              <w:t>未检出</w:t>
            </w:r>
          </w:p>
        </w:tc>
      </w:tr>
      <w:tr>
        <w:trPr>
          <w:trHeight w:val="444"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line="390" w:lineRule="exact" w:before="34"/>
              <w:ind w:left="93" w:right="66"/>
              <w:rPr>
                <w:sz w:val="21"/>
              </w:rPr>
            </w:pPr>
            <w:r>
              <w:rPr>
                <w:rFonts w:ascii="Times New Roman" w:eastAsia="Times New Roman"/>
                <w:sz w:val="21"/>
              </w:rPr>
              <w:t>1,2-</w:t>
            </w:r>
            <w:r>
              <w:rPr>
                <w:sz w:val="21"/>
              </w:rPr>
              <w:t>二</w:t>
            </w:r>
          </w:p>
        </w:tc>
        <w:tc>
          <w:tcPr>
            <w:tcW w:w="109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0"/>
              <w:jc w:val="left"/>
              <w:rPr>
                <w:sz w:val="8"/>
              </w:rPr>
            </w:pPr>
          </w:p>
          <w:p>
            <w:pPr>
              <w:pStyle w:val="TableParagraph"/>
              <w:spacing w:line="435" w:lineRule="exact"/>
              <w:ind w:left="95" w:right="65"/>
              <w:rPr>
                <w:sz w:val="21"/>
              </w:rPr>
            </w:pPr>
            <w:r>
              <w:rPr>
                <w:sz w:val="21"/>
              </w:rPr>
              <w:t>三氯乙烯</w:t>
            </w:r>
          </w:p>
          <w:p>
            <w:pPr>
              <w:pStyle w:val="TableParagraph"/>
              <w:spacing w:line="231" w:lineRule="exact"/>
              <w:ind w:left="94" w:right="65"/>
              <w:rPr>
                <w:rFonts w:ascii="Times New Roman" w:hAnsi="Times New Roman"/>
                <w:sz w:val="21"/>
              </w:rPr>
            </w:pPr>
            <w:r>
              <w:rPr>
                <w:rFonts w:ascii="Times New Roman" w:hAnsi="Times New Roman"/>
                <w:sz w:val="21"/>
              </w:rPr>
              <w:t>μg/kg</w:t>
            </w:r>
          </w:p>
        </w:tc>
        <w:tc>
          <w:tcPr>
            <w:tcW w:w="866" w:type="dxa"/>
            <w:tcBorders>
              <w:top w:val="single" w:sz="6" w:space="0" w:color="000000"/>
              <w:left w:val="single" w:sz="6" w:space="0" w:color="000000"/>
              <w:bottom w:val="nil"/>
              <w:right w:val="single" w:sz="6" w:space="0" w:color="000000"/>
            </w:tcBorders>
          </w:tcPr>
          <w:p>
            <w:pPr>
              <w:pStyle w:val="TableParagraph"/>
              <w:spacing w:line="337" w:lineRule="exact" w:before="87"/>
              <w:ind w:left="118" w:right="89"/>
              <w:rPr>
                <w:sz w:val="21"/>
              </w:rPr>
            </w:pPr>
            <w:r>
              <w:rPr>
                <w:rFonts w:ascii="Times New Roman" w:eastAsia="Times New Roman"/>
                <w:sz w:val="21"/>
              </w:rPr>
              <w:t>1,2-</w:t>
            </w:r>
            <w:r>
              <w:rPr>
                <w:sz w:val="21"/>
              </w:rPr>
              <w:t>二</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10"/>
              </w:rPr>
            </w:pPr>
          </w:p>
          <w:p>
            <w:pPr>
              <w:pStyle w:val="TableParagraph"/>
              <w:spacing w:line="414" w:lineRule="exact"/>
              <w:ind w:left="231"/>
              <w:jc w:val="left"/>
              <w:rPr>
                <w:sz w:val="21"/>
              </w:rPr>
            </w:pPr>
            <w:r>
              <w:rPr>
                <w:sz w:val="21"/>
              </w:rPr>
              <w:t>甲苯</w:t>
            </w:r>
          </w:p>
          <w:p>
            <w:pPr>
              <w:pStyle w:val="TableParagraph"/>
              <w:spacing w:line="211" w:lineRule="exact"/>
              <w:ind w:left="200"/>
              <w:jc w:val="left"/>
              <w:rPr>
                <w:rFonts w:ascii="Times New Roman" w:hAnsi="Times New Roman"/>
                <w:sz w:val="21"/>
              </w:rPr>
            </w:pPr>
            <w:r>
              <w:rPr>
                <w:rFonts w:ascii="Times New Roman" w:hAnsi="Times New Roman"/>
                <w:sz w:val="21"/>
              </w:rPr>
              <w:t>μg/kg</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5" w:lineRule="exact" w:before="60"/>
              <w:ind w:left="205"/>
              <w:jc w:val="left"/>
              <w:rPr>
                <w:rFonts w:ascii="Times New Roman"/>
                <w:sz w:val="21"/>
              </w:rPr>
            </w:pPr>
            <w:r>
              <w:rPr>
                <w:rFonts w:ascii="Times New Roman"/>
                <w:sz w:val="21"/>
              </w:rPr>
              <w:t>1,1,2-</w:t>
            </w:r>
          </w:p>
          <w:p>
            <w:pPr>
              <w:pStyle w:val="TableParagraph"/>
              <w:spacing w:line="160" w:lineRule="auto" w:before="56"/>
              <w:ind w:left="133" w:right="101"/>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spacing w:line="354" w:lineRule="exact" w:before="70"/>
              <w:ind w:right="94"/>
              <w:jc w:val="right"/>
              <w:rPr>
                <w:sz w:val="21"/>
              </w:rPr>
            </w:pPr>
            <w:r>
              <w:rPr>
                <w:sz w:val="21"/>
              </w:rPr>
              <w:t>四氯乙</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21" w:lineRule="exact" w:before="26"/>
              <w:ind w:left="116"/>
              <w:jc w:val="left"/>
              <w:rPr>
                <w:rFonts w:ascii="Times New Roman"/>
                <w:sz w:val="21"/>
              </w:rPr>
            </w:pPr>
            <w:r>
              <w:rPr>
                <w:rFonts w:ascii="Times New Roman"/>
                <w:sz w:val="21"/>
              </w:rPr>
              <w:t>1,1,2,2-</w:t>
            </w:r>
          </w:p>
          <w:p>
            <w:pPr>
              <w:pStyle w:val="TableParagraph"/>
              <w:spacing w:line="168" w:lineRule="auto" w:before="73"/>
              <w:ind w:left="335" w:right="94" w:hanging="212"/>
              <w:jc w:val="left"/>
              <w:rPr>
                <w:sz w:val="21"/>
              </w:rPr>
            </w:pPr>
            <w:r>
              <w:rPr>
                <w:sz w:val="21"/>
              </w:rPr>
              <w:t>四氯乙烷</w:t>
            </w:r>
          </w:p>
          <w:p>
            <w:pPr>
              <w:pStyle w:val="TableParagraph"/>
              <w:spacing w:line="198" w:lineRule="exact"/>
              <w:ind w:left="198"/>
              <w:jc w:val="left"/>
              <w:rPr>
                <w:rFonts w:ascii="Times New Roman" w:hAnsi="Times New Roman"/>
                <w:sz w:val="21"/>
              </w:rPr>
            </w:pPr>
            <w:r>
              <w:rPr>
                <w:rFonts w:ascii="Times New Roman" w:hAnsi="Times New Roman"/>
                <w:sz w:val="21"/>
              </w:rPr>
              <w:t>μg/kg</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10"/>
              </w:rPr>
            </w:pPr>
          </w:p>
          <w:p>
            <w:pPr>
              <w:pStyle w:val="TableParagraph"/>
              <w:spacing w:line="414" w:lineRule="exact"/>
              <w:ind w:left="232"/>
              <w:jc w:val="left"/>
              <w:rPr>
                <w:sz w:val="21"/>
              </w:rPr>
            </w:pPr>
            <w:r>
              <w:rPr>
                <w:sz w:val="21"/>
              </w:rPr>
              <w:t>氯苯</w:t>
            </w:r>
          </w:p>
          <w:p>
            <w:pPr>
              <w:pStyle w:val="TableParagraph"/>
              <w:spacing w:line="211" w:lineRule="exact"/>
              <w:ind w:left="201"/>
              <w:jc w:val="left"/>
              <w:rPr>
                <w:rFonts w:ascii="Times New Roman" w:hAnsi="Times New Roman"/>
                <w:sz w:val="21"/>
              </w:rPr>
            </w:pPr>
            <w:r>
              <w:rPr>
                <w:rFonts w:ascii="Times New Roman" w:hAnsi="Times New Roman"/>
                <w:sz w:val="21"/>
              </w:rPr>
              <w:t>μg/kg</w:t>
            </w:r>
          </w:p>
        </w:tc>
        <w:tc>
          <w:tcPr>
            <w:tcW w:w="883" w:type="dxa"/>
            <w:vMerge w:val="restart"/>
            <w:tcBorders>
              <w:top w:val="single" w:sz="6" w:space="0" w:color="000000"/>
              <w:left w:val="single" w:sz="6" w:space="0" w:color="000000"/>
              <w:bottom w:val="single" w:sz="6" w:space="0" w:color="000000"/>
            </w:tcBorders>
          </w:tcPr>
          <w:p>
            <w:pPr>
              <w:pStyle w:val="TableParagraph"/>
              <w:spacing w:before="14"/>
              <w:jc w:val="left"/>
              <w:rPr>
                <w:sz w:val="10"/>
              </w:rPr>
            </w:pPr>
          </w:p>
          <w:p>
            <w:pPr>
              <w:pStyle w:val="TableParagraph"/>
              <w:spacing w:line="414" w:lineRule="exact"/>
              <w:ind w:left="239"/>
              <w:jc w:val="left"/>
              <w:rPr>
                <w:sz w:val="21"/>
              </w:rPr>
            </w:pPr>
            <w:r>
              <w:rPr>
                <w:sz w:val="21"/>
              </w:rPr>
              <w:t>乙苯</w:t>
            </w:r>
          </w:p>
          <w:p>
            <w:pPr>
              <w:pStyle w:val="TableParagraph"/>
              <w:spacing w:line="211" w:lineRule="exact"/>
              <w:ind w:left="206"/>
              <w:jc w:val="left"/>
              <w:rPr>
                <w:rFonts w:ascii="Times New Roman" w:hAnsi="Times New Roman"/>
                <w:sz w:val="21"/>
              </w:rPr>
            </w:pPr>
            <w:r>
              <w:rPr>
                <w:rFonts w:ascii="Times New Roman" w:hAnsi="Times New Roman"/>
                <w:sz w:val="21"/>
              </w:rPr>
              <w:t>μg/kg</w:t>
            </w:r>
          </w:p>
        </w:tc>
      </w:tr>
      <w:tr>
        <w:trPr>
          <w:trHeight w:val="238"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18" w:lineRule="exact"/>
              <w:ind w:left="93" w:right="66"/>
              <w:rPr>
                <w:sz w:val="21"/>
              </w:rPr>
            </w:pPr>
            <w:r>
              <w:rPr>
                <w:sz w:val="21"/>
              </w:rPr>
              <w:t>氯乙烷</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nil"/>
              <w:right w:val="single" w:sz="6" w:space="0" w:color="000000"/>
            </w:tcBorders>
          </w:tcPr>
          <w:p>
            <w:pPr>
              <w:pStyle w:val="TableParagraph"/>
              <w:spacing w:line="218" w:lineRule="exact"/>
              <w:ind w:left="96" w:right="63"/>
              <w:rPr>
                <w:sz w:val="21"/>
              </w:rPr>
            </w:pPr>
            <w:r>
              <w:rPr>
                <w:sz w:val="21"/>
              </w:rPr>
              <w:t>氯丙烷</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18" w:lineRule="exact"/>
              <w:ind w:left="30"/>
              <w:rPr>
                <w:sz w:val="21"/>
              </w:rPr>
            </w:pPr>
            <w:r>
              <w:rPr>
                <w:w w:val="100"/>
                <w:sz w:val="21"/>
              </w:rPr>
              <w:t>烯</w:t>
            </w: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tcBorders>
          </w:tcPr>
          <w:p>
            <w:pPr>
              <w:rPr>
                <w:sz w:val="2"/>
                <w:szCs w:val="2"/>
              </w:rPr>
            </w:pPr>
          </w:p>
        </w:tc>
      </w:tr>
      <w:tr>
        <w:trPr>
          <w:trHeight w:val="417"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before="27"/>
              <w:ind w:left="93" w:right="64"/>
              <w:rPr>
                <w:rFonts w:ascii="Times New Roman" w:hAnsi="Times New Roman"/>
                <w:sz w:val="21"/>
              </w:rPr>
            </w:pPr>
            <w:r>
              <w:rPr>
                <w:rFonts w:ascii="Times New Roman" w:hAnsi="Times New Roman"/>
                <w:sz w:val="21"/>
              </w:rPr>
              <w:t>μg/kg</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single" w:sz="6" w:space="0" w:color="000000"/>
              <w:right w:val="single" w:sz="6" w:space="0" w:color="000000"/>
            </w:tcBorders>
          </w:tcPr>
          <w:p>
            <w:pPr>
              <w:pStyle w:val="TableParagraph"/>
              <w:spacing w:line="224" w:lineRule="exact"/>
              <w:ind w:left="120" w:right="89"/>
              <w:rPr>
                <w:rFonts w:ascii="Times New Roman" w:hAnsi="Times New Roman"/>
                <w:sz w:val="21"/>
              </w:rPr>
            </w:pPr>
            <w:r>
              <w:rPr>
                <w:rFonts w:ascii="Times New Roman" w:hAnsi="Times New Roman"/>
                <w:sz w:val="21"/>
              </w:rPr>
              <w:t>μg/kg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spacing w:before="27"/>
              <w:ind w:right="161"/>
              <w:jc w:val="right"/>
              <w:rPr>
                <w:rFonts w:ascii="Times New Roman" w:hAnsi="Times New Roman"/>
                <w:b/>
                <w:sz w:val="21"/>
              </w:rPr>
            </w:pPr>
            <w:r>
              <w:rPr>
                <w:rFonts w:ascii="Times New Roman" w:hAnsi="Times New Roman"/>
                <w:b/>
                <w:sz w:val="21"/>
              </w:rPr>
              <w:t>μg/kg</w:t>
            </w: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tcBorders>
          </w:tcPr>
          <w:p>
            <w:pPr>
              <w:rPr>
                <w:sz w:val="2"/>
                <w:szCs w:val="2"/>
              </w:rPr>
            </w:pPr>
          </w:p>
        </w:tc>
      </w:tr>
      <w:tr>
        <w:trPr>
          <w:trHeight w:val="353"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57"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before="50"/>
              <w:ind w:left="311"/>
              <w:jc w:val="left"/>
              <w:rPr>
                <w:rFonts w:ascii="Times New Roman"/>
                <w:sz w:val="21"/>
              </w:rPr>
            </w:pPr>
            <w:r>
              <w:rPr>
                <w:rFonts w:ascii="Times New Roman"/>
                <w:sz w:val="21"/>
              </w:rPr>
              <w:t>4.0</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4" w:lineRule="exact"/>
              <w:ind w:left="77" w:right="74"/>
              <w:rPr>
                <w:sz w:val="21"/>
              </w:rPr>
            </w:pPr>
            <w:r>
              <w:rPr>
                <w:sz w:val="21"/>
              </w:rPr>
              <w:t>未检出</w:t>
            </w:r>
          </w:p>
        </w:tc>
      </w:tr>
      <w:tr>
        <w:trPr>
          <w:trHeight w:val="312"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before="29"/>
              <w:ind w:left="93" w:right="63"/>
              <w:rPr>
                <w:rFonts w:ascii="Times New Roman"/>
                <w:sz w:val="21"/>
              </w:rPr>
            </w:pPr>
            <w:r>
              <w:rPr>
                <w:rFonts w:ascii="Times New Roman"/>
                <w:sz w:val="21"/>
              </w:rPr>
              <w:t>1,1,1,2-</w:t>
            </w:r>
          </w:p>
        </w:tc>
        <w:tc>
          <w:tcPr>
            <w:tcW w:w="1097" w:type="dxa"/>
            <w:tcBorders>
              <w:top w:val="single" w:sz="6" w:space="0" w:color="000000"/>
              <w:left w:val="single" w:sz="6" w:space="0" w:color="000000"/>
              <w:bottom w:val="nil"/>
              <w:right w:val="single" w:sz="6" w:space="0" w:color="000000"/>
            </w:tcBorders>
          </w:tcPr>
          <w:p>
            <w:pPr>
              <w:pStyle w:val="TableParagraph"/>
              <w:spacing w:line="293" w:lineRule="exact"/>
              <w:ind w:right="174"/>
              <w:jc w:val="right"/>
              <w:rPr>
                <w:sz w:val="21"/>
              </w:rPr>
            </w:pPr>
            <w:r>
              <w:rPr>
                <w:sz w:val="21"/>
              </w:rPr>
              <w:t>间</w:t>
            </w:r>
            <w:r>
              <w:rPr>
                <w:rFonts w:ascii="Times New Roman" w:eastAsia="Times New Roman"/>
                <w:sz w:val="21"/>
              </w:rPr>
              <w:t>-</w:t>
            </w:r>
            <w:r>
              <w:rPr>
                <w:sz w:val="21"/>
              </w:rPr>
              <w:t>二甲</w:t>
            </w:r>
          </w:p>
        </w:tc>
        <w:tc>
          <w:tcPr>
            <w:tcW w:w="8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80" w:lineRule="auto" w:before="184"/>
              <w:ind w:left="197" w:right="164" w:hanging="3"/>
              <w:jc w:val="both"/>
              <w:rPr>
                <w:rFonts w:ascii="Times New Roman" w:hAnsi="Times New Roman" w:eastAsia="Times New Roman"/>
                <w:sz w:val="21"/>
              </w:rPr>
            </w:pPr>
            <w:r>
              <w:rPr>
                <w:sz w:val="21"/>
              </w:rPr>
              <w:t>邻</w:t>
            </w:r>
            <w:r>
              <w:rPr>
                <w:rFonts w:ascii="Times New Roman" w:hAnsi="Times New Roman" w:eastAsia="Times New Roman"/>
                <w:sz w:val="21"/>
              </w:rPr>
              <w:t>-</w:t>
            </w:r>
            <w:r>
              <w:rPr>
                <w:sz w:val="21"/>
              </w:rPr>
              <w:t>二甲苯</w:t>
            </w:r>
            <w:r>
              <w:rPr>
                <w:rFonts w:ascii="Times New Roman" w:hAnsi="Times New Roman" w:eastAsia="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spacing w:line="230" w:lineRule="exact" w:before="62"/>
              <w:ind w:right="170"/>
              <w:jc w:val="right"/>
              <w:rPr>
                <w:rFonts w:ascii="Times New Roman"/>
                <w:sz w:val="21"/>
              </w:rPr>
            </w:pPr>
            <w:r>
              <w:rPr>
                <w:rFonts w:ascii="Times New Roman"/>
                <w:sz w:val="21"/>
              </w:rPr>
              <w:t>1,2,3-</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106"/>
              <w:ind w:left="171"/>
              <w:jc w:val="left"/>
              <w:rPr>
                <w:sz w:val="21"/>
              </w:rPr>
            </w:pPr>
            <w:r>
              <w:rPr>
                <w:rFonts w:ascii="Times New Roman" w:eastAsia="Times New Roman"/>
                <w:sz w:val="21"/>
              </w:rPr>
              <w:t>1,4-</w:t>
            </w:r>
            <w:r>
              <w:rPr>
                <w:sz w:val="21"/>
              </w:rPr>
              <w:t>二</w:t>
            </w:r>
          </w:p>
          <w:p>
            <w:pPr>
              <w:pStyle w:val="TableParagraph"/>
              <w:spacing w:line="348" w:lineRule="exact"/>
              <w:ind w:left="231"/>
              <w:jc w:val="left"/>
              <w:rPr>
                <w:sz w:val="21"/>
              </w:rPr>
            </w:pPr>
            <w:r>
              <w:rPr>
                <w:sz w:val="21"/>
              </w:rPr>
              <w:t>氯苯</w:t>
            </w:r>
          </w:p>
          <w:p>
            <w:pPr>
              <w:pStyle w:val="TableParagraph"/>
              <w:spacing w:line="211" w:lineRule="exact"/>
              <w:ind w:left="200"/>
              <w:jc w:val="left"/>
              <w:rPr>
                <w:rFonts w:ascii="Times New Roman" w:hAnsi="Times New Roman"/>
                <w:sz w:val="21"/>
              </w:rPr>
            </w:pPr>
            <w:r>
              <w:rPr>
                <w:rFonts w:ascii="Times New Roman" w:hAnsi="Times New Roman"/>
                <w:sz w:val="21"/>
              </w:rPr>
              <w:t>μg/kg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106"/>
              <w:ind w:left="169"/>
              <w:jc w:val="left"/>
              <w:rPr>
                <w:sz w:val="21"/>
              </w:rPr>
            </w:pPr>
            <w:r>
              <w:rPr>
                <w:rFonts w:ascii="Times New Roman" w:eastAsia="Times New Roman"/>
                <w:sz w:val="21"/>
              </w:rPr>
              <w:t>1,2-</w:t>
            </w:r>
            <w:r>
              <w:rPr>
                <w:sz w:val="21"/>
              </w:rPr>
              <w:t>二</w:t>
            </w:r>
          </w:p>
          <w:p>
            <w:pPr>
              <w:pStyle w:val="TableParagraph"/>
              <w:spacing w:line="348" w:lineRule="exact"/>
              <w:ind w:left="229"/>
              <w:jc w:val="left"/>
              <w:rPr>
                <w:sz w:val="21"/>
              </w:rPr>
            </w:pPr>
            <w:r>
              <w:rPr>
                <w:sz w:val="21"/>
              </w:rPr>
              <w:t>氯苯</w:t>
            </w:r>
          </w:p>
          <w:p>
            <w:pPr>
              <w:pStyle w:val="TableParagraph"/>
              <w:spacing w:line="211" w:lineRule="exact"/>
              <w:ind w:left="198"/>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60"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41" w:lineRule="exact"/>
              <w:ind w:left="93" w:right="66"/>
              <w:rPr>
                <w:sz w:val="21"/>
              </w:rPr>
            </w:pPr>
            <w:r>
              <w:rPr>
                <w:sz w:val="21"/>
              </w:rPr>
              <w:t>四氯乙</w:t>
            </w:r>
          </w:p>
        </w:tc>
        <w:tc>
          <w:tcPr>
            <w:tcW w:w="1097" w:type="dxa"/>
            <w:tcBorders>
              <w:top w:val="nil"/>
              <w:left w:val="single" w:sz="6" w:space="0" w:color="000000"/>
              <w:bottom w:val="nil"/>
              <w:right w:val="single" w:sz="6" w:space="0" w:color="000000"/>
            </w:tcBorders>
          </w:tcPr>
          <w:p>
            <w:pPr>
              <w:pStyle w:val="TableParagraph"/>
              <w:spacing w:line="241" w:lineRule="exact"/>
              <w:ind w:right="148"/>
              <w:jc w:val="right"/>
              <w:rPr>
                <w:sz w:val="21"/>
              </w:rPr>
            </w:pPr>
            <w:r>
              <w:rPr>
                <w:sz w:val="21"/>
              </w:rPr>
              <w:t>苯</w:t>
            </w:r>
            <w:r>
              <w:rPr>
                <w:rFonts w:ascii="Times New Roman" w:eastAsia="Times New Roman"/>
                <w:sz w:val="21"/>
              </w:rPr>
              <w:t>+</w:t>
            </w:r>
            <w:r>
              <w:rPr>
                <w:sz w:val="21"/>
              </w:rPr>
              <w:t>对二</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41" w:lineRule="exact"/>
              <w:ind w:right="94"/>
              <w:jc w:val="right"/>
              <w:rPr>
                <w:sz w:val="21"/>
              </w:rPr>
            </w:pPr>
            <w:r>
              <w:rPr>
                <w:sz w:val="21"/>
              </w:rPr>
              <w:t>苯乙烯</w:t>
            </w:r>
          </w:p>
        </w:tc>
        <w:tc>
          <w:tcPr>
            <w:tcW w:w="886" w:type="dxa"/>
            <w:tcBorders>
              <w:top w:val="nil"/>
              <w:left w:val="single" w:sz="6" w:space="0" w:color="000000"/>
              <w:bottom w:val="nil"/>
              <w:right w:val="single" w:sz="6" w:space="0" w:color="000000"/>
            </w:tcBorders>
          </w:tcPr>
          <w:p>
            <w:pPr>
              <w:pStyle w:val="TableParagraph"/>
              <w:spacing w:line="241" w:lineRule="exact"/>
              <w:ind w:right="101"/>
              <w:jc w:val="right"/>
              <w:rPr>
                <w:sz w:val="21"/>
              </w:rPr>
            </w:pPr>
            <w:r>
              <w:rPr>
                <w:sz w:val="21"/>
              </w:rPr>
              <w:t>三氯丙</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41" w:lineRule="exact"/>
              <w:ind w:left="31"/>
              <w:rPr>
                <w:sz w:val="21"/>
              </w:rPr>
            </w:pPr>
            <w:r>
              <w:rPr>
                <w:w w:val="100"/>
                <w:sz w:val="21"/>
              </w:rPr>
              <w:t>萘</w:t>
            </w:r>
          </w:p>
        </w:tc>
        <w:tc>
          <w:tcPr>
            <w:tcW w:w="883" w:type="dxa"/>
            <w:tcBorders>
              <w:top w:val="nil"/>
              <w:left w:val="single" w:sz="6" w:space="0" w:color="000000"/>
              <w:bottom w:val="nil"/>
            </w:tcBorders>
          </w:tcPr>
          <w:p>
            <w:pPr>
              <w:pStyle w:val="TableParagraph"/>
              <w:spacing w:line="241" w:lineRule="exact"/>
              <w:ind w:left="96" w:right="55"/>
              <w:rPr>
                <w:sz w:val="21"/>
              </w:rPr>
            </w:pPr>
            <w:r>
              <w:rPr>
                <w:sz w:val="21"/>
              </w:rPr>
              <w:t>氯甲烷</w:t>
            </w:r>
          </w:p>
        </w:tc>
      </w:tr>
      <w:tr>
        <w:trPr>
          <w:trHeight w:val="291"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72" w:lineRule="exact"/>
              <w:ind w:left="27"/>
              <w:rPr>
                <w:sz w:val="21"/>
              </w:rPr>
            </w:pPr>
            <w:r>
              <w:rPr>
                <w:w w:val="100"/>
                <w:sz w:val="21"/>
              </w:rPr>
              <w:t>烷</w:t>
            </w:r>
          </w:p>
        </w:tc>
        <w:tc>
          <w:tcPr>
            <w:tcW w:w="1097" w:type="dxa"/>
            <w:tcBorders>
              <w:top w:val="nil"/>
              <w:left w:val="single" w:sz="6" w:space="0" w:color="000000"/>
              <w:bottom w:val="nil"/>
              <w:right w:val="single" w:sz="6" w:space="0" w:color="000000"/>
            </w:tcBorders>
          </w:tcPr>
          <w:p>
            <w:pPr>
              <w:pStyle w:val="TableParagraph"/>
              <w:spacing w:line="272" w:lineRule="exact"/>
              <w:ind w:left="346"/>
              <w:jc w:val="left"/>
              <w:rPr>
                <w:sz w:val="21"/>
              </w:rPr>
            </w:pPr>
            <w:r>
              <w:rPr>
                <w:sz w:val="21"/>
              </w:rPr>
              <w:t>甲苯</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34" w:lineRule="exact"/>
              <w:ind w:right="166"/>
              <w:jc w:val="right"/>
              <w:rPr>
                <w:rFonts w:ascii="Times New Roman" w:hAnsi="Times New Roman"/>
                <w:sz w:val="21"/>
              </w:rPr>
            </w:pPr>
            <w:r>
              <w:rPr>
                <w:rFonts w:ascii="Times New Roman" w:hAnsi="Times New Roman"/>
                <w:sz w:val="21"/>
              </w:rPr>
              <w:t>μg/kg</w:t>
            </w:r>
          </w:p>
        </w:tc>
        <w:tc>
          <w:tcPr>
            <w:tcW w:w="886" w:type="dxa"/>
            <w:tcBorders>
              <w:top w:val="nil"/>
              <w:left w:val="single" w:sz="6" w:space="0" w:color="000000"/>
              <w:bottom w:val="nil"/>
              <w:right w:val="single" w:sz="6" w:space="0" w:color="000000"/>
            </w:tcBorders>
          </w:tcPr>
          <w:p>
            <w:pPr>
              <w:pStyle w:val="TableParagraph"/>
              <w:spacing w:line="272" w:lineRule="exact"/>
              <w:ind w:left="30"/>
              <w:rPr>
                <w:sz w:val="21"/>
              </w:rPr>
            </w:pPr>
            <w:r>
              <w:rPr>
                <w:w w:val="100"/>
                <w:sz w:val="21"/>
              </w:rPr>
              <w:t>烷</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34" w:lineRule="exact"/>
              <w:ind w:left="126" w:right="93"/>
              <w:rPr>
                <w:rFonts w:ascii="Times New Roman" w:hAnsi="Times New Roman"/>
                <w:sz w:val="21"/>
              </w:rPr>
            </w:pPr>
            <w:r>
              <w:rPr>
                <w:rFonts w:ascii="Times New Roman" w:hAnsi="Times New Roman"/>
                <w:sz w:val="21"/>
              </w:rPr>
              <w:t>μg/kg</w:t>
            </w:r>
          </w:p>
        </w:tc>
        <w:tc>
          <w:tcPr>
            <w:tcW w:w="883" w:type="dxa"/>
            <w:tcBorders>
              <w:top w:val="nil"/>
              <w:left w:val="single" w:sz="6" w:space="0" w:color="000000"/>
              <w:bottom w:val="nil"/>
            </w:tcBorders>
          </w:tcPr>
          <w:p>
            <w:pPr>
              <w:pStyle w:val="TableParagraph"/>
              <w:spacing w:before="12"/>
              <w:ind w:left="96" w:right="57"/>
              <w:rPr>
                <w:rFonts w:ascii="Times New Roman" w:hAnsi="Times New Roman"/>
                <w:sz w:val="21"/>
              </w:rPr>
            </w:pPr>
            <w:r>
              <w:rPr>
                <w:rFonts w:ascii="Times New Roman" w:hAnsi="Times New Roman"/>
                <w:sz w:val="21"/>
              </w:rPr>
              <w:t>μg/kg</w:t>
            </w:r>
          </w:p>
        </w:tc>
      </w:tr>
      <w:tr>
        <w:trPr>
          <w:trHeight w:val="279"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before="9"/>
              <w:ind w:left="93" w:right="64"/>
              <w:rPr>
                <w:rFonts w:ascii="Times New Roman" w:hAnsi="Times New Roman"/>
                <w:sz w:val="21"/>
              </w:rPr>
            </w:pPr>
            <w:r>
              <w:rPr>
                <w:rFonts w:ascii="Times New Roman" w:hAnsi="Times New Roman"/>
                <w:sz w:val="21"/>
              </w:rPr>
              <w:t>μg/kg</w:t>
            </w:r>
          </w:p>
        </w:tc>
        <w:tc>
          <w:tcPr>
            <w:tcW w:w="1097" w:type="dxa"/>
            <w:tcBorders>
              <w:top w:val="nil"/>
              <w:left w:val="single" w:sz="6" w:space="0" w:color="000000"/>
              <w:bottom w:val="single" w:sz="6" w:space="0" w:color="000000"/>
              <w:right w:val="single" w:sz="6" w:space="0" w:color="000000"/>
            </w:tcBorders>
          </w:tcPr>
          <w:p>
            <w:pPr>
              <w:pStyle w:val="TableParagraph"/>
              <w:spacing w:before="9"/>
              <w:ind w:left="312"/>
              <w:jc w:val="left"/>
              <w:rPr>
                <w:rFonts w:ascii="Times New Roman" w:hAnsi="Times New Roman"/>
                <w:sz w:val="21"/>
              </w:rPr>
            </w:pPr>
            <w:r>
              <w:rPr>
                <w:rFonts w:ascii="Times New Roman" w:hAnsi="Times New Roman"/>
                <w:sz w:val="21"/>
              </w:rPr>
              <w:t>μg/kg</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spacing w:before="2"/>
              <w:ind w:right="173"/>
              <w:jc w:val="right"/>
              <w:rPr>
                <w:rFonts w:ascii="Times New Roman" w:hAnsi="Times New Roman"/>
                <w:sz w:val="21"/>
              </w:rPr>
            </w:pPr>
            <w:r>
              <w:rPr>
                <w:rFonts w:ascii="Times New Roman" w:hAnsi="Times New Roman"/>
                <w:sz w:val="21"/>
              </w:rPr>
              <w:t>μg/kg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354"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57"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right="103"/>
              <w:jc w:val="right"/>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5" w:lineRule="exact"/>
              <w:ind w:left="77" w:right="74"/>
              <w:rPr>
                <w:sz w:val="21"/>
              </w:rPr>
            </w:pPr>
            <w:r>
              <w:rPr>
                <w:sz w:val="21"/>
              </w:rPr>
              <w:t>未检出</w:t>
            </w:r>
          </w:p>
        </w:tc>
      </w:tr>
      <w:tr>
        <w:trPr>
          <w:trHeight w:val="268"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1097"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866"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886" w:type="dxa"/>
            <w:tcBorders>
              <w:top w:val="single" w:sz="6" w:space="0" w:color="000000"/>
              <w:left w:val="single" w:sz="6" w:space="0" w:color="000000"/>
              <w:bottom w:val="nil"/>
              <w:right w:val="single" w:sz="6" w:space="0" w:color="000000"/>
            </w:tcBorders>
          </w:tcPr>
          <w:p>
            <w:pPr>
              <w:pStyle w:val="TableParagraph"/>
              <w:spacing w:line="249" w:lineRule="exact"/>
              <w:ind w:right="101"/>
              <w:jc w:val="right"/>
              <w:rPr>
                <w:sz w:val="21"/>
              </w:rPr>
            </w:pPr>
            <w:r>
              <w:rPr>
                <w:sz w:val="21"/>
              </w:rPr>
              <w:t>二苯并</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80" w:lineRule="auto" w:before="148"/>
              <w:ind w:left="116" w:right="81"/>
              <w:rPr>
                <w:rFonts w:ascii="Times New Roman" w:eastAsia="Times New Roman"/>
                <w:sz w:val="21"/>
              </w:rPr>
            </w:pPr>
            <w:r>
              <w:rPr>
                <w:sz w:val="21"/>
              </w:rPr>
              <w:t>苯并</w:t>
            </w:r>
            <w:r>
              <w:rPr>
                <w:rFonts w:ascii="Times New Roman" w:eastAsia="Times New Roman"/>
                <w:sz w:val="21"/>
              </w:rPr>
              <w:t>(a) </w:t>
            </w:r>
            <w:r>
              <w:rPr>
                <w:sz w:val="21"/>
              </w:rPr>
              <w:t>芘 </w:t>
            </w:r>
            <w:r>
              <w:rPr>
                <w:rFonts w:ascii="Times New Roman" w:eastAsia="Times New Roman"/>
                <w:sz w:val="21"/>
              </w:rPr>
              <w:t>mg/kg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93" w:lineRule="exact"/>
              <w:ind w:left="229"/>
              <w:jc w:val="left"/>
              <w:rPr>
                <w:sz w:val="21"/>
              </w:rPr>
            </w:pPr>
            <w:r>
              <w:rPr>
                <w:sz w:val="21"/>
              </w:rPr>
              <w:t>苯并</w:t>
            </w:r>
          </w:p>
          <w:p>
            <w:pPr>
              <w:pStyle w:val="TableParagraph"/>
              <w:spacing w:line="168" w:lineRule="auto" w:before="26"/>
              <w:ind w:left="114" w:right="161"/>
              <w:rPr>
                <w:sz w:val="21"/>
              </w:rPr>
            </w:pPr>
            <w:r>
              <w:rPr>
                <w:spacing w:val="-28"/>
                <w:sz w:val="21"/>
              </w:rPr>
              <w:t>（</w:t>
            </w:r>
            <w:r>
              <w:rPr>
                <w:rFonts w:ascii="Times New Roman" w:eastAsia="Times New Roman"/>
                <w:spacing w:val="-28"/>
                <w:sz w:val="21"/>
              </w:rPr>
              <w:t>b</w:t>
            </w:r>
            <w:r>
              <w:rPr>
                <w:spacing w:val="-28"/>
                <w:sz w:val="21"/>
              </w:rPr>
              <w:t>）</w:t>
            </w:r>
            <w:r>
              <w:rPr>
                <w:spacing w:val="-82"/>
                <w:sz w:val="21"/>
              </w:rPr>
              <w:t>荧</w:t>
            </w:r>
            <w:r>
              <w:rPr>
                <w:sz w:val="21"/>
              </w:rPr>
              <w:t>蒽</w:t>
            </w:r>
          </w:p>
          <w:p>
            <w:pPr>
              <w:pStyle w:val="TableParagraph"/>
              <w:spacing w:line="200" w:lineRule="exact"/>
              <w:ind w:left="172"/>
              <w:jc w:val="left"/>
              <w:rPr>
                <w:rFonts w:ascii="Times New Roman"/>
                <w:sz w:val="21"/>
              </w:rPr>
            </w:pPr>
            <w:r>
              <w:rPr>
                <w:rFonts w:ascii="Times New Roman"/>
                <w:sz w:val="21"/>
              </w:rPr>
              <w:t>mg/kg</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93" w:lineRule="exact"/>
              <w:ind w:left="232"/>
              <w:jc w:val="left"/>
              <w:rPr>
                <w:sz w:val="21"/>
              </w:rPr>
            </w:pPr>
            <w:r>
              <w:rPr>
                <w:sz w:val="21"/>
              </w:rPr>
              <w:t>苯并</w:t>
            </w:r>
          </w:p>
          <w:p>
            <w:pPr>
              <w:pStyle w:val="TableParagraph"/>
              <w:spacing w:line="168" w:lineRule="auto" w:before="26"/>
              <w:ind w:left="117" w:right="160"/>
              <w:rPr>
                <w:sz w:val="21"/>
              </w:rPr>
            </w:pPr>
            <w:r>
              <w:rPr>
                <w:spacing w:val="-28"/>
                <w:sz w:val="21"/>
              </w:rPr>
              <w:t>（</w:t>
            </w:r>
            <w:r>
              <w:rPr>
                <w:rFonts w:ascii="Times New Roman" w:eastAsia="Times New Roman"/>
                <w:spacing w:val="-28"/>
                <w:sz w:val="21"/>
              </w:rPr>
              <w:t>k</w:t>
            </w:r>
            <w:r>
              <w:rPr>
                <w:spacing w:val="-28"/>
                <w:sz w:val="21"/>
              </w:rPr>
              <w:t>）</w:t>
            </w:r>
            <w:r>
              <w:rPr>
                <w:spacing w:val="-82"/>
                <w:sz w:val="21"/>
              </w:rPr>
              <w:t>荧</w:t>
            </w:r>
            <w:r>
              <w:rPr>
                <w:sz w:val="21"/>
              </w:rPr>
              <w:t>蒽</w:t>
            </w:r>
          </w:p>
          <w:p>
            <w:pPr>
              <w:pStyle w:val="TableParagraph"/>
              <w:spacing w:line="200" w:lineRule="exact"/>
              <w:ind w:left="174"/>
              <w:jc w:val="left"/>
              <w:rPr>
                <w:rFonts w:ascii="Times New Roman"/>
                <w:sz w:val="21"/>
              </w:rPr>
            </w:pPr>
            <w:r>
              <w:rPr>
                <w:rFonts w:ascii="Times New Roman"/>
                <w:sz w:val="21"/>
              </w:rPr>
              <w:t>mg/kg</w:t>
            </w:r>
          </w:p>
        </w:tc>
        <w:tc>
          <w:tcPr>
            <w:tcW w:w="883" w:type="dxa"/>
            <w:tcBorders>
              <w:top w:val="single" w:sz="6" w:space="0" w:color="000000"/>
              <w:left w:val="single" w:sz="6" w:space="0" w:color="000000"/>
              <w:bottom w:val="nil"/>
            </w:tcBorders>
          </w:tcPr>
          <w:p>
            <w:pPr>
              <w:pStyle w:val="TableParagraph"/>
              <w:jc w:val="left"/>
              <w:rPr>
                <w:rFonts w:ascii="Times New Roman"/>
                <w:sz w:val="18"/>
              </w:rPr>
            </w:pPr>
          </w:p>
        </w:tc>
      </w:tr>
      <w:tr>
        <w:trPr>
          <w:trHeight w:val="286"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66" w:lineRule="exact"/>
              <w:ind w:left="93" w:right="66"/>
              <w:rPr>
                <w:sz w:val="21"/>
              </w:rPr>
            </w:pPr>
            <w:r>
              <w:rPr>
                <w:sz w:val="21"/>
              </w:rPr>
              <w:t>氯乙烯</w:t>
            </w:r>
          </w:p>
        </w:tc>
        <w:tc>
          <w:tcPr>
            <w:tcW w:w="1097" w:type="dxa"/>
            <w:tcBorders>
              <w:top w:val="nil"/>
              <w:left w:val="single" w:sz="6" w:space="0" w:color="000000"/>
              <w:bottom w:val="nil"/>
              <w:right w:val="single" w:sz="6" w:space="0" w:color="000000"/>
            </w:tcBorders>
          </w:tcPr>
          <w:p>
            <w:pPr>
              <w:pStyle w:val="TableParagraph"/>
              <w:spacing w:line="266" w:lineRule="exact"/>
              <w:ind w:left="257"/>
              <w:jc w:val="left"/>
              <w:rPr>
                <w:sz w:val="21"/>
              </w:rPr>
            </w:pPr>
            <w:r>
              <w:rPr>
                <w:rFonts w:ascii="Times New Roman" w:eastAsia="Times New Roman"/>
                <w:sz w:val="21"/>
              </w:rPr>
              <w:t>2-</w:t>
            </w:r>
            <w:r>
              <w:rPr>
                <w:sz w:val="21"/>
              </w:rPr>
              <w:t>氯酚</w:t>
            </w:r>
          </w:p>
        </w:tc>
        <w:tc>
          <w:tcPr>
            <w:tcW w:w="866" w:type="dxa"/>
            <w:tcBorders>
              <w:top w:val="nil"/>
              <w:left w:val="single" w:sz="6" w:space="0" w:color="000000"/>
              <w:bottom w:val="nil"/>
              <w:right w:val="single" w:sz="6" w:space="0" w:color="000000"/>
            </w:tcBorders>
          </w:tcPr>
          <w:p>
            <w:pPr>
              <w:pStyle w:val="TableParagraph"/>
              <w:spacing w:line="266" w:lineRule="exact"/>
              <w:ind w:left="96" w:right="63"/>
              <w:rPr>
                <w:sz w:val="21"/>
              </w:rPr>
            </w:pPr>
            <w:r>
              <w:rPr>
                <w:sz w:val="21"/>
              </w:rPr>
              <w:t>硝基苯</w:t>
            </w:r>
          </w:p>
        </w:tc>
        <w:tc>
          <w:tcPr>
            <w:tcW w:w="871" w:type="dxa"/>
            <w:tcBorders>
              <w:top w:val="nil"/>
              <w:left w:val="single" w:sz="6" w:space="0" w:color="000000"/>
              <w:bottom w:val="nil"/>
              <w:right w:val="single" w:sz="6" w:space="0" w:color="000000"/>
            </w:tcBorders>
          </w:tcPr>
          <w:p>
            <w:pPr>
              <w:pStyle w:val="TableParagraph"/>
              <w:spacing w:line="266" w:lineRule="exact"/>
              <w:ind w:left="231"/>
              <w:jc w:val="left"/>
              <w:rPr>
                <w:sz w:val="21"/>
              </w:rPr>
            </w:pPr>
            <w:r>
              <w:rPr>
                <w:sz w:val="21"/>
              </w:rPr>
              <w:t>苯胺</w:t>
            </w:r>
          </w:p>
        </w:tc>
        <w:tc>
          <w:tcPr>
            <w:tcW w:w="886" w:type="dxa"/>
            <w:tcBorders>
              <w:top w:val="nil"/>
              <w:left w:val="single" w:sz="6" w:space="0" w:color="000000"/>
              <w:bottom w:val="nil"/>
              <w:right w:val="single" w:sz="6" w:space="0" w:color="000000"/>
            </w:tcBorders>
          </w:tcPr>
          <w:p>
            <w:pPr>
              <w:pStyle w:val="TableParagraph"/>
              <w:spacing w:line="266" w:lineRule="exact"/>
              <w:ind w:right="82"/>
              <w:jc w:val="right"/>
              <w:rPr>
                <w:sz w:val="21"/>
              </w:rPr>
            </w:pPr>
            <w:r>
              <w:rPr>
                <w:sz w:val="21"/>
              </w:rPr>
              <w:t>（</w:t>
            </w:r>
            <w:r>
              <w:rPr>
                <w:rFonts w:ascii="Times New Roman" w:eastAsia="Times New Roman"/>
                <w:sz w:val="21"/>
              </w:rPr>
              <w:t>a,h</w:t>
            </w:r>
            <w:r>
              <w:rPr>
                <w:sz w:val="21"/>
              </w:rPr>
              <w:t>）</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nil"/>
            </w:tcBorders>
          </w:tcPr>
          <w:p>
            <w:pPr>
              <w:pStyle w:val="TableParagraph"/>
              <w:spacing w:line="266" w:lineRule="exact"/>
              <w:ind w:left="36"/>
              <w:rPr>
                <w:sz w:val="21"/>
              </w:rPr>
            </w:pPr>
            <w:r>
              <w:rPr>
                <w:w w:val="100"/>
                <w:sz w:val="21"/>
              </w:rPr>
              <w:t>䓛</w:t>
            </w:r>
          </w:p>
        </w:tc>
      </w:tr>
      <w:tr>
        <w:trPr>
          <w:trHeight w:val="274"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41" w:lineRule="exact"/>
              <w:ind w:left="93" w:right="64"/>
              <w:rPr>
                <w:rFonts w:ascii="Times New Roman" w:hAnsi="Times New Roman"/>
                <w:sz w:val="21"/>
              </w:rPr>
            </w:pPr>
            <w:r>
              <w:rPr>
                <w:rFonts w:ascii="Times New Roman" w:hAnsi="Times New Roman"/>
                <w:sz w:val="21"/>
              </w:rPr>
              <w:t>μg/kg</w:t>
            </w:r>
          </w:p>
        </w:tc>
        <w:tc>
          <w:tcPr>
            <w:tcW w:w="1097" w:type="dxa"/>
            <w:tcBorders>
              <w:top w:val="nil"/>
              <w:left w:val="single" w:sz="6" w:space="0" w:color="000000"/>
              <w:bottom w:val="nil"/>
              <w:right w:val="single" w:sz="6" w:space="0" w:color="000000"/>
            </w:tcBorders>
          </w:tcPr>
          <w:p>
            <w:pPr>
              <w:pStyle w:val="TableParagraph"/>
              <w:spacing w:line="241" w:lineRule="exact"/>
              <w:ind w:left="286"/>
              <w:jc w:val="left"/>
              <w:rPr>
                <w:rFonts w:ascii="Times New Roman"/>
                <w:sz w:val="21"/>
              </w:rPr>
            </w:pPr>
            <w:r>
              <w:rPr>
                <w:rFonts w:ascii="Times New Roman"/>
                <w:sz w:val="21"/>
              </w:rPr>
              <w:t>mg/kg</w:t>
            </w:r>
          </w:p>
        </w:tc>
        <w:tc>
          <w:tcPr>
            <w:tcW w:w="866" w:type="dxa"/>
            <w:tcBorders>
              <w:top w:val="nil"/>
              <w:left w:val="single" w:sz="6" w:space="0" w:color="000000"/>
              <w:bottom w:val="nil"/>
              <w:right w:val="single" w:sz="6" w:space="0" w:color="000000"/>
            </w:tcBorders>
          </w:tcPr>
          <w:p>
            <w:pPr>
              <w:pStyle w:val="TableParagraph"/>
              <w:spacing w:line="236" w:lineRule="exact"/>
              <w:ind w:left="115" w:right="89"/>
              <w:rPr>
                <w:rFonts w:ascii="Times New Roman"/>
                <w:sz w:val="21"/>
              </w:rPr>
            </w:pPr>
            <w:r>
              <w:rPr>
                <w:rFonts w:ascii="Times New Roman"/>
                <w:sz w:val="21"/>
              </w:rPr>
              <w:t>mg/kg</w:t>
            </w:r>
          </w:p>
        </w:tc>
        <w:tc>
          <w:tcPr>
            <w:tcW w:w="871" w:type="dxa"/>
            <w:tcBorders>
              <w:top w:val="nil"/>
              <w:left w:val="single" w:sz="6" w:space="0" w:color="000000"/>
              <w:bottom w:val="nil"/>
              <w:right w:val="single" w:sz="6" w:space="0" w:color="000000"/>
            </w:tcBorders>
          </w:tcPr>
          <w:p>
            <w:pPr>
              <w:pStyle w:val="TableParagraph"/>
              <w:spacing w:line="236" w:lineRule="exact"/>
              <w:ind w:right="144"/>
              <w:jc w:val="right"/>
              <w:rPr>
                <w:rFonts w:ascii="Times New Roman"/>
                <w:sz w:val="21"/>
              </w:rPr>
            </w:pPr>
            <w:r>
              <w:rPr>
                <w:rFonts w:ascii="Times New Roman"/>
                <w:sz w:val="21"/>
              </w:rPr>
              <w:t>mg/kg</w:t>
            </w:r>
          </w:p>
        </w:tc>
        <w:tc>
          <w:tcPr>
            <w:tcW w:w="886" w:type="dxa"/>
            <w:tcBorders>
              <w:top w:val="nil"/>
              <w:left w:val="single" w:sz="6" w:space="0" w:color="000000"/>
              <w:bottom w:val="nil"/>
              <w:right w:val="single" w:sz="6" w:space="0" w:color="000000"/>
            </w:tcBorders>
          </w:tcPr>
          <w:p>
            <w:pPr>
              <w:pStyle w:val="TableParagraph"/>
              <w:spacing w:line="254" w:lineRule="exact"/>
              <w:ind w:left="30"/>
              <w:rPr>
                <w:sz w:val="21"/>
              </w:rPr>
            </w:pPr>
            <w:r>
              <w:rPr>
                <w:w w:val="100"/>
                <w:sz w:val="21"/>
              </w:rPr>
              <w:t>蒽</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nil"/>
            </w:tcBorders>
          </w:tcPr>
          <w:p>
            <w:pPr>
              <w:pStyle w:val="TableParagraph"/>
              <w:spacing w:line="236" w:lineRule="exact"/>
              <w:ind w:left="96" w:right="62"/>
              <w:rPr>
                <w:rFonts w:ascii="Times New Roman"/>
                <w:sz w:val="21"/>
              </w:rPr>
            </w:pPr>
            <w:r>
              <w:rPr>
                <w:rFonts w:ascii="Times New Roman"/>
                <w:sz w:val="21"/>
              </w:rPr>
              <w:t>mg/kg</w:t>
            </w:r>
          </w:p>
        </w:tc>
      </w:tr>
      <w:tr>
        <w:trPr>
          <w:trHeight w:val="243"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1097"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66"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86" w:type="dxa"/>
            <w:tcBorders>
              <w:top w:val="nil"/>
              <w:left w:val="single" w:sz="6" w:space="0" w:color="000000"/>
              <w:bottom w:val="single" w:sz="6" w:space="0" w:color="000000"/>
              <w:right w:val="single" w:sz="6" w:space="0" w:color="000000"/>
            </w:tcBorders>
          </w:tcPr>
          <w:p>
            <w:pPr>
              <w:pStyle w:val="TableParagraph"/>
              <w:spacing w:line="221" w:lineRule="exact" w:before="2"/>
              <w:ind w:right="152"/>
              <w:jc w:val="right"/>
              <w:rPr>
                <w:rFonts w:ascii="Times New Roman"/>
                <w:sz w:val="21"/>
              </w:rPr>
            </w:pPr>
            <w:r>
              <w:rPr>
                <w:rFonts w:ascii="Times New Roman"/>
                <w:sz w:val="21"/>
              </w:rPr>
              <w:t>mg/kg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single" w:sz="6" w:space="0" w:color="000000"/>
            </w:tcBorders>
          </w:tcPr>
          <w:p>
            <w:pPr>
              <w:pStyle w:val="TableParagraph"/>
              <w:jc w:val="left"/>
              <w:rPr>
                <w:rFonts w:ascii="Times New Roman"/>
                <w:sz w:val="16"/>
              </w:rPr>
            </w:pPr>
          </w:p>
        </w:tc>
      </w:tr>
      <w:tr>
        <w:trPr>
          <w:trHeight w:val="353"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57"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4" w:lineRule="exact"/>
              <w:ind w:left="77" w:right="74"/>
              <w:rPr>
                <w:sz w:val="21"/>
              </w:rPr>
            </w:pPr>
            <w:r>
              <w:rPr>
                <w:sz w:val="21"/>
              </w:rPr>
              <w:t>未检出</w:t>
            </w:r>
          </w:p>
        </w:tc>
      </w:tr>
      <w:tr>
        <w:trPr>
          <w:trHeight w:val="286"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line="267" w:lineRule="exact"/>
              <w:ind w:left="93" w:right="66"/>
              <w:rPr>
                <w:sz w:val="21"/>
              </w:rPr>
            </w:pPr>
            <w:r>
              <w:rPr>
                <w:sz w:val="21"/>
              </w:rPr>
              <w:t>二苯并</w:t>
            </w:r>
          </w:p>
        </w:tc>
        <w:tc>
          <w:tcPr>
            <w:tcW w:w="1097"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435" w:lineRule="exact" w:before="70"/>
              <w:ind w:left="95" w:right="63"/>
              <w:rPr>
                <w:sz w:val="21"/>
              </w:rPr>
            </w:pPr>
            <w:r>
              <w:rPr>
                <w:sz w:val="21"/>
              </w:rPr>
              <w:t>茚并</w:t>
            </w:r>
          </w:p>
          <w:p>
            <w:pPr>
              <w:pStyle w:val="TableParagraph"/>
              <w:spacing w:line="210" w:lineRule="exact"/>
              <w:ind w:left="95" w:right="65"/>
              <w:rPr>
                <w:rFonts w:ascii="Times New Roman"/>
                <w:sz w:val="21"/>
              </w:rPr>
            </w:pPr>
            <w:r>
              <w:rPr>
                <w:rFonts w:ascii="Times New Roman"/>
                <w:sz w:val="21"/>
              </w:rPr>
              <w:t>(1,2,3-c,d)</w:t>
            </w:r>
          </w:p>
          <w:p>
            <w:pPr>
              <w:pStyle w:val="TableParagraph"/>
              <w:spacing w:line="424" w:lineRule="exact"/>
              <w:ind w:left="94" w:right="65"/>
              <w:rPr>
                <w:rFonts w:ascii="Times New Roman" w:eastAsia="Times New Roman"/>
                <w:sz w:val="21"/>
              </w:rPr>
            </w:pPr>
            <w:r>
              <w:rPr>
                <w:sz w:val="21"/>
              </w:rPr>
              <w:t>芘 </w:t>
            </w:r>
            <w:r>
              <w:rPr>
                <w:rFonts w:ascii="Times New Roman" w:eastAsia="Times New Roman"/>
                <w:sz w:val="21"/>
              </w:rPr>
              <w:t>mg/kg</w:t>
            </w:r>
          </w:p>
        </w:tc>
        <w:tc>
          <w:tcPr>
            <w:tcW w:w="86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9"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592"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88" w:lineRule="exact"/>
              <w:ind w:left="93" w:right="66"/>
              <w:rPr>
                <w:sz w:val="21"/>
              </w:rPr>
            </w:pPr>
            <w:r>
              <w:rPr>
                <w:sz w:val="21"/>
              </w:rPr>
              <w:t>（</w:t>
            </w:r>
            <w:r>
              <w:rPr>
                <w:rFonts w:ascii="Times New Roman" w:eastAsia="Times New Roman"/>
                <w:sz w:val="21"/>
              </w:rPr>
              <w:t>a,h</w:t>
            </w:r>
            <w:r>
              <w:rPr>
                <w:sz w:val="21"/>
              </w:rPr>
              <w:t>）</w:t>
            </w:r>
          </w:p>
          <w:p>
            <w:pPr>
              <w:pStyle w:val="TableParagraph"/>
              <w:spacing w:line="285" w:lineRule="exact"/>
              <w:ind w:left="27"/>
              <w:rPr>
                <w:sz w:val="21"/>
              </w:rPr>
            </w:pPr>
            <w:r>
              <w:rPr>
                <w:w w:val="100"/>
                <w:sz w:val="21"/>
              </w:rPr>
              <w:t>蒽</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nil"/>
              <w:right w:val="single" w:sz="6" w:space="0" w:color="000000"/>
            </w:tcBorders>
          </w:tcPr>
          <w:p>
            <w:pPr>
              <w:pStyle w:val="TableParagraph"/>
              <w:spacing w:before="177"/>
              <w:ind w:left="30"/>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177"/>
              <w:ind w:left="30"/>
              <w:rPr>
                <w:rFonts w:ascii="Times New Roman"/>
                <w:sz w:val="21"/>
              </w:rPr>
            </w:pPr>
            <w:r>
              <w:rPr>
                <w:rFonts w:ascii="Times New Roman"/>
                <w:w w:val="100"/>
                <w:sz w:val="21"/>
              </w:rPr>
              <w:t>/</w:t>
            </w:r>
          </w:p>
        </w:tc>
        <w:tc>
          <w:tcPr>
            <w:tcW w:w="886" w:type="dxa"/>
            <w:tcBorders>
              <w:top w:val="nil"/>
              <w:left w:val="single" w:sz="6" w:space="0" w:color="000000"/>
              <w:bottom w:val="nil"/>
              <w:right w:val="single" w:sz="6" w:space="0" w:color="000000"/>
            </w:tcBorders>
          </w:tcPr>
          <w:p>
            <w:pPr>
              <w:pStyle w:val="TableParagraph"/>
              <w:spacing w:before="177"/>
              <w:ind w:left="31"/>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177"/>
              <w:ind w:left="31"/>
              <w:rPr>
                <w:rFonts w:ascii="Times New Roman"/>
                <w:sz w:val="21"/>
              </w:rPr>
            </w:pPr>
            <w:r>
              <w:rPr>
                <w:rFonts w:ascii="Times New Roman"/>
                <w:w w:val="100"/>
                <w:sz w:val="21"/>
              </w:rPr>
              <w:t>/</w:t>
            </w:r>
          </w:p>
        </w:tc>
        <w:tc>
          <w:tcPr>
            <w:tcW w:w="869" w:type="dxa"/>
            <w:tcBorders>
              <w:top w:val="nil"/>
              <w:left w:val="single" w:sz="6" w:space="0" w:color="000000"/>
              <w:bottom w:val="nil"/>
              <w:right w:val="single" w:sz="6" w:space="0" w:color="000000"/>
            </w:tcBorders>
          </w:tcPr>
          <w:p>
            <w:pPr>
              <w:pStyle w:val="TableParagraph"/>
              <w:spacing w:before="177"/>
              <w:ind w:left="28"/>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177"/>
              <w:ind w:left="32"/>
              <w:rPr>
                <w:rFonts w:ascii="Times New Roman"/>
                <w:sz w:val="21"/>
              </w:rPr>
            </w:pPr>
            <w:r>
              <w:rPr>
                <w:rFonts w:ascii="Times New Roman"/>
                <w:w w:val="100"/>
                <w:sz w:val="21"/>
              </w:rPr>
              <w:t>/</w:t>
            </w:r>
          </w:p>
        </w:tc>
        <w:tc>
          <w:tcPr>
            <w:tcW w:w="883" w:type="dxa"/>
            <w:tcBorders>
              <w:top w:val="nil"/>
              <w:left w:val="single" w:sz="6" w:space="0" w:color="000000"/>
              <w:bottom w:val="nil"/>
            </w:tcBorders>
          </w:tcPr>
          <w:p>
            <w:pPr>
              <w:pStyle w:val="TableParagraph"/>
              <w:spacing w:before="177"/>
              <w:ind w:left="37"/>
              <w:rPr>
                <w:rFonts w:ascii="Times New Roman"/>
                <w:sz w:val="21"/>
              </w:rPr>
            </w:pPr>
            <w:r>
              <w:rPr>
                <w:rFonts w:ascii="Times New Roman"/>
                <w:w w:val="100"/>
                <w:sz w:val="21"/>
              </w:rPr>
              <w:t>/</w:t>
            </w:r>
          </w:p>
        </w:tc>
      </w:tr>
      <w:tr>
        <w:trPr>
          <w:trHeight w:val="292"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before="23"/>
              <w:ind w:left="90" w:right="66"/>
              <w:rPr>
                <w:rFonts w:ascii="Times New Roman"/>
                <w:sz w:val="21"/>
              </w:rPr>
            </w:pPr>
            <w:r>
              <w:rPr>
                <w:rFonts w:ascii="Times New Roman"/>
                <w:sz w:val="21"/>
              </w:rPr>
              <w:t>mg/kg</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69"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359"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right w:val="single" w:sz="6" w:space="0" w:color="000000"/>
            </w:tcBorders>
          </w:tcPr>
          <w:p>
            <w:pPr>
              <w:pStyle w:val="TableParagraph"/>
              <w:spacing w:line="339" w:lineRule="exact"/>
              <w:ind w:left="57" w:right="66"/>
              <w:rPr>
                <w:sz w:val="21"/>
              </w:rPr>
            </w:pPr>
            <w:r>
              <w:rPr>
                <w:sz w:val="21"/>
              </w:rPr>
              <w:t>未检出</w:t>
            </w:r>
          </w:p>
        </w:tc>
        <w:tc>
          <w:tcPr>
            <w:tcW w:w="1097" w:type="dxa"/>
            <w:tcBorders>
              <w:top w:val="single" w:sz="6" w:space="0" w:color="000000"/>
              <w:left w:val="single" w:sz="6" w:space="0" w:color="000000"/>
              <w:right w:val="single" w:sz="6" w:space="0" w:color="000000"/>
            </w:tcBorders>
          </w:tcPr>
          <w:p>
            <w:pPr>
              <w:pStyle w:val="TableParagraph"/>
              <w:spacing w:line="339" w:lineRule="exact"/>
              <w:ind w:left="115"/>
              <w:jc w:val="left"/>
              <w:rPr>
                <w:sz w:val="21"/>
              </w:rPr>
            </w:pPr>
            <w:r>
              <w:rPr>
                <w:sz w:val="21"/>
              </w:rPr>
              <w:t>未检出</w:t>
            </w:r>
          </w:p>
        </w:tc>
        <w:tc>
          <w:tcPr>
            <w:tcW w:w="866" w:type="dxa"/>
            <w:tcBorders>
              <w:top w:val="single" w:sz="6" w:space="0" w:color="000000"/>
              <w:left w:val="single" w:sz="6" w:space="0" w:color="000000"/>
              <w:right w:val="single" w:sz="6" w:space="0" w:color="000000"/>
            </w:tcBorders>
          </w:tcPr>
          <w:p>
            <w:pPr>
              <w:pStyle w:val="TableParagraph"/>
              <w:spacing w:before="55"/>
              <w:ind w:left="30"/>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0"/>
              <w:rPr>
                <w:rFonts w:ascii="Times New Roman"/>
                <w:sz w:val="21"/>
              </w:rPr>
            </w:pPr>
            <w:r>
              <w:rPr>
                <w:rFonts w:ascii="Times New Roman"/>
                <w:w w:val="100"/>
                <w:sz w:val="21"/>
              </w:rPr>
              <w:t>/</w:t>
            </w:r>
          </w:p>
        </w:tc>
        <w:tc>
          <w:tcPr>
            <w:tcW w:w="886" w:type="dxa"/>
            <w:tcBorders>
              <w:top w:val="single" w:sz="6" w:space="0" w:color="000000"/>
              <w:left w:val="single" w:sz="6" w:space="0" w:color="000000"/>
              <w:right w:val="single" w:sz="6" w:space="0" w:color="000000"/>
            </w:tcBorders>
          </w:tcPr>
          <w:p>
            <w:pPr>
              <w:pStyle w:val="TableParagraph"/>
              <w:spacing w:before="55"/>
              <w:ind w:left="31"/>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1"/>
              <w:rPr>
                <w:rFonts w:ascii="Times New Roman"/>
                <w:sz w:val="21"/>
              </w:rPr>
            </w:pPr>
            <w:r>
              <w:rPr>
                <w:rFonts w:ascii="Times New Roman"/>
                <w:w w:val="100"/>
                <w:sz w:val="21"/>
              </w:rPr>
              <w:t>/</w:t>
            </w:r>
          </w:p>
        </w:tc>
        <w:tc>
          <w:tcPr>
            <w:tcW w:w="869" w:type="dxa"/>
            <w:tcBorders>
              <w:top w:val="single" w:sz="6" w:space="0" w:color="000000"/>
              <w:left w:val="single" w:sz="6" w:space="0" w:color="000000"/>
              <w:right w:val="single" w:sz="6" w:space="0" w:color="000000"/>
            </w:tcBorders>
          </w:tcPr>
          <w:p>
            <w:pPr>
              <w:pStyle w:val="TableParagraph"/>
              <w:spacing w:before="55"/>
              <w:ind w:left="28"/>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2"/>
              <w:rPr>
                <w:rFonts w:ascii="Times New Roman"/>
                <w:sz w:val="21"/>
              </w:rPr>
            </w:pPr>
            <w:r>
              <w:rPr>
                <w:rFonts w:ascii="Times New Roman"/>
                <w:w w:val="100"/>
                <w:sz w:val="21"/>
              </w:rPr>
              <w:t>/</w:t>
            </w:r>
          </w:p>
        </w:tc>
        <w:tc>
          <w:tcPr>
            <w:tcW w:w="883" w:type="dxa"/>
            <w:tcBorders>
              <w:top w:val="single" w:sz="6" w:space="0" w:color="000000"/>
              <w:left w:val="single" w:sz="6" w:space="0" w:color="000000"/>
            </w:tcBorders>
          </w:tcPr>
          <w:p>
            <w:pPr>
              <w:pStyle w:val="TableParagraph"/>
              <w:spacing w:before="55"/>
              <w:ind w:left="37"/>
              <w:rPr>
                <w:rFonts w:ascii="Times New Roman"/>
                <w:sz w:val="21"/>
              </w:rPr>
            </w:pPr>
            <w:r>
              <w:rPr>
                <w:rFonts w:ascii="Times New Roman"/>
                <w:w w:val="100"/>
                <w:sz w:val="21"/>
              </w:rPr>
              <w:t>/</w:t>
            </w:r>
          </w:p>
        </w:tc>
      </w:tr>
    </w:tbl>
    <w:p>
      <w:pPr>
        <w:spacing w:after="0"/>
        <w:rPr>
          <w:rFonts w:ascii="Times New Roman"/>
          <w:sz w:val="21"/>
        </w:rPr>
        <w:sectPr>
          <w:pgSz w:w="11910" w:h="16840"/>
          <w:pgMar w:header="877" w:footer="973" w:top="1340" w:bottom="1160" w:left="1220" w:right="1040"/>
        </w:sectPr>
      </w:pPr>
    </w:p>
    <w:p>
      <w:pPr>
        <w:pStyle w:val="BodyText"/>
        <w:spacing w:before="21"/>
        <w:rPr>
          <w:sz w:val="4"/>
        </w:rPr>
      </w:pPr>
    </w:p>
    <w:p>
      <w:pPr>
        <w:tabs>
          <w:tab w:pos="4444" w:val="left" w:leader="none"/>
        </w:tabs>
        <w:spacing w:line="423" w:lineRule="exact" w:before="0" w:after="24"/>
        <w:ind w:left="3216" w:right="0" w:firstLine="0"/>
        <w:jc w:val="left"/>
        <w:rPr>
          <w:sz w:val="21"/>
        </w:rPr>
      </w:pPr>
      <w:r>
        <w:rPr>
          <w:sz w:val="21"/>
        </w:rPr>
        <w:t>续表</w:t>
      </w:r>
      <w:r>
        <w:rPr>
          <w:spacing w:val="5"/>
          <w:sz w:val="21"/>
        </w:rPr>
        <w:t> </w:t>
      </w:r>
      <w:r>
        <w:rPr>
          <w:rFonts w:ascii="Times New Roman" w:eastAsia="Times New Roman"/>
          <w:b/>
          <w:sz w:val="21"/>
        </w:rPr>
        <w:t>5.4-34</w:t>
        <w:tab/>
      </w:r>
      <w:r>
        <w:rPr>
          <w:sz w:val="21"/>
        </w:rPr>
        <w:t>土壤环境</w:t>
      </w:r>
      <w:r>
        <w:rPr>
          <w:spacing w:val="-3"/>
          <w:sz w:val="21"/>
        </w:rPr>
        <w:t>现</w:t>
      </w:r>
      <w:r>
        <w:rPr>
          <w:sz w:val="21"/>
        </w:rPr>
        <w:t>状监测结果</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885"/>
        <w:gridCol w:w="1097"/>
        <w:gridCol w:w="866"/>
        <w:gridCol w:w="871"/>
        <w:gridCol w:w="886"/>
        <w:gridCol w:w="871"/>
        <w:gridCol w:w="869"/>
        <w:gridCol w:w="871"/>
        <w:gridCol w:w="883"/>
      </w:tblGrid>
      <w:tr>
        <w:trPr>
          <w:trHeight w:val="311" w:hRule="atLeast"/>
        </w:trPr>
        <w:tc>
          <w:tcPr>
            <w:tcW w:w="427" w:type="dxa"/>
            <w:vMerge w:val="restart"/>
            <w:tcBorders>
              <w:bottom w:val="single" w:sz="6" w:space="0" w:color="000000"/>
              <w:right w:val="single" w:sz="6" w:space="0" w:color="000000"/>
            </w:tcBorders>
          </w:tcPr>
          <w:p>
            <w:pPr>
              <w:pStyle w:val="TableParagraph"/>
              <w:spacing w:before="3"/>
              <w:jc w:val="left"/>
              <w:rPr>
                <w:sz w:val="14"/>
              </w:rPr>
            </w:pPr>
          </w:p>
          <w:p>
            <w:pPr>
              <w:pStyle w:val="TableParagraph"/>
              <w:spacing w:line="168" w:lineRule="auto"/>
              <w:ind w:left="107" w:right="83"/>
              <w:jc w:val="both"/>
              <w:rPr>
                <w:sz w:val="21"/>
              </w:rPr>
            </w:pPr>
            <w:r>
              <w:rPr>
                <w:sz w:val="21"/>
              </w:rPr>
              <w:t>检测点位</w:t>
            </w:r>
          </w:p>
        </w:tc>
        <w:tc>
          <w:tcPr>
            <w:tcW w:w="8099" w:type="dxa"/>
            <w:gridSpan w:val="9"/>
            <w:tcBorders>
              <w:left w:val="single" w:sz="6" w:space="0" w:color="000000"/>
              <w:bottom w:val="single" w:sz="6" w:space="0" w:color="000000"/>
            </w:tcBorders>
          </w:tcPr>
          <w:p>
            <w:pPr>
              <w:pStyle w:val="TableParagraph"/>
              <w:spacing w:line="291" w:lineRule="exact"/>
              <w:ind w:left="3617" w:right="3579"/>
              <w:rPr>
                <w:sz w:val="21"/>
              </w:rPr>
            </w:pPr>
            <w:r>
              <w:rPr>
                <w:sz w:val="21"/>
              </w:rPr>
              <w:t>检测项目</w:t>
            </w:r>
          </w:p>
        </w:tc>
      </w:tr>
      <w:tr>
        <w:trPr>
          <w:trHeight w:val="294" w:hRule="atLeast"/>
        </w:trPr>
        <w:tc>
          <w:tcPr>
            <w:tcW w:w="427" w:type="dxa"/>
            <w:vMerge/>
            <w:tcBorders>
              <w:top w:val="nil"/>
              <w:bottom w:val="single" w:sz="6" w:space="0" w:color="000000"/>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09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6"/>
              </w:rPr>
            </w:pPr>
          </w:p>
          <w:p>
            <w:pPr>
              <w:pStyle w:val="TableParagraph"/>
              <w:spacing w:line="435" w:lineRule="exact" w:before="1"/>
              <w:ind w:left="95" w:right="65"/>
              <w:rPr>
                <w:sz w:val="21"/>
              </w:rPr>
            </w:pPr>
            <w:r>
              <w:rPr>
                <w:sz w:val="21"/>
              </w:rPr>
              <w:t>二氯甲烷</w:t>
            </w:r>
          </w:p>
          <w:p>
            <w:pPr>
              <w:pStyle w:val="TableParagraph"/>
              <w:spacing w:line="231" w:lineRule="exact"/>
              <w:ind w:left="94" w:right="65"/>
              <w:rPr>
                <w:rFonts w:ascii="Times New Roman" w:hAnsi="Times New Roman"/>
                <w:sz w:val="21"/>
              </w:rPr>
            </w:pPr>
            <w:r>
              <w:rPr>
                <w:rFonts w:ascii="Times New Roman" w:hAnsi="Times New Roman"/>
                <w:sz w:val="21"/>
              </w:rPr>
              <w:t>μg/kg</w:t>
            </w:r>
          </w:p>
        </w:tc>
        <w:tc>
          <w:tcPr>
            <w:tcW w:w="866" w:type="dxa"/>
            <w:tcBorders>
              <w:top w:val="single" w:sz="6" w:space="0" w:color="000000"/>
              <w:left w:val="single" w:sz="6" w:space="0" w:color="000000"/>
              <w:bottom w:val="nil"/>
              <w:right w:val="single" w:sz="6" w:space="0" w:color="000000"/>
            </w:tcBorders>
          </w:tcPr>
          <w:p>
            <w:pPr>
              <w:pStyle w:val="TableParagraph"/>
              <w:spacing w:line="274" w:lineRule="exact"/>
              <w:ind w:left="96" w:right="64"/>
              <w:rPr>
                <w:rFonts w:ascii="Times New Roman" w:eastAsia="Times New Roman"/>
                <w:sz w:val="21"/>
              </w:rPr>
            </w:pPr>
            <w:r>
              <w:rPr>
                <w:sz w:val="21"/>
              </w:rPr>
              <w:t>反</w:t>
            </w:r>
            <w:r>
              <w:rPr>
                <w:rFonts w:ascii="Times New Roman" w:eastAsia="Times New Roman"/>
                <w:sz w:val="21"/>
              </w:rPr>
              <w:t>-1,2-</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1"/>
              </w:rPr>
            </w:pPr>
          </w:p>
          <w:p>
            <w:pPr>
              <w:pStyle w:val="TableParagraph"/>
              <w:spacing w:line="359" w:lineRule="exact"/>
              <w:ind w:left="171"/>
              <w:jc w:val="left"/>
              <w:rPr>
                <w:sz w:val="21"/>
              </w:rPr>
            </w:pPr>
            <w:r>
              <w:rPr>
                <w:rFonts w:ascii="Times New Roman" w:eastAsia="Times New Roman"/>
                <w:sz w:val="21"/>
              </w:rPr>
              <w:t>1,1-</w:t>
            </w:r>
            <w:r>
              <w:rPr>
                <w:sz w:val="21"/>
              </w:rPr>
              <w:t>二</w:t>
            </w:r>
          </w:p>
          <w:p>
            <w:pPr>
              <w:pStyle w:val="TableParagraph"/>
              <w:spacing w:line="319" w:lineRule="exact"/>
              <w:ind w:left="126"/>
              <w:jc w:val="left"/>
              <w:rPr>
                <w:sz w:val="21"/>
              </w:rPr>
            </w:pPr>
            <w:r>
              <w:rPr>
                <w:sz w:val="21"/>
              </w:rPr>
              <w:t>氯乙烷</w:t>
            </w:r>
          </w:p>
          <w:p>
            <w:pPr>
              <w:pStyle w:val="TableParagraph"/>
              <w:spacing w:line="201" w:lineRule="exact"/>
              <w:ind w:left="200"/>
              <w:jc w:val="left"/>
              <w:rPr>
                <w:rFonts w:ascii="Times New Roman" w:hAnsi="Times New Roman"/>
                <w:sz w:val="21"/>
              </w:rPr>
            </w:pPr>
            <w:r>
              <w:rPr>
                <w:rFonts w:ascii="Times New Roman" w:hAnsi="Times New Roman"/>
                <w:sz w:val="21"/>
              </w:rPr>
              <w:t>μg/kg</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80"/>
              <w:ind w:left="143"/>
              <w:jc w:val="left"/>
              <w:rPr>
                <w:rFonts w:ascii="Times New Roman" w:eastAsia="Times New Roman"/>
                <w:sz w:val="21"/>
              </w:rPr>
            </w:pPr>
            <w:r>
              <w:rPr>
                <w:sz w:val="21"/>
              </w:rPr>
              <w:t>顺</w:t>
            </w:r>
            <w:r>
              <w:rPr>
                <w:rFonts w:ascii="Times New Roman" w:eastAsia="Times New Roman"/>
                <w:sz w:val="21"/>
              </w:rPr>
              <w:t>-1,2-</w:t>
            </w:r>
          </w:p>
          <w:p>
            <w:pPr>
              <w:pStyle w:val="TableParagraph"/>
              <w:spacing w:line="180" w:lineRule="auto" w:before="11"/>
              <w:ind w:left="133" w:right="101"/>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8"/>
              </w:rPr>
            </w:pPr>
          </w:p>
          <w:p>
            <w:pPr>
              <w:pStyle w:val="TableParagraph"/>
              <w:spacing w:line="405" w:lineRule="exact"/>
              <w:ind w:left="231"/>
              <w:jc w:val="left"/>
              <w:rPr>
                <w:sz w:val="21"/>
              </w:rPr>
            </w:pPr>
            <w:r>
              <w:rPr>
                <w:sz w:val="21"/>
              </w:rPr>
              <w:t>氯仿</w:t>
            </w:r>
          </w:p>
          <w:p>
            <w:pPr>
              <w:pStyle w:val="TableParagraph"/>
              <w:spacing w:line="201" w:lineRule="exact"/>
              <w:ind w:left="200"/>
              <w:jc w:val="left"/>
              <w:rPr>
                <w:rFonts w:ascii="Times New Roman" w:hAnsi="Times New Roman"/>
                <w:sz w:val="21"/>
              </w:rPr>
            </w:pPr>
            <w:r>
              <w:rPr>
                <w:rFonts w:ascii="Times New Roman" w:hAnsi="Times New Roman"/>
                <w:sz w:val="21"/>
              </w:rPr>
              <w:t>μg/kg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21" w:lineRule="exact" w:before="192"/>
              <w:ind w:left="196"/>
              <w:jc w:val="left"/>
              <w:rPr>
                <w:rFonts w:ascii="Times New Roman"/>
                <w:sz w:val="21"/>
              </w:rPr>
            </w:pPr>
            <w:r>
              <w:rPr>
                <w:rFonts w:ascii="Times New Roman"/>
                <w:sz w:val="21"/>
              </w:rPr>
              <w:t>1,1,1-</w:t>
            </w:r>
          </w:p>
          <w:p>
            <w:pPr>
              <w:pStyle w:val="TableParagraph"/>
              <w:spacing w:line="180" w:lineRule="auto" w:before="57"/>
              <w:ind w:left="124" w:right="94"/>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1180" w:hRule="atLeast"/>
        </w:trPr>
        <w:tc>
          <w:tcPr>
            <w:tcW w:w="427" w:type="dxa"/>
            <w:vMerge/>
            <w:tcBorders>
              <w:top w:val="nil"/>
              <w:bottom w:val="single" w:sz="6" w:space="0" w:color="000000"/>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line="270" w:lineRule="exact"/>
              <w:ind w:left="177"/>
              <w:jc w:val="left"/>
              <w:rPr>
                <w:sz w:val="21"/>
              </w:rPr>
            </w:pPr>
            <w:r>
              <w:rPr>
                <w:rFonts w:ascii="Times New Roman" w:eastAsia="Times New Roman"/>
                <w:sz w:val="21"/>
              </w:rPr>
              <w:t>1,1-</w:t>
            </w:r>
            <w:r>
              <w:rPr>
                <w:sz w:val="21"/>
              </w:rPr>
              <w:t>二</w:t>
            </w:r>
          </w:p>
          <w:p>
            <w:pPr>
              <w:pStyle w:val="TableParagraph"/>
              <w:spacing w:line="368" w:lineRule="exact"/>
              <w:ind w:left="131"/>
              <w:jc w:val="left"/>
              <w:rPr>
                <w:sz w:val="21"/>
              </w:rPr>
            </w:pPr>
            <w:r>
              <w:rPr>
                <w:sz w:val="21"/>
              </w:rPr>
              <w:t>氯乙烯</w:t>
            </w:r>
          </w:p>
          <w:p>
            <w:pPr>
              <w:pStyle w:val="TableParagraph"/>
              <w:spacing w:line="231" w:lineRule="exact"/>
              <w:ind w:left="206"/>
              <w:jc w:val="left"/>
              <w:rPr>
                <w:rFonts w:ascii="Times New Roman" w:hAnsi="Times New Roman"/>
                <w:sz w:val="21"/>
              </w:rPr>
            </w:pPr>
            <w:r>
              <w:rPr>
                <w:rFonts w:ascii="Times New Roman" w:hAnsi="Times New Roman"/>
                <w:sz w:val="21"/>
              </w:rPr>
              <w:t>μg/kg</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single" w:sz="6" w:space="0" w:color="000000"/>
              <w:right w:val="single" w:sz="6" w:space="0" w:color="000000"/>
            </w:tcBorders>
          </w:tcPr>
          <w:p>
            <w:pPr>
              <w:pStyle w:val="TableParagraph"/>
              <w:spacing w:line="168" w:lineRule="auto" w:before="20"/>
              <w:ind w:left="334" w:right="89" w:hanging="209"/>
              <w:jc w:val="left"/>
              <w:rPr>
                <w:sz w:val="21"/>
              </w:rPr>
            </w:pPr>
            <w:r>
              <w:rPr>
                <w:sz w:val="21"/>
              </w:rPr>
              <w:t>二氯乙烯</w:t>
            </w:r>
          </w:p>
          <w:p>
            <w:pPr>
              <w:pStyle w:val="TableParagraph"/>
              <w:spacing w:before="20"/>
              <w:ind w:left="197"/>
              <w:jc w:val="left"/>
              <w:rPr>
                <w:rFonts w:ascii="Times New Roman" w:hAnsi="Times New Roman"/>
                <w:sz w:val="21"/>
              </w:rPr>
            </w:pPr>
            <w:r>
              <w:rPr>
                <w:rFonts w:ascii="Times New Roman" w:hAnsi="Times New Roman"/>
                <w:sz w:val="21"/>
              </w:rPr>
              <w:t>μg/kg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spacing w:line="180" w:lineRule="auto" w:before="4"/>
              <w:ind w:left="126" w:right="93"/>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883" w:type="dxa"/>
            <w:tcBorders>
              <w:top w:val="nil"/>
              <w:left w:val="single" w:sz="6" w:space="0" w:color="000000"/>
              <w:bottom w:val="single" w:sz="6" w:space="0" w:color="000000"/>
            </w:tcBorders>
          </w:tcPr>
          <w:p>
            <w:pPr>
              <w:pStyle w:val="TableParagraph"/>
              <w:spacing w:line="414" w:lineRule="exact" w:before="83"/>
              <w:ind w:left="36"/>
              <w:rPr>
                <w:sz w:val="21"/>
              </w:rPr>
            </w:pPr>
            <w:r>
              <w:rPr>
                <w:w w:val="100"/>
                <w:sz w:val="21"/>
              </w:rPr>
              <w:t>苯</w:t>
            </w:r>
          </w:p>
          <w:p>
            <w:pPr>
              <w:pStyle w:val="TableParagraph"/>
              <w:spacing w:line="211" w:lineRule="exact"/>
              <w:ind w:left="96" w:right="57"/>
              <w:rPr>
                <w:rFonts w:ascii="Times New Roman" w:hAnsi="Times New Roman"/>
                <w:sz w:val="21"/>
              </w:rPr>
            </w:pPr>
            <w:r>
              <w:rPr>
                <w:rFonts w:ascii="Times New Roman" w:hAnsi="Times New Roman"/>
                <w:sz w:val="21"/>
              </w:rPr>
              <w:t>μg/kg</w:t>
            </w:r>
          </w:p>
        </w:tc>
      </w:tr>
      <w:tr>
        <w:trPr>
          <w:trHeight w:val="361" w:hRule="atLeast"/>
        </w:trPr>
        <w:tc>
          <w:tcPr>
            <w:tcW w:w="427"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7"/>
              <w:jc w:val="left"/>
              <w:rPr>
                <w:sz w:val="15"/>
              </w:rPr>
            </w:pPr>
          </w:p>
          <w:p>
            <w:pPr>
              <w:pStyle w:val="TableParagraph"/>
              <w:spacing w:line="168" w:lineRule="auto" w:before="1"/>
              <w:ind w:left="107" w:right="83"/>
              <w:jc w:val="both"/>
              <w:rPr>
                <w:sz w:val="21"/>
              </w:rPr>
            </w:pPr>
            <w:r>
              <w:rPr>
                <w:sz w:val="21"/>
              </w:rPr>
              <w:t>项目厂址上风向土壤</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left="57"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right="103"/>
              <w:jc w:val="right"/>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2"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42" w:lineRule="exact"/>
              <w:ind w:left="77" w:right="74"/>
              <w:rPr>
                <w:sz w:val="21"/>
              </w:rPr>
            </w:pPr>
            <w:r>
              <w:rPr>
                <w:sz w:val="21"/>
              </w:rPr>
              <w:t>未检出</w:t>
            </w:r>
          </w:p>
        </w:tc>
      </w:tr>
      <w:tr>
        <w:trPr>
          <w:trHeight w:val="446"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line="390" w:lineRule="exact" w:before="36"/>
              <w:ind w:left="93" w:right="66"/>
              <w:rPr>
                <w:sz w:val="21"/>
              </w:rPr>
            </w:pPr>
            <w:r>
              <w:rPr>
                <w:rFonts w:ascii="Times New Roman" w:eastAsia="Times New Roman"/>
                <w:sz w:val="21"/>
              </w:rPr>
              <w:t>1,2-</w:t>
            </w:r>
            <w:r>
              <w:rPr>
                <w:sz w:val="21"/>
              </w:rPr>
              <w:t>二</w:t>
            </w:r>
          </w:p>
        </w:tc>
        <w:tc>
          <w:tcPr>
            <w:tcW w:w="109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9"/>
              </w:rPr>
            </w:pPr>
          </w:p>
          <w:p>
            <w:pPr>
              <w:pStyle w:val="TableParagraph"/>
              <w:spacing w:line="435" w:lineRule="exact" w:before="1"/>
              <w:ind w:left="95" w:right="65"/>
              <w:rPr>
                <w:sz w:val="21"/>
              </w:rPr>
            </w:pPr>
            <w:r>
              <w:rPr>
                <w:sz w:val="21"/>
              </w:rPr>
              <w:t>三氯乙烯</w:t>
            </w:r>
          </w:p>
          <w:p>
            <w:pPr>
              <w:pStyle w:val="TableParagraph"/>
              <w:spacing w:line="231" w:lineRule="exact"/>
              <w:ind w:left="94" w:right="65"/>
              <w:rPr>
                <w:rFonts w:ascii="Times New Roman" w:hAnsi="Times New Roman"/>
                <w:sz w:val="21"/>
              </w:rPr>
            </w:pPr>
            <w:r>
              <w:rPr>
                <w:rFonts w:ascii="Times New Roman" w:hAnsi="Times New Roman"/>
                <w:sz w:val="21"/>
              </w:rPr>
              <w:t>μg/kg</w:t>
            </w:r>
          </w:p>
        </w:tc>
        <w:tc>
          <w:tcPr>
            <w:tcW w:w="866" w:type="dxa"/>
            <w:tcBorders>
              <w:top w:val="single" w:sz="6" w:space="0" w:color="000000"/>
              <w:left w:val="single" w:sz="6" w:space="0" w:color="000000"/>
              <w:bottom w:val="nil"/>
              <w:right w:val="single" w:sz="6" w:space="0" w:color="000000"/>
            </w:tcBorders>
          </w:tcPr>
          <w:p>
            <w:pPr>
              <w:pStyle w:val="TableParagraph"/>
              <w:spacing w:line="337" w:lineRule="exact" w:before="89"/>
              <w:ind w:left="118" w:right="89"/>
              <w:rPr>
                <w:sz w:val="21"/>
              </w:rPr>
            </w:pPr>
            <w:r>
              <w:rPr>
                <w:rFonts w:ascii="Times New Roman" w:eastAsia="Times New Roman"/>
                <w:sz w:val="21"/>
              </w:rPr>
              <w:t>1,2-</w:t>
            </w:r>
            <w:r>
              <w:rPr>
                <w:sz w:val="21"/>
              </w:rPr>
              <w:t>二</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line="415" w:lineRule="exact"/>
              <w:ind w:left="231"/>
              <w:jc w:val="left"/>
              <w:rPr>
                <w:sz w:val="21"/>
              </w:rPr>
            </w:pPr>
            <w:r>
              <w:rPr>
                <w:sz w:val="21"/>
              </w:rPr>
              <w:t>甲苯</w:t>
            </w:r>
          </w:p>
          <w:p>
            <w:pPr>
              <w:pStyle w:val="TableParagraph"/>
              <w:spacing w:line="211" w:lineRule="exact"/>
              <w:ind w:left="200"/>
              <w:jc w:val="left"/>
              <w:rPr>
                <w:rFonts w:ascii="Times New Roman" w:hAnsi="Times New Roman"/>
                <w:sz w:val="21"/>
              </w:rPr>
            </w:pPr>
            <w:r>
              <w:rPr>
                <w:rFonts w:ascii="Times New Roman" w:hAnsi="Times New Roman"/>
                <w:sz w:val="21"/>
              </w:rPr>
              <w:t>μg/kg</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4" w:lineRule="exact" w:before="62"/>
              <w:ind w:left="205"/>
              <w:jc w:val="left"/>
              <w:rPr>
                <w:rFonts w:ascii="Times New Roman"/>
                <w:sz w:val="21"/>
              </w:rPr>
            </w:pPr>
            <w:r>
              <w:rPr>
                <w:rFonts w:ascii="Times New Roman"/>
                <w:sz w:val="21"/>
              </w:rPr>
              <w:t>1,1,2-</w:t>
            </w:r>
          </w:p>
          <w:p>
            <w:pPr>
              <w:pStyle w:val="TableParagraph"/>
              <w:spacing w:line="163" w:lineRule="auto" w:before="52"/>
              <w:ind w:left="133" w:right="101"/>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spacing w:line="354" w:lineRule="exact" w:before="72"/>
              <w:ind w:right="94"/>
              <w:jc w:val="right"/>
              <w:rPr>
                <w:sz w:val="21"/>
              </w:rPr>
            </w:pPr>
            <w:r>
              <w:rPr>
                <w:sz w:val="21"/>
              </w:rPr>
              <w:t>四氯乙</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21" w:lineRule="exact" w:before="29"/>
              <w:ind w:left="116"/>
              <w:jc w:val="left"/>
              <w:rPr>
                <w:rFonts w:ascii="Times New Roman"/>
                <w:sz w:val="21"/>
              </w:rPr>
            </w:pPr>
            <w:r>
              <w:rPr>
                <w:rFonts w:ascii="Times New Roman"/>
                <w:sz w:val="21"/>
              </w:rPr>
              <w:t>1,1,2,2-</w:t>
            </w:r>
          </w:p>
          <w:p>
            <w:pPr>
              <w:pStyle w:val="TableParagraph"/>
              <w:spacing w:line="168" w:lineRule="auto" w:before="72"/>
              <w:ind w:left="335" w:right="94" w:hanging="212"/>
              <w:jc w:val="left"/>
              <w:rPr>
                <w:sz w:val="21"/>
              </w:rPr>
            </w:pPr>
            <w:r>
              <w:rPr>
                <w:sz w:val="21"/>
              </w:rPr>
              <w:t>四氯乙烷</w:t>
            </w:r>
          </w:p>
          <w:p>
            <w:pPr>
              <w:pStyle w:val="TableParagraph"/>
              <w:spacing w:line="198" w:lineRule="exact"/>
              <w:ind w:left="198"/>
              <w:jc w:val="left"/>
              <w:rPr>
                <w:rFonts w:ascii="Times New Roman" w:hAnsi="Times New Roman"/>
                <w:sz w:val="21"/>
              </w:rPr>
            </w:pPr>
            <w:r>
              <w:rPr>
                <w:rFonts w:ascii="Times New Roman" w:hAnsi="Times New Roman"/>
                <w:sz w:val="21"/>
              </w:rPr>
              <w:t>μg/kg</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line="415" w:lineRule="exact"/>
              <w:ind w:left="232"/>
              <w:jc w:val="left"/>
              <w:rPr>
                <w:sz w:val="21"/>
              </w:rPr>
            </w:pPr>
            <w:r>
              <w:rPr>
                <w:sz w:val="21"/>
              </w:rPr>
              <w:t>氯苯</w:t>
            </w:r>
          </w:p>
          <w:p>
            <w:pPr>
              <w:pStyle w:val="TableParagraph"/>
              <w:spacing w:line="211" w:lineRule="exact"/>
              <w:ind w:left="201"/>
              <w:jc w:val="left"/>
              <w:rPr>
                <w:rFonts w:ascii="Times New Roman" w:hAnsi="Times New Roman"/>
                <w:sz w:val="21"/>
              </w:rPr>
            </w:pPr>
            <w:r>
              <w:rPr>
                <w:rFonts w:ascii="Times New Roman" w:hAnsi="Times New Roman"/>
                <w:sz w:val="21"/>
              </w:rPr>
              <w:t>μg/kg</w:t>
            </w:r>
          </w:p>
        </w:tc>
        <w:tc>
          <w:tcPr>
            <w:tcW w:w="883" w:type="dxa"/>
            <w:vMerge w:val="restart"/>
            <w:tcBorders>
              <w:top w:val="single" w:sz="6" w:space="0" w:color="000000"/>
              <w:left w:val="single" w:sz="6" w:space="0" w:color="000000"/>
              <w:bottom w:val="single" w:sz="6" w:space="0" w:color="000000"/>
            </w:tcBorders>
          </w:tcPr>
          <w:p>
            <w:pPr>
              <w:pStyle w:val="TableParagraph"/>
              <w:spacing w:before="16"/>
              <w:jc w:val="left"/>
              <w:rPr>
                <w:sz w:val="10"/>
              </w:rPr>
            </w:pPr>
          </w:p>
          <w:p>
            <w:pPr>
              <w:pStyle w:val="TableParagraph"/>
              <w:spacing w:line="415" w:lineRule="exact"/>
              <w:ind w:left="239"/>
              <w:jc w:val="left"/>
              <w:rPr>
                <w:sz w:val="21"/>
              </w:rPr>
            </w:pPr>
            <w:r>
              <w:rPr>
                <w:sz w:val="21"/>
              </w:rPr>
              <w:t>乙苯</w:t>
            </w:r>
          </w:p>
          <w:p>
            <w:pPr>
              <w:pStyle w:val="TableParagraph"/>
              <w:spacing w:line="211" w:lineRule="exact"/>
              <w:ind w:left="206"/>
              <w:jc w:val="left"/>
              <w:rPr>
                <w:rFonts w:ascii="Times New Roman" w:hAnsi="Times New Roman"/>
                <w:sz w:val="21"/>
              </w:rPr>
            </w:pPr>
            <w:r>
              <w:rPr>
                <w:rFonts w:ascii="Times New Roman" w:hAnsi="Times New Roman"/>
                <w:sz w:val="21"/>
              </w:rPr>
              <w:t>μg/kg</w:t>
            </w:r>
          </w:p>
        </w:tc>
      </w:tr>
      <w:tr>
        <w:trPr>
          <w:trHeight w:val="238"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19" w:lineRule="exact"/>
              <w:ind w:left="93" w:right="66"/>
              <w:rPr>
                <w:sz w:val="21"/>
              </w:rPr>
            </w:pPr>
            <w:r>
              <w:rPr>
                <w:sz w:val="21"/>
              </w:rPr>
              <w:t>氯乙烷</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nil"/>
              <w:right w:val="single" w:sz="6" w:space="0" w:color="000000"/>
            </w:tcBorders>
          </w:tcPr>
          <w:p>
            <w:pPr>
              <w:pStyle w:val="TableParagraph"/>
              <w:spacing w:line="219" w:lineRule="exact"/>
              <w:ind w:left="96" w:right="63"/>
              <w:rPr>
                <w:sz w:val="21"/>
              </w:rPr>
            </w:pPr>
            <w:r>
              <w:rPr>
                <w:sz w:val="21"/>
              </w:rPr>
              <w:t>氯丙烷</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19" w:lineRule="exact"/>
              <w:ind w:left="30"/>
              <w:rPr>
                <w:sz w:val="21"/>
              </w:rPr>
            </w:pPr>
            <w:r>
              <w:rPr>
                <w:w w:val="100"/>
                <w:sz w:val="21"/>
              </w:rPr>
              <w:t>烯</w:t>
            </w: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tcBorders>
          </w:tcPr>
          <w:p>
            <w:pPr>
              <w:rPr>
                <w:sz w:val="2"/>
                <w:szCs w:val="2"/>
              </w:rPr>
            </w:pPr>
          </w:p>
        </w:tc>
      </w:tr>
      <w:tr>
        <w:trPr>
          <w:trHeight w:val="417"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before="28"/>
              <w:ind w:left="93" w:right="64"/>
              <w:rPr>
                <w:rFonts w:ascii="Times New Roman" w:hAnsi="Times New Roman"/>
                <w:sz w:val="21"/>
              </w:rPr>
            </w:pPr>
            <w:r>
              <w:rPr>
                <w:rFonts w:ascii="Times New Roman" w:hAnsi="Times New Roman"/>
                <w:sz w:val="21"/>
              </w:rPr>
              <w:t>μg/kg</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single" w:sz="6" w:space="0" w:color="000000"/>
              <w:right w:val="single" w:sz="6" w:space="0" w:color="000000"/>
            </w:tcBorders>
          </w:tcPr>
          <w:p>
            <w:pPr>
              <w:pStyle w:val="TableParagraph"/>
              <w:spacing w:line="224" w:lineRule="exact"/>
              <w:ind w:left="120" w:right="89"/>
              <w:rPr>
                <w:rFonts w:ascii="Times New Roman" w:hAnsi="Times New Roman"/>
                <w:sz w:val="21"/>
              </w:rPr>
            </w:pPr>
            <w:r>
              <w:rPr>
                <w:rFonts w:ascii="Times New Roman" w:hAnsi="Times New Roman"/>
                <w:sz w:val="21"/>
              </w:rPr>
              <w:t>μg/kg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spacing w:before="23"/>
              <w:ind w:right="166"/>
              <w:jc w:val="right"/>
              <w:rPr>
                <w:rFonts w:ascii="Times New Roman" w:hAnsi="Times New Roman"/>
                <w:sz w:val="21"/>
              </w:rPr>
            </w:pPr>
            <w:r>
              <w:rPr>
                <w:rFonts w:ascii="Times New Roman" w:hAnsi="Times New Roman"/>
                <w:sz w:val="21"/>
              </w:rPr>
              <w:t>μg/kg</w:t>
            </w: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tcBorders>
          </w:tcPr>
          <w:p>
            <w:pPr>
              <w:rPr>
                <w:sz w:val="2"/>
                <w:szCs w:val="2"/>
              </w:rPr>
            </w:pPr>
          </w:p>
        </w:tc>
      </w:tr>
      <w:tr>
        <w:trPr>
          <w:trHeight w:val="354"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57"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4" w:lineRule="exact"/>
              <w:ind w:left="77" w:right="74"/>
              <w:rPr>
                <w:sz w:val="21"/>
              </w:rPr>
            </w:pPr>
            <w:r>
              <w:rPr>
                <w:sz w:val="21"/>
              </w:rPr>
              <w:t>未检出</w:t>
            </w:r>
          </w:p>
        </w:tc>
      </w:tr>
      <w:tr>
        <w:trPr>
          <w:trHeight w:val="311"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before="26"/>
              <w:ind w:left="93" w:right="63"/>
              <w:rPr>
                <w:rFonts w:ascii="Times New Roman"/>
                <w:sz w:val="21"/>
              </w:rPr>
            </w:pPr>
            <w:r>
              <w:rPr>
                <w:rFonts w:ascii="Times New Roman"/>
                <w:sz w:val="21"/>
              </w:rPr>
              <w:t>1,1,1,2-</w:t>
            </w:r>
          </w:p>
        </w:tc>
        <w:tc>
          <w:tcPr>
            <w:tcW w:w="1097" w:type="dxa"/>
            <w:tcBorders>
              <w:top w:val="single" w:sz="6" w:space="0" w:color="000000"/>
              <w:left w:val="single" w:sz="6" w:space="0" w:color="000000"/>
              <w:bottom w:val="nil"/>
              <w:right w:val="single" w:sz="6" w:space="0" w:color="000000"/>
            </w:tcBorders>
          </w:tcPr>
          <w:p>
            <w:pPr>
              <w:pStyle w:val="TableParagraph"/>
              <w:spacing w:line="292" w:lineRule="exact"/>
              <w:ind w:right="174"/>
              <w:jc w:val="right"/>
              <w:rPr>
                <w:sz w:val="21"/>
              </w:rPr>
            </w:pPr>
            <w:r>
              <w:rPr>
                <w:sz w:val="21"/>
              </w:rPr>
              <w:t>间</w:t>
            </w:r>
            <w:r>
              <w:rPr>
                <w:rFonts w:ascii="Times New Roman" w:eastAsia="Times New Roman"/>
                <w:sz w:val="21"/>
              </w:rPr>
              <w:t>-</w:t>
            </w:r>
            <w:r>
              <w:rPr>
                <w:sz w:val="21"/>
              </w:rPr>
              <w:t>二甲</w:t>
            </w:r>
          </w:p>
        </w:tc>
        <w:tc>
          <w:tcPr>
            <w:tcW w:w="8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80" w:lineRule="auto" w:before="184"/>
              <w:ind w:left="197" w:right="164" w:hanging="3"/>
              <w:jc w:val="both"/>
              <w:rPr>
                <w:rFonts w:ascii="Times New Roman" w:hAnsi="Times New Roman" w:eastAsia="Times New Roman"/>
                <w:sz w:val="21"/>
              </w:rPr>
            </w:pPr>
            <w:r>
              <w:rPr>
                <w:sz w:val="21"/>
              </w:rPr>
              <w:t>邻</w:t>
            </w:r>
            <w:r>
              <w:rPr>
                <w:rFonts w:ascii="Times New Roman" w:hAnsi="Times New Roman" w:eastAsia="Times New Roman"/>
                <w:sz w:val="21"/>
              </w:rPr>
              <w:t>-</w:t>
            </w:r>
            <w:r>
              <w:rPr>
                <w:sz w:val="21"/>
              </w:rPr>
              <w:t>二甲苯</w:t>
            </w:r>
            <w:r>
              <w:rPr>
                <w:rFonts w:ascii="Times New Roman" w:hAnsi="Times New Roman" w:eastAsia="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spacing w:line="229" w:lineRule="exact" w:before="62"/>
              <w:ind w:right="170"/>
              <w:jc w:val="right"/>
              <w:rPr>
                <w:rFonts w:ascii="Times New Roman"/>
                <w:sz w:val="21"/>
              </w:rPr>
            </w:pPr>
            <w:r>
              <w:rPr>
                <w:rFonts w:ascii="Times New Roman"/>
                <w:sz w:val="21"/>
              </w:rPr>
              <w:t>1,2,3-</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106"/>
              <w:ind w:left="171"/>
              <w:jc w:val="left"/>
              <w:rPr>
                <w:sz w:val="21"/>
              </w:rPr>
            </w:pPr>
            <w:r>
              <w:rPr>
                <w:rFonts w:ascii="Times New Roman" w:eastAsia="Times New Roman"/>
                <w:sz w:val="21"/>
              </w:rPr>
              <w:t>1,4-</w:t>
            </w:r>
            <w:r>
              <w:rPr>
                <w:sz w:val="21"/>
              </w:rPr>
              <w:t>二</w:t>
            </w:r>
          </w:p>
          <w:p>
            <w:pPr>
              <w:pStyle w:val="TableParagraph"/>
              <w:spacing w:line="348" w:lineRule="exact"/>
              <w:ind w:left="231"/>
              <w:jc w:val="left"/>
              <w:rPr>
                <w:sz w:val="21"/>
              </w:rPr>
            </w:pPr>
            <w:r>
              <w:rPr>
                <w:sz w:val="21"/>
              </w:rPr>
              <w:t>氯苯</w:t>
            </w:r>
          </w:p>
          <w:p>
            <w:pPr>
              <w:pStyle w:val="TableParagraph"/>
              <w:spacing w:line="211" w:lineRule="exact"/>
              <w:ind w:left="200"/>
              <w:jc w:val="left"/>
              <w:rPr>
                <w:rFonts w:ascii="Times New Roman" w:hAnsi="Times New Roman"/>
                <w:sz w:val="21"/>
              </w:rPr>
            </w:pPr>
            <w:r>
              <w:rPr>
                <w:rFonts w:ascii="Times New Roman" w:hAnsi="Times New Roman"/>
                <w:sz w:val="21"/>
              </w:rPr>
              <w:t>μg/kg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106"/>
              <w:ind w:left="169"/>
              <w:jc w:val="left"/>
              <w:rPr>
                <w:sz w:val="21"/>
              </w:rPr>
            </w:pPr>
            <w:r>
              <w:rPr>
                <w:rFonts w:ascii="Times New Roman" w:eastAsia="Times New Roman"/>
                <w:sz w:val="21"/>
              </w:rPr>
              <w:t>1,2-</w:t>
            </w:r>
            <w:r>
              <w:rPr>
                <w:sz w:val="21"/>
              </w:rPr>
              <w:t>二</w:t>
            </w:r>
          </w:p>
          <w:p>
            <w:pPr>
              <w:pStyle w:val="TableParagraph"/>
              <w:spacing w:line="348" w:lineRule="exact"/>
              <w:ind w:left="229"/>
              <w:jc w:val="left"/>
              <w:rPr>
                <w:sz w:val="21"/>
              </w:rPr>
            </w:pPr>
            <w:r>
              <w:rPr>
                <w:sz w:val="21"/>
              </w:rPr>
              <w:t>氯苯</w:t>
            </w:r>
          </w:p>
          <w:p>
            <w:pPr>
              <w:pStyle w:val="TableParagraph"/>
              <w:spacing w:line="211" w:lineRule="exact"/>
              <w:ind w:left="198"/>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62"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42" w:lineRule="exact"/>
              <w:ind w:left="93" w:right="66"/>
              <w:rPr>
                <w:sz w:val="21"/>
              </w:rPr>
            </w:pPr>
            <w:r>
              <w:rPr>
                <w:sz w:val="21"/>
              </w:rPr>
              <w:t>四氯乙</w:t>
            </w:r>
          </w:p>
        </w:tc>
        <w:tc>
          <w:tcPr>
            <w:tcW w:w="1097" w:type="dxa"/>
            <w:tcBorders>
              <w:top w:val="nil"/>
              <w:left w:val="single" w:sz="6" w:space="0" w:color="000000"/>
              <w:bottom w:val="nil"/>
              <w:right w:val="single" w:sz="6" w:space="0" w:color="000000"/>
            </w:tcBorders>
          </w:tcPr>
          <w:p>
            <w:pPr>
              <w:pStyle w:val="TableParagraph"/>
              <w:spacing w:line="242" w:lineRule="exact"/>
              <w:ind w:right="148"/>
              <w:jc w:val="right"/>
              <w:rPr>
                <w:sz w:val="21"/>
              </w:rPr>
            </w:pPr>
            <w:r>
              <w:rPr>
                <w:sz w:val="21"/>
              </w:rPr>
              <w:t>苯</w:t>
            </w:r>
            <w:r>
              <w:rPr>
                <w:rFonts w:ascii="Times New Roman" w:eastAsia="Times New Roman"/>
                <w:sz w:val="21"/>
              </w:rPr>
              <w:t>+</w:t>
            </w:r>
            <w:r>
              <w:rPr>
                <w:sz w:val="21"/>
              </w:rPr>
              <w:t>对二</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42" w:lineRule="exact"/>
              <w:ind w:right="94"/>
              <w:jc w:val="right"/>
              <w:rPr>
                <w:sz w:val="21"/>
              </w:rPr>
            </w:pPr>
            <w:r>
              <w:rPr>
                <w:sz w:val="21"/>
              </w:rPr>
              <w:t>苯乙烯</w:t>
            </w:r>
          </w:p>
        </w:tc>
        <w:tc>
          <w:tcPr>
            <w:tcW w:w="886" w:type="dxa"/>
            <w:tcBorders>
              <w:top w:val="nil"/>
              <w:left w:val="single" w:sz="6" w:space="0" w:color="000000"/>
              <w:bottom w:val="nil"/>
              <w:right w:val="single" w:sz="6" w:space="0" w:color="000000"/>
            </w:tcBorders>
          </w:tcPr>
          <w:p>
            <w:pPr>
              <w:pStyle w:val="TableParagraph"/>
              <w:spacing w:line="242" w:lineRule="exact"/>
              <w:ind w:right="101"/>
              <w:jc w:val="right"/>
              <w:rPr>
                <w:sz w:val="21"/>
              </w:rPr>
            </w:pPr>
            <w:r>
              <w:rPr>
                <w:sz w:val="21"/>
              </w:rPr>
              <w:t>三氯丙</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42" w:lineRule="exact"/>
              <w:ind w:left="31"/>
              <w:rPr>
                <w:sz w:val="21"/>
              </w:rPr>
            </w:pPr>
            <w:r>
              <w:rPr>
                <w:w w:val="100"/>
                <w:sz w:val="21"/>
              </w:rPr>
              <w:t>萘</w:t>
            </w:r>
          </w:p>
        </w:tc>
        <w:tc>
          <w:tcPr>
            <w:tcW w:w="883" w:type="dxa"/>
            <w:tcBorders>
              <w:top w:val="nil"/>
              <w:left w:val="single" w:sz="6" w:space="0" w:color="000000"/>
              <w:bottom w:val="nil"/>
            </w:tcBorders>
          </w:tcPr>
          <w:p>
            <w:pPr>
              <w:pStyle w:val="TableParagraph"/>
              <w:spacing w:line="242" w:lineRule="exact"/>
              <w:ind w:left="96" w:right="55"/>
              <w:rPr>
                <w:sz w:val="21"/>
              </w:rPr>
            </w:pPr>
            <w:r>
              <w:rPr>
                <w:sz w:val="21"/>
              </w:rPr>
              <w:t>氯甲烷</w:t>
            </w:r>
          </w:p>
        </w:tc>
      </w:tr>
      <w:tr>
        <w:trPr>
          <w:trHeight w:val="291"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72" w:lineRule="exact"/>
              <w:ind w:left="27"/>
              <w:rPr>
                <w:sz w:val="21"/>
              </w:rPr>
            </w:pPr>
            <w:r>
              <w:rPr>
                <w:w w:val="100"/>
                <w:sz w:val="21"/>
              </w:rPr>
              <w:t>烷</w:t>
            </w:r>
          </w:p>
        </w:tc>
        <w:tc>
          <w:tcPr>
            <w:tcW w:w="1097" w:type="dxa"/>
            <w:tcBorders>
              <w:top w:val="nil"/>
              <w:left w:val="single" w:sz="6" w:space="0" w:color="000000"/>
              <w:bottom w:val="nil"/>
              <w:right w:val="single" w:sz="6" w:space="0" w:color="000000"/>
            </w:tcBorders>
          </w:tcPr>
          <w:p>
            <w:pPr>
              <w:pStyle w:val="TableParagraph"/>
              <w:spacing w:line="272" w:lineRule="exact"/>
              <w:ind w:left="346"/>
              <w:jc w:val="left"/>
              <w:rPr>
                <w:sz w:val="21"/>
              </w:rPr>
            </w:pPr>
            <w:r>
              <w:rPr>
                <w:sz w:val="21"/>
              </w:rPr>
              <w:t>甲苯</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34" w:lineRule="exact"/>
              <w:ind w:right="166"/>
              <w:jc w:val="right"/>
              <w:rPr>
                <w:rFonts w:ascii="Times New Roman" w:hAnsi="Times New Roman"/>
                <w:sz w:val="21"/>
              </w:rPr>
            </w:pPr>
            <w:r>
              <w:rPr>
                <w:rFonts w:ascii="Times New Roman" w:hAnsi="Times New Roman"/>
                <w:sz w:val="21"/>
              </w:rPr>
              <w:t>μg/kg</w:t>
            </w:r>
          </w:p>
        </w:tc>
        <w:tc>
          <w:tcPr>
            <w:tcW w:w="886" w:type="dxa"/>
            <w:tcBorders>
              <w:top w:val="nil"/>
              <w:left w:val="single" w:sz="6" w:space="0" w:color="000000"/>
              <w:bottom w:val="nil"/>
              <w:right w:val="single" w:sz="6" w:space="0" w:color="000000"/>
            </w:tcBorders>
          </w:tcPr>
          <w:p>
            <w:pPr>
              <w:pStyle w:val="TableParagraph"/>
              <w:spacing w:line="272" w:lineRule="exact"/>
              <w:ind w:left="30"/>
              <w:rPr>
                <w:sz w:val="21"/>
              </w:rPr>
            </w:pPr>
            <w:r>
              <w:rPr>
                <w:w w:val="100"/>
                <w:sz w:val="21"/>
              </w:rPr>
              <w:t>烷</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34" w:lineRule="exact"/>
              <w:ind w:left="126" w:right="93"/>
              <w:rPr>
                <w:rFonts w:ascii="Times New Roman" w:hAnsi="Times New Roman"/>
                <w:sz w:val="21"/>
              </w:rPr>
            </w:pPr>
            <w:r>
              <w:rPr>
                <w:rFonts w:ascii="Times New Roman" w:hAnsi="Times New Roman"/>
                <w:sz w:val="21"/>
              </w:rPr>
              <w:t>μg/kg</w:t>
            </w:r>
          </w:p>
        </w:tc>
        <w:tc>
          <w:tcPr>
            <w:tcW w:w="883" w:type="dxa"/>
            <w:tcBorders>
              <w:top w:val="nil"/>
              <w:left w:val="single" w:sz="6" w:space="0" w:color="000000"/>
              <w:bottom w:val="nil"/>
            </w:tcBorders>
          </w:tcPr>
          <w:p>
            <w:pPr>
              <w:pStyle w:val="TableParagraph"/>
              <w:spacing w:before="12"/>
              <w:ind w:left="96" w:right="57"/>
              <w:rPr>
                <w:rFonts w:ascii="Times New Roman" w:hAnsi="Times New Roman"/>
                <w:sz w:val="21"/>
              </w:rPr>
            </w:pPr>
            <w:r>
              <w:rPr>
                <w:rFonts w:ascii="Times New Roman" w:hAnsi="Times New Roman"/>
                <w:sz w:val="21"/>
              </w:rPr>
              <w:t>μg/kg</w:t>
            </w:r>
          </w:p>
        </w:tc>
      </w:tr>
      <w:tr>
        <w:trPr>
          <w:trHeight w:val="277"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before="7"/>
              <w:ind w:left="93" w:right="64"/>
              <w:rPr>
                <w:rFonts w:ascii="Times New Roman" w:hAnsi="Times New Roman"/>
                <w:sz w:val="21"/>
              </w:rPr>
            </w:pPr>
            <w:r>
              <w:rPr>
                <w:rFonts w:ascii="Times New Roman" w:hAnsi="Times New Roman"/>
                <w:sz w:val="21"/>
              </w:rPr>
              <w:t>μg/kg</w:t>
            </w:r>
          </w:p>
        </w:tc>
        <w:tc>
          <w:tcPr>
            <w:tcW w:w="1097" w:type="dxa"/>
            <w:tcBorders>
              <w:top w:val="nil"/>
              <w:left w:val="single" w:sz="6" w:space="0" w:color="000000"/>
              <w:bottom w:val="single" w:sz="6" w:space="0" w:color="000000"/>
              <w:right w:val="single" w:sz="6" w:space="0" w:color="000000"/>
            </w:tcBorders>
          </w:tcPr>
          <w:p>
            <w:pPr>
              <w:pStyle w:val="TableParagraph"/>
              <w:spacing w:before="7"/>
              <w:ind w:left="312"/>
              <w:jc w:val="left"/>
              <w:rPr>
                <w:rFonts w:ascii="Times New Roman" w:hAnsi="Times New Roman"/>
                <w:sz w:val="21"/>
              </w:rPr>
            </w:pPr>
            <w:r>
              <w:rPr>
                <w:rFonts w:ascii="Times New Roman" w:hAnsi="Times New Roman"/>
                <w:sz w:val="21"/>
              </w:rPr>
              <w:t>μg/kg</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spacing w:before="2"/>
              <w:ind w:right="173"/>
              <w:jc w:val="right"/>
              <w:rPr>
                <w:rFonts w:ascii="Times New Roman" w:hAnsi="Times New Roman"/>
                <w:sz w:val="21"/>
              </w:rPr>
            </w:pPr>
            <w:r>
              <w:rPr>
                <w:rFonts w:ascii="Times New Roman" w:hAnsi="Times New Roman"/>
                <w:sz w:val="21"/>
              </w:rPr>
              <w:t>μg/kg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353"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57"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4" w:lineRule="exact"/>
              <w:ind w:left="77" w:right="74"/>
              <w:rPr>
                <w:sz w:val="21"/>
              </w:rPr>
            </w:pPr>
            <w:r>
              <w:rPr>
                <w:sz w:val="21"/>
              </w:rPr>
              <w:t>未检出</w:t>
            </w:r>
          </w:p>
        </w:tc>
      </w:tr>
      <w:tr>
        <w:trPr>
          <w:trHeight w:val="271"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097"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spacing w:line="251" w:lineRule="exact"/>
              <w:ind w:right="101"/>
              <w:jc w:val="right"/>
              <w:rPr>
                <w:sz w:val="21"/>
              </w:rPr>
            </w:pPr>
            <w:r>
              <w:rPr>
                <w:sz w:val="21"/>
              </w:rPr>
              <w:t>二苯并</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80" w:lineRule="auto" w:before="150"/>
              <w:ind w:left="116" w:right="81"/>
              <w:rPr>
                <w:rFonts w:ascii="Times New Roman" w:eastAsia="Times New Roman"/>
                <w:sz w:val="21"/>
              </w:rPr>
            </w:pPr>
            <w:r>
              <w:rPr>
                <w:sz w:val="21"/>
              </w:rPr>
              <w:t>苯并</w:t>
            </w:r>
            <w:r>
              <w:rPr>
                <w:rFonts w:ascii="Times New Roman" w:eastAsia="Times New Roman"/>
                <w:sz w:val="21"/>
              </w:rPr>
              <w:t>(a) </w:t>
            </w:r>
            <w:r>
              <w:rPr>
                <w:sz w:val="21"/>
              </w:rPr>
              <w:t>芘 </w:t>
            </w:r>
            <w:r>
              <w:rPr>
                <w:rFonts w:ascii="Times New Roman" w:eastAsia="Times New Roman"/>
                <w:sz w:val="21"/>
              </w:rPr>
              <w:t>mg/kg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229"/>
              <w:jc w:val="left"/>
              <w:rPr>
                <w:sz w:val="21"/>
              </w:rPr>
            </w:pPr>
            <w:r>
              <w:rPr>
                <w:sz w:val="21"/>
              </w:rPr>
              <w:t>苯并</w:t>
            </w:r>
          </w:p>
          <w:p>
            <w:pPr>
              <w:pStyle w:val="TableParagraph"/>
              <w:spacing w:line="168" w:lineRule="auto" w:before="26"/>
              <w:ind w:left="114" w:right="161"/>
              <w:rPr>
                <w:sz w:val="21"/>
              </w:rPr>
            </w:pPr>
            <w:r>
              <w:rPr>
                <w:spacing w:val="-28"/>
                <w:sz w:val="21"/>
              </w:rPr>
              <w:t>（</w:t>
            </w:r>
            <w:r>
              <w:rPr>
                <w:rFonts w:ascii="Times New Roman" w:eastAsia="Times New Roman"/>
                <w:spacing w:val="-28"/>
                <w:sz w:val="21"/>
              </w:rPr>
              <w:t>b</w:t>
            </w:r>
            <w:r>
              <w:rPr>
                <w:spacing w:val="-28"/>
                <w:sz w:val="21"/>
              </w:rPr>
              <w:t>）</w:t>
            </w:r>
            <w:r>
              <w:rPr>
                <w:spacing w:val="-82"/>
                <w:sz w:val="21"/>
              </w:rPr>
              <w:t>荧</w:t>
            </w:r>
            <w:r>
              <w:rPr>
                <w:sz w:val="21"/>
              </w:rPr>
              <w:t>蒽</w:t>
            </w:r>
          </w:p>
          <w:p>
            <w:pPr>
              <w:pStyle w:val="TableParagraph"/>
              <w:spacing w:line="198" w:lineRule="exact"/>
              <w:ind w:left="172"/>
              <w:jc w:val="left"/>
              <w:rPr>
                <w:rFonts w:ascii="Times New Roman"/>
                <w:sz w:val="21"/>
              </w:rPr>
            </w:pPr>
            <w:r>
              <w:rPr>
                <w:rFonts w:ascii="Times New Roman"/>
                <w:sz w:val="21"/>
              </w:rPr>
              <w:t>mg/kg</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232"/>
              <w:jc w:val="left"/>
              <w:rPr>
                <w:sz w:val="21"/>
              </w:rPr>
            </w:pPr>
            <w:r>
              <w:rPr>
                <w:sz w:val="21"/>
              </w:rPr>
              <w:t>苯并</w:t>
            </w:r>
          </w:p>
          <w:p>
            <w:pPr>
              <w:pStyle w:val="TableParagraph"/>
              <w:spacing w:line="168" w:lineRule="auto" w:before="26"/>
              <w:ind w:left="117" w:right="160"/>
              <w:rPr>
                <w:sz w:val="21"/>
              </w:rPr>
            </w:pPr>
            <w:r>
              <w:rPr>
                <w:spacing w:val="-28"/>
                <w:sz w:val="21"/>
              </w:rPr>
              <w:t>（</w:t>
            </w:r>
            <w:r>
              <w:rPr>
                <w:rFonts w:ascii="Times New Roman" w:eastAsia="Times New Roman"/>
                <w:spacing w:val="-28"/>
                <w:sz w:val="21"/>
              </w:rPr>
              <w:t>k</w:t>
            </w:r>
            <w:r>
              <w:rPr>
                <w:spacing w:val="-28"/>
                <w:sz w:val="21"/>
              </w:rPr>
              <w:t>）</w:t>
            </w:r>
            <w:r>
              <w:rPr>
                <w:spacing w:val="-82"/>
                <w:sz w:val="21"/>
              </w:rPr>
              <w:t>荧</w:t>
            </w:r>
            <w:r>
              <w:rPr>
                <w:sz w:val="21"/>
              </w:rPr>
              <w:t>蒽</w:t>
            </w:r>
          </w:p>
          <w:p>
            <w:pPr>
              <w:pStyle w:val="TableParagraph"/>
              <w:spacing w:line="198" w:lineRule="exact"/>
              <w:ind w:left="174"/>
              <w:jc w:val="left"/>
              <w:rPr>
                <w:rFonts w:ascii="Times New Roman"/>
                <w:sz w:val="21"/>
              </w:rPr>
            </w:pPr>
            <w:r>
              <w:rPr>
                <w:rFonts w:ascii="Times New Roman"/>
                <w:sz w:val="21"/>
              </w:rPr>
              <w:t>mg/kg</w:t>
            </w: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86"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67" w:lineRule="exact"/>
              <w:ind w:left="93" w:right="66"/>
              <w:rPr>
                <w:sz w:val="21"/>
              </w:rPr>
            </w:pPr>
            <w:r>
              <w:rPr>
                <w:sz w:val="21"/>
              </w:rPr>
              <w:t>氯乙烯</w:t>
            </w:r>
          </w:p>
        </w:tc>
        <w:tc>
          <w:tcPr>
            <w:tcW w:w="1097" w:type="dxa"/>
            <w:tcBorders>
              <w:top w:val="nil"/>
              <w:left w:val="single" w:sz="6" w:space="0" w:color="000000"/>
              <w:bottom w:val="nil"/>
              <w:right w:val="single" w:sz="6" w:space="0" w:color="000000"/>
            </w:tcBorders>
          </w:tcPr>
          <w:p>
            <w:pPr>
              <w:pStyle w:val="TableParagraph"/>
              <w:spacing w:line="267" w:lineRule="exact"/>
              <w:ind w:left="257"/>
              <w:jc w:val="left"/>
              <w:rPr>
                <w:sz w:val="21"/>
              </w:rPr>
            </w:pPr>
            <w:r>
              <w:rPr>
                <w:rFonts w:ascii="Times New Roman" w:eastAsia="Times New Roman"/>
                <w:sz w:val="21"/>
              </w:rPr>
              <w:t>2-</w:t>
            </w:r>
            <w:r>
              <w:rPr>
                <w:sz w:val="21"/>
              </w:rPr>
              <w:t>氯酚</w:t>
            </w:r>
          </w:p>
        </w:tc>
        <w:tc>
          <w:tcPr>
            <w:tcW w:w="866" w:type="dxa"/>
            <w:tcBorders>
              <w:top w:val="nil"/>
              <w:left w:val="single" w:sz="6" w:space="0" w:color="000000"/>
              <w:bottom w:val="nil"/>
              <w:right w:val="single" w:sz="6" w:space="0" w:color="000000"/>
            </w:tcBorders>
          </w:tcPr>
          <w:p>
            <w:pPr>
              <w:pStyle w:val="TableParagraph"/>
              <w:spacing w:line="267" w:lineRule="exact"/>
              <w:ind w:left="96" w:right="63"/>
              <w:rPr>
                <w:sz w:val="21"/>
              </w:rPr>
            </w:pPr>
            <w:r>
              <w:rPr>
                <w:sz w:val="21"/>
              </w:rPr>
              <w:t>硝基苯</w:t>
            </w:r>
          </w:p>
        </w:tc>
        <w:tc>
          <w:tcPr>
            <w:tcW w:w="871" w:type="dxa"/>
            <w:tcBorders>
              <w:top w:val="nil"/>
              <w:left w:val="single" w:sz="6" w:space="0" w:color="000000"/>
              <w:bottom w:val="nil"/>
              <w:right w:val="single" w:sz="6" w:space="0" w:color="000000"/>
            </w:tcBorders>
          </w:tcPr>
          <w:p>
            <w:pPr>
              <w:pStyle w:val="TableParagraph"/>
              <w:spacing w:line="267" w:lineRule="exact"/>
              <w:ind w:left="231"/>
              <w:jc w:val="left"/>
              <w:rPr>
                <w:sz w:val="21"/>
              </w:rPr>
            </w:pPr>
            <w:r>
              <w:rPr>
                <w:sz w:val="21"/>
              </w:rPr>
              <w:t>苯胺</w:t>
            </w:r>
          </w:p>
        </w:tc>
        <w:tc>
          <w:tcPr>
            <w:tcW w:w="886" w:type="dxa"/>
            <w:tcBorders>
              <w:top w:val="nil"/>
              <w:left w:val="single" w:sz="6" w:space="0" w:color="000000"/>
              <w:bottom w:val="nil"/>
              <w:right w:val="single" w:sz="6" w:space="0" w:color="000000"/>
            </w:tcBorders>
          </w:tcPr>
          <w:p>
            <w:pPr>
              <w:pStyle w:val="TableParagraph"/>
              <w:spacing w:line="267" w:lineRule="exact"/>
              <w:ind w:right="82"/>
              <w:jc w:val="right"/>
              <w:rPr>
                <w:sz w:val="21"/>
              </w:rPr>
            </w:pPr>
            <w:r>
              <w:rPr>
                <w:sz w:val="21"/>
              </w:rPr>
              <w:t>（</w:t>
            </w:r>
            <w:r>
              <w:rPr>
                <w:rFonts w:ascii="Times New Roman" w:eastAsia="Times New Roman"/>
                <w:sz w:val="21"/>
              </w:rPr>
              <w:t>a,h</w:t>
            </w:r>
            <w:r>
              <w:rPr>
                <w:sz w:val="21"/>
              </w:rPr>
              <w:t>）</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nil"/>
            </w:tcBorders>
          </w:tcPr>
          <w:p>
            <w:pPr>
              <w:pStyle w:val="TableParagraph"/>
              <w:spacing w:line="267" w:lineRule="exact"/>
              <w:ind w:left="36"/>
              <w:rPr>
                <w:sz w:val="21"/>
              </w:rPr>
            </w:pPr>
            <w:r>
              <w:rPr>
                <w:w w:val="100"/>
                <w:sz w:val="21"/>
              </w:rPr>
              <w:t>䓛</w:t>
            </w:r>
          </w:p>
        </w:tc>
      </w:tr>
      <w:tr>
        <w:trPr>
          <w:trHeight w:val="274"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41" w:lineRule="exact"/>
              <w:ind w:left="93" w:right="64"/>
              <w:rPr>
                <w:rFonts w:ascii="Times New Roman" w:hAnsi="Times New Roman"/>
                <w:sz w:val="21"/>
              </w:rPr>
            </w:pPr>
            <w:r>
              <w:rPr>
                <w:rFonts w:ascii="Times New Roman" w:hAnsi="Times New Roman"/>
                <w:sz w:val="21"/>
              </w:rPr>
              <w:t>μg/kg</w:t>
            </w:r>
          </w:p>
        </w:tc>
        <w:tc>
          <w:tcPr>
            <w:tcW w:w="1097" w:type="dxa"/>
            <w:tcBorders>
              <w:top w:val="nil"/>
              <w:left w:val="single" w:sz="6" w:space="0" w:color="000000"/>
              <w:bottom w:val="nil"/>
              <w:right w:val="single" w:sz="6" w:space="0" w:color="000000"/>
            </w:tcBorders>
          </w:tcPr>
          <w:p>
            <w:pPr>
              <w:pStyle w:val="TableParagraph"/>
              <w:spacing w:line="241" w:lineRule="exact"/>
              <w:ind w:left="286"/>
              <w:jc w:val="left"/>
              <w:rPr>
                <w:rFonts w:ascii="Times New Roman"/>
                <w:sz w:val="21"/>
              </w:rPr>
            </w:pPr>
            <w:r>
              <w:rPr>
                <w:rFonts w:ascii="Times New Roman"/>
                <w:sz w:val="21"/>
              </w:rPr>
              <w:t>mg/kg</w:t>
            </w:r>
          </w:p>
        </w:tc>
        <w:tc>
          <w:tcPr>
            <w:tcW w:w="866" w:type="dxa"/>
            <w:tcBorders>
              <w:top w:val="nil"/>
              <w:left w:val="single" w:sz="6" w:space="0" w:color="000000"/>
              <w:bottom w:val="nil"/>
              <w:right w:val="single" w:sz="6" w:space="0" w:color="000000"/>
            </w:tcBorders>
          </w:tcPr>
          <w:p>
            <w:pPr>
              <w:pStyle w:val="TableParagraph"/>
              <w:spacing w:line="236" w:lineRule="exact"/>
              <w:ind w:left="115" w:right="89"/>
              <w:rPr>
                <w:rFonts w:ascii="Times New Roman"/>
                <w:sz w:val="21"/>
              </w:rPr>
            </w:pPr>
            <w:r>
              <w:rPr>
                <w:rFonts w:ascii="Times New Roman"/>
                <w:sz w:val="21"/>
              </w:rPr>
              <w:t>mg/kg</w:t>
            </w:r>
          </w:p>
        </w:tc>
        <w:tc>
          <w:tcPr>
            <w:tcW w:w="871" w:type="dxa"/>
            <w:tcBorders>
              <w:top w:val="nil"/>
              <w:left w:val="single" w:sz="6" w:space="0" w:color="000000"/>
              <w:bottom w:val="nil"/>
              <w:right w:val="single" w:sz="6" w:space="0" w:color="000000"/>
            </w:tcBorders>
          </w:tcPr>
          <w:p>
            <w:pPr>
              <w:pStyle w:val="TableParagraph"/>
              <w:spacing w:line="236" w:lineRule="exact"/>
              <w:ind w:right="144"/>
              <w:jc w:val="right"/>
              <w:rPr>
                <w:rFonts w:ascii="Times New Roman"/>
                <w:sz w:val="21"/>
              </w:rPr>
            </w:pPr>
            <w:r>
              <w:rPr>
                <w:rFonts w:ascii="Times New Roman"/>
                <w:sz w:val="21"/>
              </w:rPr>
              <w:t>mg/kg</w:t>
            </w:r>
          </w:p>
        </w:tc>
        <w:tc>
          <w:tcPr>
            <w:tcW w:w="886" w:type="dxa"/>
            <w:tcBorders>
              <w:top w:val="nil"/>
              <w:left w:val="single" w:sz="6" w:space="0" w:color="000000"/>
              <w:bottom w:val="nil"/>
              <w:right w:val="single" w:sz="6" w:space="0" w:color="000000"/>
            </w:tcBorders>
          </w:tcPr>
          <w:p>
            <w:pPr>
              <w:pStyle w:val="TableParagraph"/>
              <w:spacing w:line="254" w:lineRule="exact"/>
              <w:ind w:left="30"/>
              <w:rPr>
                <w:sz w:val="21"/>
              </w:rPr>
            </w:pPr>
            <w:r>
              <w:rPr>
                <w:w w:val="100"/>
                <w:sz w:val="21"/>
              </w:rPr>
              <w:t>蒽</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nil"/>
            </w:tcBorders>
          </w:tcPr>
          <w:p>
            <w:pPr>
              <w:pStyle w:val="TableParagraph"/>
              <w:spacing w:line="236" w:lineRule="exact"/>
              <w:ind w:left="96" w:right="62"/>
              <w:rPr>
                <w:rFonts w:ascii="Times New Roman"/>
                <w:sz w:val="21"/>
              </w:rPr>
            </w:pPr>
            <w:r>
              <w:rPr>
                <w:rFonts w:ascii="Times New Roman"/>
                <w:sz w:val="21"/>
              </w:rPr>
              <w:t>mg/kg</w:t>
            </w:r>
          </w:p>
        </w:tc>
      </w:tr>
      <w:tr>
        <w:trPr>
          <w:trHeight w:val="241"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1097"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66"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86" w:type="dxa"/>
            <w:tcBorders>
              <w:top w:val="nil"/>
              <w:left w:val="single" w:sz="6" w:space="0" w:color="000000"/>
              <w:bottom w:val="single" w:sz="6" w:space="0" w:color="000000"/>
              <w:right w:val="single" w:sz="6" w:space="0" w:color="000000"/>
            </w:tcBorders>
          </w:tcPr>
          <w:p>
            <w:pPr>
              <w:pStyle w:val="TableParagraph"/>
              <w:spacing w:line="219" w:lineRule="exact" w:before="2"/>
              <w:ind w:right="152"/>
              <w:jc w:val="right"/>
              <w:rPr>
                <w:rFonts w:ascii="Times New Roman"/>
                <w:sz w:val="21"/>
              </w:rPr>
            </w:pPr>
            <w:r>
              <w:rPr>
                <w:rFonts w:ascii="Times New Roman"/>
                <w:sz w:val="21"/>
              </w:rPr>
              <w:t>mg/kg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single" w:sz="6" w:space="0" w:color="000000"/>
            </w:tcBorders>
          </w:tcPr>
          <w:p>
            <w:pPr>
              <w:pStyle w:val="TableParagraph"/>
              <w:jc w:val="left"/>
              <w:rPr>
                <w:rFonts w:ascii="Times New Roman"/>
                <w:sz w:val="16"/>
              </w:rPr>
            </w:pPr>
          </w:p>
        </w:tc>
      </w:tr>
      <w:tr>
        <w:trPr>
          <w:trHeight w:val="353"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57"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115"/>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8" w:right="7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2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3"/>
              <w:jc w:val="right"/>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86" w:right="78"/>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3" w:right="81"/>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4" w:lineRule="exact"/>
              <w:ind w:left="77" w:right="74"/>
              <w:rPr>
                <w:sz w:val="21"/>
              </w:rPr>
            </w:pPr>
            <w:r>
              <w:rPr>
                <w:sz w:val="21"/>
              </w:rPr>
              <w:t>未检出</w:t>
            </w:r>
          </w:p>
        </w:tc>
      </w:tr>
      <w:tr>
        <w:trPr>
          <w:trHeight w:val="289"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line="269" w:lineRule="exact"/>
              <w:ind w:left="93" w:right="66"/>
              <w:rPr>
                <w:sz w:val="21"/>
              </w:rPr>
            </w:pPr>
            <w:r>
              <w:rPr>
                <w:sz w:val="21"/>
              </w:rPr>
              <w:t>二苯并</w:t>
            </w:r>
          </w:p>
        </w:tc>
        <w:tc>
          <w:tcPr>
            <w:tcW w:w="1097"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435" w:lineRule="exact" w:before="72"/>
              <w:ind w:left="95" w:right="63"/>
              <w:rPr>
                <w:sz w:val="21"/>
              </w:rPr>
            </w:pPr>
            <w:r>
              <w:rPr>
                <w:sz w:val="21"/>
              </w:rPr>
              <w:t>茚并</w:t>
            </w:r>
          </w:p>
          <w:p>
            <w:pPr>
              <w:pStyle w:val="TableParagraph"/>
              <w:spacing w:line="210" w:lineRule="exact"/>
              <w:ind w:left="95" w:right="65"/>
              <w:rPr>
                <w:rFonts w:ascii="Times New Roman"/>
                <w:sz w:val="21"/>
              </w:rPr>
            </w:pPr>
            <w:r>
              <w:rPr>
                <w:rFonts w:ascii="Times New Roman"/>
                <w:sz w:val="21"/>
              </w:rPr>
              <w:t>(1,2,3-c,d)</w:t>
            </w:r>
          </w:p>
          <w:p>
            <w:pPr>
              <w:pStyle w:val="TableParagraph"/>
              <w:spacing w:line="424" w:lineRule="exact"/>
              <w:ind w:left="94" w:right="65"/>
              <w:rPr>
                <w:rFonts w:ascii="Times New Roman" w:eastAsia="Times New Roman"/>
                <w:sz w:val="21"/>
              </w:rPr>
            </w:pPr>
            <w:r>
              <w:rPr>
                <w:sz w:val="21"/>
              </w:rPr>
              <w:t>芘 </w:t>
            </w:r>
            <w:r>
              <w:rPr>
                <w:rFonts w:ascii="Times New Roman" w:eastAsia="Times New Roman"/>
                <w:sz w:val="21"/>
              </w:rPr>
              <w:t>mg/kg</w:t>
            </w:r>
          </w:p>
        </w:tc>
        <w:tc>
          <w:tcPr>
            <w:tcW w:w="86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9"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592"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88" w:lineRule="exact"/>
              <w:ind w:left="93" w:right="66"/>
              <w:rPr>
                <w:sz w:val="21"/>
              </w:rPr>
            </w:pPr>
            <w:r>
              <w:rPr>
                <w:sz w:val="21"/>
              </w:rPr>
              <w:t>（</w:t>
            </w:r>
            <w:r>
              <w:rPr>
                <w:rFonts w:ascii="Times New Roman" w:eastAsia="Times New Roman"/>
                <w:sz w:val="21"/>
              </w:rPr>
              <w:t>a,h</w:t>
            </w:r>
            <w:r>
              <w:rPr>
                <w:sz w:val="21"/>
              </w:rPr>
              <w:t>）</w:t>
            </w:r>
          </w:p>
          <w:p>
            <w:pPr>
              <w:pStyle w:val="TableParagraph"/>
              <w:spacing w:line="285" w:lineRule="exact"/>
              <w:ind w:left="27"/>
              <w:rPr>
                <w:sz w:val="21"/>
              </w:rPr>
            </w:pPr>
            <w:r>
              <w:rPr>
                <w:w w:val="100"/>
                <w:sz w:val="21"/>
              </w:rPr>
              <w:t>蒽</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nil"/>
              <w:right w:val="single" w:sz="6" w:space="0" w:color="000000"/>
            </w:tcBorders>
          </w:tcPr>
          <w:p>
            <w:pPr>
              <w:pStyle w:val="TableParagraph"/>
              <w:spacing w:before="177"/>
              <w:ind w:left="30"/>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177"/>
              <w:ind w:left="30"/>
              <w:rPr>
                <w:rFonts w:ascii="Times New Roman"/>
                <w:sz w:val="21"/>
              </w:rPr>
            </w:pPr>
            <w:r>
              <w:rPr>
                <w:rFonts w:ascii="Times New Roman"/>
                <w:w w:val="100"/>
                <w:sz w:val="21"/>
              </w:rPr>
              <w:t>/</w:t>
            </w:r>
          </w:p>
        </w:tc>
        <w:tc>
          <w:tcPr>
            <w:tcW w:w="886" w:type="dxa"/>
            <w:tcBorders>
              <w:top w:val="nil"/>
              <w:left w:val="single" w:sz="6" w:space="0" w:color="000000"/>
              <w:bottom w:val="nil"/>
              <w:right w:val="single" w:sz="6" w:space="0" w:color="000000"/>
            </w:tcBorders>
          </w:tcPr>
          <w:p>
            <w:pPr>
              <w:pStyle w:val="TableParagraph"/>
              <w:spacing w:before="177"/>
              <w:ind w:left="31"/>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177"/>
              <w:ind w:left="31"/>
              <w:rPr>
                <w:rFonts w:ascii="Times New Roman"/>
                <w:sz w:val="21"/>
              </w:rPr>
            </w:pPr>
            <w:r>
              <w:rPr>
                <w:rFonts w:ascii="Times New Roman"/>
                <w:w w:val="100"/>
                <w:sz w:val="21"/>
              </w:rPr>
              <w:t>/</w:t>
            </w:r>
          </w:p>
        </w:tc>
        <w:tc>
          <w:tcPr>
            <w:tcW w:w="869" w:type="dxa"/>
            <w:tcBorders>
              <w:top w:val="nil"/>
              <w:left w:val="single" w:sz="6" w:space="0" w:color="000000"/>
              <w:bottom w:val="nil"/>
              <w:right w:val="single" w:sz="6" w:space="0" w:color="000000"/>
            </w:tcBorders>
          </w:tcPr>
          <w:p>
            <w:pPr>
              <w:pStyle w:val="TableParagraph"/>
              <w:spacing w:before="177"/>
              <w:ind w:left="28"/>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177"/>
              <w:ind w:left="32"/>
              <w:rPr>
                <w:rFonts w:ascii="Times New Roman"/>
                <w:sz w:val="21"/>
              </w:rPr>
            </w:pPr>
            <w:r>
              <w:rPr>
                <w:rFonts w:ascii="Times New Roman"/>
                <w:w w:val="100"/>
                <w:sz w:val="21"/>
              </w:rPr>
              <w:t>/</w:t>
            </w:r>
          </w:p>
        </w:tc>
        <w:tc>
          <w:tcPr>
            <w:tcW w:w="883" w:type="dxa"/>
            <w:tcBorders>
              <w:top w:val="nil"/>
              <w:left w:val="single" w:sz="6" w:space="0" w:color="000000"/>
              <w:bottom w:val="nil"/>
            </w:tcBorders>
          </w:tcPr>
          <w:p>
            <w:pPr>
              <w:pStyle w:val="TableParagraph"/>
              <w:spacing w:before="177"/>
              <w:ind w:left="37"/>
              <w:rPr>
                <w:rFonts w:ascii="Times New Roman"/>
                <w:sz w:val="21"/>
              </w:rPr>
            </w:pPr>
            <w:r>
              <w:rPr>
                <w:rFonts w:ascii="Times New Roman"/>
                <w:w w:val="100"/>
                <w:sz w:val="21"/>
              </w:rPr>
              <w:t>/</w:t>
            </w:r>
          </w:p>
        </w:tc>
      </w:tr>
      <w:tr>
        <w:trPr>
          <w:trHeight w:val="292"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before="23"/>
              <w:ind w:left="90" w:right="66"/>
              <w:rPr>
                <w:rFonts w:ascii="Times New Roman"/>
                <w:sz w:val="21"/>
              </w:rPr>
            </w:pPr>
            <w:r>
              <w:rPr>
                <w:rFonts w:ascii="Times New Roman"/>
                <w:sz w:val="21"/>
              </w:rPr>
              <w:t>mg/kg</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69"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358"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right w:val="single" w:sz="6" w:space="0" w:color="000000"/>
            </w:tcBorders>
          </w:tcPr>
          <w:p>
            <w:pPr>
              <w:pStyle w:val="TableParagraph"/>
              <w:spacing w:line="339" w:lineRule="exact"/>
              <w:ind w:left="57" w:right="66"/>
              <w:rPr>
                <w:sz w:val="21"/>
              </w:rPr>
            </w:pPr>
            <w:r>
              <w:rPr>
                <w:sz w:val="21"/>
              </w:rPr>
              <w:t>未检出</w:t>
            </w:r>
          </w:p>
        </w:tc>
        <w:tc>
          <w:tcPr>
            <w:tcW w:w="1097" w:type="dxa"/>
            <w:tcBorders>
              <w:top w:val="single" w:sz="6" w:space="0" w:color="000000"/>
              <w:left w:val="single" w:sz="6" w:space="0" w:color="000000"/>
              <w:right w:val="single" w:sz="6" w:space="0" w:color="000000"/>
            </w:tcBorders>
          </w:tcPr>
          <w:p>
            <w:pPr>
              <w:pStyle w:val="TableParagraph"/>
              <w:spacing w:line="339" w:lineRule="exact"/>
              <w:ind w:left="115"/>
              <w:jc w:val="left"/>
              <w:rPr>
                <w:sz w:val="21"/>
              </w:rPr>
            </w:pPr>
            <w:r>
              <w:rPr>
                <w:sz w:val="21"/>
              </w:rPr>
              <w:t>未检出</w:t>
            </w:r>
          </w:p>
        </w:tc>
        <w:tc>
          <w:tcPr>
            <w:tcW w:w="866" w:type="dxa"/>
            <w:tcBorders>
              <w:top w:val="single" w:sz="6" w:space="0" w:color="000000"/>
              <w:left w:val="single" w:sz="6" w:space="0" w:color="000000"/>
              <w:right w:val="single" w:sz="6" w:space="0" w:color="000000"/>
            </w:tcBorders>
          </w:tcPr>
          <w:p>
            <w:pPr>
              <w:pStyle w:val="TableParagraph"/>
              <w:spacing w:before="55"/>
              <w:ind w:left="30"/>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0"/>
              <w:rPr>
                <w:rFonts w:ascii="Times New Roman"/>
                <w:sz w:val="21"/>
              </w:rPr>
            </w:pPr>
            <w:r>
              <w:rPr>
                <w:rFonts w:ascii="Times New Roman"/>
                <w:w w:val="100"/>
                <w:sz w:val="21"/>
              </w:rPr>
              <w:t>/</w:t>
            </w:r>
          </w:p>
        </w:tc>
        <w:tc>
          <w:tcPr>
            <w:tcW w:w="886" w:type="dxa"/>
            <w:tcBorders>
              <w:top w:val="single" w:sz="6" w:space="0" w:color="000000"/>
              <w:left w:val="single" w:sz="6" w:space="0" w:color="000000"/>
              <w:right w:val="single" w:sz="6" w:space="0" w:color="000000"/>
            </w:tcBorders>
          </w:tcPr>
          <w:p>
            <w:pPr>
              <w:pStyle w:val="TableParagraph"/>
              <w:spacing w:before="55"/>
              <w:ind w:left="31"/>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1"/>
              <w:rPr>
                <w:rFonts w:ascii="Times New Roman"/>
                <w:sz w:val="21"/>
              </w:rPr>
            </w:pPr>
            <w:r>
              <w:rPr>
                <w:rFonts w:ascii="Times New Roman"/>
                <w:w w:val="100"/>
                <w:sz w:val="21"/>
              </w:rPr>
              <w:t>/</w:t>
            </w:r>
          </w:p>
        </w:tc>
        <w:tc>
          <w:tcPr>
            <w:tcW w:w="869" w:type="dxa"/>
            <w:tcBorders>
              <w:top w:val="single" w:sz="6" w:space="0" w:color="000000"/>
              <w:left w:val="single" w:sz="6" w:space="0" w:color="000000"/>
              <w:right w:val="single" w:sz="6" w:space="0" w:color="000000"/>
            </w:tcBorders>
          </w:tcPr>
          <w:p>
            <w:pPr>
              <w:pStyle w:val="TableParagraph"/>
              <w:spacing w:before="55"/>
              <w:ind w:left="28"/>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2"/>
              <w:rPr>
                <w:rFonts w:ascii="Times New Roman"/>
                <w:sz w:val="21"/>
              </w:rPr>
            </w:pPr>
            <w:r>
              <w:rPr>
                <w:rFonts w:ascii="Times New Roman"/>
                <w:w w:val="100"/>
                <w:sz w:val="21"/>
              </w:rPr>
              <w:t>/</w:t>
            </w:r>
          </w:p>
        </w:tc>
        <w:tc>
          <w:tcPr>
            <w:tcW w:w="883" w:type="dxa"/>
            <w:tcBorders>
              <w:top w:val="single" w:sz="6" w:space="0" w:color="000000"/>
              <w:left w:val="single" w:sz="6" w:space="0" w:color="000000"/>
            </w:tcBorders>
          </w:tcPr>
          <w:p>
            <w:pPr>
              <w:pStyle w:val="TableParagraph"/>
              <w:spacing w:before="55"/>
              <w:ind w:left="37"/>
              <w:rPr>
                <w:rFonts w:ascii="Times New Roman"/>
                <w:sz w:val="21"/>
              </w:rPr>
            </w:pPr>
            <w:r>
              <w:rPr>
                <w:rFonts w:ascii="Times New Roman"/>
                <w:w w:val="100"/>
                <w:sz w:val="21"/>
              </w:rPr>
              <w:t>/</w:t>
            </w:r>
          </w:p>
        </w:tc>
      </w:tr>
    </w:tbl>
    <w:p>
      <w:pPr>
        <w:pStyle w:val="BodyText"/>
        <w:spacing w:before="2"/>
        <w:rPr>
          <w:sz w:val="22"/>
        </w:rPr>
      </w:pPr>
    </w:p>
    <w:p>
      <w:pPr>
        <w:tabs>
          <w:tab w:pos="4444" w:val="left" w:leader="none"/>
        </w:tabs>
        <w:spacing w:before="1" w:after="24"/>
        <w:ind w:left="3216" w:right="0" w:firstLine="0"/>
        <w:jc w:val="left"/>
        <w:rPr>
          <w:sz w:val="21"/>
        </w:rPr>
      </w:pPr>
      <w:r>
        <w:rPr>
          <w:sz w:val="21"/>
        </w:rPr>
        <w:t>续表</w:t>
      </w:r>
      <w:r>
        <w:rPr>
          <w:spacing w:val="5"/>
          <w:sz w:val="21"/>
        </w:rPr>
        <w:t> </w:t>
      </w:r>
      <w:r>
        <w:rPr>
          <w:rFonts w:ascii="Times New Roman" w:eastAsia="Times New Roman"/>
          <w:b/>
          <w:sz w:val="21"/>
        </w:rPr>
        <w:t>5.4-34</w:t>
        <w:tab/>
      </w:r>
      <w:r>
        <w:rPr>
          <w:sz w:val="21"/>
        </w:rPr>
        <w:t>土壤环境</w:t>
      </w:r>
      <w:r>
        <w:rPr>
          <w:spacing w:val="-3"/>
          <w:sz w:val="21"/>
        </w:rPr>
        <w:t>现</w:t>
      </w:r>
      <w:r>
        <w:rPr>
          <w:sz w:val="21"/>
        </w:rPr>
        <w:t>状监测结果</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885"/>
        <w:gridCol w:w="1097"/>
        <w:gridCol w:w="866"/>
        <w:gridCol w:w="871"/>
        <w:gridCol w:w="886"/>
        <w:gridCol w:w="871"/>
        <w:gridCol w:w="869"/>
        <w:gridCol w:w="871"/>
        <w:gridCol w:w="883"/>
      </w:tblGrid>
      <w:tr>
        <w:trPr>
          <w:trHeight w:val="313" w:hRule="atLeast"/>
        </w:trPr>
        <w:tc>
          <w:tcPr>
            <w:tcW w:w="427" w:type="dxa"/>
            <w:vMerge w:val="restart"/>
            <w:tcBorders>
              <w:bottom w:val="single" w:sz="6" w:space="0" w:color="000000"/>
              <w:right w:val="single" w:sz="6" w:space="0" w:color="000000"/>
            </w:tcBorders>
          </w:tcPr>
          <w:p>
            <w:pPr>
              <w:pStyle w:val="TableParagraph"/>
              <w:spacing w:before="3"/>
              <w:jc w:val="left"/>
              <w:rPr>
                <w:sz w:val="14"/>
              </w:rPr>
            </w:pPr>
          </w:p>
          <w:p>
            <w:pPr>
              <w:pStyle w:val="TableParagraph"/>
              <w:spacing w:line="168" w:lineRule="auto"/>
              <w:ind w:left="107" w:right="83"/>
              <w:jc w:val="both"/>
              <w:rPr>
                <w:sz w:val="21"/>
              </w:rPr>
            </w:pPr>
            <w:r>
              <w:rPr>
                <w:sz w:val="21"/>
              </w:rPr>
              <w:t>检测点位</w:t>
            </w:r>
          </w:p>
        </w:tc>
        <w:tc>
          <w:tcPr>
            <w:tcW w:w="8099" w:type="dxa"/>
            <w:gridSpan w:val="9"/>
            <w:tcBorders>
              <w:left w:val="single" w:sz="6" w:space="0" w:color="000000"/>
              <w:bottom w:val="single" w:sz="6" w:space="0" w:color="000000"/>
            </w:tcBorders>
          </w:tcPr>
          <w:p>
            <w:pPr>
              <w:pStyle w:val="TableParagraph"/>
              <w:spacing w:line="293" w:lineRule="exact"/>
              <w:ind w:left="3617" w:right="3579"/>
              <w:rPr>
                <w:sz w:val="21"/>
              </w:rPr>
            </w:pPr>
            <w:r>
              <w:rPr>
                <w:sz w:val="21"/>
              </w:rPr>
              <w:t>检测项目</w:t>
            </w:r>
          </w:p>
        </w:tc>
      </w:tr>
      <w:tr>
        <w:trPr>
          <w:trHeight w:val="291" w:hRule="atLeast"/>
        </w:trPr>
        <w:tc>
          <w:tcPr>
            <w:tcW w:w="427" w:type="dxa"/>
            <w:vMerge/>
            <w:tcBorders>
              <w:top w:val="nil"/>
              <w:bottom w:val="single" w:sz="6" w:space="0" w:color="000000"/>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09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16"/>
              </w:rPr>
            </w:pPr>
          </w:p>
          <w:p>
            <w:pPr>
              <w:pStyle w:val="TableParagraph"/>
              <w:spacing w:line="435" w:lineRule="exact"/>
              <w:ind w:left="95" w:right="65"/>
              <w:rPr>
                <w:sz w:val="21"/>
              </w:rPr>
            </w:pPr>
            <w:r>
              <w:rPr>
                <w:sz w:val="21"/>
              </w:rPr>
              <w:t>二氯甲烷</w:t>
            </w:r>
          </w:p>
          <w:p>
            <w:pPr>
              <w:pStyle w:val="TableParagraph"/>
              <w:spacing w:line="231" w:lineRule="exact"/>
              <w:ind w:left="94" w:right="65"/>
              <w:rPr>
                <w:rFonts w:ascii="Times New Roman" w:hAnsi="Times New Roman"/>
                <w:sz w:val="21"/>
              </w:rPr>
            </w:pPr>
            <w:r>
              <w:rPr>
                <w:rFonts w:ascii="Times New Roman" w:hAnsi="Times New Roman"/>
                <w:sz w:val="21"/>
              </w:rPr>
              <w:t>μg/kg</w:t>
            </w:r>
          </w:p>
        </w:tc>
        <w:tc>
          <w:tcPr>
            <w:tcW w:w="866" w:type="dxa"/>
            <w:tcBorders>
              <w:top w:val="single" w:sz="6" w:space="0" w:color="000000"/>
              <w:left w:val="single" w:sz="6" w:space="0" w:color="000000"/>
              <w:bottom w:val="nil"/>
              <w:right w:val="single" w:sz="6" w:space="0" w:color="000000"/>
            </w:tcBorders>
          </w:tcPr>
          <w:p>
            <w:pPr>
              <w:pStyle w:val="TableParagraph"/>
              <w:spacing w:line="272" w:lineRule="exact"/>
              <w:ind w:right="101"/>
              <w:jc w:val="right"/>
              <w:rPr>
                <w:rFonts w:ascii="Times New Roman" w:eastAsia="Times New Roman"/>
                <w:sz w:val="21"/>
              </w:rPr>
            </w:pPr>
            <w:r>
              <w:rPr>
                <w:sz w:val="21"/>
              </w:rPr>
              <w:t>反</w:t>
            </w:r>
            <w:r>
              <w:rPr>
                <w:rFonts w:ascii="Times New Roman" w:eastAsia="Times New Roman"/>
                <w:sz w:val="21"/>
              </w:rPr>
              <w:t>-1,2-</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7"/>
              <w:jc w:val="left"/>
              <w:rPr>
                <w:sz w:val="11"/>
              </w:rPr>
            </w:pPr>
          </w:p>
          <w:p>
            <w:pPr>
              <w:pStyle w:val="TableParagraph"/>
              <w:spacing w:line="359" w:lineRule="exact"/>
              <w:ind w:left="171"/>
              <w:jc w:val="left"/>
              <w:rPr>
                <w:sz w:val="21"/>
              </w:rPr>
            </w:pPr>
            <w:r>
              <w:rPr>
                <w:rFonts w:ascii="Times New Roman" w:eastAsia="Times New Roman"/>
                <w:sz w:val="21"/>
              </w:rPr>
              <w:t>1,1-</w:t>
            </w:r>
            <w:r>
              <w:rPr>
                <w:sz w:val="21"/>
              </w:rPr>
              <w:t>二</w:t>
            </w:r>
          </w:p>
          <w:p>
            <w:pPr>
              <w:pStyle w:val="TableParagraph"/>
              <w:spacing w:line="319" w:lineRule="exact"/>
              <w:ind w:left="126"/>
              <w:jc w:val="left"/>
              <w:rPr>
                <w:sz w:val="21"/>
              </w:rPr>
            </w:pPr>
            <w:r>
              <w:rPr>
                <w:sz w:val="21"/>
              </w:rPr>
              <w:t>氯乙烷</w:t>
            </w:r>
          </w:p>
          <w:p>
            <w:pPr>
              <w:pStyle w:val="TableParagraph"/>
              <w:spacing w:line="201" w:lineRule="exact"/>
              <w:ind w:left="200"/>
              <w:jc w:val="left"/>
              <w:rPr>
                <w:rFonts w:ascii="Times New Roman" w:hAnsi="Times New Roman"/>
                <w:sz w:val="21"/>
              </w:rPr>
            </w:pPr>
            <w:r>
              <w:rPr>
                <w:rFonts w:ascii="Times New Roman" w:hAnsi="Times New Roman"/>
                <w:sz w:val="21"/>
              </w:rPr>
              <w:t>μg/kg</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77"/>
              <w:ind w:left="143"/>
              <w:jc w:val="left"/>
              <w:rPr>
                <w:rFonts w:ascii="Times New Roman" w:eastAsia="Times New Roman"/>
                <w:sz w:val="21"/>
              </w:rPr>
            </w:pPr>
            <w:r>
              <w:rPr>
                <w:sz w:val="21"/>
              </w:rPr>
              <w:t>顺</w:t>
            </w:r>
            <w:r>
              <w:rPr>
                <w:rFonts w:ascii="Times New Roman" w:eastAsia="Times New Roman"/>
                <w:sz w:val="21"/>
              </w:rPr>
              <w:t>-1,2-</w:t>
            </w:r>
          </w:p>
          <w:p>
            <w:pPr>
              <w:pStyle w:val="TableParagraph"/>
              <w:spacing w:line="180" w:lineRule="auto" w:before="12"/>
              <w:ind w:left="133" w:right="101"/>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8"/>
              </w:rPr>
            </w:pPr>
          </w:p>
          <w:p>
            <w:pPr>
              <w:pStyle w:val="TableParagraph"/>
              <w:spacing w:line="406" w:lineRule="exact"/>
              <w:ind w:left="231"/>
              <w:jc w:val="left"/>
              <w:rPr>
                <w:sz w:val="21"/>
              </w:rPr>
            </w:pPr>
            <w:r>
              <w:rPr>
                <w:sz w:val="21"/>
              </w:rPr>
              <w:t>氯仿</w:t>
            </w:r>
          </w:p>
          <w:p>
            <w:pPr>
              <w:pStyle w:val="TableParagraph"/>
              <w:spacing w:line="202" w:lineRule="exact"/>
              <w:ind w:left="200"/>
              <w:jc w:val="left"/>
              <w:rPr>
                <w:rFonts w:ascii="Times New Roman" w:hAnsi="Times New Roman"/>
                <w:sz w:val="21"/>
              </w:rPr>
            </w:pPr>
            <w:r>
              <w:rPr>
                <w:rFonts w:ascii="Times New Roman" w:hAnsi="Times New Roman"/>
                <w:sz w:val="21"/>
              </w:rPr>
              <w:t>μg/kg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21" w:lineRule="exact" w:before="190"/>
              <w:ind w:left="196"/>
              <w:jc w:val="left"/>
              <w:rPr>
                <w:rFonts w:ascii="Times New Roman"/>
                <w:sz w:val="21"/>
              </w:rPr>
            </w:pPr>
            <w:r>
              <w:rPr>
                <w:rFonts w:ascii="Times New Roman"/>
                <w:sz w:val="21"/>
              </w:rPr>
              <w:t>1,1,1-</w:t>
            </w:r>
          </w:p>
          <w:p>
            <w:pPr>
              <w:pStyle w:val="TableParagraph"/>
              <w:spacing w:line="180" w:lineRule="auto" w:before="57"/>
              <w:ind w:left="124" w:right="94"/>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1180" w:hRule="atLeast"/>
        </w:trPr>
        <w:tc>
          <w:tcPr>
            <w:tcW w:w="427" w:type="dxa"/>
            <w:vMerge/>
            <w:tcBorders>
              <w:top w:val="nil"/>
              <w:bottom w:val="single" w:sz="6" w:space="0" w:color="000000"/>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line="270" w:lineRule="exact"/>
              <w:ind w:left="177"/>
              <w:jc w:val="left"/>
              <w:rPr>
                <w:sz w:val="21"/>
              </w:rPr>
            </w:pPr>
            <w:r>
              <w:rPr>
                <w:rFonts w:ascii="Times New Roman" w:eastAsia="Times New Roman"/>
                <w:sz w:val="21"/>
              </w:rPr>
              <w:t>1,1-</w:t>
            </w:r>
            <w:r>
              <w:rPr>
                <w:sz w:val="21"/>
              </w:rPr>
              <w:t>二</w:t>
            </w:r>
          </w:p>
          <w:p>
            <w:pPr>
              <w:pStyle w:val="TableParagraph"/>
              <w:spacing w:line="368" w:lineRule="exact"/>
              <w:ind w:left="131"/>
              <w:jc w:val="left"/>
              <w:rPr>
                <w:sz w:val="21"/>
              </w:rPr>
            </w:pPr>
            <w:r>
              <w:rPr>
                <w:sz w:val="21"/>
              </w:rPr>
              <w:t>氯乙烯</w:t>
            </w:r>
          </w:p>
          <w:p>
            <w:pPr>
              <w:pStyle w:val="TableParagraph"/>
              <w:spacing w:line="231" w:lineRule="exact"/>
              <w:ind w:left="206"/>
              <w:jc w:val="left"/>
              <w:rPr>
                <w:rFonts w:ascii="Times New Roman" w:hAnsi="Times New Roman"/>
                <w:sz w:val="21"/>
              </w:rPr>
            </w:pPr>
            <w:r>
              <w:rPr>
                <w:rFonts w:ascii="Times New Roman" w:hAnsi="Times New Roman"/>
                <w:sz w:val="21"/>
              </w:rPr>
              <w:t>μg/kg</w:t>
            </w:r>
          </w:p>
        </w:tc>
        <w:tc>
          <w:tcPr>
            <w:tcW w:w="1097"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nil"/>
              <w:left w:val="single" w:sz="6" w:space="0" w:color="000000"/>
              <w:bottom w:val="single" w:sz="6" w:space="0" w:color="000000"/>
              <w:right w:val="single" w:sz="6" w:space="0" w:color="000000"/>
            </w:tcBorders>
          </w:tcPr>
          <w:p>
            <w:pPr>
              <w:pStyle w:val="TableParagraph"/>
              <w:spacing w:line="168" w:lineRule="auto" w:before="20"/>
              <w:ind w:left="334" w:right="89" w:hanging="209"/>
              <w:jc w:val="left"/>
              <w:rPr>
                <w:sz w:val="21"/>
              </w:rPr>
            </w:pPr>
            <w:r>
              <w:rPr>
                <w:sz w:val="21"/>
              </w:rPr>
              <w:t>二氯乙烯</w:t>
            </w:r>
          </w:p>
          <w:p>
            <w:pPr>
              <w:pStyle w:val="TableParagraph"/>
              <w:spacing w:before="20"/>
              <w:ind w:left="197"/>
              <w:jc w:val="left"/>
              <w:rPr>
                <w:rFonts w:ascii="Times New Roman" w:hAnsi="Times New Roman"/>
                <w:sz w:val="21"/>
              </w:rPr>
            </w:pPr>
            <w:r>
              <w:rPr>
                <w:rFonts w:ascii="Times New Roman" w:hAnsi="Times New Roman"/>
                <w:sz w:val="21"/>
              </w:rPr>
              <w:t>μg/kg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spacing w:line="180" w:lineRule="auto" w:before="4"/>
              <w:ind w:left="126" w:right="93"/>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883" w:type="dxa"/>
            <w:tcBorders>
              <w:top w:val="nil"/>
              <w:left w:val="single" w:sz="6" w:space="0" w:color="000000"/>
              <w:bottom w:val="single" w:sz="6" w:space="0" w:color="000000"/>
            </w:tcBorders>
          </w:tcPr>
          <w:p>
            <w:pPr>
              <w:pStyle w:val="TableParagraph"/>
              <w:spacing w:line="414" w:lineRule="exact" w:before="83"/>
              <w:ind w:left="36"/>
              <w:rPr>
                <w:sz w:val="21"/>
              </w:rPr>
            </w:pPr>
            <w:r>
              <w:rPr>
                <w:w w:val="100"/>
                <w:sz w:val="21"/>
              </w:rPr>
              <w:t>苯</w:t>
            </w:r>
          </w:p>
          <w:p>
            <w:pPr>
              <w:pStyle w:val="TableParagraph"/>
              <w:spacing w:line="211" w:lineRule="exact"/>
              <w:ind w:left="96" w:right="57"/>
              <w:rPr>
                <w:rFonts w:ascii="Times New Roman" w:hAnsi="Times New Roman"/>
                <w:sz w:val="21"/>
              </w:rPr>
            </w:pPr>
            <w:r>
              <w:rPr>
                <w:rFonts w:ascii="Times New Roman" w:hAnsi="Times New Roman"/>
                <w:sz w:val="21"/>
              </w:rPr>
              <w:t>μg/kg</w:t>
            </w:r>
          </w:p>
        </w:tc>
      </w:tr>
      <w:tr>
        <w:trPr>
          <w:trHeight w:val="361" w:hRule="atLeast"/>
        </w:trPr>
        <w:tc>
          <w:tcPr>
            <w:tcW w:w="427" w:type="dxa"/>
            <w:vMerge w:val="restart"/>
            <w:tcBorders>
              <w:top w:val="single" w:sz="6" w:space="0" w:color="000000"/>
              <w:right w:val="single" w:sz="6" w:space="0" w:color="000000"/>
            </w:tcBorders>
          </w:tcPr>
          <w:p>
            <w:pPr>
              <w:pStyle w:val="TableParagraph"/>
              <w:spacing w:line="168" w:lineRule="auto" w:before="53"/>
              <w:ind w:left="107" w:right="83"/>
              <w:jc w:val="both"/>
              <w:rPr>
                <w:sz w:val="21"/>
              </w:rPr>
            </w:pPr>
            <w:r>
              <w:rPr>
                <w:sz w:val="21"/>
              </w:rPr>
              <w:t>项目厂址下风</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93"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240"/>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right="89"/>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99" w:right="70"/>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94" w:right="64"/>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before="58"/>
              <w:ind w:left="123" w:right="93"/>
              <w:rPr>
                <w:rFonts w:ascii="Times New Roman"/>
                <w:sz w:val="21"/>
              </w:rPr>
            </w:pPr>
            <w:r>
              <w:rPr>
                <w:rFonts w:ascii="Times New Roman"/>
                <w:sz w:val="21"/>
              </w:rPr>
              <w:t>3.2</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124"/>
              <w:jc w:val="lef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41" w:lineRule="exact"/>
              <w:ind w:left="126"/>
              <w:jc w:val="left"/>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41" w:lineRule="exact"/>
              <w:ind w:left="134"/>
              <w:jc w:val="left"/>
              <w:rPr>
                <w:sz w:val="21"/>
              </w:rPr>
            </w:pPr>
            <w:r>
              <w:rPr>
                <w:sz w:val="21"/>
              </w:rPr>
              <w:t>未检出</w:t>
            </w:r>
          </w:p>
        </w:tc>
      </w:tr>
      <w:tr>
        <w:trPr>
          <w:trHeight w:val="1163"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36"/>
              <w:ind w:left="177"/>
              <w:jc w:val="left"/>
              <w:rPr>
                <w:sz w:val="21"/>
              </w:rPr>
            </w:pPr>
            <w:r>
              <w:rPr>
                <w:rFonts w:ascii="Times New Roman" w:eastAsia="Times New Roman"/>
                <w:sz w:val="21"/>
              </w:rPr>
              <w:t>1,2-</w:t>
            </w:r>
            <w:r>
              <w:rPr>
                <w:sz w:val="21"/>
              </w:rPr>
              <w:t>二</w:t>
            </w:r>
          </w:p>
          <w:p>
            <w:pPr>
              <w:pStyle w:val="TableParagraph"/>
              <w:spacing w:line="368" w:lineRule="exact"/>
              <w:ind w:left="131"/>
              <w:jc w:val="left"/>
              <w:rPr>
                <w:sz w:val="21"/>
              </w:rPr>
            </w:pPr>
            <w:r>
              <w:rPr>
                <w:sz w:val="21"/>
              </w:rPr>
              <w:t>氯乙烷</w:t>
            </w:r>
          </w:p>
          <w:p>
            <w:pPr>
              <w:pStyle w:val="TableParagraph"/>
              <w:spacing w:line="231" w:lineRule="exact"/>
              <w:ind w:left="206"/>
              <w:jc w:val="left"/>
              <w:rPr>
                <w:rFonts w:ascii="Times New Roman" w:hAnsi="Times New Roman"/>
                <w:sz w:val="21"/>
              </w:rPr>
            </w:pPr>
            <w:r>
              <w:rPr>
                <w:rFonts w:ascii="Times New Roman" w:hAnsi="Times New Roman"/>
                <w:sz w:val="21"/>
              </w:rPr>
              <w:t>μg/kg</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9"/>
              </w:rPr>
            </w:pPr>
          </w:p>
          <w:p>
            <w:pPr>
              <w:pStyle w:val="TableParagraph"/>
              <w:spacing w:line="435" w:lineRule="exact" w:before="1"/>
              <w:ind w:left="95" w:right="65"/>
              <w:rPr>
                <w:sz w:val="21"/>
              </w:rPr>
            </w:pPr>
            <w:r>
              <w:rPr>
                <w:sz w:val="21"/>
              </w:rPr>
              <w:t>三氯乙烯</w:t>
            </w:r>
          </w:p>
          <w:p>
            <w:pPr>
              <w:pStyle w:val="TableParagraph"/>
              <w:spacing w:line="231" w:lineRule="exact"/>
              <w:ind w:left="94" w:right="65"/>
              <w:rPr>
                <w:rFonts w:ascii="Times New Roman" w:hAnsi="Times New Roman"/>
                <w:sz w:val="21"/>
              </w:rPr>
            </w:pPr>
            <w:r>
              <w:rPr>
                <w:rFonts w:ascii="Times New Roman" w:hAnsi="Times New Roman"/>
                <w:sz w:val="21"/>
              </w:rPr>
              <w:t>μg/kg</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89"/>
              <w:ind w:left="168"/>
              <w:jc w:val="left"/>
              <w:rPr>
                <w:sz w:val="21"/>
              </w:rPr>
            </w:pPr>
            <w:r>
              <w:rPr>
                <w:rFonts w:ascii="Times New Roman" w:eastAsia="Times New Roman"/>
                <w:sz w:val="21"/>
              </w:rPr>
              <w:t>1,2-</w:t>
            </w:r>
            <w:r>
              <w:rPr>
                <w:sz w:val="21"/>
              </w:rPr>
              <w:t>二</w:t>
            </w:r>
          </w:p>
          <w:p>
            <w:pPr>
              <w:pStyle w:val="TableParagraph"/>
              <w:spacing w:line="319" w:lineRule="exact"/>
              <w:ind w:left="125"/>
              <w:jc w:val="left"/>
              <w:rPr>
                <w:sz w:val="21"/>
              </w:rPr>
            </w:pPr>
            <w:r>
              <w:rPr>
                <w:sz w:val="21"/>
              </w:rPr>
              <w:t>氯丙烷</w:t>
            </w:r>
          </w:p>
          <w:p>
            <w:pPr>
              <w:pStyle w:val="TableParagraph"/>
              <w:spacing w:line="201" w:lineRule="exact"/>
              <w:ind w:left="197"/>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line="414" w:lineRule="exact"/>
              <w:ind w:left="231"/>
              <w:jc w:val="left"/>
              <w:rPr>
                <w:sz w:val="21"/>
              </w:rPr>
            </w:pPr>
            <w:r>
              <w:rPr>
                <w:sz w:val="21"/>
              </w:rPr>
              <w:t>甲苯</w:t>
            </w:r>
          </w:p>
          <w:p>
            <w:pPr>
              <w:pStyle w:val="TableParagraph"/>
              <w:spacing w:line="211" w:lineRule="exact"/>
              <w:ind w:left="200"/>
              <w:jc w:val="left"/>
              <w:rPr>
                <w:rFonts w:ascii="Times New Roman" w:hAnsi="Times New Roman"/>
                <w:sz w:val="21"/>
              </w:rPr>
            </w:pPr>
            <w:r>
              <w:rPr>
                <w:rFonts w:ascii="Times New Roman" w:hAnsi="Times New Roman"/>
                <w:sz w:val="21"/>
              </w:rPr>
              <w:t>μg/kg</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195" w:lineRule="exact" w:before="62"/>
              <w:ind w:left="205"/>
              <w:jc w:val="left"/>
              <w:rPr>
                <w:rFonts w:ascii="Times New Roman"/>
                <w:sz w:val="21"/>
              </w:rPr>
            </w:pPr>
            <w:r>
              <w:rPr>
                <w:rFonts w:ascii="Times New Roman"/>
                <w:sz w:val="21"/>
              </w:rPr>
              <w:t>1,1,2-</w:t>
            </w:r>
          </w:p>
          <w:p>
            <w:pPr>
              <w:pStyle w:val="TableParagraph"/>
              <w:spacing w:line="160" w:lineRule="auto" w:before="57"/>
              <w:ind w:left="133" w:right="101"/>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66"/>
              <w:ind w:left="337" w:right="94" w:hanging="212"/>
              <w:jc w:val="left"/>
              <w:rPr>
                <w:sz w:val="21"/>
              </w:rPr>
            </w:pPr>
            <w:r>
              <w:rPr>
                <w:sz w:val="21"/>
              </w:rPr>
              <w:t>四氯乙烯</w:t>
            </w:r>
          </w:p>
          <w:p>
            <w:pPr>
              <w:pStyle w:val="TableParagraph"/>
              <w:spacing w:line="225" w:lineRule="exact"/>
              <w:ind w:left="191"/>
              <w:jc w:val="left"/>
              <w:rPr>
                <w:rFonts w:ascii="Times New Roman" w:hAnsi="Times New Roman"/>
                <w:b/>
                <w:sz w:val="21"/>
              </w:rPr>
            </w:pPr>
            <w:r>
              <w:rPr>
                <w:rFonts w:ascii="Times New Roman" w:hAnsi="Times New Roman"/>
                <w:b/>
                <w:sz w:val="21"/>
              </w:rPr>
              <w:t>μg/kg</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29"/>
              <w:ind w:left="116"/>
              <w:jc w:val="left"/>
              <w:rPr>
                <w:rFonts w:ascii="Times New Roman"/>
                <w:sz w:val="21"/>
              </w:rPr>
            </w:pPr>
            <w:r>
              <w:rPr>
                <w:rFonts w:ascii="Times New Roman"/>
                <w:sz w:val="21"/>
              </w:rPr>
              <w:t>1,1,2,2-</w:t>
            </w:r>
          </w:p>
          <w:p>
            <w:pPr>
              <w:pStyle w:val="TableParagraph"/>
              <w:spacing w:line="168" w:lineRule="auto" w:before="72"/>
              <w:ind w:left="335" w:right="94" w:hanging="212"/>
              <w:jc w:val="left"/>
              <w:rPr>
                <w:sz w:val="21"/>
              </w:rPr>
            </w:pPr>
            <w:r>
              <w:rPr>
                <w:sz w:val="21"/>
              </w:rPr>
              <w:t>四氯乙烷</w:t>
            </w:r>
          </w:p>
          <w:p>
            <w:pPr>
              <w:pStyle w:val="TableParagraph"/>
              <w:spacing w:line="198" w:lineRule="exact"/>
              <w:ind w:left="198"/>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line="414" w:lineRule="exact"/>
              <w:ind w:left="232"/>
              <w:jc w:val="left"/>
              <w:rPr>
                <w:sz w:val="21"/>
              </w:rPr>
            </w:pPr>
            <w:r>
              <w:rPr>
                <w:sz w:val="21"/>
              </w:rPr>
              <w:t>氯苯</w:t>
            </w:r>
          </w:p>
          <w:p>
            <w:pPr>
              <w:pStyle w:val="TableParagraph"/>
              <w:spacing w:line="211" w:lineRule="exact"/>
              <w:ind w:left="201"/>
              <w:jc w:val="left"/>
              <w:rPr>
                <w:rFonts w:ascii="Times New Roman" w:hAnsi="Times New Roman"/>
                <w:sz w:val="21"/>
              </w:rPr>
            </w:pPr>
            <w:r>
              <w:rPr>
                <w:rFonts w:ascii="Times New Roman" w:hAnsi="Times New Roman"/>
                <w:sz w:val="21"/>
              </w:rPr>
              <w:t>μg/kg</w:t>
            </w:r>
          </w:p>
        </w:tc>
        <w:tc>
          <w:tcPr>
            <w:tcW w:w="883" w:type="dxa"/>
            <w:tcBorders>
              <w:top w:val="single" w:sz="6" w:space="0" w:color="000000"/>
              <w:left w:val="single" w:sz="6" w:space="0" w:color="000000"/>
              <w:bottom w:val="single" w:sz="6" w:space="0" w:color="000000"/>
            </w:tcBorders>
          </w:tcPr>
          <w:p>
            <w:pPr>
              <w:pStyle w:val="TableParagraph"/>
              <w:spacing w:before="16"/>
              <w:jc w:val="left"/>
              <w:rPr>
                <w:sz w:val="10"/>
              </w:rPr>
            </w:pPr>
          </w:p>
          <w:p>
            <w:pPr>
              <w:pStyle w:val="TableParagraph"/>
              <w:spacing w:line="414" w:lineRule="exact"/>
              <w:ind w:left="239"/>
              <w:jc w:val="left"/>
              <w:rPr>
                <w:sz w:val="21"/>
              </w:rPr>
            </w:pPr>
            <w:r>
              <w:rPr>
                <w:sz w:val="21"/>
              </w:rPr>
              <w:t>乙苯</w:t>
            </w:r>
          </w:p>
          <w:p>
            <w:pPr>
              <w:pStyle w:val="TableParagraph"/>
              <w:spacing w:line="211" w:lineRule="exact"/>
              <w:ind w:left="206"/>
              <w:jc w:val="left"/>
              <w:rPr>
                <w:rFonts w:ascii="Times New Roman" w:hAnsi="Times New Roman"/>
                <w:sz w:val="21"/>
              </w:rPr>
            </w:pPr>
            <w:r>
              <w:rPr>
                <w:rFonts w:ascii="Times New Roman" w:hAnsi="Times New Roman"/>
                <w:sz w:val="21"/>
              </w:rPr>
              <w:t>μg/kg</w:t>
            </w:r>
          </w:p>
        </w:tc>
      </w:tr>
      <w:tr>
        <w:trPr>
          <w:trHeight w:val="361"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right w:val="single" w:sz="6" w:space="0" w:color="000000"/>
            </w:tcBorders>
          </w:tcPr>
          <w:p>
            <w:pPr>
              <w:pStyle w:val="TableParagraph"/>
              <w:spacing w:line="341" w:lineRule="exact"/>
              <w:ind w:left="93" w:right="66"/>
              <w:rPr>
                <w:sz w:val="21"/>
              </w:rPr>
            </w:pPr>
            <w:r>
              <w:rPr>
                <w:sz w:val="21"/>
              </w:rPr>
              <w:t>未检出</w:t>
            </w:r>
          </w:p>
        </w:tc>
        <w:tc>
          <w:tcPr>
            <w:tcW w:w="1097" w:type="dxa"/>
            <w:tcBorders>
              <w:top w:val="single" w:sz="6" w:space="0" w:color="000000"/>
              <w:left w:val="single" w:sz="6" w:space="0" w:color="000000"/>
              <w:right w:val="single" w:sz="6" w:space="0" w:color="000000"/>
            </w:tcBorders>
          </w:tcPr>
          <w:p>
            <w:pPr>
              <w:pStyle w:val="TableParagraph"/>
              <w:spacing w:line="341" w:lineRule="exact"/>
              <w:ind w:left="240"/>
              <w:jc w:val="left"/>
              <w:rPr>
                <w:sz w:val="21"/>
              </w:rPr>
            </w:pPr>
            <w:r>
              <w:rPr>
                <w:sz w:val="21"/>
              </w:rPr>
              <w:t>未检出</w:t>
            </w:r>
          </w:p>
        </w:tc>
        <w:tc>
          <w:tcPr>
            <w:tcW w:w="866" w:type="dxa"/>
            <w:tcBorders>
              <w:top w:val="single" w:sz="6" w:space="0" w:color="000000"/>
              <w:left w:val="single" w:sz="6" w:space="0" w:color="000000"/>
              <w:right w:val="single" w:sz="6" w:space="0" w:color="000000"/>
            </w:tcBorders>
          </w:tcPr>
          <w:p>
            <w:pPr>
              <w:pStyle w:val="TableParagraph"/>
              <w:spacing w:line="341" w:lineRule="exact"/>
              <w:ind w:right="89"/>
              <w:jc w:val="right"/>
              <w:rPr>
                <w:sz w:val="21"/>
              </w:rPr>
            </w:pPr>
            <w:r>
              <w:rPr>
                <w:sz w:val="21"/>
              </w:rPr>
              <w:t>未检出</w:t>
            </w:r>
          </w:p>
        </w:tc>
        <w:tc>
          <w:tcPr>
            <w:tcW w:w="871" w:type="dxa"/>
            <w:tcBorders>
              <w:top w:val="single" w:sz="6" w:space="0" w:color="000000"/>
              <w:left w:val="single" w:sz="6" w:space="0" w:color="000000"/>
              <w:right w:val="single" w:sz="6" w:space="0" w:color="000000"/>
            </w:tcBorders>
          </w:tcPr>
          <w:p>
            <w:pPr>
              <w:pStyle w:val="TableParagraph"/>
              <w:spacing w:line="341" w:lineRule="exact"/>
              <w:ind w:left="99" w:right="70"/>
              <w:rPr>
                <w:sz w:val="21"/>
              </w:rPr>
            </w:pPr>
            <w:r>
              <w:rPr>
                <w:sz w:val="21"/>
              </w:rPr>
              <w:t>未检出</w:t>
            </w:r>
          </w:p>
        </w:tc>
        <w:tc>
          <w:tcPr>
            <w:tcW w:w="886" w:type="dxa"/>
            <w:tcBorders>
              <w:top w:val="single" w:sz="6" w:space="0" w:color="000000"/>
              <w:left w:val="single" w:sz="6" w:space="0" w:color="000000"/>
              <w:right w:val="single" w:sz="6" w:space="0" w:color="000000"/>
            </w:tcBorders>
          </w:tcPr>
          <w:p>
            <w:pPr>
              <w:pStyle w:val="TableParagraph"/>
              <w:spacing w:line="341" w:lineRule="exact"/>
              <w:ind w:left="94" w:right="64"/>
              <w:rPr>
                <w:sz w:val="21"/>
              </w:rPr>
            </w:pPr>
            <w:r>
              <w:rPr>
                <w:sz w:val="21"/>
              </w:rPr>
              <w:t>未检出</w:t>
            </w:r>
          </w:p>
        </w:tc>
        <w:tc>
          <w:tcPr>
            <w:tcW w:w="871" w:type="dxa"/>
            <w:tcBorders>
              <w:top w:val="single" w:sz="6" w:space="0" w:color="000000"/>
              <w:left w:val="single" w:sz="6" w:space="0" w:color="000000"/>
              <w:right w:val="single" w:sz="6" w:space="0" w:color="000000"/>
            </w:tcBorders>
          </w:tcPr>
          <w:p>
            <w:pPr>
              <w:pStyle w:val="TableParagraph"/>
              <w:spacing w:before="50"/>
              <w:ind w:left="123" w:right="93"/>
              <w:rPr>
                <w:rFonts w:ascii="Times New Roman"/>
                <w:sz w:val="21"/>
              </w:rPr>
            </w:pPr>
            <w:r>
              <w:rPr>
                <w:rFonts w:ascii="Times New Roman"/>
                <w:sz w:val="21"/>
              </w:rPr>
              <w:t>1.8</w:t>
            </w:r>
          </w:p>
        </w:tc>
        <w:tc>
          <w:tcPr>
            <w:tcW w:w="869" w:type="dxa"/>
            <w:tcBorders>
              <w:top w:val="single" w:sz="6" w:space="0" w:color="000000"/>
              <w:left w:val="single" w:sz="6" w:space="0" w:color="000000"/>
              <w:right w:val="single" w:sz="6" w:space="0" w:color="000000"/>
            </w:tcBorders>
          </w:tcPr>
          <w:p>
            <w:pPr>
              <w:pStyle w:val="TableParagraph"/>
              <w:spacing w:line="341" w:lineRule="exact"/>
              <w:ind w:left="124"/>
              <w:jc w:val="left"/>
              <w:rPr>
                <w:sz w:val="21"/>
              </w:rPr>
            </w:pPr>
            <w:r>
              <w:rPr>
                <w:sz w:val="21"/>
              </w:rPr>
              <w:t>未检出</w:t>
            </w:r>
          </w:p>
        </w:tc>
        <w:tc>
          <w:tcPr>
            <w:tcW w:w="871" w:type="dxa"/>
            <w:tcBorders>
              <w:top w:val="single" w:sz="6" w:space="0" w:color="000000"/>
              <w:left w:val="single" w:sz="6" w:space="0" w:color="000000"/>
              <w:right w:val="single" w:sz="6" w:space="0" w:color="000000"/>
            </w:tcBorders>
          </w:tcPr>
          <w:p>
            <w:pPr>
              <w:pStyle w:val="TableParagraph"/>
              <w:spacing w:line="341" w:lineRule="exact"/>
              <w:ind w:left="126"/>
              <w:jc w:val="left"/>
              <w:rPr>
                <w:sz w:val="21"/>
              </w:rPr>
            </w:pPr>
            <w:r>
              <w:rPr>
                <w:sz w:val="21"/>
              </w:rPr>
              <w:t>未检出</w:t>
            </w:r>
          </w:p>
        </w:tc>
        <w:tc>
          <w:tcPr>
            <w:tcW w:w="883" w:type="dxa"/>
            <w:tcBorders>
              <w:top w:val="single" w:sz="6" w:space="0" w:color="000000"/>
              <w:left w:val="single" w:sz="6" w:space="0" w:color="000000"/>
            </w:tcBorders>
          </w:tcPr>
          <w:p>
            <w:pPr>
              <w:pStyle w:val="TableParagraph"/>
              <w:spacing w:line="341" w:lineRule="exact"/>
              <w:ind w:left="134"/>
              <w:jc w:val="left"/>
              <w:rPr>
                <w:sz w:val="21"/>
              </w:rPr>
            </w:pPr>
            <w:r>
              <w:rPr>
                <w:sz w:val="21"/>
              </w:rPr>
              <w:t>未检出</w:t>
            </w:r>
          </w:p>
        </w:tc>
      </w:tr>
    </w:tbl>
    <w:p>
      <w:pPr>
        <w:spacing w:after="0" w:line="341"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885"/>
        <w:gridCol w:w="1097"/>
        <w:gridCol w:w="866"/>
        <w:gridCol w:w="871"/>
        <w:gridCol w:w="886"/>
        <w:gridCol w:w="871"/>
        <w:gridCol w:w="869"/>
        <w:gridCol w:w="871"/>
        <w:gridCol w:w="883"/>
      </w:tblGrid>
      <w:tr>
        <w:trPr>
          <w:trHeight w:val="304" w:hRule="atLeast"/>
        </w:trPr>
        <w:tc>
          <w:tcPr>
            <w:tcW w:w="427" w:type="dxa"/>
            <w:vMerge w:val="restart"/>
            <w:tcBorders>
              <w:right w:val="single" w:sz="6" w:space="0" w:color="000000"/>
            </w:tcBorders>
          </w:tcPr>
          <w:p>
            <w:pPr>
              <w:pStyle w:val="TableParagraph"/>
              <w:spacing w:before="3"/>
              <w:jc w:val="left"/>
              <w:rPr>
                <w:sz w:val="14"/>
              </w:rPr>
            </w:pPr>
          </w:p>
          <w:p>
            <w:pPr>
              <w:pStyle w:val="TableParagraph"/>
              <w:spacing w:line="168" w:lineRule="auto" w:before="1"/>
              <w:ind w:left="107" w:right="83"/>
              <w:jc w:val="both"/>
              <w:rPr>
                <w:sz w:val="21"/>
              </w:rPr>
            </w:pPr>
            <w:r>
              <w:rPr>
                <w:sz w:val="21"/>
              </w:rPr>
              <w:t>检测点位</w:t>
            </w:r>
          </w:p>
          <w:p>
            <w:pPr>
              <w:pStyle w:val="TableParagraph"/>
              <w:spacing w:before="4"/>
              <w:jc w:val="left"/>
              <w:rPr>
                <w:sz w:val="14"/>
              </w:rPr>
            </w:pPr>
          </w:p>
          <w:p>
            <w:pPr>
              <w:pStyle w:val="TableParagraph"/>
              <w:spacing w:line="168" w:lineRule="auto"/>
              <w:ind w:left="107" w:right="83"/>
              <w:jc w:val="both"/>
              <w:rPr>
                <w:sz w:val="21"/>
              </w:rPr>
            </w:pPr>
            <w:r>
              <w:rPr>
                <w:sz w:val="21"/>
              </w:rPr>
              <w:t>向土壤</w:t>
            </w:r>
          </w:p>
        </w:tc>
        <w:tc>
          <w:tcPr>
            <w:tcW w:w="8099" w:type="dxa"/>
            <w:gridSpan w:val="9"/>
            <w:tcBorders>
              <w:left w:val="single" w:sz="6" w:space="0" w:color="000000"/>
              <w:bottom w:val="single" w:sz="6" w:space="0" w:color="000000"/>
            </w:tcBorders>
          </w:tcPr>
          <w:p>
            <w:pPr>
              <w:pStyle w:val="TableParagraph"/>
              <w:spacing w:line="284" w:lineRule="exact"/>
              <w:ind w:left="3617" w:right="3579"/>
              <w:rPr>
                <w:sz w:val="21"/>
              </w:rPr>
            </w:pPr>
            <w:r>
              <w:rPr>
                <w:sz w:val="21"/>
              </w:rPr>
              <w:t>检测项目</w:t>
            </w:r>
          </w:p>
        </w:tc>
      </w:tr>
      <w:tr>
        <w:trPr>
          <w:trHeight w:val="1474"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192"/>
              <w:ind w:left="177"/>
              <w:jc w:val="left"/>
              <w:rPr>
                <w:sz w:val="21"/>
              </w:rPr>
            </w:pPr>
            <w:r>
              <w:rPr>
                <w:rFonts w:ascii="Times New Roman" w:eastAsia="Times New Roman"/>
                <w:sz w:val="21"/>
              </w:rPr>
              <w:t>1,1-</w:t>
            </w:r>
            <w:r>
              <w:rPr>
                <w:sz w:val="21"/>
              </w:rPr>
              <w:t>二</w:t>
            </w:r>
          </w:p>
          <w:p>
            <w:pPr>
              <w:pStyle w:val="TableParagraph"/>
              <w:spacing w:line="368" w:lineRule="exact"/>
              <w:ind w:left="131"/>
              <w:jc w:val="left"/>
              <w:rPr>
                <w:sz w:val="21"/>
              </w:rPr>
            </w:pPr>
            <w:r>
              <w:rPr>
                <w:sz w:val="21"/>
              </w:rPr>
              <w:t>氯乙烯</w:t>
            </w:r>
          </w:p>
          <w:p>
            <w:pPr>
              <w:pStyle w:val="TableParagraph"/>
              <w:spacing w:line="231" w:lineRule="exact"/>
              <w:ind w:left="206"/>
              <w:jc w:val="left"/>
              <w:rPr>
                <w:rFonts w:ascii="Times New Roman" w:hAnsi="Times New Roman"/>
                <w:sz w:val="21"/>
              </w:rPr>
            </w:pPr>
            <w:r>
              <w:rPr>
                <w:rFonts w:ascii="Times New Roman" w:hAnsi="Times New Roman"/>
                <w:sz w:val="21"/>
              </w:rPr>
              <w:t>μg/kg</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6"/>
              </w:rPr>
            </w:pPr>
          </w:p>
          <w:p>
            <w:pPr>
              <w:pStyle w:val="TableParagraph"/>
              <w:spacing w:line="435" w:lineRule="exact"/>
              <w:ind w:left="95" w:right="65"/>
              <w:rPr>
                <w:sz w:val="21"/>
              </w:rPr>
            </w:pPr>
            <w:r>
              <w:rPr>
                <w:sz w:val="21"/>
              </w:rPr>
              <w:t>二氯甲烷</w:t>
            </w:r>
          </w:p>
          <w:p>
            <w:pPr>
              <w:pStyle w:val="TableParagraph"/>
              <w:spacing w:line="231" w:lineRule="exact"/>
              <w:ind w:left="94" w:right="65"/>
              <w:rPr>
                <w:rFonts w:ascii="Times New Roman" w:hAnsi="Times New Roman"/>
                <w:sz w:val="21"/>
              </w:rPr>
            </w:pPr>
            <w:r>
              <w:rPr>
                <w:rFonts w:ascii="Times New Roman" w:hAnsi="Times New Roman"/>
                <w:sz w:val="21"/>
              </w:rPr>
              <w:t>μg/kg</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135"/>
              <w:jc w:val="left"/>
              <w:rPr>
                <w:rFonts w:ascii="Times New Roman" w:eastAsia="Times New Roman"/>
                <w:sz w:val="21"/>
              </w:rPr>
            </w:pPr>
            <w:r>
              <w:rPr>
                <w:sz w:val="21"/>
              </w:rPr>
              <w:t>反</w:t>
            </w:r>
            <w:r>
              <w:rPr>
                <w:rFonts w:ascii="Times New Roman" w:eastAsia="Times New Roman"/>
                <w:sz w:val="21"/>
              </w:rPr>
              <w:t>-1,2-</w:t>
            </w:r>
          </w:p>
          <w:p>
            <w:pPr>
              <w:pStyle w:val="TableParagraph"/>
              <w:spacing w:line="168" w:lineRule="auto" w:before="26"/>
              <w:ind w:left="334" w:right="89" w:hanging="209"/>
              <w:jc w:val="left"/>
              <w:rPr>
                <w:sz w:val="21"/>
              </w:rPr>
            </w:pPr>
            <w:r>
              <w:rPr>
                <w:sz w:val="21"/>
              </w:rPr>
              <w:t>二氯乙烯</w:t>
            </w:r>
          </w:p>
          <w:p>
            <w:pPr>
              <w:pStyle w:val="TableParagraph"/>
              <w:spacing w:before="20"/>
              <w:ind w:left="197"/>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before="12"/>
              <w:jc w:val="left"/>
              <w:rPr>
                <w:sz w:val="11"/>
              </w:rPr>
            </w:pPr>
          </w:p>
          <w:p>
            <w:pPr>
              <w:pStyle w:val="TableParagraph"/>
              <w:spacing w:line="359" w:lineRule="exact"/>
              <w:ind w:left="171"/>
              <w:jc w:val="left"/>
              <w:rPr>
                <w:sz w:val="21"/>
              </w:rPr>
            </w:pPr>
            <w:r>
              <w:rPr>
                <w:rFonts w:ascii="Times New Roman" w:eastAsia="Times New Roman"/>
                <w:sz w:val="21"/>
              </w:rPr>
              <w:t>1,1-</w:t>
            </w:r>
            <w:r>
              <w:rPr>
                <w:sz w:val="21"/>
              </w:rPr>
              <w:t>二</w:t>
            </w:r>
          </w:p>
          <w:p>
            <w:pPr>
              <w:pStyle w:val="TableParagraph"/>
              <w:spacing w:line="319" w:lineRule="exact"/>
              <w:ind w:left="126"/>
              <w:jc w:val="left"/>
              <w:rPr>
                <w:sz w:val="21"/>
              </w:rPr>
            </w:pPr>
            <w:r>
              <w:rPr>
                <w:sz w:val="21"/>
              </w:rPr>
              <w:t>氯乙烷</w:t>
            </w:r>
          </w:p>
          <w:p>
            <w:pPr>
              <w:pStyle w:val="TableParagraph"/>
              <w:spacing w:line="201" w:lineRule="exact"/>
              <w:ind w:left="200"/>
              <w:jc w:val="left"/>
              <w:rPr>
                <w:rFonts w:ascii="Times New Roman" w:hAnsi="Times New Roman"/>
                <w:sz w:val="21"/>
              </w:rPr>
            </w:pPr>
            <w:r>
              <w:rPr>
                <w:rFonts w:ascii="Times New Roman" w:hAnsi="Times New Roman"/>
                <w:sz w:val="21"/>
              </w:rPr>
              <w:t>μg/kg</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72"/>
              <w:ind w:left="143"/>
              <w:jc w:val="left"/>
              <w:rPr>
                <w:rFonts w:ascii="Times New Roman" w:eastAsia="Times New Roman"/>
                <w:sz w:val="21"/>
              </w:rPr>
            </w:pPr>
            <w:r>
              <w:rPr>
                <w:sz w:val="21"/>
              </w:rPr>
              <w:t>顺</w:t>
            </w:r>
            <w:r>
              <w:rPr>
                <w:rFonts w:ascii="Times New Roman" w:eastAsia="Times New Roman"/>
                <w:sz w:val="21"/>
              </w:rPr>
              <w:t>-1,2-</w:t>
            </w:r>
          </w:p>
          <w:p>
            <w:pPr>
              <w:pStyle w:val="TableParagraph"/>
              <w:spacing w:line="180" w:lineRule="auto" w:before="11"/>
              <w:ind w:left="133" w:right="101"/>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p>
            <w:pPr>
              <w:pStyle w:val="TableParagraph"/>
              <w:spacing w:line="405" w:lineRule="exact"/>
              <w:ind w:left="231"/>
              <w:jc w:val="left"/>
              <w:rPr>
                <w:sz w:val="21"/>
              </w:rPr>
            </w:pPr>
            <w:r>
              <w:rPr>
                <w:sz w:val="21"/>
              </w:rPr>
              <w:t>氯仿</w:t>
            </w:r>
          </w:p>
          <w:p>
            <w:pPr>
              <w:pStyle w:val="TableParagraph"/>
              <w:spacing w:line="201" w:lineRule="exact"/>
              <w:ind w:left="200"/>
              <w:jc w:val="left"/>
              <w:rPr>
                <w:rFonts w:ascii="Times New Roman" w:hAnsi="Times New Roman"/>
                <w:sz w:val="21"/>
              </w:rPr>
            </w:pPr>
            <w:r>
              <w:rPr>
                <w:rFonts w:ascii="Times New Roman" w:hAnsi="Times New Roman"/>
                <w:sz w:val="21"/>
              </w:rPr>
              <w:t>μg/kg</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185"/>
              <w:ind w:left="196"/>
              <w:jc w:val="left"/>
              <w:rPr>
                <w:rFonts w:ascii="Times New Roman"/>
                <w:sz w:val="21"/>
              </w:rPr>
            </w:pPr>
            <w:r>
              <w:rPr>
                <w:rFonts w:ascii="Times New Roman"/>
                <w:sz w:val="21"/>
              </w:rPr>
              <w:t>1,1,1-</w:t>
            </w:r>
          </w:p>
          <w:p>
            <w:pPr>
              <w:pStyle w:val="TableParagraph"/>
              <w:spacing w:line="180" w:lineRule="auto" w:before="56"/>
              <w:ind w:left="124" w:right="94"/>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4"/>
              </w:rPr>
            </w:pPr>
          </w:p>
          <w:p>
            <w:pPr>
              <w:pStyle w:val="TableParagraph"/>
              <w:spacing w:line="180" w:lineRule="auto"/>
              <w:ind w:left="126" w:right="93"/>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883" w:type="dxa"/>
            <w:tcBorders>
              <w:top w:val="single" w:sz="6" w:space="0" w:color="000000"/>
              <w:left w:val="single" w:sz="6" w:space="0" w:color="000000"/>
              <w:bottom w:val="single" w:sz="6" w:space="0" w:color="000000"/>
            </w:tcBorders>
          </w:tcPr>
          <w:p>
            <w:pPr>
              <w:pStyle w:val="TableParagraph"/>
              <w:spacing w:before="3"/>
              <w:jc w:val="left"/>
              <w:rPr>
                <w:sz w:val="18"/>
              </w:rPr>
            </w:pPr>
          </w:p>
          <w:p>
            <w:pPr>
              <w:pStyle w:val="TableParagraph"/>
              <w:spacing w:line="414" w:lineRule="exact"/>
              <w:ind w:left="36"/>
              <w:rPr>
                <w:sz w:val="21"/>
              </w:rPr>
            </w:pPr>
            <w:r>
              <w:rPr>
                <w:w w:val="100"/>
                <w:sz w:val="21"/>
              </w:rPr>
              <w:t>苯</w:t>
            </w:r>
          </w:p>
          <w:p>
            <w:pPr>
              <w:pStyle w:val="TableParagraph"/>
              <w:spacing w:line="211" w:lineRule="exact"/>
              <w:ind w:left="96" w:right="57"/>
              <w:rPr>
                <w:rFonts w:ascii="Times New Roman" w:hAnsi="Times New Roman"/>
                <w:sz w:val="21"/>
              </w:rPr>
            </w:pPr>
            <w:r>
              <w:rPr>
                <w:rFonts w:ascii="Times New Roman" w:hAnsi="Times New Roman"/>
                <w:sz w:val="21"/>
              </w:rPr>
              <w:t>μg/kg</w:t>
            </w:r>
          </w:p>
        </w:tc>
      </w:tr>
      <w:tr>
        <w:trPr>
          <w:trHeight w:val="312"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before="29"/>
              <w:ind w:left="93" w:right="63"/>
              <w:rPr>
                <w:rFonts w:ascii="Times New Roman"/>
                <w:sz w:val="21"/>
              </w:rPr>
            </w:pPr>
            <w:r>
              <w:rPr>
                <w:rFonts w:ascii="Times New Roman"/>
                <w:sz w:val="21"/>
              </w:rPr>
              <w:t>1,1,1,2-</w:t>
            </w:r>
          </w:p>
        </w:tc>
        <w:tc>
          <w:tcPr>
            <w:tcW w:w="1097" w:type="dxa"/>
            <w:tcBorders>
              <w:top w:val="single" w:sz="6" w:space="0" w:color="000000"/>
              <w:left w:val="single" w:sz="6" w:space="0" w:color="000000"/>
              <w:bottom w:val="nil"/>
              <w:right w:val="single" w:sz="6" w:space="0" w:color="000000"/>
            </w:tcBorders>
          </w:tcPr>
          <w:p>
            <w:pPr>
              <w:pStyle w:val="TableParagraph"/>
              <w:spacing w:line="293" w:lineRule="exact"/>
              <w:ind w:left="204"/>
              <w:jc w:val="left"/>
              <w:rPr>
                <w:sz w:val="21"/>
              </w:rPr>
            </w:pPr>
            <w:r>
              <w:rPr>
                <w:sz w:val="21"/>
              </w:rPr>
              <w:t>间</w:t>
            </w:r>
            <w:r>
              <w:rPr>
                <w:rFonts w:ascii="Times New Roman" w:eastAsia="Times New Roman"/>
                <w:sz w:val="21"/>
              </w:rPr>
              <w:t>-</w:t>
            </w:r>
            <w:r>
              <w:rPr>
                <w:sz w:val="21"/>
              </w:rPr>
              <w:t>二甲</w:t>
            </w:r>
          </w:p>
        </w:tc>
        <w:tc>
          <w:tcPr>
            <w:tcW w:w="8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80" w:lineRule="auto" w:before="184"/>
              <w:ind w:left="197" w:right="164" w:hanging="3"/>
              <w:jc w:val="both"/>
              <w:rPr>
                <w:rFonts w:ascii="Times New Roman" w:hAnsi="Times New Roman" w:eastAsia="Times New Roman"/>
                <w:sz w:val="21"/>
              </w:rPr>
            </w:pPr>
            <w:r>
              <w:rPr>
                <w:sz w:val="21"/>
              </w:rPr>
              <w:t>邻</w:t>
            </w:r>
            <w:r>
              <w:rPr>
                <w:rFonts w:ascii="Times New Roman" w:hAnsi="Times New Roman" w:eastAsia="Times New Roman"/>
                <w:sz w:val="21"/>
              </w:rPr>
              <w:t>-</w:t>
            </w:r>
            <w:r>
              <w:rPr>
                <w:sz w:val="21"/>
              </w:rPr>
              <w:t>二甲苯</w:t>
            </w:r>
            <w:r>
              <w:rPr>
                <w:rFonts w:ascii="Times New Roman" w:hAnsi="Times New Roman" w:eastAsia="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spacing w:line="230" w:lineRule="exact" w:before="62"/>
              <w:ind w:right="170"/>
              <w:jc w:val="right"/>
              <w:rPr>
                <w:rFonts w:ascii="Times New Roman"/>
                <w:sz w:val="21"/>
              </w:rPr>
            </w:pPr>
            <w:r>
              <w:rPr>
                <w:rFonts w:ascii="Times New Roman"/>
                <w:sz w:val="21"/>
              </w:rPr>
              <w:t>1,2,3-</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106"/>
              <w:ind w:left="171"/>
              <w:jc w:val="left"/>
              <w:rPr>
                <w:sz w:val="21"/>
              </w:rPr>
            </w:pPr>
            <w:r>
              <w:rPr>
                <w:rFonts w:ascii="Times New Roman" w:eastAsia="Times New Roman"/>
                <w:sz w:val="21"/>
              </w:rPr>
              <w:t>1,4-</w:t>
            </w:r>
            <w:r>
              <w:rPr>
                <w:sz w:val="21"/>
              </w:rPr>
              <w:t>二</w:t>
            </w:r>
          </w:p>
          <w:p>
            <w:pPr>
              <w:pStyle w:val="TableParagraph"/>
              <w:spacing w:line="348" w:lineRule="exact"/>
              <w:ind w:left="231"/>
              <w:jc w:val="left"/>
              <w:rPr>
                <w:sz w:val="21"/>
              </w:rPr>
            </w:pPr>
            <w:r>
              <w:rPr>
                <w:sz w:val="21"/>
              </w:rPr>
              <w:t>氯苯</w:t>
            </w:r>
          </w:p>
          <w:p>
            <w:pPr>
              <w:pStyle w:val="TableParagraph"/>
              <w:spacing w:line="211" w:lineRule="exact"/>
              <w:ind w:left="200"/>
              <w:jc w:val="left"/>
              <w:rPr>
                <w:rFonts w:ascii="Times New Roman" w:hAnsi="Times New Roman"/>
                <w:sz w:val="21"/>
              </w:rPr>
            </w:pPr>
            <w:r>
              <w:rPr>
                <w:rFonts w:ascii="Times New Roman" w:hAnsi="Times New Roman"/>
                <w:sz w:val="21"/>
              </w:rPr>
              <w:t>μg/kg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79" w:lineRule="exact" w:before="106"/>
              <w:ind w:left="169"/>
              <w:jc w:val="left"/>
              <w:rPr>
                <w:sz w:val="21"/>
              </w:rPr>
            </w:pPr>
            <w:r>
              <w:rPr>
                <w:rFonts w:ascii="Times New Roman" w:eastAsia="Times New Roman"/>
                <w:sz w:val="21"/>
              </w:rPr>
              <w:t>1,2-</w:t>
            </w:r>
            <w:r>
              <w:rPr>
                <w:sz w:val="21"/>
              </w:rPr>
              <w:t>二</w:t>
            </w:r>
          </w:p>
          <w:p>
            <w:pPr>
              <w:pStyle w:val="TableParagraph"/>
              <w:spacing w:line="348" w:lineRule="exact"/>
              <w:ind w:left="229"/>
              <w:jc w:val="left"/>
              <w:rPr>
                <w:sz w:val="21"/>
              </w:rPr>
            </w:pPr>
            <w:r>
              <w:rPr>
                <w:sz w:val="21"/>
              </w:rPr>
              <w:t>氯苯</w:t>
            </w:r>
          </w:p>
          <w:p>
            <w:pPr>
              <w:pStyle w:val="TableParagraph"/>
              <w:spacing w:line="211" w:lineRule="exact"/>
              <w:ind w:left="198"/>
              <w:jc w:val="left"/>
              <w:rPr>
                <w:rFonts w:ascii="Times New Roman" w:hAnsi="Times New Roman"/>
                <w:sz w:val="21"/>
              </w:rPr>
            </w:pPr>
            <w:r>
              <w:rPr>
                <w:rFonts w:ascii="Times New Roman" w:hAnsi="Times New Roman"/>
                <w:sz w:val="21"/>
              </w:rPr>
              <w:t>μg/kg</w:t>
            </w: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60"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41" w:lineRule="exact"/>
              <w:ind w:left="93" w:right="66"/>
              <w:rPr>
                <w:sz w:val="21"/>
              </w:rPr>
            </w:pPr>
            <w:r>
              <w:rPr>
                <w:sz w:val="21"/>
              </w:rPr>
              <w:t>四氯乙</w:t>
            </w:r>
          </w:p>
        </w:tc>
        <w:tc>
          <w:tcPr>
            <w:tcW w:w="1097" w:type="dxa"/>
            <w:tcBorders>
              <w:top w:val="nil"/>
              <w:left w:val="single" w:sz="6" w:space="0" w:color="000000"/>
              <w:bottom w:val="nil"/>
              <w:right w:val="single" w:sz="6" w:space="0" w:color="000000"/>
            </w:tcBorders>
          </w:tcPr>
          <w:p>
            <w:pPr>
              <w:pStyle w:val="TableParagraph"/>
              <w:spacing w:line="241" w:lineRule="exact"/>
              <w:ind w:right="148"/>
              <w:jc w:val="right"/>
              <w:rPr>
                <w:sz w:val="21"/>
              </w:rPr>
            </w:pPr>
            <w:r>
              <w:rPr>
                <w:sz w:val="21"/>
              </w:rPr>
              <w:t>苯</w:t>
            </w:r>
            <w:r>
              <w:rPr>
                <w:rFonts w:ascii="Times New Roman" w:eastAsia="Times New Roman"/>
                <w:sz w:val="21"/>
              </w:rPr>
              <w:t>+</w:t>
            </w:r>
            <w:r>
              <w:rPr>
                <w:sz w:val="21"/>
              </w:rPr>
              <w:t>对二</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41" w:lineRule="exact"/>
              <w:ind w:left="99" w:right="70"/>
              <w:rPr>
                <w:sz w:val="21"/>
              </w:rPr>
            </w:pPr>
            <w:r>
              <w:rPr>
                <w:sz w:val="21"/>
              </w:rPr>
              <w:t>苯乙烯</w:t>
            </w:r>
          </w:p>
        </w:tc>
        <w:tc>
          <w:tcPr>
            <w:tcW w:w="886" w:type="dxa"/>
            <w:tcBorders>
              <w:top w:val="nil"/>
              <w:left w:val="single" w:sz="6" w:space="0" w:color="000000"/>
              <w:bottom w:val="nil"/>
              <w:right w:val="single" w:sz="6" w:space="0" w:color="000000"/>
            </w:tcBorders>
          </w:tcPr>
          <w:p>
            <w:pPr>
              <w:pStyle w:val="TableParagraph"/>
              <w:spacing w:line="241" w:lineRule="exact"/>
              <w:ind w:right="101"/>
              <w:jc w:val="right"/>
              <w:rPr>
                <w:sz w:val="21"/>
              </w:rPr>
            </w:pPr>
            <w:r>
              <w:rPr>
                <w:sz w:val="21"/>
              </w:rPr>
              <w:t>三氯丙</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41" w:lineRule="exact"/>
              <w:ind w:left="31"/>
              <w:rPr>
                <w:sz w:val="21"/>
              </w:rPr>
            </w:pPr>
            <w:r>
              <w:rPr>
                <w:w w:val="100"/>
                <w:sz w:val="21"/>
              </w:rPr>
              <w:t>萘</w:t>
            </w:r>
          </w:p>
        </w:tc>
        <w:tc>
          <w:tcPr>
            <w:tcW w:w="883" w:type="dxa"/>
            <w:tcBorders>
              <w:top w:val="nil"/>
              <w:left w:val="single" w:sz="6" w:space="0" w:color="000000"/>
              <w:bottom w:val="nil"/>
            </w:tcBorders>
          </w:tcPr>
          <w:p>
            <w:pPr>
              <w:pStyle w:val="TableParagraph"/>
              <w:spacing w:line="241" w:lineRule="exact"/>
              <w:ind w:left="96" w:right="55"/>
              <w:rPr>
                <w:sz w:val="21"/>
              </w:rPr>
            </w:pPr>
            <w:r>
              <w:rPr>
                <w:sz w:val="21"/>
              </w:rPr>
              <w:t>氯甲烷</w:t>
            </w:r>
          </w:p>
        </w:tc>
      </w:tr>
      <w:tr>
        <w:trPr>
          <w:trHeight w:val="291"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72" w:lineRule="exact"/>
              <w:ind w:left="27"/>
              <w:rPr>
                <w:sz w:val="21"/>
              </w:rPr>
            </w:pPr>
            <w:r>
              <w:rPr>
                <w:w w:val="100"/>
                <w:sz w:val="21"/>
              </w:rPr>
              <w:t>烷</w:t>
            </w:r>
          </w:p>
        </w:tc>
        <w:tc>
          <w:tcPr>
            <w:tcW w:w="1097" w:type="dxa"/>
            <w:tcBorders>
              <w:top w:val="nil"/>
              <w:left w:val="single" w:sz="6" w:space="0" w:color="000000"/>
              <w:bottom w:val="nil"/>
              <w:right w:val="single" w:sz="6" w:space="0" w:color="000000"/>
            </w:tcBorders>
          </w:tcPr>
          <w:p>
            <w:pPr>
              <w:pStyle w:val="TableParagraph"/>
              <w:spacing w:line="272" w:lineRule="exact"/>
              <w:ind w:left="346"/>
              <w:jc w:val="left"/>
              <w:rPr>
                <w:sz w:val="21"/>
              </w:rPr>
            </w:pPr>
            <w:r>
              <w:rPr>
                <w:sz w:val="21"/>
              </w:rPr>
              <w:t>甲苯</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34" w:lineRule="exact"/>
              <w:ind w:left="124" w:right="93"/>
              <w:rPr>
                <w:rFonts w:ascii="Times New Roman" w:hAnsi="Times New Roman"/>
                <w:sz w:val="21"/>
              </w:rPr>
            </w:pPr>
            <w:r>
              <w:rPr>
                <w:rFonts w:ascii="Times New Roman" w:hAnsi="Times New Roman"/>
                <w:sz w:val="21"/>
              </w:rPr>
              <w:t>μg/kg</w:t>
            </w:r>
          </w:p>
        </w:tc>
        <w:tc>
          <w:tcPr>
            <w:tcW w:w="886" w:type="dxa"/>
            <w:tcBorders>
              <w:top w:val="nil"/>
              <w:left w:val="single" w:sz="6" w:space="0" w:color="000000"/>
              <w:bottom w:val="nil"/>
              <w:right w:val="single" w:sz="6" w:space="0" w:color="000000"/>
            </w:tcBorders>
          </w:tcPr>
          <w:p>
            <w:pPr>
              <w:pStyle w:val="TableParagraph"/>
              <w:spacing w:line="272" w:lineRule="exact"/>
              <w:ind w:left="30"/>
              <w:rPr>
                <w:sz w:val="21"/>
              </w:rPr>
            </w:pPr>
            <w:r>
              <w:rPr>
                <w:w w:val="100"/>
                <w:sz w:val="21"/>
              </w:rPr>
              <w:t>烷</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nil"/>
              <w:right w:val="single" w:sz="6" w:space="0" w:color="000000"/>
            </w:tcBorders>
          </w:tcPr>
          <w:p>
            <w:pPr>
              <w:pStyle w:val="TableParagraph"/>
              <w:spacing w:line="234" w:lineRule="exact"/>
              <w:ind w:left="126" w:right="93"/>
              <w:rPr>
                <w:rFonts w:ascii="Times New Roman" w:hAnsi="Times New Roman"/>
                <w:sz w:val="21"/>
              </w:rPr>
            </w:pPr>
            <w:r>
              <w:rPr>
                <w:rFonts w:ascii="Times New Roman" w:hAnsi="Times New Roman"/>
                <w:sz w:val="21"/>
              </w:rPr>
              <w:t>μg/kg</w:t>
            </w:r>
          </w:p>
        </w:tc>
        <w:tc>
          <w:tcPr>
            <w:tcW w:w="883" w:type="dxa"/>
            <w:tcBorders>
              <w:top w:val="nil"/>
              <w:left w:val="single" w:sz="6" w:space="0" w:color="000000"/>
              <w:bottom w:val="nil"/>
            </w:tcBorders>
          </w:tcPr>
          <w:p>
            <w:pPr>
              <w:pStyle w:val="TableParagraph"/>
              <w:spacing w:before="12"/>
              <w:ind w:left="96" w:right="57"/>
              <w:rPr>
                <w:rFonts w:ascii="Times New Roman" w:hAnsi="Times New Roman"/>
                <w:sz w:val="21"/>
              </w:rPr>
            </w:pPr>
            <w:r>
              <w:rPr>
                <w:rFonts w:ascii="Times New Roman" w:hAnsi="Times New Roman"/>
                <w:sz w:val="21"/>
              </w:rPr>
              <w:t>μg/kg</w:t>
            </w:r>
          </w:p>
        </w:tc>
      </w:tr>
      <w:tr>
        <w:trPr>
          <w:trHeight w:val="279"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before="9"/>
              <w:ind w:left="93" w:right="64"/>
              <w:rPr>
                <w:rFonts w:ascii="Times New Roman" w:hAnsi="Times New Roman"/>
                <w:sz w:val="21"/>
              </w:rPr>
            </w:pPr>
            <w:r>
              <w:rPr>
                <w:rFonts w:ascii="Times New Roman" w:hAnsi="Times New Roman"/>
                <w:sz w:val="21"/>
              </w:rPr>
              <w:t>μg/kg</w:t>
            </w:r>
          </w:p>
        </w:tc>
        <w:tc>
          <w:tcPr>
            <w:tcW w:w="1097" w:type="dxa"/>
            <w:tcBorders>
              <w:top w:val="nil"/>
              <w:left w:val="single" w:sz="6" w:space="0" w:color="000000"/>
              <w:bottom w:val="single" w:sz="6" w:space="0" w:color="000000"/>
              <w:right w:val="single" w:sz="6" w:space="0" w:color="000000"/>
            </w:tcBorders>
          </w:tcPr>
          <w:p>
            <w:pPr>
              <w:pStyle w:val="TableParagraph"/>
              <w:spacing w:before="9"/>
              <w:ind w:left="312"/>
              <w:jc w:val="left"/>
              <w:rPr>
                <w:rFonts w:ascii="Times New Roman" w:hAnsi="Times New Roman"/>
                <w:sz w:val="21"/>
              </w:rPr>
            </w:pPr>
            <w:r>
              <w:rPr>
                <w:rFonts w:ascii="Times New Roman" w:hAnsi="Times New Roman"/>
                <w:sz w:val="21"/>
              </w:rPr>
              <w:t>μg/kg</w:t>
            </w:r>
          </w:p>
        </w:tc>
        <w:tc>
          <w:tcPr>
            <w:tcW w:w="866"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spacing w:before="2"/>
              <w:ind w:right="173"/>
              <w:jc w:val="right"/>
              <w:rPr>
                <w:rFonts w:ascii="Times New Roman" w:hAnsi="Times New Roman"/>
                <w:sz w:val="21"/>
              </w:rPr>
            </w:pPr>
            <w:r>
              <w:rPr>
                <w:rFonts w:ascii="Times New Roman" w:hAnsi="Times New Roman"/>
                <w:sz w:val="21"/>
              </w:rPr>
              <w:t>μg/kg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354"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93" w:right="66"/>
              <w:rPr>
                <w:sz w:val="21"/>
              </w:rPr>
            </w:pPr>
            <w:r>
              <w:rPr>
                <w:sz w:val="21"/>
              </w:rPr>
              <w:t>未检出</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240"/>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125"/>
              <w:jc w:val="lef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99" w:right="70"/>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right="10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99" w:right="69"/>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96" w:right="69"/>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5" w:lineRule="exact"/>
              <w:ind w:left="99" w:right="68"/>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5" w:lineRule="exact"/>
              <w:ind w:left="96" w:right="55"/>
              <w:rPr>
                <w:sz w:val="21"/>
              </w:rPr>
            </w:pPr>
            <w:r>
              <w:rPr>
                <w:sz w:val="21"/>
              </w:rPr>
              <w:t>未检出</w:t>
            </w:r>
          </w:p>
        </w:tc>
      </w:tr>
      <w:tr>
        <w:trPr>
          <w:trHeight w:val="268"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1097"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866"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18"/>
              </w:rPr>
            </w:pPr>
          </w:p>
        </w:tc>
        <w:tc>
          <w:tcPr>
            <w:tcW w:w="886" w:type="dxa"/>
            <w:tcBorders>
              <w:top w:val="single" w:sz="6" w:space="0" w:color="000000"/>
              <w:left w:val="single" w:sz="6" w:space="0" w:color="000000"/>
              <w:bottom w:val="nil"/>
              <w:right w:val="single" w:sz="6" w:space="0" w:color="000000"/>
            </w:tcBorders>
          </w:tcPr>
          <w:p>
            <w:pPr>
              <w:pStyle w:val="TableParagraph"/>
              <w:spacing w:line="249" w:lineRule="exact"/>
              <w:ind w:right="101"/>
              <w:jc w:val="right"/>
              <w:rPr>
                <w:sz w:val="21"/>
              </w:rPr>
            </w:pPr>
            <w:r>
              <w:rPr>
                <w:sz w:val="21"/>
              </w:rPr>
              <w:t>二苯并</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80" w:lineRule="auto" w:before="148"/>
              <w:ind w:left="116" w:right="81"/>
              <w:rPr>
                <w:rFonts w:ascii="Times New Roman" w:eastAsia="Times New Roman"/>
                <w:sz w:val="21"/>
              </w:rPr>
            </w:pPr>
            <w:r>
              <w:rPr>
                <w:sz w:val="21"/>
              </w:rPr>
              <w:t>苯并</w:t>
            </w:r>
            <w:r>
              <w:rPr>
                <w:rFonts w:ascii="Times New Roman" w:eastAsia="Times New Roman"/>
                <w:sz w:val="21"/>
              </w:rPr>
              <w:t>(a) </w:t>
            </w:r>
            <w:r>
              <w:rPr>
                <w:sz w:val="21"/>
              </w:rPr>
              <w:t>芘 </w:t>
            </w:r>
            <w:r>
              <w:rPr>
                <w:rFonts w:ascii="Times New Roman" w:eastAsia="Times New Roman"/>
                <w:sz w:val="21"/>
              </w:rPr>
              <w:t>mg/kg</w:t>
            </w:r>
          </w:p>
        </w:tc>
        <w:tc>
          <w:tcPr>
            <w:tcW w:w="8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93" w:lineRule="exact"/>
              <w:ind w:left="229"/>
              <w:jc w:val="left"/>
              <w:rPr>
                <w:sz w:val="21"/>
              </w:rPr>
            </w:pPr>
            <w:r>
              <w:rPr>
                <w:sz w:val="21"/>
              </w:rPr>
              <w:t>苯并</w:t>
            </w:r>
          </w:p>
          <w:p>
            <w:pPr>
              <w:pStyle w:val="TableParagraph"/>
              <w:spacing w:line="168" w:lineRule="auto" w:before="26"/>
              <w:ind w:left="114" w:right="161"/>
              <w:rPr>
                <w:sz w:val="21"/>
              </w:rPr>
            </w:pPr>
            <w:r>
              <w:rPr>
                <w:spacing w:val="-28"/>
                <w:sz w:val="21"/>
              </w:rPr>
              <w:t>（</w:t>
            </w:r>
            <w:r>
              <w:rPr>
                <w:rFonts w:ascii="Times New Roman" w:eastAsia="Times New Roman"/>
                <w:spacing w:val="-28"/>
                <w:sz w:val="21"/>
              </w:rPr>
              <w:t>b</w:t>
            </w:r>
            <w:r>
              <w:rPr>
                <w:spacing w:val="-28"/>
                <w:sz w:val="21"/>
              </w:rPr>
              <w:t>）</w:t>
            </w:r>
            <w:r>
              <w:rPr>
                <w:spacing w:val="-82"/>
                <w:sz w:val="21"/>
              </w:rPr>
              <w:t>荧</w:t>
            </w:r>
            <w:r>
              <w:rPr>
                <w:sz w:val="21"/>
              </w:rPr>
              <w:t>蒽</w:t>
            </w:r>
          </w:p>
          <w:p>
            <w:pPr>
              <w:pStyle w:val="TableParagraph"/>
              <w:spacing w:line="198" w:lineRule="exact"/>
              <w:ind w:left="172"/>
              <w:jc w:val="left"/>
              <w:rPr>
                <w:rFonts w:ascii="Times New Roman"/>
                <w:sz w:val="21"/>
              </w:rPr>
            </w:pPr>
            <w:r>
              <w:rPr>
                <w:rFonts w:ascii="Times New Roman"/>
                <w:sz w:val="21"/>
              </w:rPr>
              <w:t>mg/kg</w:t>
            </w:r>
          </w:p>
        </w:tc>
        <w:tc>
          <w:tcPr>
            <w:tcW w:w="87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93" w:lineRule="exact"/>
              <w:ind w:left="232"/>
              <w:jc w:val="left"/>
              <w:rPr>
                <w:sz w:val="21"/>
              </w:rPr>
            </w:pPr>
            <w:r>
              <w:rPr>
                <w:sz w:val="21"/>
              </w:rPr>
              <w:t>苯并</w:t>
            </w:r>
          </w:p>
          <w:p>
            <w:pPr>
              <w:pStyle w:val="TableParagraph"/>
              <w:spacing w:line="168" w:lineRule="auto" w:before="26"/>
              <w:ind w:left="117" w:right="160"/>
              <w:rPr>
                <w:sz w:val="21"/>
              </w:rPr>
            </w:pPr>
            <w:r>
              <w:rPr>
                <w:spacing w:val="-28"/>
                <w:sz w:val="21"/>
              </w:rPr>
              <w:t>（</w:t>
            </w:r>
            <w:r>
              <w:rPr>
                <w:rFonts w:ascii="Times New Roman" w:eastAsia="Times New Roman"/>
                <w:spacing w:val="-28"/>
                <w:sz w:val="21"/>
              </w:rPr>
              <w:t>k</w:t>
            </w:r>
            <w:r>
              <w:rPr>
                <w:spacing w:val="-28"/>
                <w:sz w:val="21"/>
              </w:rPr>
              <w:t>）</w:t>
            </w:r>
            <w:r>
              <w:rPr>
                <w:spacing w:val="-82"/>
                <w:sz w:val="21"/>
              </w:rPr>
              <w:t>荧</w:t>
            </w:r>
            <w:r>
              <w:rPr>
                <w:sz w:val="21"/>
              </w:rPr>
              <w:t>蒽</w:t>
            </w:r>
          </w:p>
          <w:p>
            <w:pPr>
              <w:pStyle w:val="TableParagraph"/>
              <w:spacing w:line="198" w:lineRule="exact"/>
              <w:ind w:left="174"/>
              <w:jc w:val="left"/>
              <w:rPr>
                <w:rFonts w:ascii="Times New Roman"/>
                <w:sz w:val="21"/>
              </w:rPr>
            </w:pPr>
            <w:r>
              <w:rPr>
                <w:rFonts w:ascii="Times New Roman"/>
                <w:sz w:val="21"/>
              </w:rPr>
              <w:t>mg/kg</w:t>
            </w:r>
          </w:p>
        </w:tc>
        <w:tc>
          <w:tcPr>
            <w:tcW w:w="883" w:type="dxa"/>
            <w:tcBorders>
              <w:top w:val="single" w:sz="6" w:space="0" w:color="000000"/>
              <w:left w:val="single" w:sz="6" w:space="0" w:color="000000"/>
              <w:bottom w:val="nil"/>
            </w:tcBorders>
          </w:tcPr>
          <w:p>
            <w:pPr>
              <w:pStyle w:val="TableParagraph"/>
              <w:jc w:val="left"/>
              <w:rPr>
                <w:rFonts w:ascii="Times New Roman"/>
                <w:sz w:val="18"/>
              </w:rPr>
            </w:pPr>
          </w:p>
        </w:tc>
      </w:tr>
      <w:tr>
        <w:trPr>
          <w:trHeight w:val="286"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66" w:lineRule="exact"/>
              <w:ind w:left="93" w:right="66"/>
              <w:rPr>
                <w:sz w:val="21"/>
              </w:rPr>
            </w:pPr>
            <w:r>
              <w:rPr>
                <w:sz w:val="21"/>
              </w:rPr>
              <w:t>氯乙烯</w:t>
            </w:r>
          </w:p>
        </w:tc>
        <w:tc>
          <w:tcPr>
            <w:tcW w:w="1097" w:type="dxa"/>
            <w:tcBorders>
              <w:top w:val="nil"/>
              <w:left w:val="single" w:sz="6" w:space="0" w:color="000000"/>
              <w:bottom w:val="nil"/>
              <w:right w:val="single" w:sz="6" w:space="0" w:color="000000"/>
            </w:tcBorders>
          </w:tcPr>
          <w:p>
            <w:pPr>
              <w:pStyle w:val="TableParagraph"/>
              <w:spacing w:line="266" w:lineRule="exact"/>
              <w:ind w:left="257"/>
              <w:jc w:val="left"/>
              <w:rPr>
                <w:sz w:val="21"/>
              </w:rPr>
            </w:pPr>
            <w:r>
              <w:rPr>
                <w:rFonts w:ascii="Times New Roman" w:eastAsia="Times New Roman"/>
                <w:sz w:val="21"/>
              </w:rPr>
              <w:t>2-</w:t>
            </w:r>
            <w:r>
              <w:rPr>
                <w:sz w:val="21"/>
              </w:rPr>
              <w:t>氯酚</w:t>
            </w:r>
          </w:p>
        </w:tc>
        <w:tc>
          <w:tcPr>
            <w:tcW w:w="866" w:type="dxa"/>
            <w:tcBorders>
              <w:top w:val="nil"/>
              <w:left w:val="single" w:sz="6" w:space="0" w:color="000000"/>
              <w:bottom w:val="nil"/>
              <w:right w:val="single" w:sz="6" w:space="0" w:color="000000"/>
            </w:tcBorders>
          </w:tcPr>
          <w:p>
            <w:pPr>
              <w:pStyle w:val="TableParagraph"/>
              <w:spacing w:line="266" w:lineRule="exact"/>
              <w:ind w:left="125"/>
              <w:jc w:val="left"/>
              <w:rPr>
                <w:sz w:val="21"/>
              </w:rPr>
            </w:pPr>
            <w:r>
              <w:rPr>
                <w:sz w:val="21"/>
              </w:rPr>
              <w:t>硝基苯</w:t>
            </w:r>
          </w:p>
        </w:tc>
        <w:tc>
          <w:tcPr>
            <w:tcW w:w="871" w:type="dxa"/>
            <w:tcBorders>
              <w:top w:val="nil"/>
              <w:left w:val="single" w:sz="6" w:space="0" w:color="000000"/>
              <w:bottom w:val="nil"/>
              <w:right w:val="single" w:sz="6" w:space="0" w:color="000000"/>
            </w:tcBorders>
          </w:tcPr>
          <w:p>
            <w:pPr>
              <w:pStyle w:val="TableParagraph"/>
              <w:spacing w:line="266" w:lineRule="exact"/>
              <w:ind w:left="122" w:right="93"/>
              <w:rPr>
                <w:sz w:val="21"/>
              </w:rPr>
            </w:pPr>
            <w:r>
              <w:rPr>
                <w:sz w:val="21"/>
              </w:rPr>
              <w:t>苯胺</w:t>
            </w:r>
          </w:p>
        </w:tc>
        <w:tc>
          <w:tcPr>
            <w:tcW w:w="886" w:type="dxa"/>
            <w:tcBorders>
              <w:top w:val="nil"/>
              <w:left w:val="single" w:sz="6" w:space="0" w:color="000000"/>
              <w:bottom w:val="nil"/>
              <w:right w:val="single" w:sz="6" w:space="0" w:color="000000"/>
            </w:tcBorders>
          </w:tcPr>
          <w:p>
            <w:pPr>
              <w:pStyle w:val="TableParagraph"/>
              <w:spacing w:line="266" w:lineRule="exact"/>
              <w:ind w:right="82"/>
              <w:jc w:val="right"/>
              <w:rPr>
                <w:sz w:val="21"/>
              </w:rPr>
            </w:pPr>
            <w:r>
              <w:rPr>
                <w:sz w:val="21"/>
              </w:rPr>
              <w:t>（</w:t>
            </w:r>
            <w:r>
              <w:rPr>
                <w:rFonts w:ascii="Times New Roman" w:eastAsia="Times New Roman"/>
                <w:sz w:val="21"/>
              </w:rPr>
              <w:t>a,h</w:t>
            </w:r>
            <w:r>
              <w:rPr>
                <w:sz w:val="21"/>
              </w:rPr>
              <w:t>）</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nil"/>
            </w:tcBorders>
          </w:tcPr>
          <w:p>
            <w:pPr>
              <w:pStyle w:val="TableParagraph"/>
              <w:spacing w:line="266" w:lineRule="exact"/>
              <w:ind w:left="36"/>
              <w:rPr>
                <w:sz w:val="21"/>
              </w:rPr>
            </w:pPr>
            <w:r>
              <w:rPr>
                <w:w w:val="100"/>
                <w:sz w:val="21"/>
              </w:rPr>
              <w:t>䓛</w:t>
            </w:r>
          </w:p>
        </w:tc>
      </w:tr>
      <w:tr>
        <w:trPr>
          <w:trHeight w:val="274"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before="2"/>
              <w:ind w:left="90" w:right="66"/>
              <w:rPr>
                <w:rFonts w:ascii="Times New Roman" w:hAnsi="Times New Roman"/>
                <w:b/>
                <w:sz w:val="21"/>
              </w:rPr>
            </w:pPr>
            <w:r>
              <w:rPr>
                <w:rFonts w:ascii="Times New Roman" w:hAnsi="Times New Roman"/>
                <w:b/>
                <w:sz w:val="21"/>
              </w:rPr>
              <w:t>μg/kg</w:t>
            </w:r>
          </w:p>
        </w:tc>
        <w:tc>
          <w:tcPr>
            <w:tcW w:w="1097" w:type="dxa"/>
            <w:tcBorders>
              <w:top w:val="nil"/>
              <w:left w:val="single" w:sz="6" w:space="0" w:color="000000"/>
              <w:bottom w:val="nil"/>
              <w:right w:val="single" w:sz="6" w:space="0" w:color="000000"/>
            </w:tcBorders>
          </w:tcPr>
          <w:p>
            <w:pPr>
              <w:pStyle w:val="TableParagraph"/>
              <w:spacing w:line="241" w:lineRule="exact"/>
              <w:ind w:left="286"/>
              <w:jc w:val="left"/>
              <w:rPr>
                <w:rFonts w:ascii="Times New Roman"/>
                <w:sz w:val="21"/>
              </w:rPr>
            </w:pPr>
            <w:r>
              <w:rPr>
                <w:rFonts w:ascii="Times New Roman"/>
                <w:sz w:val="21"/>
              </w:rPr>
              <w:t>mg/kg</w:t>
            </w:r>
          </w:p>
        </w:tc>
        <w:tc>
          <w:tcPr>
            <w:tcW w:w="866" w:type="dxa"/>
            <w:tcBorders>
              <w:top w:val="nil"/>
              <w:left w:val="single" w:sz="6" w:space="0" w:color="000000"/>
              <w:bottom w:val="nil"/>
              <w:right w:val="single" w:sz="6" w:space="0" w:color="000000"/>
            </w:tcBorders>
          </w:tcPr>
          <w:p>
            <w:pPr>
              <w:pStyle w:val="TableParagraph"/>
              <w:spacing w:line="236" w:lineRule="exact"/>
              <w:ind w:left="171"/>
              <w:jc w:val="left"/>
              <w:rPr>
                <w:rFonts w:ascii="Times New Roman"/>
                <w:sz w:val="21"/>
              </w:rPr>
            </w:pPr>
            <w:r>
              <w:rPr>
                <w:rFonts w:ascii="Times New Roman"/>
                <w:sz w:val="21"/>
              </w:rPr>
              <w:t>mg/kg</w:t>
            </w:r>
          </w:p>
        </w:tc>
        <w:tc>
          <w:tcPr>
            <w:tcW w:w="871" w:type="dxa"/>
            <w:tcBorders>
              <w:top w:val="nil"/>
              <w:left w:val="single" w:sz="6" w:space="0" w:color="000000"/>
              <w:bottom w:val="nil"/>
              <w:right w:val="single" w:sz="6" w:space="0" w:color="000000"/>
            </w:tcBorders>
          </w:tcPr>
          <w:p>
            <w:pPr>
              <w:pStyle w:val="TableParagraph"/>
              <w:spacing w:line="236" w:lineRule="exact"/>
              <w:ind w:left="120" w:right="93"/>
              <w:rPr>
                <w:rFonts w:ascii="Times New Roman"/>
                <w:sz w:val="21"/>
              </w:rPr>
            </w:pPr>
            <w:r>
              <w:rPr>
                <w:rFonts w:ascii="Times New Roman"/>
                <w:sz w:val="21"/>
              </w:rPr>
              <w:t>mg/kg</w:t>
            </w:r>
          </w:p>
        </w:tc>
        <w:tc>
          <w:tcPr>
            <w:tcW w:w="886" w:type="dxa"/>
            <w:tcBorders>
              <w:top w:val="nil"/>
              <w:left w:val="single" w:sz="6" w:space="0" w:color="000000"/>
              <w:bottom w:val="nil"/>
              <w:right w:val="single" w:sz="6" w:space="0" w:color="000000"/>
            </w:tcBorders>
          </w:tcPr>
          <w:p>
            <w:pPr>
              <w:pStyle w:val="TableParagraph"/>
              <w:spacing w:line="254" w:lineRule="exact"/>
              <w:ind w:left="30"/>
              <w:rPr>
                <w:sz w:val="21"/>
              </w:rPr>
            </w:pPr>
            <w:r>
              <w:rPr>
                <w:w w:val="100"/>
                <w:sz w:val="21"/>
              </w:rPr>
              <w:t>蒽</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nil"/>
            </w:tcBorders>
          </w:tcPr>
          <w:p>
            <w:pPr>
              <w:pStyle w:val="TableParagraph"/>
              <w:spacing w:line="236" w:lineRule="exact"/>
              <w:ind w:left="96" w:right="62"/>
              <w:rPr>
                <w:rFonts w:ascii="Times New Roman"/>
                <w:sz w:val="21"/>
              </w:rPr>
            </w:pPr>
            <w:r>
              <w:rPr>
                <w:rFonts w:ascii="Times New Roman"/>
                <w:sz w:val="21"/>
              </w:rPr>
              <w:t>mg/kg</w:t>
            </w:r>
          </w:p>
        </w:tc>
      </w:tr>
      <w:tr>
        <w:trPr>
          <w:trHeight w:val="241"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1097"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66"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886" w:type="dxa"/>
            <w:tcBorders>
              <w:top w:val="nil"/>
              <w:left w:val="single" w:sz="6" w:space="0" w:color="000000"/>
              <w:bottom w:val="single" w:sz="6" w:space="0" w:color="000000"/>
              <w:right w:val="single" w:sz="6" w:space="0" w:color="000000"/>
            </w:tcBorders>
          </w:tcPr>
          <w:p>
            <w:pPr>
              <w:pStyle w:val="TableParagraph"/>
              <w:spacing w:line="219" w:lineRule="exact" w:before="2"/>
              <w:ind w:right="152"/>
              <w:jc w:val="right"/>
              <w:rPr>
                <w:rFonts w:ascii="Times New Roman"/>
                <w:sz w:val="21"/>
              </w:rPr>
            </w:pPr>
            <w:r>
              <w:rPr>
                <w:rFonts w:ascii="Times New Roman"/>
                <w:sz w:val="21"/>
              </w:rPr>
              <w:t>mg/kg</w:t>
            </w: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69" w:type="dxa"/>
            <w:vMerge/>
            <w:tcBorders>
              <w:top w:val="nil"/>
              <w:left w:val="single" w:sz="6" w:space="0" w:color="000000"/>
              <w:bottom w:val="single" w:sz="6" w:space="0" w:color="000000"/>
              <w:right w:val="single" w:sz="6" w:space="0" w:color="000000"/>
            </w:tcBorders>
          </w:tcPr>
          <w:p>
            <w:pPr>
              <w:rPr>
                <w:sz w:val="2"/>
                <w:szCs w:val="2"/>
              </w:rPr>
            </w:pPr>
          </w:p>
        </w:tc>
        <w:tc>
          <w:tcPr>
            <w:tcW w:w="871" w:type="dxa"/>
            <w:vMerge/>
            <w:tcBorders>
              <w:top w:val="nil"/>
              <w:left w:val="single" w:sz="6" w:space="0" w:color="000000"/>
              <w:bottom w:val="single" w:sz="6" w:space="0" w:color="000000"/>
              <w:right w:val="single" w:sz="6" w:space="0" w:color="000000"/>
            </w:tcBorders>
          </w:tcPr>
          <w:p>
            <w:pPr>
              <w:rPr>
                <w:sz w:val="2"/>
                <w:szCs w:val="2"/>
              </w:rPr>
            </w:pPr>
          </w:p>
        </w:tc>
        <w:tc>
          <w:tcPr>
            <w:tcW w:w="883" w:type="dxa"/>
            <w:tcBorders>
              <w:top w:val="nil"/>
              <w:left w:val="single" w:sz="6" w:space="0" w:color="000000"/>
              <w:bottom w:val="single" w:sz="6" w:space="0" w:color="000000"/>
            </w:tcBorders>
          </w:tcPr>
          <w:p>
            <w:pPr>
              <w:pStyle w:val="TableParagraph"/>
              <w:jc w:val="left"/>
              <w:rPr>
                <w:rFonts w:ascii="Times New Roman"/>
                <w:sz w:val="16"/>
              </w:rPr>
            </w:pPr>
          </w:p>
        </w:tc>
      </w:tr>
      <w:tr>
        <w:trPr>
          <w:trHeight w:val="353"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before="50"/>
              <w:ind w:left="93" w:right="66"/>
              <w:rPr>
                <w:rFonts w:ascii="Times New Roman"/>
                <w:sz w:val="21"/>
              </w:rPr>
            </w:pPr>
            <w:r>
              <w:rPr>
                <w:rFonts w:ascii="Times New Roman"/>
                <w:sz w:val="21"/>
              </w:rPr>
              <w:t>1.3</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240"/>
              <w:jc w:val="left"/>
              <w:rPr>
                <w:sz w:val="21"/>
              </w:rPr>
            </w:pPr>
            <w:r>
              <w:rPr>
                <w:sz w:val="21"/>
              </w:rPr>
              <w:t>未检出</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125"/>
              <w:jc w:val="lef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9" w:right="70"/>
              <w:rPr>
                <w:sz w:val="21"/>
              </w:rPr>
            </w:pPr>
            <w:r>
              <w:rPr>
                <w:sz w:val="21"/>
              </w:rPr>
              <w:t>未检出</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right="101"/>
              <w:jc w:val="right"/>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9" w:right="69"/>
              <w:rPr>
                <w:sz w:val="21"/>
              </w:rPr>
            </w:pPr>
            <w:r>
              <w:rPr>
                <w:sz w:val="21"/>
              </w:rPr>
              <w:t>未检出</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6" w:right="69"/>
              <w:rPr>
                <w:sz w:val="21"/>
              </w:rPr>
            </w:pPr>
            <w:r>
              <w:rPr>
                <w:sz w:val="21"/>
              </w:rPr>
              <w:t>未检出</w:t>
            </w:r>
          </w:p>
        </w:tc>
        <w:tc>
          <w:tcPr>
            <w:tcW w:w="871" w:type="dxa"/>
            <w:tcBorders>
              <w:top w:val="single" w:sz="6" w:space="0" w:color="000000"/>
              <w:left w:val="single" w:sz="6" w:space="0" w:color="000000"/>
              <w:bottom w:val="single" w:sz="6" w:space="0" w:color="000000"/>
              <w:right w:val="single" w:sz="6" w:space="0" w:color="000000"/>
            </w:tcBorders>
          </w:tcPr>
          <w:p>
            <w:pPr>
              <w:pStyle w:val="TableParagraph"/>
              <w:spacing w:line="334" w:lineRule="exact"/>
              <w:ind w:left="99" w:right="68"/>
              <w:rPr>
                <w:sz w:val="21"/>
              </w:rPr>
            </w:pPr>
            <w:r>
              <w:rPr>
                <w:sz w:val="21"/>
              </w:rPr>
              <w:t>未检出</w:t>
            </w:r>
          </w:p>
        </w:tc>
        <w:tc>
          <w:tcPr>
            <w:tcW w:w="883" w:type="dxa"/>
            <w:tcBorders>
              <w:top w:val="single" w:sz="6" w:space="0" w:color="000000"/>
              <w:left w:val="single" w:sz="6" w:space="0" w:color="000000"/>
              <w:bottom w:val="single" w:sz="6" w:space="0" w:color="000000"/>
            </w:tcBorders>
          </w:tcPr>
          <w:p>
            <w:pPr>
              <w:pStyle w:val="TableParagraph"/>
              <w:spacing w:line="334" w:lineRule="exact"/>
              <w:ind w:left="96" w:right="55"/>
              <w:rPr>
                <w:sz w:val="21"/>
              </w:rPr>
            </w:pPr>
            <w:r>
              <w:rPr>
                <w:sz w:val="21"/>
              </w:rPr>
              <w:t>未检出</w:t>
            </w:r>
          </w:p>
        </w:tc>
      </w:tr>
      <w:tr>
        <w:trPr>
          <w:trHeight w:val="287"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bottom w:val="nil"/>
              <w:right w:val="single" w:sz="6" w:space="0" w:color="000000"/>
            </w:tcBorders>
          </w:tcPr>
          <w:p>
            <w:pPr>
              <w:pStyle w:val="TableParagraph"/>
              <w:spacing w:line="268" w:lineRule="exact"/>
              <w:ind w:left="93" w:right="66"/>
              <w:rPr>
                <w:sz w:val="21"/>
              </w:rPr>
            </w:pPr>
            <w:r>
              <w:rPr>
                <w:sz w:val="21"/>
              </w:rPr>
              <w:t>二苯并</w:t>
            </w:r>
          </w:p>
        </w:tc>
        <w:tc>
          <w:tcPr>
            <w:tcW w:w="1097" w:type="dxa"/>
            <w:tcBorders>
              <w:top w:val="single" w:sz="6" w:space="0" w:color="000000"/>
              <w:left w:val="single" w:sz="6" w:space="0" w:color="000000"/>
              <w:bottom w:val="nil"/>
              <w:right w:val="single" w:sz="6" w:space="0" w:color="000000"/>
            </w:tcBorders>
          </w:tcPr>
          <w:p>
            <w:pPr>
              <w:pStyle w:val="TableParagraph"/>
              <w:spacing w:line="268" w:lineRule="exact"/>
              <w:ind w:left="346"/>
              <w:jc w:val="left"/>
              <w:rPr>
                <w:sz w:val="21"/>
              </w:rPr>
            </w:pPr>
            <w:r>
              <w:rPr>
                <w:sz w:val="21"/>
              </w:rPr>
              <w:t>茚并</w:t>
            </w:r>
          </w:p>
        </w:tc>
        <w:tc>
          <w:tcPr>
            <w:tcW w:w="86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9"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7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91"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nil"/>
              <w:right w:val="single" w:sz="6" w:space="0" w:color="000000"/>
            </w:tcBorders>
          </w:tcPr>
          <w:p>
            <w:pPr>
              <w:pStyle w:val="TableParagraph"/>
              <w:spacing w:line="271" w:lineRule="exact"/>
              <w:ind w:left="93" w:right="66"/>
              <w:rPr>
                <w:sz w:val="21"/>
              </w:rPr>
            </w:pPr>
            <w:r>
              <w:rPr>
                <w:sz w:val="21"/>
              </w:rPr>
              <w:t>（</w:t>
            </w:r>
            <w:r>
              <w:rPr>
                <w:rFonts w:ascii="Times New Roman" w:eastAsia="Times New Roman"/>
                <w:sz w:val="21"/>
              </w:rPr>
              <w:t>a,h</w:t>
            </w:r>
            <w:r>
              <w:rPr>
                <w:sz w:val="21"/>
              </w:rPr>
              <w:t>）</w:t>
            </w:r>
          </w:p>
        </w:tc>
        <w:tc>
          <w:tcPr>
            <w:tcW w:w="1097" w:type="dxa"/>
            <w:tcBorders>
              <w:top w:val="nil"/>
              <w:left w:val="single" w:sz="6" w:space="0" w:color="000000"/>
              <w:bottom w:val="nil"/>
              <w:right w:val="single" w:sz="6" w:space="0" w:color="000000"/>
            </w:tcBorders>
          </w:tcPr>
          <w:p>
            <w:pPr>
              <w:pStyle w:val="TableParagraph"/>
              <w:spacing w:before="23"/>
              <w:ind w:right="82"/>
              <w:jc w:val="right"/>
              <w:rPr>
                <w:rFonts w:ascii="Times New Roman"/>
                <w:sz w:val="21"/>
              </w:rPr>
            </w:pPr>
            <w:r>
              <w:rPr>
                <w:rFonts w:ascii="Times New Roman"/>
                <w:sz w:val="21"/>
              </w:rPr>
              <w:t>(1,2,3-c,d)</w:t>
            </w:r>
          </w:p>
        </w:tc>
        <w:tc>
          <w:tcPr>
            <w:tcW w:w="866" w:type="dxa"/>
            <w:tcBorders>
              <w:top w:val="nil"/>
              <w:left w:val="single" w:sz="6" w:space="0" w:color="000000"/>
              <w:bottom w:val="nil"/>
              <w:right w:val="single" w:sz="6" w:space="0" w:color="000000"/>
            </w:tcBorders>
          </w:tcPr>
          <w:p>
            <w:pPr>
              <w:pStyle w:val="TableParagraph"/>
              <w:spacing w:before="23"/>
              <w:ind w:left="30"/>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23"/>
              <w:ind w:left="30"/>
              <w:rPr>
                <w:rFonts w:ascii="Times New Roman"/>
                <w:sz w:val="21"/>
              </w:rPr>
            </w:pPr>
            <w:r>
              <w:rPr>
                <w:rFonts w:ascii="Times New Roman"/>
                <w:w w:val="100"/>
                <w:sz w:val="21"/>
              </w:rPr>
              <w:t>/</w:t>
            </w:r>
          </w:p>
        </w:tc>
        <w:tc>
          <w:tcPr>
            <w:tcW w:w="886" w:type="dxa"/>
            <w:tcBorders>
              <w:top w:val="nil"/>
              <w:left w:val="single" w:sz="6" w:space="0" w:color="000000"/>
              <w:bottom w:val="nil"/>
              <w:right w:val="single" w:sz="6" w:space="0" w:color="000000"/>
            </w:tcBorders>
          </w:tcPr>
          <w:p>
            <w:pPr>
              <w:pStyle w:val="TableParagraph"/>
              <w:spacing w:before="23"/>
              <w:ind w:left="31"/>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23"/>
              <w:ind w:left="31"/>
              <w:rPr>
                <w:rFonts w:ascii="Times New Roman"/>
                <w:sz w:val="21"/>
              </w:rPr>
            </w:pPr>
            <w:r>
              <w:rPr>
                <w:rFonts w:ascii="Times New Roman"/>
                <w:w w:val="100"/>
                <w:sz w:val="21"/>
              </w:rPr>
              <w:t>/</w:t>
            </w:r>
          </w:p>
        </w:tc>
        <w:tc>
          <w:tcPr>
            <w:tcW w:w="869" w:type="dxa"/>
            <w:tcBorders>
              <w:top w:val="nil"/>
              <w:left w:val="single" w:sz="6" w:space="0" w:color="000000"/>
              <w:bottom w:val="nil"/>
              <w:right w:val="single" w:sz="6" w:space="0" w:color="000000"/>
            </w:tcBorders>
          </w:tcPr>
          <w:p>
            <w:pPr>
              <w:pStyle w:val="TableParagraph"/>
              <w:spacing w:before="23"/>
              <w:ind w:left="28"/>
              <w:rPr>
                <w:rFonts w:ascii="Times New Roman"/>
                <w:sz w:val="21"/>
              </w:rPr>
            </w:pPr>
            <w:r>
              <w:rPr>
                <w:rFonts w:ascii="Times New Roman"/>
                <w:w w:val="100"/>
                <w:sz w:val="21"/>
              </w:rPr>
              <w:t>/</w:t>
            </w:r>
          </w:p>
        </w:tc>
        <w:tc>
          <w:tcPr>
            <w:tcW w:w="871" w:type="dxa"/>
            <w:tcBorders>
              <w:top w:val="nil"/>
              <w:left w:val="single" w:sz="6" w:space="0" w:color="000000"/>
              <w:bottom w:val="nil"/>
              <w:right w:val="single" w:sz="6" w:space="0" w:color="000000"/>
            </w:tcBorders>
          </w:tcPr>
          <w:p>
            <w:pPr>
              <w:pStyle w:val="TableParagraph"/>
              <w:spacing w:before="23"/>
              <w:ind w:left="32"/>
              <w:rPr>
                <w:rFonts w:ascii="Times New Roman"/>
                <w:sz w:val="21"/>
              </w:rPr>
            </w:pPr>
            <w:r>
              <w:rPr>
                <w:rFonts w:ascii="Times New Roman"/>
                <w:w w:val="100"/>
                <w:sz w:val="21"/>
              </w:rPr>
              <w:t>/</w:t>
            </w:r>
          </w:p>
        </w:tc>
        <w:tc>
          <w:tcPr>
            <w:tcW w:w="883" w:type="dxa"/>
            <w:tcBorders>
              <w:top w:val="nil"/>
              <w:left w:val="single" w:sz="6" w:space="0" w:color="000000"/>
              <w:bottom w:val="nil"/>
            </w:tcBorders>
          </w:tcPr>
          <w:p>
            <w:pPr>
              <w:pStyle w:val="TableParagraph"/>
              <w:spacing w:before="23"/>
              <w:ind w:left="37"/>
              <w:rPr>
                <w:rFonts w:ascii="Times New Roman"/>
                <w:sz w:val="21"/>
              </w:rPr>
            </w:pPr>
            <w:r>
              <w:rPr>
                <w:rFonts w:ascii="Times New Roman"/>
                <w:w w:val="100"/>
                <w:sz w:val="21"/>
              </w:rPr>
              <w:t>/</w:t>
            </w:r>
          </w:p>
        </w:tc>
      </w:tr>
      <w:tr>
        <w:trPr>
          <w:trHeight w:val="283" w:hRule="atLeast"/>
        </w:trPr>
        <w:tc>
          <w:tcPr>
            <w:tcW w:w="427" w:type="dxa"/>
            <w:vMerge/>
            <w:tcBorders>
              <w:top w:val="nil"/>
              <w:right w:val="single" w:sz="6" w:space="0" w:color="000000"/>
            </w:tcBorders>
          </w:tcPr>
          <w:p>
            <w:pPr>
              <w:rPr>
                <w:sz w:val="2"/>
                <w:szCs w:val="2"/>
              </w:rPr>
            </w:pPr>
          </w:p>
        </w:tc>
        <w:tc>
          <w:tcPr>
            <w:tcW w:w="885" w:type="dxa"/>
            <w:tcBorders>
              <w:top w:val="nil"/>
              <w:left w:val="single" w:sz="6" w:space="0" w:color="000000"/>
              <w:bottom w:val="single" w:sz="6" w:space="0" w:color="000000"/>
              <w:right w:val="single" w:sz="6" w:space="0" w:color="000000"/>
            </w:tcBorders>
          </w:tcPr>
          <w:p>
            <w:pPr>
              <w:pStyle w:val="TableParagraph"/>
              <w:spacing w:line="264" w:lineRule="exact"/>
              <w:ind w:left="27"/>
              <w:rPr>
                <w:sz w:val="21"/>
              </w:rPr>
            </w:pPr>
            <w:r>
              <w:rPr>
                <w:w w:val="100"/>
                <w:sz w:val="21"/>
              </w:rPr>
              <w:t>蒽</w:t>
            </w:r>
          </w:p>
        </w:tc>
        <w:tc>
          <w:tcPr>
            <w:tcW w:w="1097" w:type="dxa"/>
            <w:tcBorders>
              <w:top w:val="nil"/>
              <w:left w:val="single" w:sz="6" w:space="0" w:color="000000"/>
              <w:bottom w:val="single" w:sz="6" w:space="0" w:color="000000"/>
              <w:right w:val="single" w:sz="6" w:space="0" w:color="000000"/>
            </w:tcBorders>
          </w:tcPr>
          <w:p>
            <w:pPr>
              <w:pStyle w:val="TableParagraph"/>
              <w:spacing w:line="264" w:lineRule="exact"/>
              <w:ind w:right="124"/>
              <w:jc w:val="right"/>
              <w:rPr>
                <w:rFonts w:ascii="Times New Roman" w:eastAsia="Times New Roman"/>
                <w:sz w:val="21"/>
              </w:rPr>
            </w:pPr>
            <w:r>
              <w:rPr>
                <w:sz w:val="21"/>
              </w:rPr>
              <w:t>芘 </w:t>
            </w:r>
            <w:r>
              <w:rPr>
                <w:rFonts w:ascii="Times New Roman" w:eastAsia="Times New Roman"/>
                <w:sz w:val="21"/>
              </w:rPr>
              <w:t>mg/kg</w:t>
            </w:r>
          </w:p>
        </w:tc>
        <w:tc>
          <w:tcPr>
            <w:tcW w:w="86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69"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7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358" w:hRule="atLeast"/>
        </w:trPr>
        <w:tc>
          <w:tcPr>
            <w:tcW w:w="427" w:type="dxa"/>
            <w:vMerge/>
            <w:tcBorders>
              <w:top w:val="nil"/>
              <w:right w:val="single" w:sz="6" w:space="0" w:color="000000"/>
            </w:tcBorders>
          </w:tcPr>
          <w:p>
            <w:pPr>
              <w:rPr>
                <w:sz w:val="2"/>
                <w:szCs w:val="2"/>
              </w:rPr>
            </w:pPr>
          </w:p>
        </w:tc>
        <w:tc>
          <w:tcPr>
            <w:tcW w:w="885" w:type="dxa"/>
            <w:tcBorders>
              <w:top w:val="single" w:sz="6" w:space="0" w:color="000000"/>
              <w:left w:val="single" w:sz="6" w:space="0" w:color="000000"/>
              <w:right w:val="single" w:sz="6" w:space="0" w:color="000000"/>
            </w:tcBorders>
          </w:tcPr>
          <w:p>
            <w:pPr>
              <w:pStyle w:val="TableParagraph"/>
              <w:spacing w:line="339" w:lineRule="exact"/>
              <w:ind w:left="93" w:right="66"/>
              <w:rPr>
                <w:sz w:val="21"/>
              </w:rPr>
            </w:pPr>
            <w:r>
              <w:rPr>
                <w:sz w:val="21"/>
              </w:rPr>
              <w:t>未检出</w:t>
            </w:r>
          </w:p>
        </w:tc>
        <w:tc>
          <w:tcPr>
            <w:tcW w:w="1097" w:type="dxa"/>
            <w:tcBorders>
              <w:top w:val="single" w:sz="6" w:space="0" w:color="000000"/>
              <w:left w:val="single" w:sz="6" w:space="0" w:color="000000"/>
              <w:right w:val="single" w:sz="6" w:space="0" w:color="000000"/>
            </w:tcBorders>
          </w:tcPr>
          <w:p>
            <w:pPr>
              <w:pStyle w:val="TableParagraph"/>
              <w:spacing w:line="339" w:lineRule="exact"/>
              <w:ind w:left="240"/>
              <w:jc w:val="left"/>
              <w:rPr>
                <w:sz w:val="21"/>
              </w:rPr>
            </w:pPr>
            <w:r>
              <w:rPr>
                <w:sz w:val="21"/>
              </w:rPr>
              <w:t>未检出</w:t>
            </w:r>
          </w:p>
        </w:tc>
        <w:tc>
          <w:tcPr>
            <w:tcW w:w="866" w:type="dxa"/>
            <w:tcBorders>
              <w:top w:val="single" w:sz="6" w:space="0" w:color="000000"/>
              <w:left w:val="single" w:sz="6" w:space="0" w:color="000000"/>
              <w:right w:val="single" w:sz="6" w:space="0" w:color="000000"/>
            </w:tcBorders>
          </w:tcPr>
          <w:p>
            <w:pPr>
              <w:pStyle w:val="TableParagraph"/>
              <w:spacing w:before="55"/>
              <w:ind w:left="30"/>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0"/>
              <w:rPr>
                <w:rFonts w:ascii="Times New Roman"/>
                <w:sz w:val="21"/>
              </w:rPr>
            </w:pPr>
            <w:r>
              <w:rPr>
                <w:rFonts w:ascii="Times New Roman"/>
                <w:w w:val="100"/>
                <w:sz w:val="21"/>
              </w:rPr>
              <w:t>/</w:t>
            </w:r>
          </w:p>
        </w:tc>
        <w:tc>
          <w:tcPr>
            <w:tcW w:w="886" w:type="dxa"/>
            <w:tcBorders>
              <w:top w:val="single" w:sz="6" w:space="0" w:color="000000"/>
              <w:left w:val="single" w:sz="6" w:space="0" w:color="000000"/>
              <w:right w:val="single" w:sz="6" w:space="0" w:color="000000"/>
            </w:tcBorders>
          </w:tcPr>
          <w:p>
            <w:pPr>
              <w:pStyle w:val="TableParagraph"/>
              <w:spacing w:before="55"/>
              <w:ind w:left="31"/>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1"/>
              <w:rPr>
                <w:rFonts w:ascii="Times New Roman"/>
                <w:sz w:val="21"/>
              </w:rPr>
            </w:pPr>
            <w:r>
              <w:rPr>
                <w:rFonts w:ascii="Times New Roman"/>
                <w:w w:val="100"/>
                <w:sz w:val="21"/>
              </w:rPr>
              <w:t>/</w:t>
            </w:r>
          </w:p>
        </w:tc>
        <w:tc>
          <w:tcPr>
            <w:tcW w:w="869" w:type="dxa"/>
            <w:tcBorders>
              <w:top w:val="single" w:sz="6" w:space="0" w:color="000000"/>
              <w:left w:val="single" w:sz="6" w:space="0" w:color="000000"/>
              <w:right w:val="single" w:sz="6" w:space="0" w:color="000000"/>
            </w:tcBorders>
          </w:tcPr>
          <w:p>
            <w:pPr>
              <w:pStyle w:val="TableParagraph"/>
              <w:spacing w:before="55"/>
              <w:ind w:left="28"/>
              <w:rPr>
                <w:rFonts w:ascii="Times New Roman"/>
                <w:sz w:val="21"/>
              </w:rPr>
            </w:pPr>
            <w:r>
              <w:rPr>
                <w:rFonts w:ascii="Times New Roman"/>
                <w:w w:val="100"/>
                <w:sz w:val="21"/>
              </w:rPr>
              <w:t>/</w:t>
            </w:r>
          </w:p>
        </w:tc>
        <w:tc>
          <w:tcPr>
            <w:tcW w:w="871" w:type="dxa"/>
            <w:tcBorders>
              <w:top w:val="single" w:sz="6" w:space="0" w:color="000000"/>
              <w:left w:val="single" w:sz="6" w:space="0" w:color="000000"/>
              <w:right w:val="single" w:sz="6" w:space="0" w:color="000000"/>
            </w:tcBorders>
          </w:tcPr>
          <w:p>
            <w:pPr>
              <w:pStyle w:val="TableParagraph"/>
              <w:spacing w:before="55"/>
              <w:ind w:left="32"/>
              <w:rPr>
                <w:rFonts w:ascii="Times New Roman"/>
                <w:sz w:val="21"/>
              </w:rPr>
            </w:pPr>
            <w:r>
              <w:rPr>
                <w:rFonts w:ascii="Times New Roman"/>
                <w:w w:val="100"/>
                <w:sz w:val="21"/>
              </w:rPr>
              <w:t>/</w:t>
            </w:r>
          </w:p>
        </w:tc>
        <w:tc>
          <w:tcPr>
            <w:tcW w:w="883" w:type="dxa"/>
            <w:tcBorders>
              <w:top w:val="single" w:sz="6" w:space="0" w:color="000000"/>
              <w:left w:val="single" w:sz="6" w:space="0" w:color="000000"/>
            </w:tcBorders>
          </w:tcPr>
          <w:p>
            <w:pPr>
              <w:pStyle w:val="TableParagraph"/>
              <w:spacing w:before="55"/>
              <w:ind w:left="37"/>
              <w:rPr>
                <w:rFonts w:ascii="Times New Roman"/>
                <w:sz w:val="21"/>
              </w:rPr>
            </w:pPr>
            <w:r>
              <w:rPr>
                <w:rFonts w:ascii="Times New Roman"/>
                <w:w w:val="100"/>
                <w:sz w:val="21"/>
              </w:rPr>
              <w:t>/</w:t>
            </w:r>
          </w:p>
        </w:tc>
      </w:tr>
    </w:tbl>
    <w:p>
      <w:pPr>
        <w:pStyle w:val="BodyText"/>
        <w:spacing w:before="5"/>
        <w:rPr>
          <w:sz w:val="23"/>
        </w:rPr>
      </w:pPr>
    </w:p>
    <w:p>
      <w:pPr>
        <w:tabs>
          <w:tab w:pos="4444" w:val="left" w:leader="none"/>
        </w:tabs>
        <w:spacing w:line="423" w:lineRule="exact" w:before="0" w:after="24"/>
        <w:ind w:left="3216" w:right="0" w:firstLine="0"/>
        <w:jc w:val="left"/>
        <w:rPr>
          <w:sz w:val="21"/>
        </w:rPr>
      </w:pPr>
      <w:r>
        <w:rPr>
          <w:sz w:val="21"/>
        </w:rPr>
        <w:t>续表</w:t>
      </w:r>
      <w:r>
        <w:rPr>
          <w:spacing w:val="5"/>
          <w:sz w:val="21"/>
        </w:rPr>
        <w:t> </w:t>
      </w:r>
      <w:r>
        <w:rPr>
          <w:rFonts w:ascii="Times New Roman" w:eastAsia="Times New Roman"/>
          <w:b/>
          <w:sz w:val="21"/>
        </w:rPr>
        <w:t>5.4-34</w:t>
        <w:tab/>
      </w:r>
      <w:r>
        <w:rPr>
          <w:sz w:val="21"/>
        </w:rPr>
        <w:t>土壤环境</w:t>
      </w:r>
      <w:r>
        <w:rPr>
          <w:spacing w:val="-3"/>
          <w:sz w:val="21"/>
        </w:rPr>
        <w:t>现</w:t>
      </w:r>
      <w:r>
        <w:rPr>
          <w:sz w:val="21"/>
        </w:rPr>
        <w:t>状监测结果</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4"/>
        <w:gridCol w:w="886"/>
        <w:gridCol w:w="1098"/>
        <w:gridCol w:w="826"/>
        <w:gridCol w:w="826"/>
        <w:gridCol w:w="888"/>
        <w:gridCol w:w="826"/>
        <w:gridCol w:w="867"/>
        <w:gridCol w:w="785"/>
        <w:gridCol w:w="835"/>
      </w:tblGrid>
      <w:tr>
        <w:trPr>
          <w:trHeight w:val="313" w:hRule="atLeast"/>
        </w:trPr>
        <w:tc>
          <w:tcPr>
            <w:tcW w:w="694" w:type="dxa"/>
            <w:tcBorders>
              <w:bottom w:val="nil"/>
              <w:right w:val="single" w:sz="6" w:space="0" w:color="000000"/>
            </w:tcBorders>
          </w:tcPr>
          <w:p>
            <w:pPr>
              <w:pStyle w:val="TableParagraph"/>
              <w:jc w:val="left"/>
              <w:rPr>
                <w:rFonts w:ascii="Times New Roman"/>
                <w:sz w:val="20"/>
              </w:rPr>
            </w:pPr>
          </w:p>
        </w:tc>
        <w:tc>
          <w:tcPr>
            <w:tcW w:w="7837" w:type="dxa"/>
            <w:gridSpan w:val="9"/>
            <w:tcBorders>
              <w:left w:val="single" w:sz="6" w:space="0" w:color="000000"/>
              <w:bottom w:val="single" w:sz="6" w:space="0" w:color="000000"/>
            </w:tcBorders>
          </w:tcPr>
          <w:p>
            <w:pPr>
              <w:pStyle w:val="TableParagraph"/>
              <w:spacing w:line="294" w:lineRule="exact"/>
              <w:ind w:left="3484" w:right="3449"/>
              <w:rPr>
                <w:sz w:val="21"/>
              </w:rPr>
            </w:pPr>
            <w:r>
              <w:rPr>
                <w:sz w:val="21"/>
              </w:rPr>
              <w:t>检测项目</w:t>
            </w:r>
          </w:p>
        </w:tc>
      </w:tr>
      <w:tr>
        <w:trPr>
          <w:trHeight w:val="308"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098"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spacing w:line="288" w:lineRule="exact"/>
              <w:ind w:left="25"/>
              <w:rPr>
                <w:sz w:val="21"/>
              </w:rPr>
            </w:pPr>
            <w:r>
              <w:rPr>
                <w:w w:val="100"/>
                <w:sz w:val="21"/>
              </w:rPr>
              <w:t>反</w:t>
            </w: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8"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7"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78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35" w:type="dxa"/>
            <w:tcBorders>
              <w:top w:val="single" w:sz="6" w:space="0" w:color="000000"/>
              <w:left w:val="single" w:sz="6" w:space="0" w:color="000000"/>
              <w:bottom w:val="nil"/>
            </w:tcBorders>
          </w:tcPr>
          <w:p>
            <w:pPr>
              <w:pStyle w:val="TableParagraph"/>
              <w:jc w:val="left"/>
              <w:rPr>
                <w:rFonts w:ascii="Times New Roman"/>
                <w:sz w:val="20"/>
              </w:rPr>
            </w:pPr>
          </w:p>
        </w:tc>
      </w:tr>
      <w:tr>
        <w:trPr>
          <w:trHeight w:val="1493" w:hRule="atLeast"/>
        </w:trPr>
        <w:tc>
          <w:tcPr>
            <w:tcW w:w="694" w:type="dxa"/>
            <w:tcBorders>
              <w:top w:val="nil"/>
              <w:bottom w:val="single" w:sz="6" w:space="0" w:color="000000"/>
              <w:right w:val="single" w:sz="6" w:space="0" w:color="000000"/>
            </w:tcBorders>
          </w:tcPr>
          <w:p>
            <w:pPr>
              <w:pStyle w:val="TableParagraph"/>
              <w:spacing w:line="168" w:lineRule="auto" w:before="131"/>
              <w:ind w:left="136" w:right="110"/>
              <w:jc w:val="left"/>
              <w:rPr>
                <w:sz w:val="21"/>
              </w:rPr>
            </w:pPr>
            <w:r>
              <w:rPr>
                <w:sz w:val="21"/>
              </w:rPr>
              <w:t>检测点位</w:t>
            </w:r>
          </w:p>
        </w:tc>
        <w:tc>
          <w:tcPr>
            <w:tcW w:w="886" w:type="dxa"/>
            <w:tcBorders>
              <w:top w:val="nil"/>
              <w:left w:val="single" w:sz="6" w:space="0" w:color="000000"/>
              <w:bottom w:val="single" w:sz="6" w:space="0" w:color="000000"/>
              <w:right w:val="single" w:sz="6" w:space="0" w:color="000000"/>
            </w:tcBorders>
          </w:tcPr>
          <w:p>
            <w:pPr>
              <w:pStyle w:val="TableParagraph"/>
              <w:spacing w:line="379" w:lineRule="exact" w:before="45"/>
              <w:ind w:left="179"/>
              <w:jc w:val="left"/>
              <w:rPr>
                <w:sz w:val="21"/>
              </w:rPr>
            </w:pPr>
            <w:r>
              <w:rPr>
                <w:rFonts w:ascii="Times New Roman" w:eastAsia="Times New Roman"/>
                <w:sz w:val="21"/>
              </w:rPr>
              <w:t>1,1-</w:t>
            </w:r>
            <w:r>
              <w:rPr>
                <w:sz w:val="21"/>
              </w:rPr>
              <w:t>二</w:t>
            </w:r>
          </w:p>
          <w:p>
            <w:pPr>
              <w:pStyle w:val="TableParagraph"/>
              <w:spacing w:line="368" w:lineRule="exact"/>
              <w:ind w:left="133"/>
              <w:jc w:val="left"/>
              <w:rPr>
                <w:sz w:val="21"/>
              </w:rPr>
            </w:pPr>
            <w:r>
              <w:rPr>
                <w:sz w:val="21"/>
              </w:rPr>
              <w:t>氯乙烯</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nil"/>
              <w:left w:val="single" w:sz="6" w:space="0" w:color="000000"/>
              <w:bottom w:val="single" w:sz="6" w:space="0" w:color="000000"/>
              <w:right w:val="single" w:sz="6" w:space="0" w:color="000000"/>
            </w:tcBorders>
          </w:tcPr>
          <w:p>
            <w:pPr>
              <w:pStyle w:val="TableParagraph"/>
              <w:spacing w:before="10"/>
              <w:jc w:val="left"/>
              <w:rPr>
                <w:sz w:val="9"/>
              </w:rPr>
            </w:pPr>
          </w:p>
          <w:p>
            <w:pPr>
              <w:pStyle w:val="TableParagraph"/>
              <w:spacing w:line="435" w:lineRule="exact" w:before="1"/>
              <w:ind w:left="93" w:right="68"/>
              <w:rPr>
                <w:sz w:val="21"/>
              </w:rPr>
            </w:pPr>
            <w:r>
              <w:rPr>
                <w:sz w:val="21"/>
              </w:rPr>
              <w:t>二氯甲烷</w:t>
            </w:r>
          </w:p>
          <w:p>
            <w:pPr>
              <w:pStyle w:val="TableParagraph"/>
              <w:spacing w:line="231" w:lineRule="exact"/>
              <w:ind w:left="94" w:right="68"/>
              <w:rPr>
                <w:rFonts w:ascii="Times New Roman" w:hAnsi="Times New Roman"/>
                <w:sz w:val="21"/>
              </w:rPr>
            </w:pPr>
            <w:r>
              <w:rPr>
                <w:rFonts w:ascii="Times New Roman" w:hAnsi="Times New Roman"/>
                <w:sz w:val="21"/>
              </w:rPr>
              <w:t>μg/kg</w:t>
            </w:r>
          </w:p>
        </w:tc>
        <w:tc>
          <w:tcPr>
            <w:tcW w:w="826" w:type="dxa"/>
            <w:tcBorders>
              <w:top w:val="nil"/>
              <w:left w:val="single" w:sz="6" w:space="0" w:color="000000"/>
              <w:bottom w:val="single" w:sz="6" w:space="0" w:color="000000"/>
              <w:right w:val="single" w:sz="6" w:space="0" w:color="000000"/>
            </w:tcBorders>
          </w:tcPr>
          <w:p>
            <w:pPr>
              <w:pStyle w:val="TableParagraph"/>
              <w:spacing w:line="221" w:lineRule="exact" w:before="38"/>
              <w:ind w:left="216"/>
              <w:jc w:val="left"/>
              <w:rPr>
                <w:rFonts w:ascii="Times New Roman"/>
                <w:sz w:val="21"/>
              </w:rPr>
            </w:pPr>
            <w:r>
              <w:rPr>
                <w:rFonts w:ascii="Times New Roman"/>
                <w:sz w:val="21"/>
              </w:rPr>
              <w:t>-1,2-</w:t>
            </w:r>
          </w:p>
          <w:p>
            <w:pPr>
              <w:pStyle w:val="TableParagraph"/>
              <w:spacing w:line="168" w:lineRule="auto" w:before="72"/>
              <w:ind w:left="207" w:right="179"/>
              <w:jc w:val="left"/>
              <w:rPr>
                <w:sz w:val="21"/>
              </w:rPr>
            </w:pPr>
            <w:r>
              <w:rPr>
                <w:sz w:val="21"/>
              </w:rPr>
              <w:t>二氯乙烯</w:t>
            </w:r>
          </w:p>
          <w:p>
            <w:pPr>
              <w:pStyle w:val="TableParagraph"/>
              <w:spacing w:before="20"/>
              <w:ind w:left="175"/>
              <w:jc w:val="left"/>
              <w:rPr>
                <w:rFonts w:ascii="Times New Roman" w:hAnsi="Times New Roman"/>
                <w:sz w:val="21"/>
              </w:rPr>
            </w:pPr>
            <w:r>
              <w:rPr>
                <w:rFonts w:ascii="Times New Roman" w:hAnsi="Times New Roman"/>
                <w:sz w:val="21"/>
              </w:rPr>
              <w:t>μg/kg</w:t>
            </w:r>
          </w:p>
        </w:tc>
        <w:tc>
          <w:tcPr>
            <w:tcW w:w="826" w:type="dxa"/>
            <w:tcBorders>
              <w:top w:val="nil"/>
              <w:left w:val="single" w:sz="6" w:space="0" w:color="000000"/>
              <w:bottom w:val="single" w:sz="6" w:space="0" w:color="000000"/>
              <w:right w:val="single" w:sz="6" w:space="0" w:color="000000"/>
            </w:tcBorders>
          </w:tcPr>
          <w:p>
            <w:pPr>
              <w:pStyle w:val="TableParagraph"/>
              <w:spacing w:line="322" w:lineRule="exact"/>
              <w:ind w:left="146"/>
              <w:jc w:val="left"/>
              <w:rPr>
                <w:sz w:val="21"/>
              </w:rPr>
            </w:pPr>
            <w:r>
              <w:rPr>
                <w:rFonts w:ascii="Times New Roman" w:eastAsia="Times New Roman"/>
                <w:spacing w:val="-1"/>
                <w:sz w:val="21"/>
              </w:rPr>
              <w:t>1,1-</w:t>
            </w:r>
            <w:r>
              <w:rPr>
                <w:sz w:val="21"/>
              </w:rPr>
              <w:t>二</w:t>
            </w:r>
          </w:p>
          <w:p>
            <w:pPr>
              <w:pStyle w:val="TableParagraph"/>
              <w:spacing w:line="160" w:lineRule="auto" w:before="15"/>
              <w:ind w:left="175" w:right="146" w:hanging="3"/>
              <w:rPr>
                <w:rFonts w:ascii="Times New Roman" w:hAnsi="Times New Roman" w:eastAsia="Times New Roman"/>
                <w:sz w:val="21"/>
              </w:rPr>
            </w:pPr>
            <w:r>
              <w:rPr>
                <w:sz w:val="21"/>
              </w:rPr>
              <w:t>氯乙烷</w:t>
            </w:r>
            <w:r>
              <w:rPr>
                <w:rFonts w:ascii="Times New Roman" w:hAnsi="Times New Roman" w:eastAsia="Times New Roman"/>
                <w:spacing w:val="-1"/>
                <w:sz w:val="21"/>
              </w:rPr>
              <w:t>μg/kg</w:t>
            </w:r>
          </w:p>
        </w:tc>
        <w:tc>
          <w:tcPr>
            <w:tcW w:w="888" w:type="dxa"/>
            <w:tcBorders>
              <w:top w:val="nil"/>
              <w:left w:val="single" w:sz="6" w:space="0" w:color="000000"/>
              <w:bottom w:val="single" w:sz="6" w:space="0" w:color="000000"/>
              <w:right w:val="single" w:sz="6" w:space="0" w:color="000000"/>
            </w:tcBorders>
          </w:tcPr>
          <w:p>
            <w:pPr>
              <w:pStyle w:val="TableParagraph"/>
              <w:spacing w:line="304" w:lineRule="exact"/>
              <w:ind w:left="141"/>
              <w:jc w:val="left"/>
              <w:rPr>
                <w:rFonts w:ascii="Times New Roman" w:eastAsia="Times New Roman"/>
                <w:sz w:val="21"/>
              </w:rPr>
            </w:pPr>
            <w:r>
              <w:rPr>
                <w:sz w:val="21"/>
              </w:rPr>
              <w:t>顺</w:t>
            </w:r>
            <w:r>
              <w:rPr>
                <w:rFonts w:ascii="Times New Roman" w:eastAsia="Times New Roman"/>
                <w:sz w:val="21"/>
              </w:rPr>
              <w:t>-1,2-</w:t>
            </w:r>
          </w:p>
          <w:p>
            <w:pPr>
              <w:pStyle w:val="TableParagraph"/>
              <w:spacing w:line="180" w:lineRule="auto" w:before="11"/>
              <w:ind w:left="132" w:right="105"/>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26" w:type="dxa"/>
            <w:tcBorders>
              <w:top w:val="nil"/>
              <w:left w:val="single" w:sz="6" w:space="0" w:color="000000"/>
              <w:bottom w:val="single" w:sz="6" w:space="0" w:color="000000"/>
              <w:right w:val="single" w:sz="6" w:space="0" w:color="000000"/>
            </w:tcBorders>
          </w:tcPr>
          <w:p>
            <w:pPr>
              <w:pStyle w:val="TableParagraph"/>
              <w:spacing w:before="2"/>
              <w:jc w:val="left"/>
              <w:rPr>
                <w:sz w:val="11"/>
              </w:rPr>
            </w:pPr>
          </w:p>
          <w:p>
            <w:pPr>
              <w:pStyle w:val="TableParagraph"/>
              <w:spacing w:line="406" w:lineRule="exact"/>
              <w:ind w:left="206"/>
              <w:jc w:val="left"/>
              <w:rPr>
                <w:sz w:val="21"/>
              </w:rPr>
            </w:pPr>
            <w:r>
              <w:rPr>
                <w:sz w:val="21"/>
              </w:rPr>
              <w:t>氯仿</w:t>
            </w:r>
          </w:p>
          <w:p>
            <w:pPr>
              <w:pStyle w:val="TableParagraph"/>
              <w:spacing w:line="202" w:lineRule="exact"/>
              <w:ind w:left="175"/>
              <w:jc w:val="left"/>
              <w:rPr>
                <w:rFonts w:ascii="Times New Roman" w:hAnsi="Times New Roman"/>
                <w:sz w:val="21"/>
              </w:rPr>
            </w:pPr>
            <w:r>
              <w:rPr>
                <w:rFonts w:ascii="Times New Roman" w:hAnsi="Times New Roman"/>
                <w:sz w:val="21"/>
              </w:rPr>
              <w:t>μg/kg</w:t>
            </w:r>
          </w:p>
        </w:tc>
        <w:tc>
          <w:tcPr>
            <w:tcW w:w="867" w:type="dxa"/>
            <w:tcBorders>
              <w:top w:val="nil"/>
              <w:left w:val="single" w:sz="6" w:space="0" w:color="000000"/>
              <w:bottom w:val="single" w:sz="6" w:space="0" w:color="000000"/>
              <w:right w:val="single" w:sz="6" w:space="0" w:color="000000"/>
            </w:tcBorders>
          </w:tcPr>
          <w:p>
            <w:pPr>
              <w:pStyle w:val="TableParagraph"/>
              <w:spacing w:line="221" w:lineRule="exact" w:before="38"/>
              <w:ind w:left="191"/>
              <w:jc w:val="left"/>
              <w:rPr>
                <w:rFonts w:ascii="Times New Roman"/>
                <w:sz w:val="21"/>
              </w:rPr>
            </w:pPr>
            <w:r>
              <w:rPr>
                <w:rFonts w:ascii="Times New Roman"/>
                <w:sz w:val="21"/>
              </w:rPr>
              <w:t>1,1,1-</w:t>
            </w:r>
          </w:p>
          <w:p>
            <w:pPr>
              <w:pStyle w:val="TableParagraph"/>
              <w:spacing w:line="180" w:lineRule="auto" w:before="56"/>
              <w:ind w:left="119" w:right="96"/>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785" w:type="dxa"/>
            <w:tcBorders>
              <w:top w:val="nil"/>
              <w:left w:val="single" w:sz="6" w:space="0" w:color="000000"/>
              <w:bottom w:val="single" w:sz="6" w:space="0" w:color="000000"/>
              <w:right w:val="single" w:sz="6" w:space="0" w:color="000000"/>
            </w:tcBorders>
          </w:tcPr>
          <w:p>
            <w:pPr>
              <w:pStyle w:val="TableParagraph"/>
              <w:spacing w:line="180" w:lineRule="auto" w:before="159"/>
              <w:ind w:left="153" w:right="127" w:firstLine="31"/>
              <w:jc w:val="both"/>
              <w:rPr>
                <w:rFonts w:ascii="Times New Roman" w:hAnsi="Times New Roman" w:eastAsia="Times New Roman"/>
                <w:sz w:val="21"/>
              </w:rPr>
            </w:pPr>
            <w:r>
              <w:rPr>
                <w:sz w:val="21"/>
              </w:rPr>
              <w:t>四氯化碳</w:t>
            </w:r>
            <w:r>
              <w:rPr>
                <w:rFonts w:ascii="Times New Roman" w:hAnsi="Times New Roman" w:eastAsia="Times New Roman"/>
                <w:sz w:val="21"/>
              </w:rPr>
              <w:t>μg/kg</w:t>
            </w:r>
          </w:p>
        </w:tc>
        <w:tc>
          <w:tcPr>
            <w:tcW w:w="835" w:type="dxa"/>
            <w:tcBorders>
              <w:top w:val="nil"/>
              <w:left w:val="single" w:sz="6" w:space="0" w:color="000000"/>
              <w:bottom w:val="single" w:sz="6" w:space="0" w:color="000000"/>
            </w:tcBorders>
          </w:tcPr>
          <w:p>
            <w:pPr>
              <w:pStyle w:val="TableParagraph"/>
              <w:spacing w:before="4"/>
              <w:jc w:val="left"/>
              <w:rPr>
                <w:sz w:val="11"/>
              </w:rPr>
            </w:pPr>
          </w:p>
          <w:p>
            <w:pPr>
              <w:pStyle w:val="TableParagraph"/>
              <w:spacing w:line="414" w:lineRule="exact"/>
              <w:ind w:left="31"/>
              <w:rPr>
                <w:sz w:val="21"/>
              </w:rPr>
            </w:pPr>
            <w:r>
              <w:rPr>
                <w:w w:val="100"/>
                <w:sz w:val="21"/>
              </w:rPr>
              <w:t>苯</w:t>
            </w:r>
          </w:p>
          <w:p>
            <w:pPr>
              <w:pStyle w:val="TableParagraph"/>
              <w:spacing w:line="211" w:lineRule="exact"/>
              <w:ind w:left="132" w:right="99"/>
              <w:rPr>
                <w:rFonts w:ascii="Times New Roman" w:hAnsi="Times New Roman"/>
                <w:sz w:val="21"/>
              </w:rPr>
            </w:pPr>
            <w:r>
              <w:rPr>
                <w:rFonts w:ascii="Times New Roman" w:hAnsi="Times New Roman"/>
                <w:sz w:val="21"/>
              </w:rPr>
              <w:t>μg/kg</w:t>
            </w:r>
          </w:p>
        </w:tc>
      </w:tr>
      <w:tr>
        <w:trPr>
          <w:trHeight w:val="624" w:hRule="atLeast"/>
        </w:trPr>
        <w:tc>
          <w:tcPr>
            <w:tcW w:w="694" w:type="dxa"/>
            <w:tcBorders>
              <w:top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7"/>
              <w:ind w:left="133"/>
              <w:jc w:val="left"/>
              <w:rPr>
                <w:sz w:val="21"/>
              </w:rPr>
            </w:pPr>
            <w:r>
              <w:rPr>
                <w:sz w:val="21"/>
              </w:rPr>
              <w:t>未检出</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7"/>
              <w:ind w:left="94" w:right="66"/>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7"/>
              <w:ind w:right="105"/>
              <w:jc w:val="right"/>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190"/>
              <w:ind w:left="285"/>
              <w:jc w:val="left"/>
              <w:rPr>
                <w:rFonts w:ascii="Times New Roman"/>
                <w:sz w:val="21"/>
              </w:rPr>
            </w:pPr>
            <w:r>
              <w:rPr>
                <w:rFonts w:ascii="Times New Roman"/>
                <w:sz w:val="21"/>
              </w:rPr>
              <w:t>1.2</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80"/>
              <w:rPr>
                <w:sz w:val="21"/>
              </w:rPr>
            </w:pPr>
            <w:r>
              <w:rPr>
                <w:sz w:val="21"/>
              </w:rPr>
              <w:t>未检出</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bottom w:val="single" w:sz="6" w:space="0" w:color="000000"/>
            </w:tcBorders>
          </w:tcPr>
          <w:p>
            <w:pPr>
              <w:pStyle w:val="TableParagraph"/>
              <w:spacing w:line="301" w:lineRule="exact"/>
              <w:ind w:left="132" w:right="101"/>
              <w:rPr>
                <w:sz w:val="21"/>
              </w:rPr>
            </w:pPr>
            <w:r>
              <w:rPr>
                <w:sz w:val="21"/>
              </w:rPr>
              <w:t>未检</w:t>
            </w:r>
          </w:p>
          <w:p>
            <w:pPr>
              <w:pStyle w:val="TableParagraph"/>
              <w:spacing w:line="303" w:lineRule="exact"/>
              <w:ind w:left="31"/>
              <w:rPr>
                <w:sz w:val="21"/>
              </w:rPr>
            </w:pPr>
            <w:r>
              <w:rPr>
                <w:w w:val="100"/>
                <w:sz w:val="21"/>
              </w:rPr>
              <w:t>出</w:t>
            </w:r>
          </w:p>
        </w:tc>
      </w:tr>
      <w:tr>
        <w:trPr>
          <w:trHeight w:val="1177" w:hRule="atLeast"/>
        </w:trPr>
        <w:tc>
          <w:tcPr>
            <w:tcW w:w="694" w:type="dxa"/>
            <w:vMerge w:val="restart"/>
            <w:tcBorders>
              <w:top w:val="nil"/>
              <w:bottom w:val="nil"/>
              <w:right w:val="single" w:sz="6" w:space="0" w:color="000000"/>
            </w:tcBorders>
          </w:tcPr>
          <w:p>
            <w:pPr>
              <w:pStyle w:val="TableParagraph"/>
              <w:jc w:val="left"/>
              <w:rPr>
                <w:sz w:val="20"/>
              </w:rPr>
            </w:pPr>
          </w:p>
          <w:p>
            <w:pPr>
              <w:pStyle w:val="TableParagraph"/>
              <w:spacing w:before="12"/>
              <w:jc w:val="left"/>
              <w:rPr>
                <w:sz w:val="16"/>
              </w:rPr>
            </w:pPr>
          </w:p>
          <w:p>
            <w:pPr>
              <w:pStyle w:val="TableParagraph"/>
              <w:spacing w:line="168" w:lineRule="auto"/>
              <w:ind w:left="136" w:right="110"/>
              <w:jc w:val="both"/>
              <w:rPr>
                <w:sz w:val="21"/>
              </w:rPr>
            </w:pPr>
            <w:r>
              <w:rPr>
                <w:sz w:val="21"/>
              </w:rPr>
              <w:t>项目厂址装置区</w:t>
            </w:r>
          </w:p>
          <w:p>
            <w:pPr>
              <w:pStyle w:val="TableParagraph"/>
              <w:spacing w:before="21"/>
              <w:ind w:left="133"/>
              <w:jc w:val="both"/>
              <w:rPr>
                <w:rFonts w:ascii="Times New Roman"/>
                <w:sz w:val="21"/>
              </w:rPr>
            </w:pPr>
            <w:r>
              <w:rPr>
                <w:rFonts w:ascii="Times New Roman"/>
                <w:sz w:val="21"/>
              </w:rPr>
              <w:t>0.5m</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41"/>
              <w:ind w:left="179"/>
              <w:jc w:val="left"/>
              <w:rPr>
                <w:sz w:val="21"/>
              </w:rPr>
            </w:pPr>
            <w:r>
              <w:rPr>
                <w:rFonts w:ascii="Times New Roman" w:eastAsia="Times New Roman"/>
                <w:sz w:val="21"/>
              </w:rPr>
              <w:t>1,2-</w:t>
            </w:r>
            <w:r>
              <w:rPr>
                <w:sz w:val="21"/>
              </w:rPr>
              <w:t>二</w:t>
            </w:r>
          </w:p>
          <w:p>
            <w:pPr>
              <w:pStyle w:val="TableParagraph"/>
              <w:spacing w:line="368" w:lineRule="exact"/>
              <w:ind w:left="133"/>
              <w:jc w:val="left"/>
              <w:rPr>
                <w:sz w:val="21"/>
              </w:rPr>
            </w:pPr>
            <w:r>
              <w:rPr>
                <w:sz w:val="21"/>
              </w:rPr>
              <w:t>氯乙烷</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9"/>
              </w:rPr>
            </w:pPr>
          </w:p>
          <w:p>
            <w:pPr>
              <w:pStyle w:val="TableParagraph"/>
              <w:spacing w:line="435" w:lineRule="exact" w:before="1"/>
              <w:ind w:left="93" w:right="68"/>
              <w:rPr>
                <w:sz w:val="21"/>
              </w:rPr>
            </w:pPr>
            <w:r>
              <w:rPr>
                <w:sz w:val="21"/>
              </w:rPr>
              <w:t>三氯乙烯</w:t>
            </w:r>
          </w:p>
          <w:p>
            <w:pPr>
              <w:pStyle w:val="TableParagraph"/>
              <w:spacing w:line="231" w:lineRule="exact"/>
              <w:ind w:left="94" w:right="68"/>
              <w:rPr>
                <w:rFonts w:ascii="Times New Roman" w:hAnsi="Times New Roman"/>
                <w:sz w:val="21"/>
              </w:rPr>
            </w:pPr>
            <w:r>
              <w:rPr>
                <w:rFonts w:ascii="Times New Roman" w:hAnsi="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7"/>
              <w:jc w:val="left"/>
              <w:rPr>
                <w:sz w:val="21"/>
              </w:rPr>
            </w:pPr>
            <w:r>
              <w:rPr>
                <w:rFonts w:ascii="Times New Roman" w:eastAsia="Times New Roman"/>
                <w:spacing w:val="-1"/>
                <w:sz w:val="21"/>
              </w:rPr>
              <w:t>1,2-</w:t>
            </w:r>
            <w:r>
              <w:rPr>
                <w:sz w:val="21"/>
              </w:rPr>
              <w:t>二</w:t>
            </w:r>
          </w:p>
          <w:p>
            <w:pPr>
              <w:pStyle w:val="TableParagraph"/>
              <w:spacing w:line="160" w:lineRule="auto" w:before="15"/>
              <w:ind w:left="175" w:right="146" w:hanging="3"/>
              <w:rPr>
                <w:rFonts w:ascii="Times New Roman" w:hAnsi="Times New Roman" w:eastAsia="Times New Roman"/>
                <w:sz w:val="21"/>
              </w:rPr>
            </w:pPr>
            <w:r>
              <w:rPr>
                <w:sz w:val="21"/>
              </w:rPr>
              <w:t>氯丙烷</w:t>
            </w:r>
            <w:r>
              <w:rPr>
                <w:rFonts w:ascii="Times New Roman" w:hAnsi="Times New Roman" w:eastAsia="Times New Roman"/>
                <w:spacing w:val="-1"/>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jc w:val="left"/>
              <w:rPr>
                <w:sz w:val="11"/>
              </w:rPr>
            </w:pPr>
          </w:p>
          <w:p>
            <w:pPr>
              <w:pStyle w:val="TableParagraph"/>
              <w:spacing w:line="414" w:lineRule="exact"/>
              <w:ind w:left="206"/>
              <w:jc w:val="left"/>
              <w:rPr>
                <w:sz w:val="21"/>
              </w:rPr>
            </w:pPr>
            <w:r>
              <w:rPr>
                <w:sz w:val="21"/>
              </w:rPr>
              <w:t>甲苯</w:t>
            </w:r>
          </w:p>
          <w:p>
            <w:pPr>
              <w:pStyle w:val="TableParagraph"/>
              <w:spacing w:line="211" w:lineRule="exact"/>
              <w:ind w:left="175"/>
              <w:jc w:val="left"/>
              <w:rPr>
                <w:rFonts w:ascii="Times New Roman" w:hAnsi="Times New Roman"/>
                <w:sz w:val="21"/>
              </w:rPr>
            </w:pPr>
            <w:r>
              <w:rPr>
                <w:rFonts w:ascii="Times New Roman" w:hAnsi="Times New Roman"/>
                <w:sz w:val="21"/>
              </w:rPr>
              <w:t>μg/kg</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line="195" w:lineRule="exact" w:before="67"/>
              <w:ind w:left="204"/>
              <w:jc w:val="left"/>
              <w:rPr>
                <w:rFonts w:ascii="Times New Roman"/>
                <w:sz w:val="21"/>
              </w:rPr>
            </w:pPr>
            <w:r>
              <w:rPr>
                <w:rFonts w:ascii="Times New Roman"/>
                <w:sz w:val="21"/>
              </w:rPr>
              <w:t>1,1,2-</w:t>
            </w:r>
          </w:p>
          <w:p>
            <w:pPr>
              <w:pStyle w:val="TableParagraph"/>
              <w:spacing w:line="160" w:lineRule="auto" w:before="57"/>
              <w:ind w:left="132" w:right="105"/>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180" w:lineRule="auto" w:before="155"/>
              <w:ind w:left="175" w:right="146" w:firstLine="31"/>
              <w:jc w:val="both"/>
              <w:rPr>
                <w:rFonts w:ascii="Times New Roman" w:hAnsi="Times New Roman" w:eastAsia="Times New Roman"/>
                <w:sz w:val="21"/>
              </w:rPr>
            </w:pPr>
            <w:r>
              <w:rPr>
                <w:sz w:val="21"/>
              </w:rPr>
              <w:t>四氯乙烯</w:t>
            </w:r>
            <w:r>
              <w:rPr>
                <w:rFonts w:ascii="Times New Roman" w:hAnsi="Times New Roman" w:eastAsia="Times New Roman"/>
                <w:sz w:val="21"/>
              </w:rPr>
              <w:t>μg/kg</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34"/>
              <w:ind w:left="112"/>
              <w:jc w:val="left"/>
              <w:rPr>
                <w:rFonts w:ascii="Times New Roman"/>
                <w:sz w:val="21"/>
              </w:rPr>
            </w:pPr>
            <w:r>
              <w:rPr>
                <w:rFonts w:ascii="Times New Roman"/>
                <w:sz w:val="21"/>
              </w:rPr>
              <w:t>1,1,2,2-</w:t>
            </w:r>
          </w:p>
          <w:p>
            <w:pPr>
              <w:pStyle w:val="TableParagraph"/>
              <w:spacing w:line="168" w:lineRule="auto" w:before="72"/>
              <w:ind w:left="331" w:right="96" w:hanging="212"/>
              <w:jc w:val="left"/>
              <w:rPr>
                <w:sz w:val="21"/>
              </w:rPr>
            </w:pPr>
            <w:r>
              <w:rPr>
                <w:sz w:val="21"/>
              </w:rPr>
              <w:t>四氯乙烷</w:t>
            </w:r>
          </w:p>
          <w:p>
            <w:pPr>
              <w:pStyle w:val="TableParagraph"/>
              <w:spacing w:line="208" w:lineRule="exact"/>
              <w:ind w:left="194"/>
              <w:jc w:val="left"/>
              <w:rPr>
                <w:rFonts w:ascii="Times New Roman" w:hAnsi="Times New Roman"/>
                <w:sz w:val="21"/>
              </w:rPr>
            </w:pPr>
            <w:r>
              <w:rPr>
                <w:rFonts w:ascii="Times New Roman" w:hAnsi="Times New Roman"/>
                <w:sz w:val="21"/>
              </w:rPr>
              <w:t>μg/kg</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jc w:val="left"/>
              <w:rPr>
                <w:sz w:val="11"/>
              </w:rPr>
            </w:pPr>
          </w:p>
          <w:p>
            <w:pPr>
              <w:pStyle w:val="TableParagraph"/>
              <w:spacing w:line="414" w:lineRule="exact"/>
              <w:ind w:left="184"/>
              <w:jc w:val="left"/>
              <w:rPr>
                <w:sz w:val="21"/>
              </w:rPr>
            </w:pPr>
            <w:r>
              <w:rPr>
                <w:sz w:val="21"/>
              </w:rPr>
              <w:t>氯苯</w:t>
            </w:r>
          </w:p>
          <w:p>
            <w:pPr>
              <w:pStyle w:val="TableParagraph"/>
              <w:spacing w:line="211" w:lineRule="exact"/>
              <w:ind w:left="153"/>
              <w:jc w:val="left"/>
              <w:rPr>
                <w:rFonts w:ascii="Times New Roman" w:hAnsi="Times New Roman"/>
                <w:sz w:val="21"/>
              </w:rPr>
            </w:pPr>
            <w:r>
              <w:rPr>
                <w:rFonts w:ascii="Times New Roman" w:hAnsi="Times New Roman"/>
                <w:sz w:val="21"/>
              </w:rPr>
              <w:t>μg/kg</w:t>
            </w:r>
          </w:p>
        </w:tc>
        <w:tc>
          <w:tcPr>
            <w:tcW w:w="835" w:type="dxa"/>
            <w:tcBorders>
              <w:top w:val="single" w:sz="6" w:space="0" w:color="000000"/>
              <w:left w:val="single" w:sz="6" w:space="0" w:color="000000"/>
              <w:bottom w:val="single" w:sz="6" w:space="0" w:color="000000"/>
            </w:tcBorders>
          </w:tcPr>
          <w:p>
            <w:pPr>
              <w:pStyle w:val="TableParagraph"/>
              <w:jc w:val="left"/>
              <w:rPr>
                <w:sz w:val="11"/>
              </w:rPr>
            </w:pPr>
          </w:p>
          <w:p>
            <w:pPr>
              <w:pStyle w:val="TableParagraph"/>
              <w:spacing w:line="414" w:lineRule="exact"/>
              <w:ind w:left="210"/>
              <w:jc w:val="left"/>
              <w:rPr>
                <w:sz w:val="21"/>
              </w:rPr>
            </w:pPr>
            <w:r>
              <w:rPr>
                <w:sz w:val="21"/>
              </w:rPr>
              <w:t>乙苯</w:t>
            </w:r>
          </w:p>
          <w:p>
            <w:pPr>
              <w:pStyle w:val="TableParagraph"/>
              <w:spacing w:line="211" w:lineRule="exact"/>
              <w:ind w:left="179"/>
              <w:jc w:val="left"/>
              <w:rPr>
                <w:rFonts w:ascii="Times New Roman" w:hAnsi="Times New Roman"/>
                <w:sz w:val="21"/>
              </w:rPr>
            </w:pPr>
            <w:r>
              <w:rPr>
                <w:rFonts w:ascii="Times New Roman" w:hAnsi="Times New Roman"/>
                <w:sz w:val="21"/>
              </w:rPr>
              <w:t>μg/kg</w:t>
            </w:r>
          </w:p>
        </w:tc>
      </w:tr>
      <w:tr>
        <w:trPr>
          <w:trHeight w:val="623" w:hRule="atLeast"/>
        </w:trPr>
        <w:tc>
          <w:tcPr>
            <w:tcW w:w="694" w:type="dxa"/>
            <w:vMerge/>
            <w:tcBorders>
              <w:top w:val="nil"/>
              <w:bottom w:val="nil"/>
              <w:right w:val="single" w:sz="6" w:space="0" w:color="000000"/>
            </w:tcBorders>
          </w:tcPr>
          <w:p>
            <w:pPr>
              <w:rPr>
                <w:sz w:val="2"/>
                <w:szCs w:val="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7"/>
              <w:ind w:left="133"/>
              <w:jc w:val="left"/>
              <w:rPr>
                <w:sz w:val="21"/>
              </w:rPr>
            </w:pPr>
            <w:r>
              <w:rPr>
                <w:sz w:val="21"/>
              </w:rPr>
              <w:t>未检出</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7"/>
              <w:ind w:left="94" w:right="66"/>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7"/>
              <w:ind w:right="105"/>
              <w:jc w:val="right"/>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80"/>
              <w:rPr>
                <w:sz w:val="21"/>
              </w:rPr>
            </w:pPr>
            <w:r>
              <w:rPr>
                <w:sz w:val="21"/>
              </w:rPr>
              <w:t>未检出</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bottom w:val="single" w:sz="6" w:space="0" w:color="000000"/>
            </w:tcBorders>
          </w:tcPr>
          <w:p>
            <w:pPr>
              <w:pStyle w:val="TableParagraph"/>
              <w:spacing w:line="300" w:lineRule="exact"/>
              <w:ind w:left="132" w:right="101"/>
              <w:rPr>
                <w:sz w:val="21"/>
              </w:rPr>
            </w:pPr>
            <w:r>
              <w:rPr>
                <w:sz w:val="21"/>
              </w:rPr>
              <w:t>未检</w:t>
            </w:r>
          </w:p>
          <w:p>
            <w:pPr>
              <w:pStyle w:val="TableParagraph"/>
              <w:spacing w:line="303" w:lineRule="exact"/>
              <w:ind w:left="31"/>
              <w:rPr>
                <w:sz w:val="21"/>
              </w:rPr>
            </w:pPr>
            <w:r>
              <w:rPr>
                <w:w w:val="100"/>
                <w:sz w:val="21"/>
              </w:rPr>
              <w:t>出</w:t>
            </w:r>
          </w:p>
        </w:tc>
      </w:tr>
      <w:tr>
        <w:trPr>
          <w:trHeight w:val="1247" w:hRule="atLeast"/>
        </w:trPr>
        <w:tc>
          <w:tcPr>
            <w:tcW w:w="694" w:type="dxa"/>
            <w:vMerge/>
            <w:tcBorders>
              <w:top w:val="nil"/>
              <w:bottom w:val="nil"/>
              <w:right w:val="single" w:sz="6" w:space="0" w:color="000000"/>
            </w:tcBorders>
          </w:tcPr>
          <w:p>
            <w:pPr>
              <w:rPr>
                <w:sz w:val="2"/>
                <w:szCs w:val="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34"/>
              <w:ind w:left="126"/>
              <w:jc w:val="left"/>
              <w:rPr>
                <w:rFonts w:ascii="Times New Roman"/>
                <w:sz w:val="21"/>
              </w:rPr>
            </w:pPr>
            <w:r>
              <w:rPr>
                <w:rFonts w:ascii="Times New Roman"/>
                <w:sz w:val="21"/>
              </w:rPr>
              <w:t>1,1,1,2-</w:t>
            </w:r>
          </w:p>
          <w:p>
            <w:pPr>
              <w:pStyle w:val="TableParagraph"/>
              <w:spacing w:line="168" w:lineRule="auto" w:before="72"/>
              <w:ind w:left="344" w:right="101" w:hanging="212"/>
              <w:jc w:val="left"/>
              <w:rPr>
                <w:sz w:val="21"/>
              </w:rPr>
            </w:pPr>
            <w:r>
              <w:rPr>
                <w:sz w:val="21"/>
              </w:rPr>
              <w:t>四氯乙烷</w:t>
            </w:r>
          </w:p>
          <w:p>
            <w:pPr>
              <w:pStyle w:val="TableParagraph"/>
              <w:spacing w:before="20"/>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5"/>
              <w:ind w:left="178" w:right="150" w:firstLine="24"/>
              <w:jc w:val="both"/>
              <w:rPr>
                <w:sz w:val="21"/>
              </w:rPr>
            </w:pPr>
            <w:r>
              <w:rPr>
                <w:sz w:val="21"/>
              </w:rPr>
              <w:t>间</w:t>
            </w:r>
            <w:r>
              <w:rPr>
                <w:rFonts w:ascii="Times New Roman" w:eastAsia="Times New Roman"/>
                <w:sz w:val="21"/>
              </w:rPr>
              <w:t>-</w:t>
            </w:r>
            <w:r>
              <w:rPr>
                <w:sz w:val="21"/>
              </w:rPr>
              <w:t>二甲苯</w:t>
            </w:r>
            <w:r>
              <w:rPr>
                <w:rFonts w:ascii="Times New Roman" w:eastAsia="Times New Roman"/>
                <w:sz w:val="21"/>
              </w:rPr>
              <w:t>+</w:t>
            </w:r>
            <w:r>
              <w:rPr>
                <w:sz w:val="21"/>
              </w:rPr>
              <w:t>对二甲苯</w:t>
            </w:r>
          </w:p>
          <w:p>
            <w:pPr>
              <w:pStyle w:val="TableParagraph"/>
              <w:spacing w:before="20"/>
              <w:ind w:left="311"/>
              <w:jc w:val="left"/>
              <w:rPr>
                <w:rFonts w:ascii="Times New Roman" w:hAnsi="Times New Roman"/>
                <w:sz w:val="21"/>
              </w:rPr>
            </w:pPr>
            <w:r>
              <w:rPr>
                <w:rFonts w:ascii="Times New Roman" w:hAnsi="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180" w:lineRule="auto" w:before="191"/>
              <w:ind w:left="175" w:right="145" w:hanging="3"/>
              <w:jc w:val="both"/>
              <w:rPr>
                <w:rFonts w:ascii="Times New Roman" w:hAnsi="Times New Roman" w:eastAsia="Times New Roman"/>
                <w:sz w:val="21"/>
              </w:rPr>
            </w:pPr>
            <w:r>
              <w:rPr>
                <w:sz w:val="21"/>
              </w:rPr>
              <w:t>邻</w:t>
            </w:r>
            <w:r>
              <w:rPr>
                <w:rFonts w:ascii="Times New Roman" w:hAnsi="Times New Roman" w:eastAsia="Times New Roman"/>
                <w:sz w:val="21"/>
              </w:rPr>
              <w:t>-</w:t>
            </w:r>
            <w:r>
              <w:rPr>
                <w:sz w:val="21"/>
              </w:rPr>
              <w:t>二甲苯</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21"/>
              <w:jc w:val="left"/>
              <w:rPr>
                <w:sz w:val="10"/>
              </w:rPr>
            </w:pPr>
          </w:p>
          <w:p>
            <w:pPr>
              <w:pStyle w:val="TableParagraph"/>
              <w:spacing w:line="160" w:lineRule="auto"/>
              <w:ind w:left="175" w:right="146" w:hanging="3"/>
              <w:rPr>
                <w:rFonts w:ascii="Times New Roman" w:hAnsi="Times New Roman" w:eastAsia="Times New Roman"/>
                <w:sz w:val="21"/>
              </w:rPr>
            </w:pPr>
            <w:r>
              <w:rPr>
                <w:sz w:val="21"/>
              </w:rPr>
              <w:t>苯乙烯</w:t>
            </w:r>
            <w:r>
              <w:rPr>
                <w:rFonts w:ascii="Times New Roman" w:hAnsi="Times New Roman" w:eastAsia="Times New Roman"/>
                <w:sz w:val="21"/>
              </w:rPr>
              <w:t>μg/kg</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70"/>
              <w:ind w:left="204"/>
              <w:jc w:val="left"/>
              <w:rPr>
                <w:rFonts w:ascii="Times New Roman"/>
                <w:sz w:val="21"/>
              </w:rPr>
            </w:pPr>
            <w:r>
              <w:rPr>
                <w:rFonts w:ascii="Times New Roman"/>
                <w:sz w:val="21"/>
              </w:rPr>
              <w:t>1,2,3-</w:t>
            </w:r>
          </w:p>
          <w:p>
            <w:pPr>
              <w:pStyle w:val="TableParagraph"/>
              <w:spacing w:line="180" w:lineRule="auto" w:before="57"/>
              <w:ind w:left="132" w:right="105"/>
              <w:rPr>
                <w:rFonts w:ascii="Times New Roman" w:hAnsi="Times New Roman" w:eastAsia="Times New Roman"/>
                <w:sz w:val="21"/>
              </w:rPr>
            </w:pPr>
            <w:r>
              <w:rPr>
                <w:sz w:val="21"/>
              </w:rPr>
              <w:t>三氯丙烷 </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113"/>
              <w:ind w:left="146"/>
              <w:jc w:val="left"/>
              <w:rPr>
                <w:sz w:val="21"/>
              </w:rPr>
            </w:pPr>
            <w:r>
              <w:rPr>
                <w:rFonts w:ascii="Times New Roman" w:eastAsia="Times New Roman"/>
                <w:sz w:val="21"/>
              </w:rPr>
              <w:t>1,4-</w:t>
            </w:r>
            <w:r>
              <w:rPr>
                <w:sz w:val="21"/>
              </w:rPr>
              <w:t>二</w:t>
            </w:r>
          </w:p>
          <w:p>
            <w:pPr>
              <w:pStyle w:val="TableParagraph"/>
              <w:spacing w:line="348" w:lineRule="exact"/>
              <w:ind w:left="206"/>
              <w:jc w:val="left"/>
              <w:rPr>
                <w:sz w:val="21"/>
              </w:rPr>
            </w:pPr>
            <w:r>
              <w:rPr>
                <w:sz w:val="21"/>
              </w:rPr>
              <w:t>氯苯</w:t>
            </w:r>
          </w:p>
          <w:p>
            <w:pPr>
              <w:pStyle w:val="TableParagraph"/>
              <w:spacing w:line="211" w:lineRule="exact"/>
              <w:ind w:left="175"/>
              <w:jc w:val="left"/>
              <w:rPr>
                <w:rFonts w:ascii="Times New Roman" w:hAnsi="Times New Roman"/>
                <w:sz w:val="21"/>
              </w:rPr>
            </w:pPr>
            <w:r>
              <w:rPr>
                <w:rFonts w:ascii="Times New Roman" w:hAnsi="Times New Roman"/>
                <w:sz w:val="21"/>
              </w:rPr>
              <w:t>μg/kg</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113"/>
              <w:ind w:left="165"/>
              <w:jc w:val="left"/>
              <w:rPr>
                <w:sz w:val="21"/>
              </w:rPr>
            </w:pPr>
            <w:r>
              <w:rPr>
                <w:rFonts w:ascii="Times New Roman" w:eastAsia="Times New Roman"/>
                <w:sz w:val="21"/>
              </w:rPr>
              <w:t>1,2-</w:t>
            </w:r>
            <w:r>
              <w:rPr>
                <w:sz w:val="21"/>
              </w:rPr>
              <w:t>二</w:t>
            </w:r>
          </w:p>
          <w:p>
            <w:pPr>
              <w:pStyle w:val="TableParagraph"/>
              <w:spacing w:line="348" w:lineRule="exact"/>
              <w:ind w:left="225"/>
              <w:jc w:val="left"/>
              <w:rPr>
                <w:sz w:val="21"/>
              </w:rPr>
            </w:pPr>
            <w:r>
              <w:rPr>
                <w:sz w:val="21"/>
              </w:rPr>
              <w:t>氯苯</w:t>
            </w:r>
          </w:p>
          <w:p>
            <w:pPr>
              <w:pStyle w:val="TableParagraph"/>
              <w:spacing w:line="211" w:lineRule="exact"/>
              <w:ind w:left="194"/>
              <w:jc w:val="left"/>
              <w:rPr>
                <w:rFonts w:ascii="Times New Roman" w:hAnsi="Times New Roman"/>
                <w:sz w:val="21"/>
              </w:rPr>
            </w:pPr>
            <w:r>
              <w:rPr>
                <w:rFonts w:ascii="Times New Roman" w:hAnsi="Times New Roman"/>
                <w:sz w:val="21"/>
              </w:rPr>
              <w:t>μg/kg</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12"/>
              <w:jc w:val="left"/>
              <w:rPr>
                <w:sz w:val="12"/>
              </w:rPr>
            </w:pPr>
          </w:p>
          <w:p>
            <w:pPr>
              <w:pStyle w:val="TableParagraph"/>
              <w:spacing w:line="406" w:lineRule="exact" w:before="1"/>
              <w:ind w:left="21"/>
              <w:rPr>
                <w:sz w:val="21"/>
              </w:rPr>
            </w:pPr>
            <w:r>
              <w:rPr>
                <w:w w:val="100"/>
                <w:sz w:val="21"/>
              </w:rPr>
              <w:t>萘</w:t>
            </w:r>
          </w:p>
          <w:p>
            <w:pPr>
              <w:pStyle w:val="TableParagraph"/>
              <w:spacing w:line="202" w:lineRule="exact"/>
              <w:ind w:left="133" w:right="110"/>
              <w:rPr>
                <w:rFonts w:ascii="Times New Roman" w:hAnsi="Times New Roman"/>
                <w:sz w:val="21"/>
              </w:rPr>
            </w:pPr>
            <w:r>
              <w:rPr>
                <w:rFonts w:ascii="Times New Roman" w:hAnsi="Times New Roman"/>
                <w:sz w:val="21"/>
              </w:rPr>
              <w:t>μg/kg</w:t>
            </w:r>
          </w:p>
        </w:tc>
        <w:tc>
          <w:tcPr>
            <w:tcW w:w="835" w:type="dxa"/>
            <w:tcBorders>
              <w:top w:val="single" w:sz="6" w:space="0" w:color="000000"/>
              <w:left w:val="single" w:sz="6" w:space="0" w:color="000000"/>
              <w:bottom w:val="single" w:sz="6" w:space="0" w:color="000000"/>
            </w:tcBorders>
          </w:tcPr>
          <w:p>
            <w:pPr>
              <w:pStyle w:val="TableParagraph"/>
              <w:spacing w:line="180" w:lineRule="auto" w:before="191"/>
              <w:ind w:left="179" w:right="143" w:hanging="3"/>
              <w:rPr>
                <w:rFonts w:ascii="Times New Roman" w:hAnsi="Times New Roman" w:eastAsia="Times New Roman"/>
                <w:sz w:val="21"/>
              </w:rPr>
            </w:pPr>
            <w:r>
              <w:rPr>
                <w:sz w:val="21"/>
              </w:rPr>
              <w:t>氯甲烷</w:t>
            </w:r>
            <w:r>
              <w:rPr>
                <w:rFonts w:ascii="Times New Roman" w:hAnsi="Times New Roman" w:eastAsia="Times New Roman"/>
                <w:sz w:val="21"/>
              </w:rPr>
              <w:t>μg/kg</w:t>
            </w:r>
          </w:p>
        </w:tc>
      </w:tr>
      <w:tr>
        <w:trPr>
          <w:trHeight w:val="623" w:hRule="atLeast"/>
        </w:trPr>
        <w:tc>
          <w:tcPr>
            <w:tcW w:w="694" w:type="dxa"/>
            <w:tcBorders>
              <w:top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right w:val="single" w:sz="6" w:space="0" w:color="000000"/>
            </w:tcBorders>
          </w:tcPr>
          <w:p>
            <w:pPr>
              <w:pStyle w:val="TableParagraph"/>
              <w:spacing w:before="78"/>
              <w:ind w:left="133"/>
              <w:jc w:val="left"/>
              <w:rPr>
                <w:sz w:val="21"/>
              </w:rPr>
            </w:pPr>
            <w:r>
              <w:rPr>
                <w:sz w:val="21"/>
              </w:rPr>
              <w:t>未检出</w:t>
            </w:r>
          </w:p>
        </w:tc>
        <w:tc>
          <w:tcPr>
            <w:tcW w:w="1098" w:type="dxa"/>
            <w:tcBorders>
              <w:top w:val="single" w:sz="6" w:space="0" w:color="000000"/>
              <w:left w:val="single" w:sz="6" w:space="0" w:color="000000"/>
              <w:right w:val="single" w:sz="6" w:space="0" w:color="000000"/>
            </w:tcBorders>
          </w:tcPr>
          <w:p>
            <w:pPr>
              <w:pStyle w:val="TableParagraph"/>
              <w:spacing w:before="78"/>
              <w:ind w:left="94" w:right="66"/>
              <w:rPr>
                <w:sz w:val="21"/>
              </w:rPr>
            </w:pPr>
            <w:r>
              <w:rPr>
                <w:sz w:val="21"/>
              </w:rPr>
              <w:t>未检出</w:t>
            </w:r>
          </w:p>
        </w:tc>
        <w:tc>
          <w:tcPr>
            <w:tcW w:w="826" w:type="dxa"/>
            <w:tcBorders>
              <w:top w:val="single" w:sz="6" w:space="0" w:color="000000"/>
              <w:left w:val="single" w:sz="6" w:space="0" w:color="000000"/>
              <w:right w:val="single" w:sz="6" w:space="0" w:color="000000"/>
            </w:tcBorders>
          </w:tcPr>
          <w:p>
            <w:pPr>
              <w:pStyle w:val="TableParagraph"/>
              <w:spacing w:line="301"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right w:val="single" w:sz="6" w:space="0" w:color="000000"/>
            </w:tcBorders>
          </w:tcPr>
          <w:p>
            <w:pPr>
              <w:pStyle w:val="TableParagraph"/>
              <w:spacing w:line="301"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right w:val="single" w:sz="6" w:space="0" w:color="000000"/>
            </w:tcBorders>
          </w:tcPr>
          <w:p>
            <w:pPr>
              <w:pStyle w:val="TableParagraph"/>
              <w:spacing w:before="78"/>
              <w:ind w:right="105"/>
              <w:jc w:val="right"/>
              <w:rPr>
                <w:sz w:val="21"/>
              </w:rPr>
            </w:pPr>
            <w:r>
              <w:rPr>
                <w:sz w:val="21"/>
              </w:rPr>
              <w:t>未检出</w:t>
            </w:r>
          </w:p>
        </w:tc>
        <w:tc>
          <w:tcPr>
            <w:tcW w:w="826" w:type="dxa"/>
            <w:tcBorders>
              <w:top w:val="single" w:sz="6" w:space="0" w:color="000000"/>
              <w:left w:val="single" w:sz="6" w:space="0" w:color="000000"/>
              <w:right w:val="single" w:sz="6" w:space="0" w:color="000000"/>
            </w:tcBorders>
          </w:tcPr>
          <w:p>
            <w:pPr>
              <w:pStyle w:val="TableParagraph"/>
              <w:spacing w:line="301"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67" w:type="dxa"/>
            <w:tcBorders>
              <w:top w:val="single" w:sz="6" w:space="0" w:color="000000"/>
              <w:left w:val="single" w:sz="6" w:space="0" w:color="000000"/>
              <w:right w:val="single" w:sz="6" w:space="0" w:color="000000"/>
            </w:tcBorders>
          </w:tcPr>
          <w:p>
            <w:pPr>
              <w:pStyle w:val="TableParagraph"/>
              <w:spacing w:before="78"/>
              <w:ind w:left="101" w:right="80"/>
              <w:rPr>
                <w:sz w:val="21"/>
              </w:rPr>
            </w:pPr>
            <w:r>
              <w:rPr>
                <w:sz w:val="21"/>
              </w:rPr>
              <w:t>未检出</w:t>
            </w:r>
          </w:p>
        </w:tc>
        <w:tc>
          <w:tcPr>
            <w:tcW w:w="785" w:type="dxa"/>
            <w:tcBorders>
              <w:top w:val="single" w:sz="6" w:space="0" w:color="000000"/>
              <w:left w:val="single" w:sz="6" w:space="0" w:color="000000"/>
              <w:right w:val="single" w:sz="6" w:space="0" w:color="000000"/>
            </w:tcBorders>
          </w:tcPr>
          <w:p>
            <w:pPr>
              <w:pStyle w:val="TableParagraph"/>
              <w:spacing w:line="301"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tcBorders>
          </w:tcPr>
          <w:p>
            <w:pPr>
              <w:pStyle w:val="TableParagraph"/>
              <w:spacing w:line="301" w:lineRule="exact"/>
              <w:ind w:left="132" w:right="101"/>
              <w:rPr>
                <w:sz w:val="21"/>
              </w:rPr>
            </w:pPr>
            <w:r>
              <w:rPr>
                <w:sz w:val="21"/>
              </w:rPr>
              <w:t>未检</w:t>
            </w:r>
          </w:p>
          <w:p>
            <w:pPr>
              <w:pStyle w:val="TableParagraph"/>
              <w:spacing w:line="303" w:lineRule="exact"/>
              <w:ind w:left="31"/>
              <w:rPr>
                <w:sz w:val="21"/>
              </w:rPr>
            </w:pPr>
            <w:r>
              <w:rPr>
                <w:w w:val="100"/>
                <w:sz w:val="21"/>
              </w:rPr>
              <w:t>出</w:t>
            </w:r>
          </w:p>
        </w:tc>
      </w:tr>
    </w:tbl>
    <w:p>
      <w:pPr>
        <w:spacing w:after="0" w:line="303"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4"/>
        <w:gridCol w:w="886"/>
        <w:gridCol w:w="1098"/>
        <w:gridCol w:w="826"/>
        <w:gridCol w:w="826"/>
        <w:gridCol w:w="888"/>
        <w:gridCol w:w="826"/>
        <w:gridCol w:w="867"/>
        <w:gridCol w:w="785"/>
        <w:gridCol w:w="835"/>
      </w:tblGrid>
      <w:tr>
        <w:trPr>
          <w:trHeight w:val="311" w:hRule="atLeast"/>
        </w:trPr>
        <w:tc>
          <w:tcPr>
            <w:tcW w:w="694" w:type="dxa"/>
            <w:tcBorders>
              <w:bottom w:val="nil"/>
              <w:right w:val="single" w:sz="6" w:space="0" w:color="000000"/>
            </w:tcBorders>
          </w:tcPr>
          <w:p>
            <w:pPr>
              <w:pStyle w:val="TableParagraph"/>
              <w:jc w:val="left"/>
              <w:rPr>
                <w:rFonts w:ascii="Times New Roman"/>
                <w:sz w:val="20"/>
              </w:rPr>
            </w:pPr>
          </w:p>
        </w:tc>
        <w:tc>
          <w:tcPr>
            <w:tcW w:w="7837" w:type="dxa"/>
            <w:gridSpan w:val="9"/>
            <w:tcBorders>
              <w:left w:val="single" w:sz="6" w:space="0" w:color="000000"/>
              <w:bottom w:val="single" w:sz="6" w:space="0" w:color="000000"/>
            </w:tcBorders>
          </w:tcPr>
          <w:p>
            <w:pPr>
              <w:pStyle w:val="TableParagraph"/>
              <w:spacing w:line="292" w:lineRule="exact"/>
              <w:ind w:left="3484" w:right="3449"/>
              <w:rPr>
                <w:sz w:val="21"/>
              </w:rPr>
            </w:pPr>
            <w:r>
              <w:rPr>
                <w:sz w:val="21"/>
              </w:rPr>
              <w:t>检测项目</w:t>
            </w:r>
          </w:p>
        </w:tc>
      </w:tr>
      <w:tr>
        <w:trPr>
          <w:trHeight w:val="310"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098"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spacing w:line="290" w:lineRule="exact"/>
              <w:ind w:left="25"/>
              <w:rPr>
                <w:sz w:val="21"/>
              </w:rPr>
            </w:pPr>
            <w:r>
              <w:rPr>
                <w:w w:val="100"/>
                <w:sz w:val="21"/>
              </w:rPr>
              <w:t>反</w:t>
            </w: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8"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7"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78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35" w:type="dxa"/>
            <w:tcBorders>
              <w:top w:val="single" w:sz="6" w:space="0" w:color="000000"/>
              <w:left w:val="single" w:sz="6" w:space="0" w:color="000000"/>
              <w:bottom w:val="nil"/>
            </w:tcBorders>
          </w:tcPr>
          <w:p>
            <w:pPr>
              <w:pStyle w:val="TableParagraph"/>
              <w:jc w:val="left"/>
              <w:rPr>
                <w:rFonts w:ascii="Times New Roman"/>
                <w:sz w:val="20"/>
              </w:rPr>
            </w:pPr>
          </w:p>
        </w:tc>
      </w:tr>
      <w:tr>
        <w:trPr>
          <w:trHeight w:val="1491" w:hRule="atLeast"/>
        </w:trPr>
        <w:tc>
          <w:tcPr>
            <w:tcW w:w="694" w:type="dxa"/>
            <w:tcBorders>
              <w:top w:val="nil"/>
              <w:bottom w:val="nil"/>
              <w:right w:val="single" w:sz="6" w:space="0" w:color="000000"/>
            </w:tcBorders>
          </w:tcPr>
          <w:p>
            <w:pPr>
              <w:pStyle w:val="TableParagraph"/>
              <w:spacing w:line="168" w:lineRule="auto" w:before="131"/>
              <w:ind w:left="136" w:right="110"/>
              <w:jc w:val="left"/>
              <w:rPr>
                <w:sz w:val="21"/>
              </w:rPr>
            </w:pPr>
            <w:r>
              <w:rPr>
                <w:sz w:val="21"/>
              </w:rPr>
              <w:t>检测点位</w:t>
            </w:r>
          </w:p>
        </w:tc>
        <w:tc>
          <w:tcPr>
            <w:tcW w:w="886" w:type="dxa"/>
            <w:tcBorders>
              <w:top w:val="nil"/>
              <w:left w:val="single" w:sz="6" w:space="0" w:color="000000"/>
              <w:bottom w:val="single" w:sz="6" w:space="0" w:color="000000"/>
              <w:right w:val="single" w:sz="6" w:space="0" w:color="000000"/>
            </w:tcBorders>
          </w:tcPr>
          <w:p>
            <w:pPr>
              <w:pStyle w:val="TableParagraph"/>
              <w:spacing w:line="379" w:lineRule="exact" w:before="45"/>
              <w:ind w:left="179"/>
              <w:jc w:val="left"/>
              <w:rPr>
                <w:sz w:val="21"/>
              </w:rPr>
            </w:pPr>
            <w:r>
              <w:rPr>
                <w:rFonts w:ascii="Times New Roman" w:eastAsia="Times New Roman"/>
                <w:sz w:val="21"/>
              </w:rPr>
              <w:t>1,1-</w:t>
            </w:r>
            <w:r>
              <w:rPr>
                <w:sz w:val="21"/>
              </w:rPr>
              <w:t>二</w:t>
            </w:r>
          </w:p>
          <w:p>
            <w:pPr>
              <w:pStyle w:val="TableParagraph"/>
              <w:spacing w:line="368" w:lineRule="exact"/>
              <w:ind w:left="133"/>
              <w:jc w:val="left"/>
              <w:rPr>
                <w:sz w:val="21"/>
              </w:rPr>
            </w:pPr>
            <w:r>
              <w:rPr>
                <w:sz w:val="21"/>
              </w:rPr>
              <w:t>氯乙烯</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nil"/>
              <w:left w:val="single" w:sz="6" w:space="0" w:color="000000"/>
              <w:bottom w:val="single" w:sz="6" w:space="0" w:color="000000"/>
              <w:right w:val="single" w:sz="6" w:space="0" w:color="000000"/>
            </w:tcBorders>
          </w:tcPr>
          <w:p>
            <w:pPr>
              <w:pStyle w:val="TableParagraph"/>
              <w:spacing w:before="10"/>
              <w:jc w:val="left"/>
              <w:rPr>
                <w:sz w:val="9"/>
              </w:rPr>
            </w:pPr>
          </w:p>
          <w:p>
            <w:pPr>
              <w:pStyle w:val="TableParagraph"/>
              <w:spacing w:line="435" w:lineRule="exact" w:before="1"/>
              <w:ind w:left="93" w:right="68"/>
              <w:rPr>
                <w:sz w:val="21"/>
              </w:rPr>
            </w:pPr>
            <w:r>
              <w:rPr>
                <w:sz w:val="21"/>
              </w:rPr>
              <w:t>二氯甲烷</w:t>
            </w:r>
          </w:p>
          <w:p>
            <w:pPr>
              <w:pStyle w:val="TableParagraph"/>
              <w:spacing w:line="231" w:lineRule="exact"/>
              <w:ind w:left="94" w:right="68"/>
              <w:rPr>
                <w:rFonts w:ascii="Times New Roman" w:hAnsi="Times New Roman"/>
                <w:sz w:val="21"/>
              </w:rPr>
            </w:pPr>
            <w:r>
              <w:rPr>
                <w:rFonts w:ascii="Times New Roman" w:hAnsi="Times New Roman"/>
                <w:sz w:val="21"/>
              </w:rPr>
              <w:t>μg/kg</w:t>
            </w:r>
          </w:p>
        </w:tc>
        <w:tc>
          <w:tcPr>
            <w:tcW w:w="826" w:type="dxa"/>
            <w:tcBorders>
              <w:top w:val="nil"/>
              <w:left w:val="single" w:sz="6" w:space="0" w:color="000000"/>
              <w:bottom w:val="single" w:sz="6" w:space="0" w:color="000000"/>
              <w:right w:val="single" w:sz="6" w:space="0" w:color="000000"/>
            </w:tcBorders>
          </w:tcPr>
          <w:p>
            <w:pPr>
              <w:pStyle w:val="TableParagraph"/>
              <w:spacing w:line="221" w:lineRule="exact" w:before="38"/>
              <w:ind w:left="216"/>
              <w:jc w:val="left"/>
              <w:rPr>
                <w:rFonts w:ascii="Times New Roman"/>
                <w:sz w:val="21"/>
              </w:rPr>
            </w:pPr>
            <w:r>
              <w:rPr>
                <w:rFonts w:ascii="Times New Roman"/>
                <w:sz w:val="21"/>
              </w:rPr>
              <w:t>-1,2-</w:t>
            </w:r>
          </w:p>
          <w:p>
            <w:pPr>
              <w:pStyle w:val="TableParagraph"/>
              <w:spacing w:line="168" w:lineRule="auto" w:before="72"/>
              <w:ind w:left="207" w:right="179"/>
              <w:jc w:val="left"/>
              <w:rPr>
                <w:sz w:val="21"/>
              </w:rPr>
            </w:pPr>
            <w:r>
              <w:rPr>
                <w:sz w:val="21"/>
              </w:rPr>
              <w:t>二氯乙烯</w:t>
            </w:r>
          </w:p>
          <w:p>
            <w:pPr>
              <w:pStyle w:val="TableParagraph"/>
              <w:spacing w:before="20"/>
              <w:ind w:left="175"/>
              <w:jc w:val="left"/>
              <w:rPr>
                <w:rFonts w:ascii="Times New Roman" w:hAnsi="Times New Roman"/>
                <w:sz w:val="21"/>
              </w:rPr>
            </w:pPr>
            <w:r>
              <w:rPr>
                <w:rFonts w:ascii="Times New Roman" w:hAnsi="Times New Roman"/>
                <w:sz w:val="21"/>
              </w:rPr>
              <w:t>μg/kg</w:t>
            </w:r>
          </w:p>
        </w:tc>
        <w:tc>
          <w:tcPr>
            <w:tcW w:w="826" w:type="dxa"/>
            <w:tcBorders>
              <w:top w:val="nil"/>
              <w:left w:val="single" w:sz="6" w:space="0" w:color="000000"/>
              <w:bottom w:val="single" w:sz="6" w:space="0" w:color="000000"/>
              <w:right w:val="single" w:sz="6" w:space="0" w:color="000000"/>
            </w:tcBorders>
          </w:tcPr>
          <w:p>
            <w:pPr>
              <w:pStyle w:val="TableParagraph"/>
              <w:spacing w:line="322" w:lineRule="exact"/>
              <w:ind w:left="146"/>
              <w:jc w:val="left"/>
              <w:rPr>
                <w:sz w:val="21"/>
              </w:rPr>
            </w:pPr>
            <w:r>
              <w:rPr>
                <w:rFonts w:ascii="Times New Roman" w:eastAsia="Times New Roman"/>
                <w:spacing w:val="-1"/>
                <w:sz w:val="21"/>
              </w:rPr>
              <w:t>1,1-</w:t>
            </w:r>
            <w:r>
              <w:rPr>
                <w:sz w:val="21"/>
              </w:rPr>
              <w:t>二</w:t>
            </w:r>
          </w:p>
          <w:p>
            <w:pPr>
              <w:pStyle w:val="TableParagraph"/>
              <w:spacing w:line="160" w:lineRule="auto" w:before="15"/>
              <w:ind w:left="175" w:right="146" w:hanging="3"/>
              <w:rPr>
                <w:rFonts w:ascii="Times New Roman" w:hAnsi="Times New Roman" w:eastAsia="Times New Roman"/>
                <w:sz w:val="21"/>
              </w:rPr>
            </w:pPr>
            <w:r>
              <w:rPr>
                <w:sz w:val="21"/>
              </w:rPr>
              <w:t>氯乙烷</w:t>
            </w:r>
            <w:r>
              <w:rPr>
                <w:rFonts w:ascii="Times New Roman" w:hAnsi="Times New Roman" w:eastAsia="Times New Roman"/>
                <w:spacing w:val="-1"/>
                <w:sz w:val="21"/>
              </w:rPr>
              <w:t>μg/kg</w:t>
            </w:r>
          </w:p>
        </w:tc>
        <w:tc>
          <w:tcPr>
            <w:tcW w:w="888" w:type="dxa"/>
            <w:tcBorders>
              <w:top w:val="nil"/>
              <w:left w:val="single" w:sz="6" w:space="0" w:color="000000"/>
              <w:bottom w:val="single" w:sz="6" w:space="0" w:color="000000"/>
              <w:right w:val="single" w:sz="6" w:space="0" w:color="000000"/>
            </w:tcBorders>
          </w:tcPr>
          <w:p>
            <w:pPr>
              <w:pStyle w:val="TableParagraph"/>
              <w:spacing w:line="304" w:lineRule="exact"/>
              <w:ind w:left="141"/>
              <w:jc w:val="left"/>
              <w:rPr>
                <w:rFonts w:ascii="Times New Roman" w:eastAsia="Times New Roman"/>
                <w:sz w:val="21"/>
              </w:rPr>
            </w:pPr>
            <w:r>
              <w:rPr>
                <w:sz w:val="21"/>
              </w:rPr>
              <w:t>顺</w:t>
            </w:r>
            <w:r>
              <w:rPr>
                <w:rFonts w:ascii="Times New Roman" w:eastAsia="Times New Roman"/>
                <w:sz w:val="21"/>
              </w:rPr>
              <w:t>-1,2-</w:t>
            </w:r>
          </w:p>
          <w:p>
            <w:pPr>
              <w:pStyle w:val="TableParagraph"/>
              <w:spacing w:line="180" w:lineRule="auto" w:before="11"/>
              <w:ind w:left="132" w:right="105"/>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26" w:type="dxa"/>
            <w:tcBorders>
              <w:top w:val="nil"/>
              <w:left w:val="single" w:sz="6" w:space="0" w:color="000000"/>
              <w:bottom w:val="single" w:sz="6" w:space="0" w:color="000000"/>
              <w:right w:val="single" w:sz="6" w:space="0" w:color="000000"/>
            </w:tcBorders>
          </w:tcPr>
          <w:p>
            <w:pPr>
              <w:pStyle w:val="TableParagraph"/>
              <w:spacing w:before="2"/>
              <w:jc w:val="left"/>
              <w:rPr>
                <w:sz w:val="11"/>
              </w:rPr>
            </w:pPr>
          </w:p>
          <w:p>
            <w:pPr>
              <w:pStyle w:val="TableParagraph"/>
              <w:spacing w:line="405" w:lineRule="exact"/>
              <w:ind w:left="206"/>
              <w:jc w:val="left"/>
              <w:rPr>
                <w:sz w:val="21"/>
              </w:rPr>
            </w:pPr>
            <w:r>
              <w:rPr>
                <w:sz w:val="21"/>
              </w:rPr>
              <w:t>氯仿</w:t>
            </w:r>
          </w:p>
          <w:p>
            <w:pPr>
              <w:pStyle w:val="TableParagraph"/>
              <w:spacing w:line="201" w:lineRule="exact"/>
              <w:ind w:left="175"/>
              <w:jc w:val="left"/>
              <w:rPr>
                <w:rFonts w:ascii="Times New Roman" w:hAnsi="Times New Roman"/>
                <w:sz w:val="21"/>
              </w:rPr>
            </w:pPr>
            <w:r>
              <w:rPr>
                <w:rFonts w:ascii="Times New Roman" w:hAnsi="Times New Roman"/>
                <w:sz w:val="21"/>
              </w:rPr>
              <w:t>μg/kg</w:t>
            </w:r>
          </w:p>
        </w:tc>
        <w:tc>
          <w:tcPr>
            <w:tcW w:w="867" w:type="dxa"/>
            <w:tcBorders>
              <w:top w:val="nil"/>
              <w:left w:val="single" w:sz="6" w:space="0" w:color="000000"/>
              <w:bottom w:val="single" w:sz="6" w:space="0" w:color="000000"/>
              <w:right w:val="single" w:sz="6" w:space="0" w:color="000000"/>
            </w:tcBorders>
          </w:tcPr>
          <w:p>
            <w:pPr>
              <w:pStyle w:val="TableParagraph"/>
              <w:spacing w:line="221" w:lineRule="exact" w:before="38"/>
              <w:ind w:left="191"/>
              <w:jc w:val="left"/>
              <w:rPr>
                <w:rFonts w:ascii="Times New Roman"/>
                <w:sz w:val="21"/>
              </w:rPr>
            </w:pPr>
            <w:r>
              <w:rPr>
                <w:rFonts w:ascii="Times New Roman"/>
                <w:sz w:val="21"/>
              </w:rPr>
              <w:t>1,1,1-</w:t>
            </w:r>
          </w:p>
          <w:p>
            <w:pPr>
              <w:pStyle w:val="TableParagraph"/>
              <w:spacing w:line="180" w:lineRule="auto" w:before="56"/>
              <w:ind w:left="119" w:right="96"/>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785" w:type="dxa"/>
            <w:tcBorders>
              <w:top w:val="nil"/>
              <w:left w:val="single" w:sz="6" w:space="0" w:color="000000"/>
              <w:bottom w:val="single" w:sz="6" w:space="0" w:color="000000"/>
              <w:right w:val="single" w:sz="6" w:space="0" w:color="000000"/>
            </w:tcBorders>
          </w:tcPr>
          <w:p>
            <w:pPr>
              <w:pStyle w:val="TableParagraph"/>
              <w:spacing w:line="180" w:lineRule="auto" w:before="159"/>
              <w:ind w:left="153" w:right="127" w:firstLine="31"/>
              <w:jc w:val="both"/>
              <w:rPr>
                <w:rFonts w:ascii="Times New Roman" w:hAnsi="Times New Roman" w:eastAsia="Times New Roman"/>
                <w:sz w:val="21"/>
              </w:rPr>
            </w:pPr>
            <w:r>
              <w:rPr>
                <w:sz w:val="21"/>
              </w:rPr>
              <w:t>四氯化碳</w:t>
            </w:r>
            <w:r>
              <w:rPr>
                <w:rFonts w:ascii="Times New Roman" w:hAnsi="Times New Roman" w:eastAsia="Times New Roman"/>
                <w:sz w:val="21"/>
              </w:rPr>
              <w:t>μg/kg</w:t>
            </w:r>
          </w:p>
        </w:tc>
        <w:tc>
          <w:tcPr>
            <w:tcW w:w="835" w:type="dxa"/>
            <w:tcBorders>
              <w:top w:val="nil"/>
              <w:left w:val="single" w:sz="6" w:space="0" w:color="000000"/>
              <w:bottom w:val="single" w:sz="6" w:space="0" w:color="000000"/>
            </w:tcBorders>
          </w:tcPr>
          <w:p>
            <w:pPr>
              <w:pStyle w:val="TableParagraph"/>
              <w:spacing w:before="4"/>
              <w:jc w:val="left"/>
              <w:rPr>
                <w:sz w:val="11"/>
              </w:rPr>
            </w:pPr>
          </w:p>
          <w:p>
            <w:pPr>
              <w:pStyle w:val="TableParagraph"/>
              <w:spacing w:line="414" w:lineRule="exact"/>
              <w:ind w:left="31"/>
              <w:rPr>
                <w:sz w:val="21"/>
              </w:rPr>
            </w:pPr>
            <w:r>
              <w:rPr>
                <w:w w:val="100"/>
                <w:sz w:val="21"/>
              </w:rPr>
              <w:t>苯</w:t>
            </w:r>
          </w:p>
          <w:p>
            <w:pPr>
              <w:pStyle w:val="TableParagraph"/>
              <w:spacing w:line="211" w:lineRule="exact"/>
              <w:ind w:left="132" w:right="99"/>
              <w:rPr>
                <w:rFonts w:ascii="Times New Roman" w:hAnsi="Times New Roman"/>
                <w:sz w:val="21"/>
              </w:rPr>
            </w:pPr>
            <w:r>
              <w:rPr>
                <w:rFonts w:ascii="Times New Roman" w:hAnsi="Times New Roman"/>
                <w:sz w:val="21"/>
              </w:rPr>
              <w:t>μg/kg</w:t>
            </w:r>
          </w:p>
        </w:tc>
      </w:tr>
      <w:tr>
        <w:trPr>
          <w:trHeight w:val="1177"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9"/>
              </w:rPr>
            </w:pPr>
          </w:p>
          <w:p>
            <w:pPr>
              <w:pStyle w:val="TableParagraph"/>
              <w:spacing w:line="435" w:lineRule="exact"/>
              <w:ind w:left="133"/>
              <w:jc w:val="left"/>
              <w:rPr>
                <w:sz w:val="21"/>
              </w:rPr>
            </w:pPr>
            <w:r>
              <w:rPr>
                <w:sz w:val="21"/>
              </w:rPr>
              <w:t>氯乙烯</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0"/>
              </w:rPr>
            </w:pPr>
          </w:p>
          <w:p>
            <w:pPr>
              <w:pStyle w:val="TableParagraph"/>
              <w:spacing w:line="225" w:lineRule="auto"/>
              <w:ind w:left="285" w:right="229" w:hanging="30"/>
              <w:jc w:val="left"/>
              <w:rPr>
                <w:rFonts w:ascii="Times New Roman" w:eastAsia="Times New Roman"/>
                <w:sz w:val="21"/>
              </w:rPr>
            </w:pPr>
            <w:r>
              <w:rPr>
                <w:rFonts w:ascii="Times New Roman" w:eastAsia="Times New Roman"/>
                <w:sz w:val="21"/>
              </w:rPr>
              <w:t>2-</w:t>
            </w:r>
            <w:r>
              <w:rPr>
                <w:sz w:val="21"/>
              </w:rPr>
              <w:t>氯酚</w:t>
            </w:r>
            <w:r>
              <w:rPr>
                <w:rFonts w:ascii="Times New Roman" w:eastAsia="Times New Roman"/>
                <w:sz w:val="21"/>
              </w:rPr>
              <w:t>mg/kg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180" w:lineRule="auto" w:before="158"/>
              <w:ind w:left="149" w:right="124" w:firstLine="2"/>
              <w:rPr>
                <w:rFonts w:ascii="Times New Roman" w:eastAsia="Times New Roman"/>
                <w:sz w:val="21"/>
              </w:rPr>
            </w:pPr>
            <w:r>
              <w:rPr>
                <w:sz w:val="21"/>
              </w:rPr>
              <w:t>硝基苯</w:t>
            </w:r>
            <w:r>
              <w:rPr>
                <w:rFonts w:ascii="Times New Roman" w:eastAsia="Times New Roman"/>
                <w:sz w:val="21"/>
              </w:rPr>
              <w:t>mg/kg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2"/>
              <w:jc w:val="left"/>
              <w:rPr>
                <w:sz w:val="11"/>
              </w:rPr>
            </w:pPr>
          </w:p>
          <w:p>
            <w:pPr>
              <w:pStyle w:val="TableParagraph"/>
              <w:spacing w:line="414" w:lineRule="exact" w:before="1"/>
              <w:ind w:left="206"/>
              <w:jc w:val="left"/>
              <w:rPr>
                <w:sz w:val="21"/>
              </w:rPr>
            </w:pPr>
            <w:r>
              <w:rPr>
                <w:sz w:val="21"/>
              </w:rPr>
              <w:t>苯胺</w:t>
            </w:r>
          </w:p>
          <w:p>
            <w:pPr>
              <w:pStyle w:val="TableParagraph"/>
              <w:spacing w:line="211" w:lineRule="exact"/>
              <w:ind w:left="149"/>
              <w:jc w:val="left"/>
              <w:rPr>
                <w:rFonts w:ascii="Times New Roman"/>
                <w:sz w:val="21"/>
              </w:rPr>
            </w:pPr>
            <w:r>
              <w:rPr>
                <w:rFonts w:ascii="Times New Roman"/>
                <w:sz w:val="21"/>
              </w:rPr>
              <w:t>mg/kg</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32"/>
              <w:jc w:val="left"/>
              <w:rPr>
                <w:sz w:val="21"/>
              </w:rPr>
            </w:pPr>
            <w:r>
              <w:rPr>
                <w:sz w:val="21"/>
              </w:rPr>
              <w:t>二苯并</w:t>
            </w:r>
          </w:p>
          <w:p>
            <w:pPr>
              <w:pStyle w:val="TableParagraph"/>
              <w:spacing w:line="168" w:lineRule="auto" w:before="26"/>
              <w:ind w:left="343" w:right="85" w:hanging="231"/>
              <w:jc w:val="left"/>
              <w:rPr>
                <w:sz w:val="21"/>
              </w:rPr>
            </w:pPr>
            <w:r>
              <w:rPr>
                <w:sz w:val="21"/>
              </w:rPr>
              <w:t>（</w:t>
            </w:r>
            <w:r>
              <w:rPr>
                <w:rFonts w:ascii="Times New Roman" w:eastAsia="Times New Roman"/>
                <w:sz w:val="21"/>
              </w:rPr>
              <w:t>a,h</w:t>
            </w:r>
            <w:r>
              <w:rPr>
                <w:sz w:val="21"/>
              </w:rPr>
              <w:t>） 蒽</w:t>
            </w:r>
          </w:p>
          <w:p>
            <w:pPr>
              <w:pStyle w:val="TableParagraph"/>
              <w:spacing w:line="205" w:lineRule="exact"/>
              <w:ind w:left="180"/>
              <w:jc w:val="left"/>
              <w:rPr>
                <w:rFonts w:ascii="Times New Roman"/>
                <w:sz w:val="21"/>
              </w:rPr>
            </w:pPr>
            <w:r>
              <w:rPr>
                <w:rFonts w:ascii="Times New Roman"/>
                <w:sz w:val="21"/>
              </w:rPr>
              <w:t>mg/kg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80"/>
              <w:ind w:left="206"/>
              <w:jc w:val="left"/>
              <w:rPr>
                <w:sz w:val="21"/>
              </w:rPr>
            </w:pPr>
            <w:r>
              <w:rPr>
                <w:sz w:val="21"/>
              </w:rPr>
              <w:t>苯并</w:t>
            </w:r>
          </w:p>
          <w:p>
            <w:pPr>
              <w:pStyle w:val="TableParagraph"/>
              <w:spacing w:line="194" w:lineRule="auto"/>
              <w:ind w:left="149" w:right="124" w:firstLine="45"/>
              <w:jc w:val="left"/>
              <w:rPr>
                <w:rFonts w:ascii="Times New Roman" w:eastAsia="Times New Roman"/>
                <w:sz w:val="21"/>
              </w:rPr>
            </w:pPr>
            <w:r>
              <w:rPr>
                <w:rFonts w:ascii="Times New Roman" w:eastAsia="Times New Roman"/>
                <w:sz w:val="21"/>
              </w:rPr>
              <w:t>(a)</w:t>
            </w:r>
            <w:r>
              <w:rPr>
                <w:sz w:val="21"/>
              </w:rPr>
              <w:t>芘</w:t>
            </w:r>
            <w:r>
              <w:rPr>
                <w:rFonts w:ascii="Times New Roman" w:eastAsia="Times New Roman"/>
                <w:spacing w:val="-1"/>
                <w:sz w:val="21"/>
              </w:rPr>
              <w:t>mg/kg</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25"/>
              <w:jc w:val="left"/>
              <w:rPr>
                <w:sz w:val="21"/>
              </w:rPr>
            </w:pPr>
            <w:r>
              <w:rPr>
                <w:sz w:val="21"/>
              </w:rPr>
              <w:t>苯并</w:t>
            </w:r>
          </w:p>
          <w:p>
            <w:pPr>
              <w:pStyle w:val="TableParagraph"/>
              <w:spacing w:line="168" w:lineRule="auto" w:before="26"/>
              <w:ind w:left="112" w:right="175"/>
              <w:rPr>
                <w:sz w:val="21"/>
              </w:rPr>
            </w:pPr>
            <w:r>
              <w:rPr>
                <w:w w:val="100"/>
                <w:sz w:val="21"/>
              </w:rPr>
              <w:t>（</w:t>
            </w:r>
            <w:r>
              <w:rPr>
                <w:rFonts w:ascii="Times New Roman" w:eastAsia="Times New Roman"/>
                <w:w w:val="100"/>
                <w:sz w:val="21"/>
              </w:rPr>
              <w:t>b</w:t>
            </w:r>
            <w:r>
              <w:rPr>
                <w:spacing w:val="-89"/>
                <w:w w:val="100"/>
                <w:sz w:val="21"/>
              </w:rPr>
              <w:t>）荧</w:t>
            </w:r>
            <w:r>
              <w:rPr>
                <w:sz w:val="21"/>
              </w:rPr>
              <w:t>蒽</w:t>
            </w:r>
          </w:p>
          <w:p>
            <w:pPr>
              <w:pStyle w:val="TableParagraph"/>
              <w:spacing w:line="205" w:lineRule="exact"/>
              <w:ind w:left="167"/>
              <w:jc w:val="left"/>
              <w:rPr>
                <w:rFonts w:ascii="Times New Roman"/>
                <w:sz w:val="21"/>
              </w:rPr>
            </w:pPr>
            <w:r>
              <w:rPr>
                <w:rFonts w:ascii="Times New Roman"/>
                <w:sz w:val="21"/>
              </w:rPr>
              <w:t>mg/kg</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84"/>
              <w:jc w:val="left"/>
              <w:rPr>
                <w:sz w:val="21"/>
              </w:rPr>
            </w:pPr>
            <w:r>
              <w:rPr>
                <w:sz w:val="21"/>
              </w:rPr>
              <w:t>苯并</w:t>
            </w:r>
          </w:p>
          <w:p>
            <w:pPr>
              <w:pStyle w:val="TableParagraph"/>
              <w:spacing w:line="168" w:lineRule="auto" w:before="26"/>
              <w:ind w:left="184" w:right="108" w:hanging="53"/>
              <w:jc w:val="left"/>
              <w:rPr>
                <w:sz w:val="21"/>
              </w:rPr>
            </w:pPr>
            <w:r>
              <w:rPr>
                <w:sz w:val="21"/>
              </w:rPr>
              <w:t>（</w:t>
            </w:r>
            <w:r>
              <w:rPr>
                <w:rFonts w:ascii="Times New Roman" w:eastAsia="Times New Roman"/>
                <w:sz w:val="21"/>
              </w:rPr>
              <w:t>k</w:t>
            </w:r>
            <w:r>
              <w:rPr>
                <w:sz w:val="21"/>
              </w:rPr>
              <w:t>） 荧蒽</w:t>
            </w:r>
          </w:p>
          <w:p>
            <w:pPr>
              <w:pStyle w:val="TableParagraph"/>
              <w:spacing w:line="205" w:lineRule="exact"/>
              <w:ind w:left="127"/>
              <w:jc w:val="left"/>
              <w:rPr>
                <w:rFonts w:ascii="Times New Roman"/>
                <w:sz w:val="21"/>
              </w:rPr>
            </w:pPr>
            <w:r>
              <w:rPr>
                <w:rFonts w:ascii="Times New Roman"/>
                <w:sz w:val="21"/>
              </w:rPr>
              <w:t>mg/kg</w:t>
            </w:r>
          </w:p>
        </w:tc>
        <w:tc>
          <w:tcPr>
            <w:tcW w:w="835" w:type="dxa"/>
            <w:tcBorders>
              <w:top w:val="single" w:sz="6" w:space="0" w:color="000000"/>
              <w:left w:val="single" w:sz="6" w:space="0" w:color="000000"/>
              <w:bottom w:val="single" w:sz="6" w:space="0" w:color="000000"/>
            </w:tcBorders>
          </w:tcPr>
          <w:p>
            <w:pPr>
              <w:pStyle w:val="TableParagraph"/>
              <w:spacing w:before="2"/>
              <w:jc w:val="left"/>
              <w:rPr>
                <w:sz w:val="11"/>
              </w:rPr>
            </w:pPr>
          </w:p>
          <w:p>
            <w:pPr>
              <w:pStyle w:val="TableParagraph"/>
              <w:spacing w:line="414" w:lineRule="exact" w:before="1"/>
              <w:ind w:left="31"/>
              <w:rPr>
                <w:sz w:val="21"/>
              </w:rPr>
            </w:pPr>
            <w:r>
              <w:rPr>
                <w:w w:val="100"/>
                <w:sz w:val="21"/>
              </w:rPr>
              <w:t>䓛</w:t>
            </w:r>
          </w:p>
          <w:p>
            <w:pPr>
              <w:pStyle w:val="TableParagraph"/>
              <w:spacing w:line="211" w:lineRule="exact"/>
              <w:ind w:left="132" w:right="103"/>
              <w:rPr>
                <w:rFonts w:ascii="Times New Roman"/>
                <w:sz w:val="21"/>
              </w:rPr>
            </w:pPr>
            <w:r>
              <w:rPr>
                <w:rFonts w:ascii="Times New Roman"/>
                <w:sz w:val="21"/>
              </w:rPr>
              <w:t>mg/kg</w:t>
            </w:r>
          </w:p>
        </w:tc>
      </w:tr>
      <w:tr>
        <w:trPr>
          <w:trHeight w:val="623"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8"/>
              <w:ind w:left="133"/>
              <w:jc w:val="left"/>
              <w:rPr>
                <w:sz w:val="21"/>
              </w:rPr>
            </w:pPr>
            <w:r>
              <w:rPr>
                <w:sz w:val="21"/>
              </w:rPr>
              <w:t>未检出</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8"/>
              <w:ind w:left="94" w:right="66"/>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8"/>
              <w:ind w:left="114" w:right="89"/>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before="78"/>
              <w:ind w:left="101" w:right="80"/>
              <w:rPr>
                <w:sz w:val="21"/>
              </w:rPr>
            </w:pPr>
            <w:r>
              <w:rPr>
                <w:sz w:val="21"/>
              </w:rPr>
              <w:t>未检出</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bottom w:val="single" w:sz="6" w:space="0" w:color="000000"/>
            </w:tcBorders>
          </w:tcPr>
          <w:p>
            <w:pPr>
              <w:pStyle w:val="TableParagraph"/>
              <w:spacing w:line="301" w:lineRule="exact"/>
              <w:ind w:left="132" w:right="101"/>
              <w:rPr>
                <w:sz w:val="21"/>
              </w:rPr>
            </w:pPr>
            <w:r>
              <w:rPr>
                <w:sz w:val="21"/>
              </w:rPr>
              <w:t>未检</w:t>
            </w:r>
          </w:p>
          <w:p>
            <w:pPr>
              <w:pStyle w:val="TableParagraph"/>
              <w:spacing w:line="303" w:lineRule="exact"/>
              <w:ind w:left="31"/>
              <w:rPr>
                <w:sz w:val="21"/>
              </w:rPr>
            </w:pPr>
            <w:r>
              <w:rPr>
                <w:w w:val="100"/>
                <w:sz w:val="21"/>
              </w:rPr>
              <w:t>出</w:t>
            </w:r>
          </w:p>
        </w:tc>
      </w:tr>
      <w:tr>
        <w:trPr>
          <w:trHeight w:val="304"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spacing w:line="284" w:lineRule="exact"/>
              <w:ind w:left="133"/>
              <w:jc w:val="left"/>
              <w:rPr>
                <w:sz w:val="21"/>
              </w:rPr>
            </w:pPr>
            <w:r>
              <w:rPr>
                <w:sz w:val="21"/>
              </w:rPr>
              <w:t>二苯并</w:t>
            </w:r>
          </w:p>
        </w:tc>
        <w:tc>
          <w:tcPr>
            <w:tcW w:w="109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435" w:lineRule="exact" w:before="80"/>
              <w:ind w:left="94" w:right="65"/>
              <w:rPr>
                <w:sz w:val="21"/>
              </w:rPr>
            </w:pPr>
            <w:r>
              <w:rPr>
                <w:sz w:val="21"/>
              </w:rPr>
              <w:t>茚并</w:t>
            </w:r>
          </w:p>
          <w:p>
            <w:pPr>
              <w:pStyle w:val="TableParagraph"/>
              <w:spacing w:line="210" w:lineRule="exact"/>
              <w:ind w:left="94" w:right="68"/>
              <w:rPr>
                <w:rFonts w:ascii="Times New Roman"/>
                <w:sz w:val="21"/>
              </w:rPr>
            </w:pPr>
            <w:r>
              <w:rPr>
                <w:rFonts w:ascii="Times New Roman"/>
                <w:sz w:val="21"/>
              </w:rPr>
              <w:t>(1,2,3-c,d)</w:t>
            </w:r>
          </w:p>
          <w:p>
            <w:pPr>
              <w:pStyle w:val="TableParagraph"/>
              <w:spacing w:line="424" w:lineRule="exact"/>
              <w:ind w:left="94" w:right="68"/>
              <w:rPr>
                <w:rFonts w:ascii="Times New Roman" w:eastAsia="Times New Roman"/>
                <w:sz w:val="21"/>
              </w:rPr>
            </w:pPr>
            <w:r>
              <w:rPr>
                <w:spacing w:val="2"/>
                <w:sz w:val="21"/>
              </w:rPr>
              <w:t>芘 </w:t>
            </w:r>
            <w:r>
              <w:rPr>
                <w:rFonts w:ascii="Times New Roman" w:eastAsia="Times New Roman"/>
                <w:sz w:val="21"/>
              </w:rPr>
              <w:t>mg/kg</w:t>
            </w: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8"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7"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78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35" w:type="dxa"/>
            <w:tcBorders>
              <w:top w:val="single" w:sz="6" w:space="0" w:color="000000"/>
              <w:left w:val="single" w:sz="6" w:space="0" w:color="000000"/>
              <w:bottom w:val="nil"/>
            </w:tcBorders>
          </w:tcPr>
          <w:p>
            <w:pPr>
              <w:pStyle w:val="TableParagraph"/>
              <w:jc w:val="left"/>
              <w:rPr>
                <w:rFonts w:ascii="Times New Roman"/>
                <w:sz w:val="20"/>
              </w:rPr>
            </w:pPr>
          </w:p>
        </w:tc>
      </w:tr>
      <w:tr>
        <w:trPr>
          <w:trHeight w:val="607"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nil"/>
              <w:right w:val="single" w:sz="6" w:space="0" w:color="000000"/>
            </w:tcBorders>
          </w:tcPr>
          <w:p>
            <w:pPr>
              <w:pStyle w:val="TableParagraph"/>
              <w:spacing w:line="296" w:lineRule="exact"/>
              <w:ind w:left="94" w:right="65"/>
              <w:rPr>
                <w:sz w:val="21"/>
              </w:rPr>
            </w:pPr>
            <w:r>
              <w:rPr>
                <w:sz w:val="21"/>
              </w:rPr>
              <w:t>（</w:t>
            </w:r>
            <w:r>
              <w:rPr>
                <w:rFonts w:ascii="Times New Roman" w:eastAsia="Times New Roman"/>
                <w:sz w:val="21"/>
              </w:rPr>
              <w:t>a,h</w:t>
            </w:r>
            <w:r>
              <w:rPr>
                <w:sz w:val="21"/>
              </w:rPr>
              <w:t>）</w:t>
            </w:r>
          </w:p>
          <w:p>
            <w:pPr>
              <w:pStyle w:val="TableParagraph"/>
              <w:spacing w:line="292" w:lineRule="exact"/>
              <w:ind w:left="29"/>
              <w:rPr>
                <w:sz w:val="21"/>
              </w:rPr>
            </w:pPr>
            <w:r>
              <w:rPr>
                <w:w w:val="100"/>
                <w:sz w:val="21"/>
              </w:rPr>
              <w:t>蒽</w:t>
            </w:r>
          </w:p>
        </w:tc>
        <w:tc>
          <w:tcPr>
            <w:tcW w:w="1098" w:type="dxa"/>
            <w:vMerge/>
            <w:tcBorders>
              <w:top w:val="nil"/>
              <w:left w:val="single" w:sz="6" w:space="0" w:color="000000"/>
              <w:bottom w:val="single" w:sz="6" w:space="0" w:color="000000"/>
              <w:right w:val="single" w:sz="6" w:space="0" w:color="000000"/>
            </w:tcBorders>
          </w:tcPr>
          <w:p>
            <w:pPr>
              <w:rPr>
                <w:sz w:val="2"/>
                <w:szCs w:val="2"/>
              </w:rPr>
            </w:pPr>
          </w:p>
        </w:tc>
        <w:tc>
          <w:tcPr>
            <w:tcW w:w="826" w:type="dxa"/>
            <w:tcBorders>
              <w:top w:val="nil"/>
              <w:left w:val="single" w:sz="6" w:space="0" w:color="000000"/>
              <w:bottom w:val="nil"/>
              <w:right w:val="single" w:sz="6" w:space="0" w:color="000000"/>
            </w:tcBorders>
          </w:tcPr>
          <w:p>
            <w:pPr>
              <w:pStyle w:val="TableParagraph"/>
              <w:spacing w:before="185"/>
              <w:ind w:left="26"/>
              <w:rPr>
                <w:rFonts w:ascii="Times New Roman"/>
                <w:sz w:val="21"/>
              </w:rPr>
            </w:pPr>
            <w:r>
              <w:rPr>
                <w:rFonts w:ascii="Times New Roman"/>
                <w:w w:val="100"/>
                <w:sz w:val="21"/>
              </w:rPr>
              <w:t>/</w:t>
            </w:r>
          </w:p>
        </w:tc>
        <w:tc>
          <w:tcPr>
            <w:tcW w:w="826" w:type="dxa"/>
            <w:tcBorders>
              <w:top w:val="nil"/>
              <w:left w:val="single" w:sz="6" w:space="0" w:color="000000"/>
              <w:bottom w:val="nil"/>
              <w:right w:val="single" w:sz="6" w:space="0" w:color="000000"/>
            </w:tcBorders>
          </w:tcPr>
          <w:p>
            <w:pPr>
              <w:pStyle w:val="TableParagraph"/>
              <w:spacing w:before="185"/>
              <w:ind w:left="25"/>
              <w:rPr>
                <w:rFonts w:ascii="Times New Roman"/>
                <w:sz w:val="21"/>
              </w:rPr>
            </w:pPr>
            <w:r>
              <w:rPr>
                <w:rFonts w:ascii="Times New Roman"/>
                <w:w w:val="100"/>
                <w:sz w:val="21"/>
              </w:rPr>
              <w:t>/</w:t>
            </w:r>
          </w:p>
        </w:tc>
        <w:tc>
          <w:tcPr>
            <w:tcW w:w="888" w:type="dxa"/>
            <w:tcBorders>
              <w:top w:val="nil"/>
              <w:left w:val="single" w:sz="6" w:space="0" w:color="000000"/>
              <w:bottom w:val="nil"/>
              <w:right w:val="single" w:sz="6" w:space="0" w:color="000000"/>
            </w:tcBorders>
          </w:tcPr>
          <w:p>
            <w:pPr>
              <w:pStyle w:val="TableParagraph"/>
              <w:spacing w:before="185"/>
              <w:ind w:left="26"/>
              <w:rPr>
                <w:rFonts w:ascii="Times New Roman"/>
                <w:sz w:val="21"/>
              </w:rPr>
            </w:pPr>
            <w:r>
              <w:rPr>
                <w:rFonts w:ascii="Times New Roman"/>
                <w:w w:val="100"/>
                <w:sz w:val="21"/>
              </w:rPr>
              <w:t>/</w:t>
            </w:r>
          </w:p>
        </w:tc>
        <w:tc>
          <w:tcPr>
            <w:tcW w:w="826" w:type="dxa"/>
            <w:tcBorders>
              <w:top w:val="nil"/>
              <w:left w:val="single" w:sz="6" w:space="0" w:color="000000"/>
              <w:bottom w:val="nil"/>
              <w:right w:val="single" w:sz="6" w:space="0" w:color="000000"/>
            </w:tcBorders>
          </w:tcPr>
          <w:p>
            <w:pPr>
              <w:pStyle w:val="TableParagraph"/>
              <w:spacing w:before="185"/>
              <w:ind w:left="25"/>
              <w:rPr>
                <w:rFonts w:ascii="Times New Roman"/>
                <w:sz w:val="21"/>
              </w:rPr>
            </w:pPr>
            <w:r>
              <w:rPr>
                <w:rFonts w:ascii="Times New Roman"/>
                <w:w w:val="100"/>
                <w:sz w:val="21"/>
              </w:rPr>
              <w:t>/</w:t>
            </w:r>
          </w:p>
        </w:tc>
        <w:tc>
          <w:tcPr>
            <w:tcW w:w="867" w:type="dxa"/>
            <w:tcBorders>
              <w:top w:val="nil"/>
              <w:left w:val="single" w:sz="6" w:space="0" w:color="000000"/>
              <w:bottom w:val="nil"/>
              <w:right w:val="single" w:sz="6" w:space="0" w:color="000000"/>
            </w:tcBorders>
          </w:tcPr>
          <w:p>
            <w:pPr>
              <w:pStyle w:val="TableParagraph"/>
              <w:spacing w:before="185"/>
              <w:ind w:left="22"/>
              <w:rPr>
                <w:rFonts w:ascii="Times New Roman"/>
                <w:sz w:val="21"/>
              </w:rPr>
            </w:pPr>
            <w:r>
              <w:rPr>
                <w:rFonts w:ascii="Times New Roman"/>
                <w:w w:val="100"/>
                <w:sz w:val="21"/>
              </w:rPr>
              <w:t>/</w:t>
            </w:r>
          </w:p>
        </w:tc>
        <w:tc>
          <w:tcPr>
            <w:tcW w:w="785" w:type="dxa"/>
            <w:tcBorders>
              <w:top w:val="nil"/>
              <w:left w:val="single" w:sz="6" w:space="0" w:color="000000"/>
              <w:bottom w:val="nil"/>
              <w:right w:val="single" w:sz="6" w:space="0" w:color="000000"/>
            </w:tcBorders>
          </w:tcPr>
          <w:p>
            <w:pPr>
              <w:pStyle w:val="TableParagraph"/>
              <w:spacing w:before="185"/>
              <w:ind w:right="342"/>
              <w:jc w:val="right"/>
              <w:rPr>
                <w:rFonts w:ascii="Times New Roman"/>
                <w:sz w:val="21"/>
              </w:rPr>
            </w:pPr>
            <w:r>
              <w:rPr>
                <w:rFonts w:ascii="Times New Roman"/>
                <w:w w:val="100"/>
                <w:sz w:val="21"/>
              </w:rPr>
              <w:t>/</w:t>
            </w:r>
          </w:p>
        </w:tc>
        <w:tc>
          <w:tcPr>
            <w:tcW w:w="835" w:type="dxa"/>
            <w:tcBorders>
              <w:top w:val="nil"/>
              <w:left w:val="single" w:sz="6" w:space="0" w:color="000000"/>
              <w:bottom w:val="nil"/>
            </w:tcBorders>
          </w:tcPr>
          <w:p>
            <w:pPr>
              <w:pStyle w:val="TableParagraph"/>
              <w:spacing w:before="185"/>
              <w:ind w:left="32"/>
              <w:rPr>
                <w:rFonts w:ascii="Times New Roman"/>
                <w:sz w:val="21"/>
              </w:rPr>
            </w:pPr>
            <w:r>
              <w:rPr>
                <w:rFonts w:ascii="Times New Roman"/>
                <w:w w:val="100"/>
                <w:sz w:val="21"/>
              </w:rPr>
              <w:t>/</w:t>
            </w:r>
          </w:p>
        </w:tc>
      </w:tr>
      <w:tr>
        <w:trPr>
          <w:trHeight w:val="307"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spacing w:before="30"/>
              <w:ind w:left="181"/>
              <w:jc w:val="left"/>
              <w:rPr>
                <w:rFonts w:ascii="Times New Roman"/>
                <w:sz w:val="21"/>
              </w:rPr>
            </w:pPr>
            <w:r>
              <w:rPr>
                <w:rFonts w:ascii="Times New Roman"/>
                <w:sz w:val="21"/>
              </w:rPr>
              <w:t>mg/kg</w:t>
            </w:r>
          </w:p>
        </w:tc>
        <w:tc>
          <w:tcPr>
            <w:tcW w:w="1098" w:type="dxa"/>
            <w:vMerge/>
            <w:tcBorders>
              <w:top w:val="nil"/>
              <w:left w:val="single" w:sz="6" w:space="0" w:color="000000"/>
              <w:bottom w:val="single" w:sz="6" w:space="0" w:color="000000"/>
              <w:right w:val="single" w:sz="6" w:space="0" w:color="000000"/>
            </w:tcBorders>
          </w:tcPr>
          <w:p>
            <w:pPr>
              <w:rPr>
                <w:sz w:val="2"/>
                <w:szCs w:val="2"/>
              </w:rPr>
            </w:pPr>
          </w:p>
        </w:tc>
        <w:tc>
          <w:tcPr>
            <w:tcW w:w="82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2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8"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2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67"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785"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35" w:type="dxa"/>
            <w:tcBorders>
              <w:top w:val="nil"/>
              <w:left w:val="single" w:sz="6" w:space="0" w:color="000000"/>
              <w:bottom w:val="single" w:sz="6" w:space="0" w:color="000000"/>
            </w:tcBorders>
          </w:tcPr>
          <w:p>
            <w:pPr>
              <w:pStyle w:val="TableParagraph"/>
              <w:jc w:val="left"/>
              <w:rPr>
                <w:rFonts w:ascii="Times New Roman"/>
                <w:sz w:val="20"/>
              </w:rPr>
            </w:pPr>
          </w:p>
        </w:tc>
      </w:tr>
      <w:tr>
        <w:trPr>
          <w:trHeight w:val="366" w:hRule="atLeast"/>
        </w:trPr>
        <w:tc>
          <w:tcPr>
            <w:tcW w:w="694" w:type="dxa"/>
            <w:tcBorders>
              <w:top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right w:val="single" w:sz="6" w:space="0" w:color="000000"/>
            </w:tcBorders>
          </w:tcPr>
          <w:p>
            <w:pPr>
              <w:pStyle w:val="TableParagraph"/>
              <w:spacing w:line="346" w:lineRule="exact"/>
              <w:ind w:left="133"/>
              <w:jc w:val="left"/>
              <w:rPr>
                <w:sz w:val="21"/>
              </w:rPr>
            </w:pPr>
            <w:r>
              <w:rPr>
                <w:sz w:val="21"/>
              </w:rPr>
              <w:t>未检出</w:t>
            </w:r>
          </w:p>
        </w:tc>
        <w:tc>
          <w:tcPr>
            <w:tcW w:w="1098" w:type="dxa"/>
            <w:tcBorders>
              <w:top w:val="single" w:sz="6" w:space="0" w:color="000000"/>
              <w:left w:val="single" w:sz="6" w:space="0" w:color="000000"/>
              <w:right w:val="single" w:sz="6" w:space="0" w:color="000000"/>
            </w:tcBorders>
          </w:tcPr>
          <w:p>
            <w:pPr>
              <w:pStyle w:val="TableParagraph"/>
              <w:spacing w:line="346" w:lineRule="exact"/>
              <w:ind w:left="94" w:right="66"/>
              <w:rPr>
                <w:sz w:val="21"/>
              </w:rPr>
            </w:pPr>
            <w:r>
              <w:rPr>
                <w:sz w:val="21"/>
              </w:rPr>
              <w:t>未检出</w:t>
            </w:r>
          </w:p>
        </w:tc>
        <w:tc>
          <w:tcPr>
            <w:tcW w:w="826" w:type="dxa"/>
            <w:tcBorders>
              <w:top w:val="single" w:sz="6" w:space="0" w:color="000000"/>
              <w:left w:val="single" w:sz="6" w:space="0" w:color="000000"/>
              <w:right w:val="single" w:sz="6" w:space="0" w:color="000000"/>
            </w:tcBorders>
          </w:tcPr>
          <w:p>
            <w:pPr>
              <w:pStyle w:val="TableParagraph"/>
              <w:spacing w:before="63"/>
              <w:ind w:left="26"/>
              <w:rPr>
                <w:rFonts w:ascii="Times New Roman"/>
                <w:sz w:val="21"/>
              </w:rPr>
            </w:pPr>
            <w:r>
              <w:rPr>
                <w:rFonts w:ascii="Times New Roman"/>
                <w:w w:val="100"/>
                <w:sz w:val="21"/>
              </w:rPr>
              <w:t>/</w:t>
            </w:r>
          </w:p>
        </w:tc>
        <w:tc>
          <w:tcPr>
            <w:tcW w:w="826" w:type="dxa"/>
            <w:tcBorders>
              <w:top w:val="single" w:sz="6" w:space="0" w:color="000000"/>
              <w:left w:val="single" w:sz="6" w:space="0" w:color="000000"/>
              <w:right w:val="single" w:sz="6" w:space="0" w:color="000000"/>
            </w:tcBorders>
          </w:tcPr>
          <w:p>
            <w:pPr>
              <w:pStyle w:val="TableParagraph"/>
              <w:spacing w:before="63"/>
              <w:ind w:left="25"/>
              <w:rPr>
                <w:rFonts w:ascii="Times New Roman"/>
                <w:sz w:val="21"/>
              </w:rPr>
            </w:pPr>
            <w:r>
              <w:rPr>
                <w:rFonts w:ascii="Times New Roman"/>
                <w:w w:val="100"/>
                <w:sz w:val="21"/>
              </w:rPr>
              <w:t>/</w:t>
            </w:r>
          </w:p>
        </w:tc>
        <w:tc>
          <w:tcPr>
            <w:tcW w:w="888" w:type="dxa"/>
            <w:tcBorders>
              <w:top w:val="single" w:sz="6" w:space="0" w:color="000000"/>
              <w:left w:val="single" w:sz="6" w:space="0" w:color="000000"/>
              <w:right w:val="single" w:sz="6" w:space="0" w:color="000000"/>
            </w:tcBorders>
          </w:tcPr>
          <w:p>
            <w:pPr>
              <w:pStyle w:val="TableParagraph"/>
              <w:spacing w:before="63"/>
              <w:ind w:left="26"/>
              <w:rPr>
                <w:rFonts w:ascii="Times New Roman"/>
                <w:sz w:val="21"/>
              </w:rPr>
            </w:pPr>
            <w:r>
              <w:rPr>
                <w:rFonts w:ascii="Times New Roman"/>
                <w:w w:val="100"/>
                <w:sz w:val="21"/>
              </w:rPr>
              <w:t>/</w:t>
            </w:r>
          </w:p>
        </w:tc>
        <w:tc>
          <w:tcPr>
            <w:tcW w:w="826" w:type="dxa"/>
            <w:tcBorders>
              <w:top w:val="single" w:sz="6" w:space="0" w:color="000000"/>
              <w:left w:val="single" w:sz="6" w:space="0" w:color="000000"/>
              <w:right w:val="single" w:sz="6" w:space="0" w:color="000000"/>
            </w:tcBorders>
          </w:tcPr>
          <w:p>
            <w:pPr>
              <w:pStyle w:val="TableParagraph"/>
              <w:spacing w:before="63"/>
              <w:ind w:left="25"/>
              <w:rPr>
                <w:rFonts w:ascii="Times New Roman"/>
                <w:sz w:val="21"/>
              </w:rPr>
            </w:pPr>
            <w:r>
              <w:rPr>
                <w:rFonts w:ascii="Times New Roman"/>
                <w:w w:val="100"/>
                <w:sz w:val="21"/>
              </w:rPr>
              <w:t>/</w:t>
            </w:r>
          </w:p>
        </w:tc>
        <w:tc>
          <w:tcPr>
            <w:tcW w:w="867" w:type="dxa"/>
            <w:tcBorders>
              <w:top w:val="single" w:sz="6" w:space="0" w:color="000000"/>
              <w:left w:val="single" w:sz="6" w:space="0" w:color="000000"/>
              <w:right w:val="single" w:sz="6" w:space="0" w:color="000000"/>
            </w:tcBorders>
          </w:tcPr>
          <w:p>
            <w:pPr>
              <w:pStyle w:val="TableParagraph"/>
              <w:spacing w:before="63"/>
              <w:ind w:left="22"/>
              <w:rPr>
                <w:rFonts w:ascii="Times New Roman"/>
                <w:sz w:val="21"/>
              </w:rPr>
            </w:pPr>
            <w:r>
              <w:rPr>
                <w:rFonts w:ascii="Times New Roman"/>
                <w:w w:val="100"/>
                <w:sz w:val="21"/>
              </w:rPr>
              <w:t>/</w:t>
            </w:r>
          </w:p>
        </w:tc>
        <w:tc>
          <w:tcPr>
            <w:tcW w:w="785" w:type="dxa"/>
            <w:tcBorders>
              <w:top w:val="single" w:sz="6" w:space="0" w:color="000000"/>
              <w:left w:val="single" w:sz="6" w:space="0" w:color="000000"/>
              <w:right w:val="single" w:sz="6" w:space="0" w:color="000000"/>
            </w:tcBorders>
          </w:tcPr>
          <w:p>
            <w:pPr>
              <w:pStyle w:val="TableParagraph"/>
              <w:spacing w:before="63"/>
              <w:ind w:right="342"/>
              <w:jc w:val="right"/>
              <w:rPr>
                <w:rFonts w:ascii="Times New Roman"/>
                <w:sz w:val="21"/>
              </w:rPr>
            </w:pPr>
            <w:r>
              <w:rPr>
                <w:rFonts w:ascii="Times New Roman"/>
                <w:w w:val="100"/>
                <w:sz w:val="21"/>
              </w:rPr>
              <w:t>/</w:t>
            </w:r>
          </w:p>
        </w:tc>
        <w:tc>
          <w:tcPr>
            <w:tcW w:w="835" w:type="dxa"/>
            <w:tcBorders>
              <w:top w:val="single" w:sz="6" w:space="0" w:color="000000"/>
              <w:left w:val="single" w:sz="6" w:space="0" w:color="000000"/>
            </w:tcBorders>
          </w:tcPr>
          <w:p>
            <w:pPr>
              <w:pStyle w:val="TableParagraph"/>
              <w:spacing w:before="63"/>
              <w:ind w:left="32"/>
              <w:rPr>
                <w:rFonts w:ascii="Times New Roman"/>
                <w:sz w:val="21"/>
              </w:rPr>
            </w:pPr>
            <w:r>
              <w:rPr>
                <w:rFonts w:ascii="Times New Roman"/>
                <w:w w:val="100"/>
                <w:sz w:val="21"/>
              </w:rPr>
              <w:t>/</w:t>
            </w:r>
          </w:p>
        </w:tc>
      </w:tr>
    </w:tbl>
    <w:p>
      <w:pPr>
        <w:pStyle w:val="BodyText"/>
        <w:spacing w:before="10"/>
        <w:rPr>
          <w:sz w:val="8"/>
        </w:rPr>
      </w:pPr>
    </w:p>
    <w:p>
      <w:pPr>
        <w:tabs>
          <w:tab w:pos="4444" w:val="left" w:leader="none"/>
        </w:tabs>
        <w:spacing w:line="423" w:lineRule="exact" w:before="0" w:after="24"/>
        <w:ind w:left="3216" w:right="0" w:firstLine="0"/>
        <w:jc w:val="left"/>
        <w:rPr>
          <w:sz w:val="21"/>
        </w:rPr>
      </w:pPr>
      <w:r>
        <w:rPr>
          <w:sz w:val="21"/>
        </w:rPr>
        <w:t>续表</w:t>
      </w:r>
      <w:r>
        <w:rPr>
          <w:spacing w:val="5"/>
          <w:sz w:val="21"/>
        </w:rPr>
        <w:t> </w:t>
      </w:r>
      <w:r>
        <w:rPr>
          <w:rFonts w:ascii="Times New Roman" w:eastAsia="Times New Roman"/>
          <w:b/>
          <w:sz w:val="21"/>
        </w:rPr>
        <w:t>5.4-34</w:t>
        <w:tab/>
      </w:r>
      <w:r>
        <w:rPr>
          <w:sz w:val="21"/>
        </w:rPr>
        <w:t>土壤环境</w:t>
      </w:r>
      <w:r>
        <w:rPr>
          <w:spacing w:val="-3"/>
          <w:sz w:val="21"/>
        </w:rPr>
        <w:t>现</w:t>
      </w:r>
      <w:r>
        <w:rPr>
          <w:sz w:val="21"/>
        </w:rPr>
        <w:t>状监测结果</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4"/>
        <w:gridCol w:w="886"/>
        <w:gridCol w:w="1098"/>
        <w:gridCol w:w="826"/>
        <w:gridCol w:w="826"/>
        <w:gridCol w:w="888"/>
        <w:gridCol w:w="826"/>
        <w:gridCol w:w="867"/>
        <w:gridCol w:w="785"/>
        <w:gridCol w:w="835"/>
      </w:tblGrid>
      <w:tr>
        <w:trPr>
          <w:trHeight w:val="313" w:hRule="atLeast"/>
        </w:trPr>
        <w:tc>
          <w:tcPr>
            <w:tcW w:w="694" w:type="dxa"/>
            <w:tcBorders>
              <w:bottom w:val="nil"/>
              <w:right w:val="single" w:sz="6" w:space="0" w:color="000000"/>
            </w:tcBorders>
          </w:tcPr>
          <w:p>
            <w:pPr>
              <w:pStyle w:val="TableParagraph"/>
              <w:jc w:val="left"/>
              <w:rPr>
                <w:rFonts w:ascii="Times New Roman"/>
                <w:sz w:val="20"/>
              </w:rPr>
            </w:pPr>
          </w:p>
        </w:tc>
        <w:tc>
          <w:tcPr>
            <w:tcW w:w="7837" w:type="dxa"/>
            <w:gridSpan w:val="9"/>
            <w:tcBorders>
              <w:left w:val="single" w:sz="6" w:space="0" w:color="000000"/>
              <w:bottom w:val="single" w:sz="6" w:space="0" w:color="000000"/>
            </w:tcBorders>
          </w:tcPr>
          <w:p>
            <w:pPr>
              <w:pStyle w:val="TableParagraph"/>
              <w:spacing w:line="293" w:lineRule="exact"/>
              <w:ind w:left="3484" w:right="3449"/>
              <w:rPr>
                <w:sz w:val="21"/>
              </w:rPr>
            </w:pPr>
            <w:r>
              <w:rPr>
                <w:sz w:val="21"/>
              </w:rPr>
              <w:t>检测项目</w:t>
            </w:r>
          </w:p>
        </w:tc>
      </w:tr>
      <w:tr>
        <w:trPr>
          <w:trHeight w:val="1485" w:hRule="atLeast"/>
        </w:trPr>
        <w:tc>
          <w:tcPr>
            <w:tcW w:w="694" w:type="dxa"/>
            <w:tcBorders>
              <w:top w:val="nil"/>
              <w:bottom w:val="single" w:sz="6" w:space="0" w:color="000000"/>
              <w:right w:val="single" w:sz="6" w:space="0" w:color="000000"/>
            </w:tcBorders>
          </w:tcPr>
          <w:p>
            <w:pPr>
              <w:pStyle w:val="TableParagraph"/>
              <w:spacing w:before="6"/>
              <w:jc w:val="left"/>
              <w:rPr>
                <w:sz w:val="13"/>
              </w:rPr>
            </w:pPr>
          </w:p>
          <w:p>
            <w:pPr>
              <w:pStyle w:val="TableParagraph"/>
              <w:spacing w:line="168" w:lineRule="auto"/>
              <w:ind w:left="136" w:right="110"/>
              <w:jc w:val="left"/>
              <w:rPr>
                <w:sz w:val="21"/>
              </w:rPr>
            </w:pPr>
            <w:r>
              <w:rPr>
                <w:sz w:val="21"/>
              </w:rPr>
              <w:t>检测点位</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195"/>
              <w:ind w:left="179"/>
              <w:jc w:val="left"/>
              <w:rPr>
                <w:sz w:val="21"/>
              </w:rPr>
            </w:pPr>
            <w:r>
              <w:rPr>
                <w:rFonts w:ascii="Times New Roman" w:eastAsia="Times New Roman"/>
                <w:sz w:val="21"/>
              </w:rPr>
              <w:t>1,1-</w:t>
            </w:r>
            <w:r>
              <w:rPr>
                <w:sz w:val="21"/>
              </w:rPr>
              <w:t>二</w:t>
            </w:r>
          </w:p>
          <w:p>
            <w:pPr>
              <w:pStyle w:val="TableParagraph"/>
              <w:spacing w:line="368" w:lineRule="exact"/>
              <w:ind w:left="133"/>
              <w:jc w:val="left"/>
              <w:rPr>
                <w:sz w:val="21"/>
              </w:rPr>
            </w:pPr>
            <w:r>
              <w:rPr>
                <w:sz w:val="21"/>
              </w:rPr>
              <w:t>氯乙烯</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2"/>
              <w:jc w:val="left"/>
              <w:rPr>
                <w:sz w:val="16"/>
              </w:rPr>
            </w:pPr>
          </w:p>
          <w:p>
            <w:pPr>
              <w:pStyle w:val="TableParagraph"/>
              <w:spacing w:line="435" w:lineRule="exact"/>
              <w:ind w:left="93" w:right="68"/>
              <w:rPr>
                <w:sz w:val="21"/>
              </w:rPr>
            </w:pPr>
            <w:r>
              <w:rPr>
                <w:sz w:val="21"/>
              </w:rPr>
              <w:t>二氯甲烷</w:t>
            </w:r>
          </w:p>
          <w:p>
            <w:pPr>
              <w:pStyle w:val="TableParagraph"/>
              <w:spacing w:line="231" w:lineRule="exact"/>
              <w:ind w:left="94" w:right="68"/>
              <w:rPr>
                <w:rFonts w:ascii="Times New Roman" w:hAnsi="Times New Roman"/>
                <w:sz w:val="21"/>
              </w:rPr>
            </w:pPr>
            <w:r>
              <w:rPr>
                <w:rFonts w:ascii="Times New Roman" w:hAnsi="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49" w:lineRule="exact"/>
              <w:ind w:left="25"/>
              <w:rPr>
                <w:sz w:val="24"/>
              </w:rPr>
            </w:pPr>
            <w:r>
              <w:rPr>
                <w:sz w:val="24"/>
              </w:rPr>
              <w:t>反</w:t>
            </w:r>
          </w:p>
          <w:p>
            <w:pPr>
              <w:pStyle w:val="TableParagraph"/>
              <w:spacing w:line="178" w:lineRule="exact"/>
              <w:ind w:left="187"/>
              <w:jc w:val="left"/>
              <w:rPr>
                <w:rFonts w:ascii="Times New Roman"/>
                <w:sz w:val="24"/>
              </w:rPr>
            </w:pPr>
            <w:r>
              <w:rPr>
                <w:rFonts w:ascii="Times New Roman"/>
                <w:sz w:val="24"/>
              </w:rPr>
              <w:t>-1,2-</w:t>
            </w:r>
          </w:p>
          <w:p>
            <w:pPr>
              <w:pStyle w:val="TableParagraph"/>
              <w:spacing w:line="160" w:lineRule="auto" w:before="63"/>
              <w:ind w:left="139" w:right="115" w:firstLine="38"/>
              <w:jc w:val="both"/>
              <w:rPr>
                <w:rFonts w:ascii="Times New Roman" w:hAnsi="Times New Roman" w:eastAsia="Times New Roman"/>
                <w:sz w:val="24"/>
              </w:rPr>
            </w:pPr>
            <w:r>
              <w:rPr>
                <w:sz w:val="24"/>
              </w:rPr>
              <w:t>二氯乙烯</w:t>
            </w:r>
            <w:r>
              <w:rPr>
                <w:rFonts w:ascii="Times New Roman" w:hAnsi="Times New Roman" w:eastAsia="Times New Roman"/>
                <w:sz w:val="24"/>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114"/>
              <w:ind w:left="146"/>
              <w:jc w:val="left"/>
              <w:rPr>
                <w:sz w:val="21"/>
              </w:rPr>
            </w:pPr>
            <w:r>
              <w:rPr>
                <w:rFonts w:ascii="Times New Roman" w:eastAsia="Times New Roman"/>
                <w:spacing w:val="-1"/>
                <w:sz w:val="21"/>
              </w:rPr>
              <w:t>1,1-</w:t>
            </w:r>
            <w:r>
              <w:rPr>
                <w:sz w:val="21"/>
              </w:rPr>
              <w:t>二</w:t>
            </w:r>
          </w:p>
          <w:p>
            <w:pPr>
              <w:pStyle w:val="TableParagraph"/>
              <w:spacing w:line="160" w:lineRule="auto" w:before="15"/>
              <w:ind w:left="175" w:right="146" w:hanging="3"/>
              <w:rPr>
                <w:rFonts w:ascii="Times New Roman" w:hAnsi="Times New Roman" w:eastAsia="Times New Roman"/>
                <w:sz w:val="21"/>
              </w:rPr>
            </w:pPr>
            <w:r>
              <w:rPr>
                <w:sz w:val="21"/>
              </w:rPr>
              <w:t>氯乙烷</w:t>
            </w:r>
            <w:r>
              <w:rPr>
                <w:rFonts w:ascii="Times New Roman" w:hAnsi="Times New Roman" w:eastAsia="Times New Roman"/>
                <w:spacing w:val="-1"/>
                <w:sz w:val="21"/>
              </w:rPr>
              <w:t>μg/kg</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75"/>
              <w:ind w:left="141"/>
              <w:jc w:val="left"/>
              <w:rPr>
                <w:rFonts w:ascii="Times New Roman" w:eastAsia="Times New Roman"/>
                <w:sz w:val="21"/>
              </w:rPr>
            </w:pPr>
            <w:r>
              <w:rPr>
                <w:sz w:val="21"/>
              </w:rPr>
              <w:t>顺</w:t>
            </w:r>
            <w:r>
              <w:rPr>
                <w:rFonts w:ascii="Times New Roman" w:eastAsia="Times New Roman"/>
                <w:sz w:val="21"/>
              </w:rPr>
              <w:t>-1,2-</w:t>
            </w:r>
          </w:p>
          <w:p>
            <w:pPr>
              <w:pStyle w:val="TableParagraph"/>
              <w:spacing w:line="180" w:lineRule="auto" w:before="11"/>
              <w:ind w:left="132" w:right="105"/>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sz w:val="18"/>
              </w:rPr>
            </w:pPr>
          </w:p>
          <w:p>
            <w:pPr>
              <w:pStyle w:val="TableParagraph"/>
              <w:spacing w:line="406" w:lineRule="exact"/>
              <w:ind w:left="206"/>
              <w:jc w:val="left"/>
              <w:rPr>
                <w:sz w:val="21"/>
              </w:rPr>
            </w:pPr>
            <w:r>
              <w:rPr>
                <w:sz w:val="21"/>
              </w:rPr>
              <w:t>氯仿</w:t>
            </w:r>
          </w:p>
          <w:p>
            <w:pPr>
              <w:pStyle w:val="TableParagraph"/>
              <w:spacing w:line="202" w:lineRule="exact"/>
              <w:ind w:left="175"/>
              <w:jc w:val="left"/>
              <w:rPr>
                <w:rFonts w:ascii="Times New Roman" w:hAnsi="Times New Roman"/>
                <w:sz w:val="21"/>
              </w:rPr>
            </w:pPr>
            <w:r>
              <w:rPr>
                <w:rFonts w:ascii="Times New Roman" w:hAnsi="Times New Roman"/>
                <w:sz w:val="21"/>
              </w:rPr>
              <w:t>μg/kg</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188"/>
              <w:ind w:left="191"/>
              <w:jc w:val="left"/>
              <w:rPr>
                <w:rFonts w:ascii="Times New Roman"/>
                <w:sz w:val="21"/>
              </w:rPr>
            </w:pPr>
            <w:r>
              <w:rPr>
                <w:rFonts w:ascii="Times New Roman"/>
                <w:sz w:val="21"/>
              </w:rPr>
              <w:t>1,1,1-</w:t>
            </w:r>
          </w:p>
          <w:p>
            <w:pPr>
              <w:pStyle w:val="TableParagraph"/>
              <w:spacing w:line="180" w:lineRule="auto" w:before="57"/>
              <w:ind w:left="119" w:right="96"/>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12"/>
              <w:jc w:val="left"/>
              <w:rPr>
                <w:sz w:val="14"/>
              </w:rPr>
            </w:pPr>
          </w:p>
          <w:p>
            <w:pPr>
              <w:pStyle w:val="TableParagraph"/>
              <w:spacing w:line="180" w:lineRule="auto"/>
              <w:ind w:left="153" w:right="127" w:firstLine="31"/>
              <w:jc w:val="both"/>
              <w:rPr>
                <w:rFonts w:ascii="Times New Roman" w:hAnsi="Times New Roman" w:eastAsia="Times New Roman"/>
                <w:sz w:val="21"/>
              </w:rPr>
            </w:pPr>
            <w:r>
              <w:rPr>
                <w:sz w:val="21"/>
              </w:rPr>
              <w:t>四氯化碳</w:t>
            </w:r>
            <w:r>
              <w:rPr>
                <w:rFonts w:ascii="Times New Roman" w:hAnsi="Times New Roman" w:eastAsia="Times New Roman"/>
                <w:sz w:val="21"/>
              </w:rPr>
              <w:t>μg/kg</w:t>
            </w:r>
          </w:p>
        </w:tc>
        <w:tc>
          <w:tcPr>
            <w:tcW w:w="835" w:type="dxa"/>
            <w:tcBorders>
              <w:top w:val="single" w:sz="6" w:space="0" w:color="000000"/>
              <w:left w:val="single" w:sz="6" w:space="0" w:color="000000"/>
              <w:bottom w:val="single" w:sz="6" w:space="0" w:color="000000"/>
            </w:tcBorders>
          </w:tcPr>
          <w:p>
            <w:pPr>
              <w:pStyle w:val="TableParagraph"/>
              <w:spacing w:before="6"/>
              <w:jc w:val="left"/>
              <w:rPr>
                <w:sz w:val="18"/>
              </w:rPr>
            </w:pPr>
          </w:p>
          <w:p>
            <w:pPr>
              <w:pStyle w:val="TableParagraph"/>
              <w:spacing w:line="414" w:lineRule="exact"/>
              <w:ind w:left="31"/>
              <w:rPr>
                <w:sz w:val="21"/>
              </w:rPr>
            </w:pPr>
            <w:r>
              <w:rPr>
                <w:w w:val="100"/>
                <w:sz w:val="21"/>
              </w:rPr>
              <w:t>苯</w:t>
            </w:r>
          </w:p>
          <w:p>
            <w:pPr>
              <w:pStyle w:val="TableParagraph"/>
              <w:spacing w:line="211" w:lineRule="exact"/>
              <w:ind w:left="132" w:right="99"/>
              <w:rPr>
                <w:rFonts w:ascii="Times New Roman" w:hAnsi="Times New Roman"/>
                <w:sz w:val="21"/>
              </w:rPr>
            </w:pPr>
            <w:r>
              <w:rPr>
                <w:rFonts w:ascii="Times New Roman" w:hAnsi="Times New Roman"/>
                <w:sz w:val="21"/>
              </w:rPr>
              <w:t>μg/kg</w:t>
            </w:r>
          </w:p>
        </w:tc>
      </w:tr>
      <w:tr>
        <w:trPr>
          <w:trHeight w:val="623" w:hRule="atLeast"/>
        </w:trPr>
        <w:tc>
          <w:tcPr>
            <w:tcW w:w="694" w:type="dxa"/>
            <w:tcBorders>
              <w:top w:val="single" w:sz="6" w:space="0" w:color="000000"/>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7"/>
              <w:ind w:left="133"/>
              <w:jc w:val="left"/>
              <w:rPr>
                <w:sz w:val="21"/>
              </w:rPr>
            </w:pPr>
            <w:r>
              <w:rPr>
                <w:sz w:val="21"/>
              </w:rPr>
              <w:t>未检出</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7"/>
              <w:ind w:left="94" w:right="66"/>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7"/>
              <w:ind w:right="105"/>
              <w:jc w:val="right"/>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190"/>
              <w:ind w:left="187" w:right="163"/>
              <w:rPr>
                <w:rFonts w:ascii="Times New Roman"/>
                <w:sz w:val="21"/>
              </w:rPr>
            </w:pPr>
            <w:r>
              <w:rPr>
                <w:rFonts w:ascii="Times New Roman"/>
                <w:sz w:val="21"/>
              </w:rPr>
              <w:t>1.6</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80"/>
              <w:rPr>
                <w:sz w:val="21"/>
              </w:rPr>
            </w:pPr>
            <w:r>
              <w:rPr>
                <w:sz w:val="21"/>
              </w:rPr>
              <w:t>未检出</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bottom w:val="single" w:sz="6" w:space="0" w:color="000000"/>
            </w:tcBorders>
          </w:tcPr>
          <w:p>
            <w:pPr>
              <w:pStyle w:val="TableParagraph"/>
              <w:spacing w:line="300" w:lineRule="exact"/>
              <w:ind w:left="132" w:right="101"/>
              <w:rPr>
                <w:sz w:val="21"/>
              </w:rPr>
            </w:pPr>
            <w:r>
              <w:rPr>
                <w:sz w:val="21"/>
              </w:rPr>
              <w:t>未检</w:t>
            </w:r>
          </w:p>
          <w:p>
            <w:pPr>
              <w:pStyle w:val="TableParagraph"/>
              <w:spacing w:line="303" w:lineRule="exact"/>
              <w:ind w:left="31"/>
              <w:rPr>
                <w:sz w:val="21"/>
              </w:rPr>
            </w:pPr>
            <w:r>
              <w:rPr>
                <w:w w:val="100"/>
                <w:sz w:val="21"/>
              </w:rPr>
              <w:t>出</w:t>
            </w:r>
          </w:p>
        </w:tc>
      </w:tr>
      <w:tr>
        <w:trPr>
          <w:trHeight w:val="1177"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44"/>
              <w:ind w:left="179"/>
              <w:jc w:val="left"/>
              <w:rPr>
                <w:sz w:val="21"/>
              </w:rPr>
            </w:pPr>
            <w:r>
              <w:rPr>
                <w:rFonts w:ascii="Times New Roman" w:eastAsia="Times New Roman"/>
                <w:sz w:val="21"/>
              </w:rPr>
              <w:t>1,2-</w:t>
            </w:r>
            <w:r>
              <w:rPr>
                <w:sz w:val="21"/>
              </w:rPr>
              <w:t>二</w:t>
            </w:r>
          </w:p>
          <w:p>
            <w:pPr>
              <w:pStyle w:val="TableParagraph"/>
              <w:spacing w:line="368" w:lineRule="exact"/>
              <w:ind w:left="133"/>
              <w:jc w:val="left"/>
              <w:rPr>
                <w:sz w:val="21"/>
              </w:rPr>
            </w:pPr>
            <w:r>
              <w:rPr>
                <w:sz w:val="21"/>
              </w:rPr>
              <w:t>氯乙烷</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9"/>
              </w:rPr>
            </w:pPr>
          </w:p>
          <w:p>
            <w:pPr>
              <w:pStyle w:val="TableParagraph"/>
              <w:spacing w:line="435" w:lineRule="exact"/>
              <w:ind w:left="93" w:right="68"/>
              <w:rPr>
                <w:sz w:val="21"/>
              </w:rPr>
            </w:pPr>
            <w:r>
              <w:rPr>
                <w:sz w:val="21"/>
              </w:rPr>
              <w:t>三氯乙烯</w:t>
            </w:r>
          </w:p>
          <w:p>
            <w:pPr>
              <w:pStyle w:val="TableParagraph"/>
              <w:spacing w:line="231" w:lineRule="exact"/>
              <w:ind w:left="94" w:right="68"/>
              <w:rPr>
                <w:rFonts w:ascii="Times New Roman" w:hAnsi="Times New Roman"/>
                <w:sz w:val="21"/>
              </w:rPr>
            </w:pPr>
            <w:r>
              <w:rPr>
                <w:rFonts w:ascii="Times New Roman" w:hAnsi="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19" w:lineRule="exact"/>
              <w:ind w:left="147"/>
              <w:jc w:val="left"/>
              <w:rPr>
                <w:sz w:val="21"/>
              </w:rPr>
            </w:pPr>
            <w:r>
              <w:rPr>
                <w:rFonts w:ascii="Times New Roman" w:eastAsia="Times New Roman"/>
                <w:spacing w:val="-1"/>
                <w:sz w:val="21"/>
              </w:rPr>
              <w:t>1,2-</w:t>
            </w:r>
            <w:r>
              <w:rPr>
                <w:sz w:val="21"/>
              </w:rPr>
              <w:t>二</w:t>
            </w:r>
          </w:p>
          <w:p>
            <w:pPr>
              <w:pStyle w:val="TableParagraph"/>
              <w:spacing w:line="160" w:lineRule="auto" w:before="16"/>
              <w:ind w:left="175" w:right="146" w:hanging="3"/>
              <w:rPr>
                <w:rFonts w:ascii="Times New Roman" w:hAnsi="Times New Roman" w:eastAsia="Times New Roman"/>
                <w:sz w:val="21"/>
              </w:rPr>
            </w:pPr>
            <w:r>
              <w:rPr>
                <w:sz w:val="21"/>
              </w:rPr>
              <w:t>氯丙烷</w:t>
            </w:r>
            <w:r>
              <w:rPr>
                <w:rFonts w:ascii="Times New Roman" w:hAnsi="Times New Roman" w:eastAsia="Times New Roman"/>
                <w:spacing w:val="-1"/>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jc w:val="left"/>
              <w:rPr>
                <w:sz w:val="11"/>
              </w:rPr>
            </w:pPr>
          </w:p>
          <w:p>
            <w:pPr>
              <w:pStyle w:val="TableParagraph"/>
              <w:spacing w:line="414" w:lineRule="exact"/>
              <w:ind w:left="206"/>
              <w:jc w:val="left"/>
              <w:rPr>
                <w:sz w:val="21"/>
              </w:rPr>
            </w:pPr>
            <w:r>
              <w:rPr>
                <w:sz w:val="21"/>
              </w:rPr>
              <w:t>甲苯</w:t>
            </w:r>
          </w:p>
          <w:p>
            <w:pPr>
              <w:pStyle w:val="TableParagraph"/>
              <w:spacing w:line="211" w:lineRule="exact"/>
              <w:ind w:left="175"/>
              <w:jc w:val="left"/>
              <w:rPr>
                <w:rFonts w:ascii="Times New Roman" w:hAnsi="Times New Roman"/>
                <w:sz w:val="21"/>
              </w:rPr>
            </w:pPr>
            <w:r>
              <w:rPr>
                <w:rFonts w:ascii="Times New Roman" w:hAnsi="Times New Roman"/>
                <w:sz w:val="21"/>
              </w:rPr>
              <w:t>μg/kg</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line="194" w:lineRule="exact" w:before="70"/>
              <w:ind w:left="204"/>
              <w:jc w:val="left"/>
              <w:rPr>
                <w:rFonts w:ascii="Times New Roman"/>
                <w:sz w:val="21"/>
              </w:rPr>
            </w:pPr>
            <w:r>
              <w:rPr>
                <w:rFonts w:ascii="Times New Roman"/>
                <w:sz w:val="21"/>
              </w:rPr>
              <w:t>1,1,2-</w:t>
            </w:r>
          </w:p>
          <w:p>
            <w:pPr>
              <w:pStyle w:val="TableParagraph"/>
              <w:spacing w:line="160" w:lineRule="auto" w:before="55"/>
              <w:ind w:left="132" w:right="105"/>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180" w:lineRule="auto" w:before="155"/>
              <w:ind w:left="165" w:right="141" w:firstLine="40"/>
              <w:jc w:val="both"/>
              <w:rPr>
                <w:rFonts w:ascii="Times New Roman" w:hAnsi="Times New Roman" w:eastAsia="Times New Roman"/>
                <w:b/>
                <w:sz w:val="21"/>
              </w:rPr>
            </w:pPr>
            <w:r>
              <w:rPr>
                <w:sz w:val="21"/>
              </w:rPr>
              <w:t>四氯乙烯</w:t>
            </w:r>
            <w:r>
              <w:rPr>
                <w:rFonts w:ascii="Times New Roman" w:hAnsi="Times New Roman" w:eastAsia="Times New Roman"/>
                <w:b/>
                <w:sz w:val="21"/>
              </w:rPr>
              <w:t>μg/kg</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36"/>
              <w:ind w:left="112"/>
              <w:jc w:val="left"/>
              <w:rPr>
                <w:rFonts w:ascii="Times New Roman"/>
                <w:sz w:val="21"/>
              </w:rPr>
            </w:pPr>
            <w:r>
              <w:rPr>
                <w:rFonts w:ascii="Times New Roman"/>
                <w:sz w:val="21"/>
              </w:rPr>
              <w:t>1,1,2,2-</w:t>
            </w:r>
          </w:p>
          <w:p>
            <w:pPr>
              <w:pStyle w:val="TableParagraph"/>
              <w:spacing w:line="168" w:lineRule="auto" w:before="71"/>
              <w:ind w:left="331" w:right="96" w:hanging="212"/>
              <w:jc w:val="left"/>
              <w:rPr>
                <w:sz w:val="21"/>
              </w:rPr>
            </w:pPr>
            <w:r>
              <w:rPr>
                <w:sz w:val="21"/>
              </w:rPr>
              <w:t>四氯乙烷</w:t>
            </w:r>
          </w:p>
          <w:p>
            <w:pPr>
              <w:pStyle w:val="TableParagraph"/>
              <w:spacing w:line="208" w:lineRule="exact"/>
              <w:ind w:left="194"/>
              <w:jc w:val="left"/>
              <w:rPr>
                <w:rFonts w:ascii="Times New Roman" w:hAnsi="Times New Roman"/>
                <w:sz w:val="21"/>
              </w:rPr>
            </w:pPr>
            <w:r>
              <w:rPr>
                <w:rFonts w:ascii="Times New Roman" w:hAnsi="Times New Roman"/>
                <w:sz w:val="21"/>
              </w:rPr>
              <w:t>μg/kg</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jc w:val="left"/>
              <w:rPr>
                <w:sz w:val="11"/>
              </w:rPr>
            </w:pPr>
          </w:p>
          <w:p>
            <w:pPr>
              <w:pStyle w:val="TableParagraph"/>
              <w:spacing w:line="414" w:lineRule="exact"/>
              <w:ind w:left="184"/>
              <w:jc w:val="left"/>
              <w:rPr>
                <w:sz w:val="21"/>
              </w:rPr>
            </w:pPr>
            <w:r>
              <w:rPr>
                <w:sz w:val="21"/>
              </w:rPr>
              <w:t>氯苯</w:t>
            </w:r>
          </w:p>
          <w:p>
            <w:pPr>
              <w:pStyle w:val="TableParagraph"/>
              <w:spacing w:line="211" w:lineRule="exact"/>
              <w:ind w:left="153"/>
              <w:jc w:val="left"/>
              <w:rPr>
                <w:rFonts w:ascii="Times New Roman" w:hAnsi="Times New Roman"/>
                <w:sz w:val="21"/>
              </w:rPr>
            </w:pPr>
            <w:r>
              <w:rPr>
                <w:rFonts w:ascii="Times New Roman" w:hAnsi="Times New Roman"/>
                <w:sz w:val="21"/>
              </w:rPr>
              <w:t>μg/kg</w:t>
            </w:r>
          </w:p>
        </w:tc>
        <w:tc>
          <w:tcPr>
            <w:tcW w:w="835" w:type="dxa"/>
            <w:tcBorders>
              <w:top w:val="single" w:sz="6" w:space="0" w:color="000000"/>
              <w:left w:val="single" w:sz="6" w:space="0" w:color="000000"/>
              <w:bottom w:val="single" w:sz="6" w:space="0" w:color="000000"/>
            </w:tcBorders>
          </w:tcPr>
          <w:p>
            <w:pPr>
              <w:pStyle w:val="TableParagraph"/>
              <w:jc w:val="left"/>
              <w:rPr>
                <w:sz w:val="11"/>
              </w:rPr>
            </w:pPr>
          </w:p>
          <w:p>
            <w:pPr>
              <w:pStyle w:val="TableParagraph"/>
              <w:spacing w:line="414" w:lineRule="exact"/>
              <w:ind w:left="210"/>
              <w:jc w:val="left"/>
              <w:rPr>
                <w:sz w:val="21"/>
              </w:rPr>
            </w:pPr>
            <w:r>
              <w:rPr>
                <w:sz w:val="21"/>
              </w:rPr>
              <w:t>乙苯</w:t>
            </w:r>
          </w:p>
          <w:p>
            <w:pPr>
              <w:pStyle w:val="TableParagraph"/>
              <w:spacing w:line="211" w:lineRule="exact"/>
              <w:ind w:left="179"/>
              <w:jc w:val="left"/>
              <w:rPr>
                <w:rFonts w:ascii="Times New Roman" w:hAnsi="Times New Roman"/>
                <w:sz w:val="21"/>
              </w:rPr>
            </w:pPr>
            <w:r>
              <w:rPr>
                <w:rFonts w:ascii="Times New Roman" w:hAnsi="Times New Roman"/>
                <w:sz w:val="21"/>
              </w:rPr>
              <w:t>μg/kg</w:t>
            </w:r>
          </w:p>
        </w:tc>
      </w:tr>
      <w:tr>
        <w:trPr>
          <w:trHeight w:val="623" w:hRule="atLeast"/>
        </w:trPr>
        <w:tc>
          <w:tcPr>
            <w:tcW w:w="694" w:type="dxa"/>
            <w:vMerge w:val="restart"/>
            <w:tcBorders>
              <w:top w:val="nil"/>
              <w:bottom w:val="nil"/>
              <w:right w:val="single" w:sz="6" w:space="0" w:color="000000"/>
            </w:tcBorders>
          </w:tcPr>
          <w:p>
            <w:pPr>
              <w:pStyle w:val="TableParagraph"/>
              <w:spacing w:line="168" w:lineRule="auto" w:before="178"/>
              <w:ind w:left="136" w:right="110"/>
              <w:jc w:val="both"/>
              <w:rPr>
                <w:sz w:val="21"/>
              </w:rPr>
            </w:pPr>
            <w:r>
              <w:rPr>
                <w:sz w:val="21"/>
              </w:rPr>
              <w:t>项目厂址装置区</w:t>
            </w:r>
          </w:p>
          <w:p>
            <w:pPr>
              <w:pStyle w:val="TableParagraph"/>
              <w:spacing w:before="21"/>
              <w:ind w:left="133"/>
              <w:jc w:val="both"/>
              <w:rPr>
                <w:rFonts w:ascii="Times New Roman"/>
                <w:sz w:val="21"/>
              </w:rPr>
            </w:pPr>
            <w:r>
              <w:rPr>
                <w:rFonts w:ascii="Times New Roman"/>
                <w:sz w:val="21"/>
              </w:rPr>
              <w:t>1.5m</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8"/>
              <w:ind w:left="133"/>
              <w:jc w:val="left"/>
              <w:rPr>
                <w:sz w:val="21"/>
              </w:rPr>
            </w:pPr>
            <w:r>
              <w:rPr>
                <w:sz w:val="21"/>
              </w:rPr>
              <w:t>未检出</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8"/>
              <w:ind w:left="94" w:right="66"/>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8"/>
              <w:ind w:right="105"/>
              <w:jc w:val="right"/>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190"/>
              <w:ind w:left="187" w:right="163"/>
              <w:rPr>
                <w:rFonts w:ascii="Times New Roman"/>
                <w:sz w:val="21"/>
              </w:rPr>
            </w:pPr>
            <w:r>
              <w:rPr>
                <w:rFonts w:ascii="Times New Roman"/>
                <w:sz w:val="21"/>
              </w:rPr>
              <w:t>1.8</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before="78"/>
              <w:ind w:left="101" w:right="80"/>
              <w:rPr>
                <w:sz w:val="21"/>
              </w:rPr>
            </w:pPr>
            <w:r>
              <w:rPr>
                <w:sz w:val="21"/>
              </w:rPr>
              <w:t>未检出</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bottom w:val="single" w:sz="6" w:space="0" w:color="000000"/>
            </w:tcBorders>
          </w:tcPr>
          <w:p>
            <w:pPr>
              <w:pStyle w:val="TableParagraph"/>
              <w:spacing w:line="301" w:lineRule="exact"/>
              <w:ind w:left="132" w:right="101"/>
              <w:rPr>
                <w:sz w:val="21"/>
              </w:rPr>
            </w:pPr>
            <w:r>
              <w:rPr>
                <w:sz w:val="21"/>
              </w:rPr>
              <w:t>未检</w:t>
            </w:r>
          </w:p>
          <w:p>
            <w:pPr>
              <w:pStyle w:val="TableParagraph"/>
              <w:spacing w:line="303" w:lineRule="exact"/>
              <w:ind w:left="31"/>
              <w:rPr>
                <w:sz w:val="21"/>
              </w:rPr>
            </w:pPr>
            <w:r>
              <w:rPr>
                <w:w w:val="100"/>
                <w:sz w:val="21"/>
              </w:rPr>
              <w:t>出</w:t>
            </w:r>
          </w:p>
        </w:tc>
      </w:tr>
      <w:tr>
        <w:trPr>
          <w:trHeight w:val="1249" w:hRule="atLeast"/>
        </w:trPr>
        <w:tc>
          <w:tcPr>
            <w:tcW w:w="694" w:type="dxa"/>
            <w:vMerge/>
            <w:tcBorders>
              <w:top w:val="nil"/>
              <w:bottom w:val="nil"/>
              <w:right w:val="single" w:sz="6" w:space="0" w:color="000000"/>
            </w:tcBorders>
          </w:tcPr>
          <w:p>
            <w:pPr>
              <w:rPr>
                <w:sz w:val="2"/>
                <w:szCs w:val="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36"/>
              <w:ind w:left="126"/>
              <w:jc w:val="left"/>
              <w:rPr>
                <w:rFonts w:ascii="Times New Roman"/>
                <w:sz w:val="21"/>
              </w:rPr>
            </w:pPr>
            <w:r>
              <w:rPr>
                <w:rFonts w:ascii="Times New Roman"/>
                <w:sz w:val="21"/>
              </w:rPr>
              <w:t>1,1,1,2-</w:t>
            </w:r>
          </w:p>
          <w:p>
            <w:pPr>
              <w:pStyle w:val="TableParagraph"/>
              <w:spacing w:line="168" w:lineRule="auto" w:before="72"/>
              <w:ind w:left="344" w:right="101" w:hanging="212"/>
              <w:jc w:val="left"/>
              <w:rPr>
                <w:sz w:val="21"/>
              </w:rPr>
            </w:pPr>
            <w:r>
              <w:rPr>
                <w:sz w:val="21"/>
              </w:rPr>
              <w:t>四氯乙烷</w:t>
            </w:r>
          </w:p>
          <w:p>
            <w:pPr>
              <w:pStyle w:val="TableParagraph"/>
              <w:spacing w:before="20"/>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78" w:right="150" w:firstLine="24"/>
              <w:jc w:val="both"/>
              <w:rPr>
                <w:sz w:val="21"/>
              </w:rPr>
            </w:pPr>
            <w:r>
              <w:rPr>
                <w:sz w:val="21"/>
              </w:rPr>
              <w:t>间</w:t>
            </w:r>
            <w:r>
              <w:rPr>
                <w:rFonts w:ascii="Times New Roman" w:eastAsia="Times New Roman"/>
                <w:sz w:val="21"/>
              </w:rPr>
              <w:t>-</w:t>
            </w:r>
            <w:r>
              <w:rPr>
                <w:sz w:val="21"/>
              </w:rPr>
              <w:t>二甲苯</w:t>
            </w:r>
            <w:r>
              <w:rPr>
                <w:rFonts w:ascii="Times New Roman" w:eastAsia="Times New Roman"/>
                <w:sz w:val="21"/>
              </w:rPr>
              <w:t>+</w:t>
            </w:r>
            <w:r>
              <w:rPr>
                <w:sz w:val="21"/>
              </w:rPr>
              <w:t>对二甲苯</w:t>
            </w:r>
          </w:p>
          <w:p>
            <w:pPr>
              <w:pStyle w:val="TableParagraph"/>
              <w:spacing w:before="20"/>
              <w:ind w:left="311"/>
              <w:jc w:val="left"/>
              <w:rPr>
                <w:rFonts w:ascii="Times New Roman" w:hAnsi="Times New Roman"/>
                <w:sz w:val="21"/>
              </w:rPr>
            </w:pPr>
            <w:r>
              <w:rPr>
                <w:rFonts w:ascii="Times New Roman" w:hAnsi="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180" w:lineRule="auto" w:before="191"/>
              <w:ind w:left="175" w:right="145" w:hanging="3"/>
              <w:jc w:val="both"/>
              <w:rPr>
                <w:rFonts w:ascii="Times New Roman" w:hAnsi="Times New Roman" w:eastAsia="Times New Roman"/>
                <w:sz w:val="21"/>
              </w:rPr>
            </w:pPr>
            <w:r>
              <w:rPr>
                <w:sz w:val="21"/>
              </w:rPr>
              <w:t>邻</w:t>
            </w:r>
            <w:r>
              <w:rPr>
                <w:rFonts w:ascii="Times New Roman" w:hAnsi="Times New Roman" w:eastAsia="Times New Roman"/>
                <w:sz w:val="21"/>
              </w:rPr>
              <w:t>-</w:t>
            </w:r>
            <w:r>
              <w:rPr>
                <w:sz w:val="21"/>
              </w:rPr>
              <w:t>二甲苯</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2"/>
              <w:jc w:val="left"/>
              <w:rPr>
                <w:sz w:val="11"/>
              </w:rPr>
            </w:pPr>
          </w:p>
          <w:p>
            <w:pPr>
              <w:pStyle w:val="TableParagraph"/>
              <w:spacing w:line="160" w:lineRule="auto"/>
              <w:ind w:left="175" w:right="146" w:hanging="3"/>
              <w:rPr>
                <w:rFonts w:ascii="Times New Roman" w:hAnsi="Times New Roman" w:eastAsia="Times New Roman"/>
                <w:sz w:val="21"/>
              </w:rPr>
            </w:pPr>
            <w:r>
              <w:rPr>
                <w:sz w:val="21"/>
              </w:rPr>
              <w:t>苯乙烯</w:t>
            </w:r>
            <w:r>
              <w:rPr>
                <w:rFonts w:ascii="Times New Roman" w:hAnsi="Times New Roman" w:eastAsia="Times New Roman"/>
                <w:sz w:val="21"/>
              </w:rPr>
              <w:t>μg/kg</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70"/>
              <w:ind w:left="204"/>
              <w:jc w:val="left"/>
              <w:rPr>
                <w:rFonts w:ascii="Times New Roman"/>
                <w:sz w:val="21"/>
              </w:rPr>
            </w:pPr>
            <w:r>
              <w:rPr>
                <w:rFonts w:ascii="Times New Roman"/>
                <w:sz w:val="21"/>
              </w:rPr>
              <w:t>1,2,3-</w:t>
            </w:r>
          </w:p>
          <w:p>
            <w:pPr>
              <w:pStyle w:val="TableParagraph"/>
              <w:spacing w:line="180" w:lineRule="auto" w:before="57"/>
              <w:ind w:left="132" w:right="105"/>
              <w:rPr>
                <w:rFonts w:ascii="Times New Roman" w:hAnsi="Times New Roman" w:eastAsia="Times New Roman"/>
                <w:sz w:val="21"/>
              </w:rPr>
            </w:pPr>
            <w:r>
              <w:rPr>
                <w:sz w:val="21"/>
              </w:rPr>
              <w:t>三氯丙烷 </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113"/>
              <w:ind w:left="146"/>
              <w:jc w:val="left"/>
              <w:rPr>
                <w:sz w:val="21"/>
              </w:rPr>
            </w:pPr>
            <w:r>
              <w:rPr>
                <w:rFonts w:ascii="Times New Roman" w:eastAsia="Times New Roman"/>
                <w:sz w:val="21"/>
              </w:rPr>
              <w:t>1,4-</w:t>
            </w:r>
            <w:r>
              <w:rPr>
                <w:sz w:val="21"/>
              </w:rPr>
              <w:t>二</w:t>
            </w:r>
          </w:p>
          <w:p>
            <w:pPr>
              <w:pStyle w:val="TableParagraph"/>
              <w:spacing w:line="348" w:lineRule="exact"/>
              <w:ind w:left="206"/>
              <w:jc w:val="left"/>
              <w:rPr>
                <w:sz w:val="21"/>
              </w:rPr>
            </w:pPr>
            <w:r>
              <w:rPr>
                <w:sz w:val="21"/>
              </w:rPr>
              <w:t>氯苯</w:t>
            </w:r>
          </w:p>
          <w:p>
            <w:pPr>
              <w:pStyle w:val="TableParagraph"/>
              <w:spacing w:line="211" w:lineRule="exact"/>
              <w:ind w:left="175"/>
              <w:jc w:val="left"/>
              <w:rPr>
                <w:rFonts w:ascii="Times New Roman" w:hAnsi="Times New Roman"/>
                <w:sz w:val="21"/>
              </w:rPr>
            </w:pPr>
            <w:r>
              <w:rPr>
                <w:rFonts w:ascii="Times New Roman" w:hAnsi="Times New Roman"/>
                <w:sz w:val="21"/>
              </w:rPr>
              <w:t>μg/kg</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113"/>
              <w:ind w:left="165"/>
              <w:jc w:val="left"/>
              <w:rPr>
                <w:sz w:val="21"/>
              </w:rPr>
            </w:pPr>
            <w:r>
              <w:rPr>
                <w:rFonts w:ascii="Times New Roman" w:eastAsia="Times New Roman"/>
                <w:sz w:val="21"/>
              </w:rPr>
              <w:t>1,2-</w:t>
            </w:r>
            <w:r>
              <w:rPr>
                <w:sz w:val="21"/>
              </w:rPr>
              <w:t>二</w:t>
            </w:r>
          </w:p>
          <w:p>
            <w:pPr>
              <w:pStyle w:val="TableParagraph"/>
              <w:spacing w:line="348" w:lineRule="exact"/>
              <w:ind w:left="225"/>
              <w:jc w:val="left"/>
              <w:rPr>
                <w:sz w:val="21"/>
              </w:rPr>
            </w:pPr>
            <w:r>
              <w:rPr>
                <w:sz w:val="21"/>
              </w:rPr>
              <w:t>氯苯</w:t>
            </w:r>
          </w:p>
          <w:p>
            <w:pPr>
              <w:pStyle w:val="TableParagraph"/>
              <w:spacing w:line="211" w:lineRule="exact"/>
              <w:ind w:left="194"/>
              <w:jc w:val="left"/>
              <w:rPr>
                <w:rFonts w:ascii="Times New Roman" w:hAnsi="Times New Roman"/>
                <w:sz w:val="21"/>
              </w:rPr>
            </w:pPr>
            <w:r>
              <w:rPr>
                <w:rFonts w:ascii="Times New Roman" w:hAnsi="Times New Roman"/>
                <w:sz w:val="21"/>
              </w:rPr>
              <w:t>μg/kg</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15"/>
              <w:jc w:val="left"/>
              <w:rPr>
                <w:sz w:val="12"/>
              </w:rPr>
            </w:pPr>
          </w:p>
          <w:p>
            <w:pPr>
              <w:pStyle w:val="TableParagraph"/>
              <w:spacing w:line="405" w:lineRule="exact"/>
              <w:ind w:left="21"/>
              <w:rPr>
                <w:sz w:val="21"/>
              </w:rPr>
            </w:pPr>
            <w:r>
              <w:rPr>
                <w:w w:val="100"/>
                <w:sz w:val="21"/>
              </w:rPr>
              <w:t>萘</w:t>
            </w:r>
          </w:p>
          <w:p>
            <w:pPr>
              <w:pStyle w:val="TableParagraph"/>
              <w:spacing w:line="201" w:lineRule="exact"/>
              <w:ind w:left="133" w:right="110"/>
              <w:rPr>
                <w:rFonts w:ascii="Times New Roman" w:hAnsi="Times New Roman"/>
                <w:sz w:val="21"/>
              </w:rPr>
            </w:pPr>
            <w:r>
              <w:rPr>
                <w:rFonts w:ascii="Times New Roman" w:hAnsi="Times New Roman"/>
                <w:sz w:val="21"/>
              </w:rPr>
              <w:t>μg/kg</w:t>
            </w:r>
          </w:p>
        </w:tc>
        <w:tc>
          <w:tcPr>
            <w:tcW w:w="835" w:type="dxa"/>
            <w:tcBorders>
              <w:top w:val="single" w:sz="6" w:space="0" w:color="000000"/>
              <w:left w:val="single" w:sz="6" w:space="0" w:color="000000"/>
              <w:bottom w:val="single" w:sz="6" w:space="0" w:color="000000"/>
            </w:tcBorders>
          </w:tcPr>
          <w:p>
            <w:pPr>
              <w:pStyle w:val="TableParagraph"/>
              <w:spacing w:line="180" w:lineRule="auto" w:before="191"/>
              <w:ind w:left="179" w:right="143" w:hanging="3"/>
              <w:rPr>
                <w:rFonts w:ascii="Times New Roman" w:hAnsi="Times New Roman" w:eastAsia="Times New Roman"/>
                <w:sz w:val="21"/>
              </w:rPr>
            </w:pPr>
            <w:r>
              <w:rPr>
                <w:sz w:val="21"/>
              </w:rPr>
              <w:t>氯甲烷</w:t>
            </w:r>
            <w:r>
              <w:rPr>
                <w:rFonts w:ascii="Times New Roman" w:hAnsi="Times New Roman" w:eastAsia="Times New Roman"/>
                <w:sz w:val="21"/>
              </w:rPr>
              <w:t>μg/kg</w:t>
            </w:r>
          </w:p>
        </w:tc>
      </w:tr>
      <w:tr>
        <w:trPr>
          <w:trHeight w:val="623"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7"/>
              <w:ind w:left="133"/>
              <w:jc w:val="left"/>
              <w:rPr>
                <w:sz w:val="21"/>
              </w:rPr>
            </w:pPr>
            <w:r>
              <w:rPr>
                <w:sz w:val="21"/>
              </w:rPr>
              <w:t>未检出</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7"/>
              <w:ind w:left="94" w:right="66"/>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7"/>
              <w:ind w:right="105"/>
              <w:jc w:val="right"/>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80"/>
              <w:rPr>
                <w:sz w:val="21"/>
              </w:rPr>
            </w:pPr>
            <w:r>
              <w:rPr>
                <w:sz w:val="21"/>
              </w:rPr>
              <w:t>未检出</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bottom w:val="single" w:sz="6" w:space="0" w:color="000000"/>
            </w:tcBorders>
          </w:tcPr>
          <w:p>
            <w:pPr>
              <w:pStyle w:val="TableParagraph"/>
              <w:spacing w:line="300" w:lineRule="exact"/>
              <w:ind w:left="132" w:right="101"/>
              <w:rPr>
                <w:sz w:val="21"/>
              </w:rPr>
            </w:pPr>
            <w:r>
              <w:rPr>
                <w:sz w:val="21"/>
              </w:rPr>
              <w:t>未检</w:t>
            </w:r>
          </w:p>
          <w:p>
            <w:pPr>
              <w:pStyle w:val="TableParagraph"/>
              <w:spacing w:line="303" w:lineRule="exact"/>
              <w:ind w:left="31"/>
              <w:rPr>
                <w:sz w:val="21"/>
              </w:rPr>
            </w:pPr>
            <w:r>
              <w:rPr>
                <w:w w:val="100"/>
                <w:sz w:val="21"/>
              </w:rPr>
              <w:t>出</w:t>
            </w:r>
          </w:p>
        </w:tc>
      </w:tr>
      <w:tr>
        <w:trPr>
          <w:trHeight w:val="1175" w:hRule="atLeast"/>
        </w:trPr>
        <w:tc>
          <w:tcPr>
            <w:tcW w:w="694" w:type="dxa"/>
            <w:tcBorders>
              <w:top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right w:val="single" w:sz="6" w:space="0" w:color="000000"/>
            </w:tcBorders>
          </w:tcPr>
          <w:p>
            <w:pPr>
              <w:pStyle w:val="TableParagraph"/>
              <w:spacing w:before="6"/>
              <w:jc w:val="left"/>
              <w:rPr>
                <w:sz w:val="9"/>
              </w:rPr>
            </w:pPr>
          </w:p>
          <w:p>
            <w:pPr>
              <w:pStyle w:val="TableParagraph"/>
              <w:spacing w:line="435" w:lineRule="exact" w:before="1"/>
              <w:ind w:left="133"/>
              <w:jc w:val="left"/>
              <w:rPr>
                <w:sz w:val="21"/>
              </w:rPr>
            </w:pPr>
            <w:r>
              <w:rPr>
                <w:sz w:val="21"/>
              </w:rPr>
              <w:t>氯乙烯</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right w:val="single" w:sz="6" w:space="0" w:color="000000"/>
            </w:tcBorders>
          </w:tcPr>
          <w:p>
            <w:pPr>
              <w:pStyle w:val="TableParagraph"/>
              <w:spacing w:before="4"/>
              <w:jc w:val="left"/>
              <w:rPr>
                <w:sz w:val="10"/>
              </w:rPr>
            </w:pPr>
          </w:p>
          <w:p>
            <w:pPr>
              <w:pStyle w:val="TableParagraph"/>
              <w:spacing w:line="225" w:lineRule="auto"/>
              <w:ind w:left="285" w:right="229" w:hanging="30"/>
              <w:jc w:val="left"/>
              <w:rPr>
                <w:rFonts w:ascii="Times New Roman" w:eastAsia="Times New Roman"/>
                <w:sz w:val="21"/>
              </w:rPr>
            </w:pPr>
            <w:r>
              <w:rPr>
                <w:rFonts w:ascii="Times New Roman" w:eastAsia="Times New Roman"/>
                <w:sz w:val="21"/>
              </w:rPr>
              <w:t>2-</w:t>
            </w:r>
            <w:r>
              <w:rPr>
                <w:sz w:val="21"/>
              </w:rPr>
              <w:t>氯酚</w:t>
            </w:r>
            <w:r>
              <w:rPr>
                <w:rFonts w:ascii="Times New Roman" w:eastAsia="Times New Roman"/>
                <w:sz w:val="21"/>
              </w:rPr>
              <w:t>mg/kg</w:t>
            </w:r>
          </w:p>
        </w:tc>
        <w:tc>
          <w:tcPr>
            <w:tcW w:w="826" w:type="dxa"/>
            <w:tcBorders>
              <w:top w:val="single" w:sz="6" w:space="0" w:color="000000"/>
              <w:left w:val="single" w:sz="6" w:space="0" w:color="000000"/>
              <w:right w:val="single" w:sz="6" w:space="0" w:color="000000"/>
            </w:tcBorders>
          </w:tcPr>
          <w:p>
            <w:pPr>
              <w:pStyle w:val="TableParagraph"/>
              <w:spacing w:line="180" w:lineRule="auto" w:before="155"/>
              <w:ind w:left="149" w:right="124" w:firstLine="2"/>
              <w:rPr>
                <w:rFonts w:ascii="Times New Roman" w:eastAsia="Times New Roman"/>
                <w:sz w:val="21"/>
              </w:rPr>
            </w:pPr>
            <w:r>
              <w:rPr>
                <w:sz w:val="21"/>
              </w:rPr>
              <w:t>硝基苯</w:t>
            </w:r>
            <w:r>
              <w:rPr>
                <w:rFonts w:ascii="Times New Roman" w:eastAsia="Times New Roman"/>
                <w:sz w:val="21"/>
              </w:rPr>
              <w:t>mg/kg</w:t>
            </w:r>
          </w:p>
        </w:tc>
        <w:tc>
          <w:tcPr>
            <w:tcW w:w="826" w:type="dxa"/>
            <w:tcBorders>
              <w:top w:val="single" w:sz="6" w:space="0" w:color="000000"/>
              <w:left w:val="single" w:sz="6" w:space="0" w:color="000000"/>
              <w:right w:val="single" w:sz="6" w:space="0" w:color="000000"/>
            </w:tcBorders>
          </w:tcPr>
          <w:p>
            <w:pPr>
              <w:pStyle w:val="TableParagraph"/>
              <w:jc w:val="left"/>
              <w:rPr>
                <w:sz w:val="11"/>
              </w:rPr>
            </w:pPr>
          </w:p>
          <w:p>
            <w:pPr>
              <w:pStyle w:val="TableParagraph"/>
              <w:spacing w:line="414" w:lineRule="exact"/>
              <w:ind w:left="206"/>
              <w:jc w:val="left"/>
              <w:rPr>
                <w:sz w:val="21"/>
              </w:rPr>
            </w:pPr>
            <w:r>
              <w:rPr>
                <w:sz w:val="21"/>
              </w:rPr>
              <w:t>苯胺</w:t>
            </w:r>
          </w:p>
          <w:p>
            <w:pPr>
              <w:pStyle w:val="TableParagraph"/>
              <w:spacing w:line="211" w:lineRule="exact"/>
              <w:ind w:left="149"/>
              <w:jc w:val="left"/>
              <w:rPr>
                <w:rFonts w:ascii="Times New Roman"/>
                <w:sz w:val="21"/>
              </w:rPr>
            </w:pPr>
            <w:r>
              <w:rPr>
                <w:rFonts w:ascii="Times New Roman"/>
                <w:sz w:val="21"/>
              </w:rPr>
              <w:t>mg/kg</w:t>
            </w:r>
          </w:p>
        </w:tc>
        <w:tc>
          <w:tcPr>
            <w:tcW w:w="888" w:type="dxa"/>
            <w:tcBorders>
              <w:top w:val="single" w:sz="6" w:space="0" w:color="000000"/>
              <w:left w:val="single" w:sz="6" w:space="0" w:color="000000"/>
              <w:right w:val="single" w:sz="6" w:space="0" w:color="000000"/>
            </w:tcBorders>
          </w:tcPr>
          <w:p>
            <w:pPr>
              <w:pStyle w:val="TableParagraph"/>
              <w:spacing w:line="300" w:lineRule="exact"/>
              <w:ind w:left="132"/>
              <w:jc w:val="left"/>
              <w:rPr>
                <w:sz w:val="21"/>
              </w:rPr>
            </w:pPr>
            <w:r>
              <w:rPr>
                <w:sz w:val="21"/>
              </w:rPr>
              <w:t>二苯并</w:t>
            </w:r>
          </w:p>
          <w:p>
            <w:pPr>
              <w:pStyle w:val="TableParagraph"/>
              <w:spacing w:line="168" w:lineRule="auto" w:before="26"/>
              <w:ind w:left="343" w:right="85" w:hanging="231"/>
              <w:jc w:val="left"/>
              <w:rPr>
                <w:sz w:val="21"/>
              </w:rPr>
            </w:pPr>
            <w:r>
              <w:rPr>
                <w:sz w:val="21"/>
              </w:rPr>
              <w:t>（</w:t>
            </w:r>
            <w:r>
              <w:rPr>
                <w:rFonts w:ascii="Times New Roman" w:eastAsia="Times New Roman"/>
                <w:sz w:val="21"/>
              </w:rPr>
              <w:t>a,h</w:t>
            </w:r>
            <w:r>
              <w:rPr>
                <w:sz w:val="21"/>
              </w:rPr>
              <w:t>） 蒽</w:t>
            </w:r>
          </w:p>
          <w:p>
            <w:pPr>
              <w:pStyle w:val="TableParagraph"/>
              <w:spacing w:line="205" w:lineRule="exact"/>
              <w:ind w:left="180"/>
              <w:jc w:val="left"/>
              <w:rPr>
                <w:rFonts w:ascii="Times New Roman"/>
                <w:sz w:val="21"/>
              </w:rPr>
            </w:pPr>
            <w:r>
              <w:rPr>
                <w:rFonts w:ascii="Times New Roman"/>
                <w:sz w:val="21"/>
              </w:rPr>
              <w:t>mg/kg</w:t>
            </w:r>
          </w:p>
        </w:tc>
        <w:tc>
          <w:tcPr>
            <w:tcW w:w="826" w:type="dxa"/>
            <w:tcBorders>
              <w:top w:val="single" w:sz="6" w:space="0" w:color="000000"/>
              <w:left w:val="single" w:sz="6" w:space="0" w:color="000000"/>
              <w:right w:val="single" w:sz="6" w:space="0" w:color="000000"/>
            </w:tcBorders>
          </w:tcPr>
          <w:p>
            <w:pPr>
              <w:pStyle w:val="TableParagraph"/>
              <w:spacing w:line="379" w:lineRule="exact" w:before="77"/>
              <w:ind w:left="206"/>
              <w:jc w:val="left"/>
              <w:rPr>
                <w:sz w:val="21"/>
              </w:rPr>
            </w:pPr>
            <w:r>
              <w:rPr>
                <w:sz w:val="21"/>
              </w:rPr>
              <w:t>苯并</w:t>
            </w:r>
          </w:p>
          <w:p>
            <w:pPr>
              <w:pStyle w:val="TableParagraph"/>
              <w:spacing w:line="194" w:lineRule="auto"/>
              <w:ind w:left="149" w:right="124" w:firstLine="45"/>
              <w:jc w:val="left"/>
              <w:rPr>
                <w:rFonts w:ascii="Times New Roman" w:eastAsia="Times New Roman"/>
                <w:sz w:val="21"/>
              </w:rPr>
            </w:pPr>
            <w:r>
              <w:rPr>
                <w:rFonts w:ascii="Times New Roman" w:eastAsia="Times New Roman"/>
                <w:sz w:val="21"/>
              </w:rPr>
              <w:t>(a)</w:t>
            </w:r>
            <w:r>
              <w:rPr>
                <w:sz w:val="21"/>
              </w:rPr>
              <w:t>芘</w:t>
            </w:r>
            <w:r>
              <w:rPr>
                <w:rFonts w:ascii="Times New Roman" w:eastAsia="Times New Roman"/>
                <w:spacing w:val="-1"/>
                <w:sz w:val="21"/>
              </w:rPr>
              <w:t>mg/kg</w:t>
            </w:r>
          </w:p>
        </w:tc>
        <w:tc>
          <w:tcPr>
            <w:tcW w:w="867" w:type="dxa"/>
            <w:tcBorders>
              <w:top w:val="single" w:sz="6" w:space="0" w:color="000000"/>
              <w:left w:val="single" w:sz="6" w:space="0" w:color="000000"/>
              <w:right w:val="single" w:sz="6" w:space="0" w:color="000000"/>
            </w:tcBorders>
          </w:tcPr>
          <w:p>
            <w:pPr>
              <w:pStyle w:val="TableParagraph"/>
              <w:spacing w:line="300" w:lineRule="exact"/>
              <w:ind w:left="225"/>
              <w:jc w:val="left"/>
              <w:rPr>
                <w:sz w:val="21"/>
              </w:rPr>
            </w:pPr>
            <w:r>
              <w:rPr>
                <w:sz w:val="21"/>
              </w:rPr>
              <w:t>苯并</w:t>
            </w:r>
          </w:p>
          <w:p>
            <w:pPr>
              <w:pStyle w:val="TableParagraph"/>
              <w:spacing w:line="168" w:lineRule="auto" w:before="26"/>
              <w:ind w:left="112" w:right="175"/>
              <w:rPr>
                <w:sz w:val="21"/>
              </w:rPr>
            </w:pPr>
            <w:r>
              <w:rPr>
                <w:w w:val="100"/>
                <w:sz w:val="21"/>
              </w:rPr>
              <w:t>（</w:t>
            </w:r>
            <w:r>
              <w:rPr>
                <w:rFonts w:ascii="Times New Roman" w:eastAsia="Times New Roman"/>
                <w:w w:val="100"/>
                <w:sz w:val="21"/>
              </w:rPr>
              <w:t>b</w:t>
            </w:r>
            <w:r>
              <w:rPr>
                <w:spacing w:val="-89"/>
                <w:w w:val="100"/>
                <w:sz w:val="21"/>
              </w:rPr>
              <w:t>）荧</w:t>
            </w:r>
            <w:r>
              <w:rPr>
                <w:sz w:val="21"/>
              </w:rPr>
              <w:t>蒽</w:t>
            </w:r>
          </w:p>
          <w:p>
            <w:pPr>
              <w:pStyle w:val="TableParagraph"/>
              <w:spacing w:line="205" w:lineRule="exact"/>
              <w:ind w:left="167"/>
              <w:jc w:val="left"/>
              <w:rPr>
                <w:rFonts w:ascii="Times New Roman"/>
                <w:sz w:val="21"/>
              </w:rPr>
            </w:pPr>
            <w:r>
              <w:rPr>
                <w:rFonts w:ascii="Times New Roman"/>
                <w:sz w:val="21"/>
              </w:rPr>
              <w:t>mg/kg</w:t>
            </w:r>
          </w:p>
        </w:tc>
        <w:tc>
          <w:tcPr>
            <w:tcW w:w="785" w:type="dxa"/>
            <w:tcBorders>
              <w:top w:val="single" w:sz="6" w:space="0" w:color="000000"/>
              <w:left w:val="single" w:sz="6" w:space="0" w:color="000000"/>
              <w:right w:val="single" w:sz="6" w:space="0" w:color="000000"/>
            </w:tcBorders>
          </w:tcPr>
          <w:p>
            <w:pPr>
              <w:pStyle w:val="TableParagraph"/>
              <w:spacing w:line="300" w:lineRule="exact"/>
              <w:ind w:left="184"/>
              <w:jc w:val="left"/>
              <w:rPr>
                <w:sz w:val="21"/>
              </w:rPr>
            </w:pPr>
            <w:r>
              <w:rPr>
                <w:sz w:val="21"/>
              </w:rPr>
              <w:t>苯并</w:t>
            </w:r>
          </w:p>
          <w:p>
            <w:pPr>
              <w:pStyle w:val="TableParagraph"/>
              <w:spacing w:line="168" w:lineRule="auto" w:before="26"/>
              <w:ind w:left="184" w:right="108" w:hanging="53"/>
              <w:jc w:val="left"/>
              <w:rPr>
                <w:sz w:val="21"/>
              </w:rPr>
            </w:pPr>
            <w:r>
              <w:rPr>
                <w:sz w:val="21"/>
              </w:rPr>
              <w:t>（</w:t>
            </w:r>
            <w:r>
              <w:rPr>
                <w:rFonts w:ascii="Times New Roman" w:eastAsia="Times New Roman"/>
                <w:sz w:val="21"/>
              </w:rPr>
              <w:t>k</w:t>
            </w:r>
            <w:r>
              <w:rPr>
                <w:sz w:val="21"/>
              </w:rPr>
              <w:t>） 荧蒽</w:t>
            </w:r>
          </w:p>
          <w:p>
            <w:pPr>
              <w:pStyle w:val="TableParagraph"/>
              <w:spacing w:line="205" w:lineRule="exact"/>
              <w:ind w:left="127"/>
              <w:jc w:val="left"/>
              <w:rPr>
                <w:rFonts w:ascii="Times New Roman"/>
                <w:sz w:val="21"/>
              </w:rPr>
            </w:pPr>
            <w:r>
              <w:rPr>
                <w:rFonts w:ascii="Times New Roman"/>
                <w:sz w:val="21"/>
              </w:rPr>
              <w:t>mg/kg</w:t>
            </w:r>
          </w:p>
        </w:tc>
        <w:tc>
          <w:tcPr>
            <w:tcW w:w="835" w:type="dxa"/>
            <w:tcBorders>
              <w:top w:val="single" w:sz="6" w:space="0" w:color="000000"/>
              <w:left w:val="single" w:sz="6" w:space="0" w:color="000000"/>
            </w:tcBorders>
          </w:tcPr>
          <w:p>
            <w:pPr>
              <w:pStyle w:val="TableParagraph"/>
              <w:jc w:val="left"/>
              <w:rPr>
                <w:sz w:val="11"/>
              </w:rPr>
            </w:pPr>
          </w:p>
          <w:p>
            <w:pPr>
              <w:pStyle w:val="TableParagraph"/>
              <w:spacing w:line="414" w:lineRule="exact"/>
              <w:ind w:left="31"/>
              <w:rPr>
                <w:sz w:val="21"/>
              </w:rPr>
            </w:pPr>
            <w:r>
              <w:rPr>
                <w:w w:val="100"/>
                <w:sz w:val="21"/>
              </w:rPr>
              <w:t>䓛</w:t>
            </w:r>
          </w:p>
          <w:p>
            <w:pPr>
              <w:pStyle w:val="TableParagraph"/>
              <w:spacing w:line="211" w:lineRule="exact"/>
              <w:ind w:left="132" w:right="103"/>
              <w:rPr>
                <w:rFonts w:ascii="Times New Roman"/>
                <w:sz w:val="21"/>
              </w:rPr>
            </w:pPr>
            <w:r>
              <w:rPr>
                <w:rFonts w:ascii="Times New Roman"/>
                <w:sz w:val="21"/>
              </w:rPr>
              <w:t>mg/kg</w:t>
            </w:r>
          </w:p>
        </w:tc>
      </w:tr>
    </w:tbl>
    <w:p>
      <w:pPr>
        <w:spacing w:after="0" w:line="211" w:lineRule="exact"/>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4"/>
        <w:gridCol w:w="886"/>
        <w:gridCol w:w="1098"/>
        <w:gridCol w:w="826"/>
        <w:gridCol w:w="826"/>
        <w:gridCol w:w="888"/>
        <w:gridCol w:w="826"/>
        <w:gridCol w:w="867"/>
        <w:gridCol w:w="785"/>
        <w:gridCol w:w="835"/>
      </w:tblGrid>
      <w:tr>
        <w:trPr>
          <w:trHeight w:val="311" w:hRule="atLeast"/>
        </w:trPr>
        <w:tc>
          <w:tcPr>
            <w:tcW w:w="694" w:type="dxa"/>
            <w:tcBorders>
              <w:bottom w:val="nil"/>
              <w:right w:val="single" w:sz="6" w:space="0" w:color="000000"/>
            </w:tcBorders>
          </w:tcPr>
          <w:p>
            <w:pPr>
              <w:pStyle w:val="TableParagraph"/>
              <w:jc w:val="left"/>
              <w:rPr>
                <w:rFonts w:ascii="Times New Roman"/>
                <w:sz w:val="20"/>
              </w:rPr>
            </w:pPr>
          </w:p>
        </w:tc>
        <w:tc>
          <w:tcPr>
            <w:tcW w:w="7837" w:type="dxa"/>
            <w:gridSpan w:val="9"/>
            <w:tcBorders>
              <w:left w:val="single" w:sz="6" w:space="0" w:color="000000"/>
              <w:bottom w:val="single" w:sz="6" w:space="0" w:color="000000"/>
            </w:tcBorders>
          </w:tcPr>
          <w:p>
            <w:pPr>
              <w:pStyle w:val="TableParagraph"/>
              <w:spacing w:line="292" w:lineRule="exact"/>
              <w:ind w:left="3484" w:right="3449"/>
              <w:rPr>
                <w:sz w:val="21"/>
              </w:rPr>
            </w:pPr>
            <w:r>
              <w:rPr>
                <w:sz w:val="21"/>
              </w:rPr>
              <w:t>检测项目</w:t>
            </w:r>
          </w:p>
        </w:tc>
      </w:tr>
      <w:tr>
        <w:trPr>
          <w:trHeight w:val="1487" w:hRule="atLeast"/>
        </w:trPr>
        <w:tc>
          <w:tcPr>
            <w:tcW w:w="694" w:type="dxa"/>
            <w:tcBorders>
              <w:top w:val="nil"/>
              <w:bottom w:val="nil"/>
              <w:right w:val="single" w:sz="6" w:space="0" w:color="000000"/>
            </w:tcBorders>
          </w:tcPr>
          <w:p>
            <w:pPr>
              <w:pStyle w:val="TableParagraph"/>
              <w:spacing w:before="8"/>
              <w:jc w:val="left"/>
              <w:rPr>
                <w:sz w:val="13"/>
              </w:rPr>
            </w:pPr>
          </w:p>
          <w:p>
            <w:pPr>
              <w:pStyle w:val="TableParagraph"/>
              <w:spacing w:line="168" w:lineRule="auto"/>
              <w:ind w:left="136" w:right="110"/>
              <w:jc w:val="left"/>
              <w:rPr>
                <w:sz w:val="21"/>
              </w:rPr>
            </w:pPr>
            <w:r>
              <w:rPr>
                <w:sz w:val="21"/>
              </w:rPr>
              <w:t>检测点位</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197"/>
              <w:ind w:left="179"/>
              <w:jc w:val="left"/>
              <w:rPr>
                <w:sz w:val="21"/>
              </w:rPr>
            </w:pPr>
            <w:r>
              <w:rPr>
                <w:rFonts w:ascii="Times New Roman" w:eastAsia="Times New Roman"/>
                <w:sz w:val="21"/>
              </w:rPr>
              <w:t>1,1-</w:t>
            </w:r>
            <w:r>
              <w:rPr>
                <w:sz w:val="21"/>
              </w:rPr>
              <w:t>二</w:t>
            </w:r>
          </w:p>
          <w:p>
            <w:pPr>
              <w:pStyle w:val="TableParagraph"/>
              <w:spacing w:line="368" w:lineRule="exact"/>
              <w:ind w:left="133"/>
              <w:jc w:val="left"/>
              <w:rPr>
                <w:sz w:val="21"/>
              </w:rPr>
            </w:pPr>
            <w:r>
              <w:rPr>
                <w:sz w:val="21"/>
              </w:rPr>
              <w:t>氯乙烯</w:t>
            </w:r>
          </w:p>
          <w:p>
            <w:pPr>
              <w:pStyle w:val="TableParagraph"/>
              <w:spacing w:line="231" w:lineRule="exact"/>
              <w:ind w:left="208"/>
              <w:jc w:val="left"/>
              <w:rPr>
                <w:rFonts w:ascii="Times New Roman" w:hAnsi="Times New Roman"/>
                <w:sz w:val="21"/>
              </w:rPr>
            </w:pPr>
            <w:r>
              <w:rPr>
                <w:rFonts w:ascii="Times New Roman" w:hAnsi="Times New Roman"/>
                <w:sz w:val="21"/>
              </w:rPr>
              <w:t>μg/kg</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16"/>
              </w:rPr>
            </w:pPr>
          </w:p>
          <w:p>
            <w:pPr>
              <w:pStyle w:val="TableParagraph"/>
              <w:spacing w:line="435" w:lineRule="exact"/>
              <w:ind w:left="93" w:right="68"/>
              <w:rPr>
                <w:sz w:val="21"/>
              </w:rPr>
            </w:pPr>
            <w:r>
              <w:rPr>
                <w:sz w:val="21"/>
              </w:rPr>
              <w:t>二氯甲烷</w:t>
            </w:r>
          </w:p>
          <w:p>
            <w:pPr>
              <w:pStyle w:val="TableParagraph"/>
              <w:spacing w:line="231" w:lineRule="exact"/>
              <w:ind w:left="94" w:right="68"/>
              <w:rPr>
                <w:rFonts w:ascii="Times New Roman" w:hAnsi="Times New Roman"/>
                <w:sz w:val="21"/>
              </w:rPr>
            </w:pPr>
            <w:r>
              <w:rPr>
                <w:rFonts w:ascii="Times New Roman" w:hAnsi="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50" w:lineRule="exact"/>
              <w:ind w:left="25"/>
              <w:rPr>
                <w:sz w:val="24"/>
              </w:rPr>
            </w:pPr>
            <w:r>
              <w:rPr>
                <w:sz w:val="24"/>
              </w:rPr>
              <w:t>反</w:t>
            </w:r>
          </w:p>
          <w:p>
            <w:pPr>
              <w:pStyle w:val="TableParagraph"/>
              <w:spacing w:line="176" w:lineRule="exact"/>
              <w:ind w:left="187"/>
              <w:jc w:val="left"/>
              <w:rPr>
                <w:rFonts w:ascii="Times New Roman"/>
                <w:sz w:val="24"/>
              </w:rPr>
            </w:pPr>
            <w:r>
              <w:rPr>
                <w:rFonts w:ascii="Times New Roman"/>
                <w:sz w:val="24"/>
              </w:rPr>
              <w:t>-1,2-</w:t>
            </w:r>
          </w:p>
          <w:p>
            <w:pPr>
              <w:pStyle w:val="TableParagraph"/>
              <w:spacing w:line="163" w:lineRule="auto" w:before="60"/>
              <w:ind w:left="139" w:right="115" w:firstLine="38"/>
              <w:jc w:val="both"/>
              <w:rPr>
                <w:rFonts w:ascii="Times New Roman" w:hAnsi="Times New Roman" w:eastAsia="Times New Roman"/>
                <w:sz w:val="24"/>
              </w:rPr>
            </w:pPr>
            <w:r>
              <w:rPr>
                <w:sz w:val="24"/>
              </w:rPr>
              <w:t>二氯乙烯</w:t>
            </w:r>
            <w:r>
              <w:rPr>
                <w:rFonts w:ascii="Times New Roman" w:hAnsi="Times New Roman" w:eastAsia="Times New Roman"/>
                <w:sz w:val="24"/>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116"/>
              <w:ind w:left="146"/>
              <w:jc w:val="left"/>
              <w:rPr>
                <w:sz w:val="21"/>
              </w:rPr>
            </w:pPr>
            <w:r>
              <w:rPr>
                <w:rFonts w:ascii="Times New Roman" w:eastAsia="Times New Roman"/>
                <w:spacing w:val="-1"/>
                <w:sz w:val="21"/>
              </w:rPr>
              <w:t>1,1-</w:t>
            </w:r>
            <w:r>
              <w:rPr>
                <w:sz w:val="21"/>
              </w:rPr>
              <w:t>二</w:t>
            </w:r>
          </w:p>
          <w:p>
            <w:pPr>
              <w:pStyle w:val="TableParagraph"/>
              <w:spacing w:line="160" w:lineRule="auto" w:before="15"/>
              <w:ind w:left="175" w:right="146" w:hanging="3"/>
              <w:rPr>
                <w:rFonts w:ascii="Times New Roman" w:hAnsi="Times New Roman" w:eastAsia="Times New Roman"/>
                <w:sz w:val="21"/>
              </w:rPr>
            </w:pPr>
            <w:r>
              <w:rPr>
                <w:sz w:val="21"/>
              </w:rPr>
              <w:t>氯乙烷</w:t>
            </w:r>
            <w:r>
              <w:rPr>
                <w:rFonts w:ascii="Times New Roman" w:hAnsi="Times New Roman" w:eastAsia="Times New Roman"/>
                <w:spacing w:val="-1"/>
                <w:sz w:val="21"/>
              </w:rPr>
              <w:t>μg/kg</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line="379" w:lineRule="exact" w:before="77"/>
              <w:ind w:left="141"/>
              <w:jc w:val="left"/>
              <w:rPr>
                <w:rFonts w:ascii="Times New Roman" w:eastAsia="Times New Roman"/>
                <w:sz w:val="21"/>
              </w:rPr>
            </w:pPr>
            <w:r>
              <w:rPr>
                <w:sz w:val="21"/>
              </w:rPr>
              <w:t>顺</w:t>
            </w:r>
            <w:r>
              <w:rPr>
                <w:rFonts w:ascii="Times New Roman" w:eastAsia="Times New Roman"/>
                <w:sz w:val="21"/>
              </w:rPr>
              <w:t>-1,2-</w:t>
            </w:r>
          </w:p>
          <w:p>
            <w:pPr>
              <w:pStyle w:val="TableParagraph"/>
              <w:spacing w:line="180" w:lineRule="auto" w:before="12"/>
              <w:ind w:left="132" w:right="105"/>
              <w:rPr>
                <w:rFonts w:ascii="Times New Roman" w:hAnsi="Times New Roman" w:eastAsia="Times New Roman"/>
                <w:sz w:val="21"/>
              </w:rPr>
            </w:pPr>
            <w:r>
              <w:rPr>
                <w:sz w:val="21"/>
              </w:rPr>
              <w:t>二氯乙烯 </w:t>
            </w:r>
            <w:r>
              <w:rPr>
                <w:rFonts w:ascii="Times New Roman" w:hAnsi="Times New Roman" w:eastAsia="Times New Roman"/>
                <w:sz w:val="21"/>
              </w:rPr>
              <w:t>μg/kg</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8"/>
              </w:rPr>
            </w:pPr>
          </w:p>
          <w:p>
            <w:pPr>
              <w:pStyle w:val="TableParagraph"/>
              <w:spacing w:line="406" w:lineRule="exact"/>
              <w:ind w:left="206"/>
              <w:jc w:val="left"/>
              <w:rPr>
                <w:sz w:val="21"/>
              </w:rPr>
            </w:pPr>
            <w:r>
              <w:rPr>
                <w:sz w:val="21"/>
              </w:rPr>
              <w:t>氯仿</w:t>
            </w:r>
          </w:p>
          <w:p>
            <w:pPr>
              <w:pStyle w:val="TableParagraph"/>
              <w:spacing w:line="202" w:lineRule="exact"/>
              <w:ind w:left="175"/>
              <w:jc w:val="left"/>
              <w:rPr>
                <w:rFonts w:ascii="Times New Roman" w:hAnsi="Times New Roman"/>
                <w:sz w:val="21"/>
              </w:rPr>
            </w:pPr>
            <w:r>
              <w:rPr>
                <w:rFonts w:ascii="Times New Roman" w:hAnsi="Times New Roman"/>
                <w:sz w:val="21"/>
              </w:rPr>
              <w:t>μg/kg</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190"/>
              <w:ind w:left="191"/>
              <w:jc w:val="left"/>
              <w:rPr>
                <w:rFonts w:ascii="Times New Roman"/>
                <w:sz w:val="21"/>
              </w:rPr>
            </w:pPr>
            <w:r>
              <w:rPr>
                <w:rFonts w:ascii="Times New Roman"/>
                <w:sz w:val="21"/>
              </w:rPr>
              <w:t>1,1,1-</w:t>
            </w:r>
          </w:p>
          <w:p>
            <w:pPr>
              <w:pStyle w:val="TableParagraph"/>
              <w:spacing w:line="180" w:lineRule="auto" w:before="57"/>
              <w:ind w:left="119" w:right="96"/>
              <w:rPr>
                <w:rFonts w:ascii="Times New Roman" w:hAnsi="Times New Roman" w:eastAsia="Times New Roman"/>
                <w:sz w:val="21"/>
              </w:rPr>
            </w:pPr>
            <w:r>
              <w:rPr>
                <w:sz w:val="21"/>
              </w:rPr>
              <w:t>三氯乙烷 </w:t>
            </w:r>
            <w:r>
              <w:rPr>
                <w:rFonts w:ascii="Times New Roman" w:hAnsi="Times New Roman" w:eastAsia="Times New Roman"/>
                <w:sz w:val="21"/>
              </w:rPr>
              <w:t>μg/kg</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14"/>
              </w:rPr>
            </w:pPr>
          </w:p>
          <w:p>
            <w:pPr>
              <w:pStyle w:val="TableParagraph"/>
              <w:spacing w:line="180" w:lineRule="auto"/>
              <w:ind w:left="153" w:right="127" w:firstLine="31"/>
              <w:jc w:val="both"/>
              <w:rPr>
                <w:rFonts w:ascii="Times New Roman" w:hAnsi="Times New Roman" w:eastAsia="Times New Roman"/>
                <w:sz w:val="21"/>
              </w:rPr>
            </w:pPr>
            <w:r>
              <w:rPr>
                <w:sz w:val="21"/>
              </w:rPr>
              <w:t>四氯化碳</w:t>
            </w:r>
            <w:r>
              <w:rPr>
                <w:rFonts w:ascii="Times New Roman" w:hAnsi="Times New Roman" w:eastAsia="Times New Roman"/>
                <w:sz w:val="21"/>
              </w:rPr>
              <w:t>μg/kg</w:t>
            </w:r>
          </w:p>
        </w:tc>
        <w:tc>
          <w:tcPr>
            <w:tcW w:w="835" w:type="dxa"/>
            <w:tcBorders>
              <w:top w:val="single" w:sz="6" w:space="0" w:color="000000"/>
              <w:left w:val="single" w:sz="6" w:space="0" w:color="000000"/>
              <w:bottom w:val="single" w:sz="6" w:space="0" w:color="000000"/>
            </w:tcBorders>
          </w:tcPr>
          <w:p>
            <w:pPr>
              <w:pStyle w:val="TableParagraph"/>
              <w:spacing w:before="8"/>
              <w:jc w:val="left"/>
              <w:rPr>
                <w:sz w:val="18"/>
              </w:rPr>
            </w:pPr>
          </w:p>
          <w:p>
            <w:pPr>
              <w:pStyle w:val="TableParagraph"/>
              <w:spacing w:line="414" w:lineRule="exact"/>
              <w:ind w:left="31"/>
              <w:rPr>
                <w:sz w:val="21"/>
              </w:rPr>
            </w:pPr>
            <w:r>
              <w:rPr>
                <w:w w:val="100"/>
                <w:sz w:val="21"/>
              </w:rPr>
              <w:t>苯</w:t>
            </w:r>
          </w:p>
          <w:p>
            <w:pPr>
              <w:pStyle w:val="TableParagraph"/>
              <w:spacing w:line="211" w:lineRule="exact"/>
              <w:ind w:left="132" w:right="99"/>
              <w:rPr>
                <w:rFonts w:ascii="Times New Roman" w:hAnsi="Times New Roman"/>
                <w:sz w:val="21"/>
              </w:rPr>
            </w:pPr>
            <w:r>
              <w:rPr>
                <w:rFonts w:ascii="Times New Roman" w:hAnsi="Times New Roman"/>
                <w:sz w:val="21"/>
              </w:rPr>
              <w:t>μg/kg</w:t>
            </w:r>
          </w:p>
        </w:tc>
      </w:tr>
      <w:tr>
        <w:trPr>
          <w:trHeight w:val="623"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7"/>
              <w:ind w:left="133"/>
              <w:jc w:val="left"/>
              <w:rPr>
                <w:sz w:val="21"/>
              </w:rPr>
            </w:pPr>
            <w:r>
              <w:rPr>
                <w:sz w:val="21"/>
              </w:rPr>
              <w:t>未检出</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7"/>
              <w:ind w:left="94" w:right="66"/>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2"/>
              <w:rPr>
                <w:sz w:val="21"/>
              </w:rPr>
            </w:pPr>
            <w:r>
              <w:rPr>
                <w:sz w:val="21"/>
              </w:rPr>
              <w:t>未检</w:t>
            </w:r>
          </w:p>
          <w:p>
            <w:pPr>
              <w:pStyle w:val="TableParagraph"/>
              <w:spacing w:line="303" w:lineRule="exact"/>
              <w:ind w:left="25"/>
              <w:rPr>
                <w:sz w:val="21"/>
              </w:rPr>
            </w:pPr>
            <w:r>
              <w:rPr>
                <w:w w:val="100"/>
                <w:sz w:val="21"/>
              </w:rPr>
              <w:t>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7"/>
              <w:ind w:left="114" w:right="89"/>
              <w:rPr>
                <w:sz w:val="21"/>
              </w:rPr>
            </w:pPr>
            <w:r>
              <w:rPr>
                <w:sz w:val="21"/>
              </w:rPr>
              <w:t>未检出</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7" w:right="163"/>
              <w:rPr>
                <w:sz w:val="21"/>
              </w:rPr>
            </w:pPr>
            <w:r>
              <w:rPr>
                <w:sz w:val="21"/>
              </w:rPr>
              <w:t>未检</w:t>
            </w:r>
          </w:p>
          <w:p>
            <w:pPr>
              <w:pStyle w:val="TableParagraph"/>
              <w:spacing w:line="303" w:lineRule="exact"/>
              <w:ind w:left="24"/>
              <w:rPr>
                <w:sz w:val="21"/>
              </w:rPr>
            </w:pPr>
            <w:r>
              <w:rPr>
                <w:w w:val="100"/>
                <w:sz w:val="21"/>
              </w:rPr>
              <w:t>出</w:t>
            </w:r>
          </w:p>
        </w:tc>
        <w:tc>
          <w:tcPr>
            <w:tcW w:w="867"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80"/>
              <w:rPr>
                <w:sz w:val="21"/>
              </w:rPr>
            </w:pPr>
            <w:r>
              <w:rPr>
                <w:sz w:val="21"/>
              </w:rPr>
              <w:t>未检出</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31" w:right="110"/>
              <w:rPr>
                <w:sz w:val="21"/>
              </w:rPr>
            </w:pPr>
            <w:r>
              <w:rPr>
                <w:sz w:val="21"/>
              </w:rPr>
              <w:t>未检</w:t>
            </w:r>
          </w:p>
          <w:p>
            <w:pPr>
              <w:pStyle w:val="TableParagraph"/>
              <w:spacing w:line="303" w:lineRule="exact"/>
              <w:ind w:left="21"/>
              <w:rPr>
                <w:sz w:val="21"/>
              </w:rPr>
            </w:pPr>
            <w:r>
              <w:rPr>
                <w:w w:val="100"/>
                <w:sz w:val="21"/>
              </w:rPr>
              <w:t>出</w:t>
            </w:r>
          </w:p>
        </w:tc>
        <w:tc>
          <w:tcPr>
            <w:tcW w:w="835" w:type="dxa"/>
            <w:tcBorders>
              <w:top w:val="single" w:sz="6" w:space="0" w:color="000000"/>
              <w:left w:val="single" w:sz="6" w:space="0" w:color="000000"/>
              <w:bottom w:val="single" w:sz="6" w:space="0" w:color="000000"/>
            </w:tcBorders>
          </w:tcPr>
          <w:p>
            <w:pPr>
              <w:pStyle w:val="TableParagraph"/>
              <w:spacing w:line="300" w:lineRule="exact"/>
              <w:ind w:left="132" w:right="101"/>
              <w:rPr>
                <w:sz w:val="21"/>
              </w:rPr>
            </w:pPr>
            <w:r>
              <w:rPr>
                <w:sz w:val="21"/>
              </w:rPr>
              <w:t>未检</w:t>
            </w:r>
          </w:p>
          <w:p>
            <w:pPr>
              <w:pStyle w:val="TableParagraph"/>
              <w:spacing w:line="303" w:lineRule="exact"/>
              <w:ind w:left="31"/>
              <w:rPr>
                <w:sz w:val="21"/>
              </w:rPr>
            </w:pPr>
            <w:r>
              <w:rPr>
                <w:w w:val="100"/>
                <w:sz w:val="21"/>
              </w:rPr>
              <w:t>出</w:t>
            </w:r>
          </w:p>
        </w:tc>
      </w:tr>
      <w:tr>
        <w:trPr>
          <w:trHeight w:val="301"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bottom w:val="nil"/>
              <w:right w:val="single" w:sz="6" w:space="0" w:color="000000"/>
            </w:tcBorders>
          </w:tcPr>
          <w:p>
            <w:pPr>
              <w:pStyle w:val="TableParagraph"/>
              <w:spacing w:line="282" w:lineRule="exact"/>
              <w:ind w:left="133"/>
              <w:jc w:val="left"/>
              <w:rPr>
                <w:sz w:val="21"/>
              </w:rPr>
            </w:pPr>
            <w:r>
              <w:rPr>
                <w:sz w:val="21"/>
              </w:rPr>
              <w:t>二苯并</w:t>
            </w:r>
          </w:p>
        </w:tc>
        <w:tc>
          <w:tcPr>
            <w:tcW w:w="109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435" w:lineRule="exact" w:before="77"/>
              <w:ind w:left="94" w:right="65"/>
              <w:rPr>
                <w:sz w:val="21"/>
              </w:rPr>
            </w:pPr>
            <w:r>
              <w:rPr>
                <w:sz w:val="21"/>
              </w:rPr>
              <w:t>茚并</w:t>
            </w:r>
          </w:p>
          <w:p>
            <w:pPr>
              <w:pStyle w:val="TableParagraph"/>
              <w:spacing w:line="210" w:lineRule="exact"/>
              <w:ind w:left="94" w:right="68"/>
              <w:rPr>
                <w:rFonts w:ascii="Times New Roman"/>
                <w:sz w:val="21"/>
              </w:rPr>
            </w:pPr>
            <w:r>
              <w:rPr>
                <w:rFonts w:ascii="Times New Roman"/>
                <w:sz w:val="21"/>
              </w:rPr>
              <w:t>(1,2,3-c,d)</w:t>
            </w:r>
          </w:p>
          <w:p>
            <w:pPr>
              <w:pStyle w:val="TableParagraph"/>
              <w:spacing w:line="425" w:lineRule="exact"/>
              <w:ind w:left="94" w:right="68"/>
              <w:rPr>
                <w:rFonts w:ascii="Times New Roman" w:eastAsia="Times New Roman"/>
                <w:sz w:val="21"/>
              </w:rPr>
            </w:pPr>
            <w:r>
              <w:rPr>
                <w:spacing w:val="2"/>
                <w:sz w:val="21"/>
              </w:rPr>
              <w:t>芘 </w:t>
            </w:r>
            <w:r>
              <w:rPr>
                <w:rFonts w:ascii="Times New Roman" w:eastAsia="Times New Roman"/>
                <w:sz w:val="21"/>
              </w:rPr>
              <w:t>mg/kg</w:t>
            </w: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88"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26"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67"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78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835" w:type="dxa"/>
            <w:tcBorders>
              <w:top w:val="single" w:sz="6" w:space="0" w:color="000000"/>
              <w:left w:val="single" w:sz="6" w:space="0" w:color="000000"/>
              <w:bottom w:val="nil"/>
            </w:tcBorders>
          </w:tcPr>
          <w:p>
            <w:pPr>
              <w:pStyle w:val="TableParagraph"/>
              <w:jc w:val="left"/>
              <w:rPr>
                <w:rFonts w:ascii="Times New Roman"/>
                <w:sz w:val="20"/>
              </w:rPr>
            </w:pPr>
          </w:p>
        </w:tc>
      </w:tr>
      <w:tr>
        <w:trPr>
          <w:trHeight w:val="608"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nil"/>
              <w:right w:val="single" w:sz="6" w:space="0" w:color="000000"/>
            </w:tcBorders>
          </w:tcPr>
          <w:p>
            <w:pPr>
              <w:pStyle w:val="TableParagraph"/>
              <w:spacing w:line="296" w:lineRule="exact"/>
              <w:ind w:left="94" w:right="65"/>
              <w:rPr>
                <w:sz w:val="21"/>
              </w:rPr>
            </w:pPr>
            <w:r>
              <w:rPr>
                <w:sz w:val="21"/>
              </w:rPr>
              <w:t>（</w:t>
            </w:r>
            <w:r>
              <w:rPr>
                <w:rFonts w:ascii="Times New Roman" w:eastAsia="Times New Roman"/>
                <w:sz w:val="21"/>
              </w:rPr>
              <w:t>a,h</w:t>
            </w:r>
            <w:r>
              <w:rPr>
                <w:sz w:val="21"/>
              </w:rPr>
              <w:t>）</w:t>
            </w:r>
          </w:p>
          <w:p>
            <w:pPr>
              <w:pStyle w:val="TableParagraph"/>
              <w:spacing w:line="293" w:lineRule="exact"/>
              <w:ind w:left="29"/>
              <w:rPr>
                <w:sz w:val="21"/>
              </w:rPr>
            </w:pPr>
            <w:r>
              <w:rPr>
                <w:w w:val="100"/>
                <w:sz w:val="21"/>
              </w:rPr>
              <w:t>蒽</w:t>
            </w:r>
          </w:p>
        </w:tc>
        <w:tc>
          <w:tcPr>
            <w:tcW w:w="1098" w:type="dxa"/>
            <w:vMerge/>
            <w:tcBorders>
              <w:top w:val="nil"/>
              <w:left w:val="single" w:sz="6" w:space="0" w:color="000000"/>
              <w:bottom w:val="single" w:sz="6" w:space="0" w:color="000000"/>
              <w:right w:val="single" w:sz="6" w:space="0" w:color="000000"/>
            </w:tcBorders>
          </w:tcPr>
          <w:p>
            <w:pPr>
              <w:rPr>
                <w:sz w:val="2"/>
                <w:szCs w:val="2"/>
              </w:rPr>
            </w:pPr>
          </w:p>
        </w:tc>
        <w:tc>
          <w:tcPr>
            <w:tcW w:w="826" w:type="dxa"/>
            <w:tcBorders>
              <w:top w:val="nil"/>
              <w:left w:val="single" w:sz="6" w:space="0" w:color="000000"/>
              <w:bottom w:val="nil"/>
              <w:right w:val="single" w:sz="6" w:space="0" w:color="000000"/>
            </w:tcBorders>
          </w:tcPr>
          <w:p>
            <w:pPr>
              <w:pStyle w:val="TableParagraph"/>
              <w:spacing w:before="185"/>
              <w:ind w:left="389"/>
              <w:jc w:val="left"/>
              <w:rPr>
                <w:rFonts w:ascii="Times New Roman"/>
                <w:sz w:val="21"/>
              </w:rPr>
            </w:pPr>
            <w:r>
              <w:rPr>
                <w:rFonts w:ascii="Times New Roman"/>
                <w:w w:val="100"/>
                <w:sz w:val="21"/>
              </w:rPr>
              <w:t>/</w:t>
            </w:r>
          </w:p>
        </w:tc>
        <w:tc>
          <w:tcPr>
            <w:tcW w:w="826" w:type="dxa"/>
            <w:tcBorders>
              <w:top w:val="nil"/>
              <w:left w:val="single" w:sz="6" w:space="0" w:color="000000"/>
              <w:bottom w:val="nil"/>
              <w:right w:val="single" w:sz="6" w:space="0" w:color="000000"/>
            </w:tcBorders>
          </w:tcPr>
          <w:p>
            <w:pPr>
              <w:pStyle w:val="TableParagraph"/>
              <w:spacing w:before="185"/>
              <w:ind w:left="25"/>
              <w:rPr>
                <w:rFonts w:ascii="Times New Roman"/>
                <w:sz w:val="21"/>
              </w:rPr>
            </w:pPr>
            <w:r>
              <w:rPr>
                <w:rFonts w:ascii="Times New Roman"/>
                <w:w w:val="100"/>
                <w:sz w:val="21"/>
              </w:rPr>
              <w:t>/</w:t>
            </w:r>
          </w:p>
        </w:tc>
        <w:tc>
          <w:tcPr>
            <w:tcW w:w="888" w:type="dxa"/>
            <w:tcBorders>
              <w:top w:val="nil"/>
              <w:left w:val="single" w:sz="6" w:space="0" w:color="000000"/>
              <w:bottom w:val="nil"/>
              <w:right w:val="single" w:sz="6" w:space="0" w:color="000000"/>
            </w:tcBorders>
          </w:tcPr>
          <w:p>
            <w:pPr>
              <w:pStyle w:val="TableParagraph"/>
              <w:spacing w:before="185"/>
              <w:ind w:left="26"/>
              <w:rPr>
                <w:rFonts w:ascii="Times New Roman"/>
                <w:sz w:val="21"/>
              </w:rPr>
            </w:pPr>
            <w:r>
              <w:rPr>
                <w:rFonts w:ascii="Times New Roman"/>
                <w:w w:val="100"/>
                <w:sz w:val="21"/>
              </w:rPr>
              <w:t>/</w:t>
            </w:r>
          </w:p>
        </w:tc>
        <w:tc>
          <w:tcPr>
            <w:tcW w:w="826" w:type="dxa"/>
            <w:tcBorders>
              <w:top w:val="nil"/>
              <w:left w:val="single" w:sz="6" w:space="0" w:color="000000"/>
              <w:bottom w:val="nil"/>
              <w:right w:val="single" w:sz="6" w:space="0" w:color="000000"/>
            </w:tcBorders>
          </w:tcPr>
          <w:p>
            <w:pPr>
              <w:pStyle w:val="TableParagraph"/>
              <w:spacing w:before="185"/>
              <w:ind w:left="25"/>
              <w:rPr>
                <w:rFonts w:ascii="Times New Roman"/>
                <w:sz w:val="21"/>
              </w:rPr>
            </w:pPr>
            <w:r>
              <w:rPr>
                <w:rFonts w:ascii="Times New Roman"/>
                <w:w w:val="100"/>
                <w:sz w:val="21"/>
              </w:rPr>
              <w:t>/</w:t>
            </w:r>
          </w:p>
        </w:tc>
        <w:tc>
          <w:tcPr>
            <w:tcW w:w="867" w:type="dxa"/>
            <w:tcBorders>
              <w:top w:val="nil"/>
              <w:left w:val="single" w:sz="6" w:space="0" w:color="000000"/>
              <w:bottom w:val="nil"/>
              <w:right w:val="single" w:sz="6" w:space="0" w:color="000000"/>
            </w:tcBorders>
          </w:tcPr>
          <w:p>
            <w:pPr>
              <w:pStyle w:val="TableParagraph"/>
              <w:spacing w:before="185"/>
              <w:ind w:left="22"/>
              <w:rPr>
                <w:rFonts w:ascii="Times New Roman"/>
                <w:sz w:val="21"/>
              </w:rPr>
            </w:pPr>
            <w:r>
              <w:rPr>
                <w:rFonts w:ascii="Times New Roman"/>
                <w:w w:val="100"/>
                <w:sz w:val="21"/>
              </w:rPr>
              <w:t>/</w:t>
            </w:r>
          </w:p>
        </w:tc>
        <w:tc>
          <w:tcPr>
            <w:tcW w:w="785" w:type="dxa"/>
            <w:tcBorders>
              <w:top w:val="nil"/>
              <w:left w:val="single" w:sz="6" w:space="0" w:color="000000"/>
              <w:bottom w:val="nil"/>
              <w:right w:val="single" w:sz="6" w:space="0" w:color="000000"/>
            </w:tcBorders>
          </w:tcPr>
          <w:p>
            <w:pPr>
              <w:pStyle w:val="TableParagraph"/>
              <w:spacing w:before="185"/>
              <w:ind w:right="342"/>
              <w:jc w:val="right"/>
              <w:rPr>
                <w:rFonts w:ascii="Times New Roman"/>
                <w:sz w:val="21"/>
              </w:rPr>
            </w:pPr>
            <w:r>
              <w:rPr>
                <w:rFonts w:ascii="Times New Roman"/>
                <w:w w:val="100"/>
                <w:sz w:val="21"/>
              </w:rPr>
              <w:t>/</w:t>
            </w:r>
          </w:p>
        </w:tc>
        <w:tc>
          <w:tcPr>
            <w:tcW w:w="835" w:type="dxa"/>
            <w:tcBorders>
              <w:top w:val="nil"/>
              <w:left w:val="single" w:sz="6" w:space="0" w:color="000000"/>
              <w:bottom w:val="nil"/>
            </w:tcBorders>
          </w:tcPr>
          <w:p>
            <w:pPr>
              <w:pStyle w:val="TableParagraph"/>
              <w:spacing w:before="185"/>
              <w:ind w:left="32"/>
              <w:rPr>
                <w:rFonts w:ascii="Times New Roman"/>
                <w:sz w:val="21"/>
              </w:rPr>
            </w:pPr>
            <w:r>
              <w:rPr>
                <w:rFonts w:ascii="Times New Roman"/>
                <w:w w:val="100"/>
                <w:sz w:val="21"/>
              </w:rPr>
              <w:t>/</w:t>
            </w:r>
          </w:p>
        </w:tc>
      </w:tr>
      <w:tr>
        <w:trPr>
          <w:trHeight w:val="308" w:hRule="atLeast"/>
        </w:trPr>
        <w:tc>
          <w:tcPr>
            <w:tcW w:w="694" w:type="dxa"/>
            <w:tcBorders>
              <w:top w:val="nil"/>
              <w:bottom w:val="nil"/>
              <w:right w:val="single" w:sz="6" w:space="0" w:color="000000"/>
            </w:tcBorders>
          </w:tcPr>
          <w:p>
            <w:pPr>
              <w:pStyle w:val="TableParagraph"/>
              <w:jc w:val="left"/>
              <w:rPr>
                <w:rFonts w:ascii="Times New Roman"/>
                <w:sz w:val="20"/>
              </w:rPr>
            </w:pPr>
          </w:p>
        </w:tc>
        <w:tc>
          <w:tcPr>
            <w:tcW w:w="886" w:type="dxa"/>
            <w:tcBorders>
              <w:top w:val="nil"/>
              <w:left w:val="single" w:sz="6" w:space="0" w:color="000000"/>
              <w:bottom w:val="single" w:sz="6" w:space="0" w:color="000000"/>
              <w:right w:val="single" w:sz="6" w:space="0" w:color="000000"/>
            </w:tcBorders>
          </w:tcPr>
          <w:p>
            <w:pPr>
              <w:pStyle w:val="TableParagraph"/>
              <w:spacing w:before="30"/>
              <w:ind w:left="181"/>
              <w:jc w:val="left"/>
              <w:rPr>
                <w:rFonts w:ascii="Times New Roman"/>
                <w:sz w:val="21"/>
              </w:rPr>
            </w:pPr>
            <w:r>
              <w:rPr>
                <w:rFonts w:ascii="Times New Roman"/>
                <w:sz w:val="21"/>
              </w:rPr>
              <w:t>mg/kg</w:t>
            </w:r>
          </w:p>
        </w:tc>
        <w:tc>
          <w:tcPr>
            <w:tcW w:w="1098" w:type="dxa"/>
            <w:vMerge/>
            <w:tcBorders>
              <w:top w:val="nil"/>
              <w:left w:val="single" w:sz="6" w:space="0" w:color="000000"/>
              <w:bottom w:val="single" w:sz="6" w:space="0" w:color="000000"/>
              <w:right w:val="single" w:sz="6" w:space="0" w:color="000000"/>
            </w:tcBorders>
          </w:tcPr>
          <w:p>
            <w:pPr>
              <w:rPr>
                <w:sz w:val="2"/>
                <w:szCs w:val="2"/>
              </w:rPr>
            </w:pPr>
          </w:p>
        </w:tc>
        <w:tc>
          <w:tcPr>
            <w:tcW w:w="82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2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88"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26"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67"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785"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835" w:type="dxa"/>
            <w:tcBorders>
              <w:top w:val="nil"/>
              <w:left w:val="single" w:sz="6" w:space="0" w:color="000000"/>
              <w:bottom w:val="single" w:sz="6" w:space="0" w:color="000000"/>
            </w:tcBorders>
          </w:tcPr>
          <w:p>
            <w:pPr>
              <w:pStyle w:val="TableParagraph"/>
              <w:jc w:val="left"/>
              <w:rPr>
                <w:rFonts w:ascii="Times New Roman"/>
                <w:sz w:val="20"/>
              </w:rPr>
            </w:pPr>
          </w:p>
        </w:tc>
      </w:tr>
      <w:tr>
        <w:trPr>
          <w:trHeight w:val="368" w:hRule="atLeast"/>
        </w:trPr>
        <w:tc>
          <w:tcPr>
            <w:tcW w:w="694" w:type="dxa"/>
            <w:tcBorders>
              <w:top w:val="nil"/>
              <w:right w:val="single" w:sz="6" w:space="0" w:color="000000"/>
            </w:tcBorders>
          </w:tcPr>
          <w:p>
            <w:pPr>
              <w:pStyle w:val="TableParagraph"/>
              <w:jc w:val="left"/>
              <w:rPr>
                <w:rFonts w:ascii="Times New Roman"/>
                <w:sz w:val="20"/>
              </w:rPr>
            </w:pPr>
          </w:p>
        </w:tc>
        <w:tc>
          <w:tcPr>
            <w:tcW w:w="886" w:type="dxa"/>
            <w:tcBorders>
              <w:top w:val="single" w:sz="6" w:space="0" w:color="000000"/>
              <w:left w:val="single" w:sz="6" w:space="0" w:color="000000"/>
              <w:right w:val="single" w:sz="6" w:space="0" w:color="000000"/>
            </w:tcBorders>
          </w:tcPr>
          <w:p>
            <w:pPr>
              <w:pStyle w:val="TableParagraph"/>
              <w:spacing w:line="349" w:lineRule="exact"/>
              <w:ind w:left="133"/>
              <w:jc w:val="left"/>
              <w:rPr>
                <w:sz w:val="21"/>
              </w:rPr>
            </w:pPr>
            <w:r>
              <w:rPr>
                <w:sz w:val="21"/>
              </w:rPr>
              <w:t>未检出</w:t>
            </w:r>
          </w:p>
        </w:tc>
        <w:tc>
          <w:tcPr>
            <w:tcW w:w="1098" w:type="dxa"/>
            <w:tcBorders>
              <w:top w:val="single" w:sz="6" w:space="0" w:color="000000"/>
              <w:left w:val="single" w:sz="6" w:space="0" w:color="000000"/>
              <w:right w:val="single" w:sz="6" w:space="0" w:color="000000"/>
            </w:tcBorders>
          </w:tcPr>
          <w:p>
            <w:pPr>
              <w:pStyle w:val="TableParagraph"/>
              <w:spacing w:line="349" w:lineRule="exact"/>
              <w:ind w:left="94" w:right="66"/>
              <w:rPr>
                <w:sz w:val="21"/>
              </w:rPr>
            </w:pPr>
            <w:r>
              <w:rPr>
                <w:sz w:val="21"/>
              </w:rPr>
              <w:t>未检出</w:t>
            </w:r>
          </w:p>
        </w:tc>
        <w:tc>
          <w:tcPr>
            <w:tcW w:w="826" w:type="dxa"/>
            <w:tcBorders>
              <w:top w:val="single" w:sz="6" w:space="0" w:color="000000"/>
              <w:left w:val="single" w:sz="6" w:space="0" w:color="000000"/>
              <w:right w:val="single" w:sz="6" w:space="0" w:color="000000"/>
            </w:tcBorders>
          </w:tcPr>
          <w:p>
            <w:pPr>
              <w:pStyle w:val="TableParagraph"/>
              <w:spacing w:before="63"/>
              <w:ind w:left="389"/>
              <w:jc w:val="left"/>
              <w:rPr>
                <w:rFonts w:ascii="Times New Roman"/>
                <w:sz w:val="21"/>
              </w:rPr>
            </w:pPr>
            <w:r>
              <w:rPr>
                <w:rFonts w:ascii="Times New Roman"/>
                <w:w w:val="100"/>
                <w:sz w:val="21"/>
              </w:rPr>
              <w:t>/</w:t>
            </w:r>
          </w:p>
        </w:tc>
        <w:tc>
          <w:tcPr>
            <w:tcW w:w="826" w:type="dxa"/>
            <w:tcBorders>
              <w:top w:val="single" w:sz="6" w:space="0" w:color="000000"/>
              <w:left w:val="single" w:sz="6" w:space="0" w:color="000000"/>
              <w:right w:val="single" w:sz="6" w:space="0" w:color="000000"/>
            </w:tcBorders>
          </w:tcPr>
          <w:p>
            <w:pPr>
              <w:pStyle w:val="TableParagraph"/>
              <w:spacing w:before="63"/>
              <w:ind w:left="25"/>
              <w:rPr>
                <w:rFonts w:ascii="Times New Roman"/>
                <w:sz w:val="21"/>
              </w:rPr>
            </w:pPr>
            <w:r>
              <w:rPr>
                <w:rFonts w:ascii="Times New Roman"/>
                <w:w w:val="100"/>
                <w:sz w:val="21"/>
              </w:rPr>
              <w:t>/</w:t>
            </w:r>
          </w:p>
        </w:tc>
        <w:tc>
          <w:tcPr>
            <w:tcW w:w="888" w:type="dxa"/>
            <w:tcBorders>
              <w:top w:val="single" w:sz="6" w:space="0" w:color="000000"/>
              <w:left w:val="single" w:sz="6" w:space="0" w:color="000000"/>
              <w:right w:val="single" w:sz="6" w:space="0" w:color="000000"/>
            </w:tcBorders>
          </w:tcPr>
          <w:p>
            <w:pPr>
              <w:pStyle w:val="TableParagraph"/>
              <w:spacing w:before="63"/>
              <w:ind w:left="26"/>
              <w:rPr>
                <w:rFonts w:ascii="Times New Roman"/>
                <w:sz w:val="21"/>
              </w:rPr>
            </w:pPr>
            <w:r>
              <w:rPr>
                <w:rFonts w:ascii="Times New Roman"/>
                <w:w w:val="100"/>
                <w:sz w:val="21"/>
              </w:rPr>
              <w:t>/</w:t>
            </w:r>
          </w:p>
        </w:tc>
        <w:tc>
          <w:tcPr>
            <w:tcW w:w="826" w:type="dxa"/>
            <w:tcBorders>
              <w:top w:val="single" w:sz="6" w:space="0" w:color="000000"/>
              <w:left w:val="single" w:sz="6" w:space="0" w:color="000000"/>
              <w:right w:val="single" w:sz="6" w:space="0" w:color="000000"/>
            </w:tcBorders>
          </w:tcPr>
          <w:p>
            <w:pPr>
              <w:pStyle w:val="TableParagraph"/>
              <w:spacing w:before="63"/>
              <w:ind w:left="25"/>
              <w:rPr>
                <w:rFonts w:ascii="Times New Roman"/>
                <w:sz w:val="21"/>
              </w:rPr>
            </w:pPr>
            <w:r>
              <w:rPr>
                <w:rFonts w:ascii="Times New Roman"/>
                <w:w w:val="100"/>
                <w:sz w:val="21"/>
              </w:rPr>
              <w:t>/</w:t>
            </w:r>
          </w:p>
        </w:tc>
        <w:tc>
          <w:tcPr>
            <w:tcW w:w="867" w:type="dxa"/>
            <w:tcBorders>
              <w:top w:val="single" w:sz="6" w:space="0" w:color="000000"/>
              <w:left w:val="single" w:sz="6" w:space="0" w:color="000000"/>
              <w:right w:val="single" w:sz="6" w:space="0" w:color="000000"/>
            </w:tcBorders>
          </w:tcPr>
          <w:p>
            <w:pPr>
              <w:pStyle w:val="TableParagraph"/>
              <w:spacing w:before="63"/>
              <w:ind w:left="22"/>
              <w:rPr>
                <w:rFonts w:ascii="Times New Roman"/>
                <w:sz w:val="21"/>
              </w:rPr>
            </w:pPr>
            <w:r>
              <w:rPr>
                <w:rFonts w:ascii="Times New Roman"/>
                <w:w w:val="100"/>
                <w:sz w:val="21"/>
              </w:rPr>
              <w:t>/</w:t>
            </w:r>
          </w:p>
        </w:tc>
        <w:tc>
          <w:tcPr>
            <w:tcW w:w="785" w:type="dxa"/>
            <w:tcBorders>
              <w:top w:val="single" w:sz="6" w:space="0" w:color="000000"/>
              <w:left w:val="single" w:sz="6" w:space="0" w:color="000000"/>
              <w:right w:val="single" w:sz="6" w:space="0" w:color="000000"/>
            </w:tcBorders>
          </w:tcPr>
          <w:p>
            <w:pPr>
              <w:pStyle w:val="TableParagraph"/>
              <w:spacing w:before="63"/>
              <w:ind w:right="342"/>
              <w:jc w:val="right"/>
              <w:rPr>
                <w:rFonts w:ascii="Times New Roman"/>
                <w:sz w:val="21"/>
              </w:rPr>
            </w:pPr>
            <w:r>
              <w:rPr>
                <w:rFonts w:ascii="Times New Roman"/>
                <w:w w:val="100"/>
                <w:sz w:val="21"/>
              </w:rPr>
              <w:t>/</w:t>
            </w:r>
          </w:p>
        </w:tc>
        <w:tc>
          <w:tcPr>
            <w:tcW w:w="835" w:type="dxa"/>
            <w:tcBorders>
              <w:top w:val="single" w:sz="6" w:space="0" w:color="000000"/>
              <w:left w:val="single" w:sz="6" w:space="0" w:color="000000"/>
            </w:tcBorders>
          </w:tcPr>
          <w:p>
            <w:pPr>
              <w:pStyle w:val="TableParagraph"/>
              <w:spacing w:before="63"/>
              <w:ind w:left="32"/>
              <w:rPr>
                <w:rFonts w:ascii="Times New Roman"/>
                <w:sz w:val="21"/>
              </w:rPr>
            </w:pPr>
            <w:r>
              <w:rPr>
                <w:rFonts w:ascii="Times New Roman"/>
                <w:w w:val="100"/>
                <w:sz w:val="21"/>
              </w:rPr>
              <w:t>/</w:t>
            </w:r>
          </w:p>
        </w:tc>
      </w:tr>
    </w:tbl>
    <w:p>
      <w:pPr>
        <w:pStyle w:val="BodyText"/>
        <w:spacing w:before="9"/>
        <w:rPr>
          <w:sz w:val="10"/>
        </w:rPr>
      </w:pPr>
    </w:p>
    <w:p>
      <w:pPr>
        <w:pStyle w:val="Heading5"/>
        <w:numPr>
          <w:ilvl w:val="3"/>
          <w:numId w:val="9"/>
        </w:numPr>
        <w:tabs>
          <w:tab w:pos="1490" w:val="left" w:leader="none"/>
        </w:tabs>
        <w:spacing w:line="530" w:lineRule="exact" w:before="0" w:after="0"/>
        <w:ind w:left="1490" w:right="0" w:hanging="912"/>
        <w:jc w:val="left"/>
      </w:pPr>
      <w:r>
        <w:rPr/>
        <w:t>土壤环境现状评价</w:t>
      </w:r>
    </w:p>
    <w:p>
      <w:pPr>
        <w:pStyle w:val="BodyText"/>
        <w:spacing w:line="488" w:lineRule="exact" w:before="152"/>
        <w:ind w:left="1058"/>
      </w:pPr>
      <w:r>
        <w:rPr>
          <w:rFonts w:ascii="Times New Roman" w:eastAsia="Times New Roman"/>
        </w:rPr>
        <w:t>1</w:t>
      </w:r>
      <w:r>
        <w:rPr/>
        <w:t>、评价标准</w:t>
      </w:r>
    </w:p>
    <w:p>
      <w:pPr>
        <w:pStyle w:val="BodyText"/>
        <w:spacing w:line="468" w:lineRule="exact"/>
        <w:ind w:left="1058"/>
      </w:pPr>
      <w:r>
        <w:rPr/>
        <w:t>厂区土壤执行《土壤环境质量标准 建设用地土壤污染风险管控标准》</w:t>
      </w:r>
    </w:p>
    <w:p>
      <w:pPr>
        <w:pStyle w:val="BodyText"/>
        <w:spacing w:line="486" w:lineRule="exact"/>
        <w:ind w:left="578"/>
      </w:pPr>
      <w:r>
        <w:rPr/>
        <w:t>（</w:t>
      </w:r>
      <w:r>
        <w:rPr>
          <w:rFonts w:ascii="Times New Roman" w:eastAsia="Times New Roman"/>
        </w:rPr>
        <w:t>GB36600-2018</w:t>
      </w:r>
      <w:r>
        <w:rPr/>
        <w:t>）筛选值中第二类用地标准，具体标准值见表 </w:t>
      </w:r>
      <w:r>
        <w:rPr>
          <w:rFonts w:ascii="Times New Roman" w:eastAsia="Times New Roman"/>
        </w:rPr>
        <w:t>5.4-35</w:t>
      </w:r>
      <w:r>
        <w:rPr/>
        <w:t>。</w:t>
      </w:r>
    </w:p>
    <w:p>
      <w:pPr>
        <w:tabs>
          <w:tab w:pos="1137" w:val="left" w:leader="none"/>
          <w:tab w:pos="2825" w:val="left" w:leader="none"/>
        </w:tabs>
        <w:spacing w:line="442" w:lineRule="exact" w:before="0" w:after="24"/>
        <w:ind w:left="119" w:right="0" w:firstLine="0"/>
        <w:jc w:val="center"/>
        <w:rPr>
          <w:rFonts w:ascii="Times New Roman" w:eastAsia="Times New Roman"/>
          <w:b/>
          <w:sz w:val="21"/>
        </w:rPr>
      </w:pPr>
      <w:r>
        <w:rPr>
          <w:sz w:val="21"/>
        </w:rPr>
        <w:t>表</w:t>
      </w:r>
      <w:r>
        <w:rPr>
          <w:spacing w:val="7"/>
          <w:sz w:val="21"/>
        </w:rPr>
        <w:t> </w:t>
      </w:r>
      <w:r>
        <w:rPr>
          <w:rFonts w:ascii="Times New Roman" w:eastAsia="Times New Roman"/>
          <w:b/>
          <w:sz w:val="21"/>
        </w:rPr>
        <w:t>5.4-35</w:t>
        <w:tab/>
      </w:r>
      <w:r>
        <w:rPr>
          <w:sz w:val="21"/>
        </w:rPr>
        <w:t>土壤评价标准</w:t>
        <w:tab/>
        <w:t>单位：</w:t>
      </w:r>
      <w:r>
        <w:rPr>
          <w:rFonts w:ascii="Times New Roman" w:eastAsia="Times New Roman"/>
          <w:b/>
          <w:sz w:val="21"/>
        </w:rPr>
        <w:t>mg/kg</w:t>
      </w:r>
    </w:p>
    <w:tbl>
      <w:tblPr>
        <w:tblW w:w="0" w:type="auto"/>
        <w:jc w:val="left"/>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71"/>
        <w:gridCol w:w="3046"/>
        <w:gridCol w:w="4058"/>
      </w:tblGrid>
      <w:tr>
        <w:trPr>
          <w:trHeight w:val="339" w:hRule="atLeast"/>
        </w:trPr>
        <w:tc>
          <w:tcPr>
            <w:tcW w:w="1171" w:type="dxa"/>
            <w:tcBorders>
              <w:bottom w:val="single" w:sz="6" w:space="0" w:color="000000"/>
              <w:right w:val="single" w:sz="6" w:space="0" w:color="000000"/>
            </w:tcBorders>
          </w:tcPr>
          <w:p>
            <w:pPr>
              <w:pStyle w:val="TableParagraph"/>
              <w:spacing w:line="320" w:lineRule="exact"/>
              <w:ind w:left="352" w:right="336"/>
              <w:rPr>
                <w:sz w:val="21"/>
              </w:rPr>
            </w:pPr>
            <w:r>
              <w:rPr>
                <w:sz w:val="21"/>
              </w:rPr>
              <w:t>序号</w:t>
            </w:r>
          </w:p>
        </w:tc>
        <w:tc>
          <w:tcPr>
            <w:tcW w:w="3046" w:type="dxa"/>
            <w:tcBorders>
              <w:left w:val="single" w:sz="6" w:space="0" w:color="000000"/>
              <w:bottom w:val="single" w:sz="6" w:space="0" w:color="000000"/>
              <w:right w:val="single" w:sz="6" w:space="0" w:color="000000"/>
            </w:tcBorders>
          </w:tcPr>
          <w:p>
            <w:pPr>
              <w:pStyle w:val="TableParagraph"/>
              <w:spacing w:line="320" w:lineRule="exact"/>
              <w:ind w:left="516" w:right="489"/>
              <w:rPr>
                <w:sz w:val="21"/>
              </w:rPr>
            </w:pPr>
            <w:r>
              <w:rPr>
                <w:sz w:val="21"/>
              </w:rPr>
              <w:t>参数</w:t>
            </w:r>
          </w:p>
        </w:tc>
        <w:tc>
          <w:tcPr>
            <w:tcW w:w="4058" w:type="dxa"/>
            <w:tcBorders>
              <w:left w:val="single" w:sz="6" w:space="0" w:color="000000"/>
              <w:bottom w:val="single" w:sz="6" w:space="0" w:color="000000"/>
            </w:tcBorders>
          </w:tcPr>
          <w:p>
            <w:pPr>
              <w:pStyle w:val="TableParagraph"/>
              <w:spacing w:line="320" w:lineRule="exact"/>
              <w:ind w:left="830" w:right="797"/>
              <w:rPr>
                <w:sz w:val="21"/>
              </w:rPr>
            </w:pPr>
            <w:r>
              <w:rPr>
                <w:sz w:val="21"/>
              </w:rPr>
              <w:t>（</w:t>
            </w:r>
            <w:r>
              <w:rPr>
                <w:rFonts w:ascii="Times New Roman" w:eastAsia="Times New Roman"/>
                <w:b/>
                <w:sz w:val="21"/>
              </w:rPr>
              <w:t>GB36600-2018</w:t>
            </w:r>
            <w:r>
              <w:rPr>
                <w:sz w:val="21"/>
              </w:rPr>
              <w:t>）标准值</w:t>
            </w:r>
          </w:p>
        </w:tc>
      </w:tr>
      <w:tr>
        <w:trPr>
          <w:trHeight w:val="340" w:hRule="atLeast"/>
        </w:trPr>
        <w:tc>
          <w:tcPr>
            <w:tcW w:w="8275" w:type="dxa"/>
            <w:gridSpan w:val="3"/>
            <w:tcBorders>
              <w:top w:val="single" w:sz="6" w:space="0" w:color="000000"/>
              <w:bottom w:val="single" w:sz="6" w:space="0" w:color="000000"/>
            </w:tcBorders>
          </w:tcPr>
          <w:p>
            <w:pPr>
              <w:pStyle w:val="TableParagraph"/>
              <w:spacing w:line="320" w:lineRule="exact"/>
              <w:ind w:left="3380" w:right="3355"/>
              <w:rPr>
                <w:sz w:val="21"/>
              </w:rPr>
            </w:pPr>
            <w:r>
              <w:rPr>
                <w:sz w:val="21"/>
              </w:rPr>
              <w:t>挥发性有机物</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1</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7"/>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四氯乙烷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2</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1-</w:t>
            </w:r>
            <w:r>
              <w:rPr>
                <w:sz w:val="21"/>
              </w:rPr>
              <w:t>三氯乙烷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840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3</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7"/>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2-</w:t>
            </w:r>
            <w:r>
              <w:rPr>
                <w:sz w:val="21"/>
              </w:rPr>
              <w:t>四氯乙烷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6.8</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4</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三氯乙烷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2.8</w:t>
            </w:r>
          </w:p>
        </w:tc>
      </w:tr>
      <w:tr>
        <w:trPr>
          <w:trHeight w:val="337" w:hRule="atLeast"/>
        </w:trPr>
        <w:tc>
          <w:tcPr>
            <w:tcW w:w="1171" w:type="dxa"/>
            <w:tcBorders>
              <w:top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5</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518" w:right="489"/>
              <w:rPr>
                <w:sz w:val="21"/>
              </w:rPr>
            </w:pPr>
            <w:r>
              <w:rPr>
                <w:rFonts w:ascii="Times New Roman" w:eastAsia="Times New Roman"/>
                <w:sz w:val="21"/>
              </w:rPr>
              <w:t>1</w:t>
            </w:r>
            <w:r>
              <w:rPr>
                <w:sz w:val="21"/>
              </w:rPr>
              <w:t>，</w:t>
            </w:r>
            <w:r>
              <w:rPr>
                <w:rFonts w:ascii="Times New Roman" w:eastAsia="Times New Roman"/>
                <w:sz w:val="21"/>
              </w:rPr>
              <w:t>1-</w:t>
            </w:r>
            <w:r>
              <w:rPr>
                <w:sz w:val="21"/>
              </w:rPr>
              <w:t>二氯乙烷</w:t>
            </w:r>
          </w:p>
        </w:tc>
        <w:tc>
          <w:tcPr>
            <w:tcW w:w="4058" w:type="dxa"/>
            <w:tcBorders>
              <w:top w:val="single" w:sz="6" w:space="0" w:color="000000"/>
              <w:left w:val="single" w:sz="6" w:space="0" w:color="000000"/>
              <w:bottom w:val="single" w:sz="6" w:space="0" w:color="000000"/>
            </w:tcBorders>
          </w:tcPr>
          <w:p>
            <w:pPr>
              <w:pStyle w:val="TableParagraph"/>
              <w:spacing w:before="48"/>
              <w:ind w:left="35"/>
              <w:rPr>
                <w:rFonts w:ascii="Times New Roman"/>
                <w:sz w:val="21"/>
              </w:rPr>
            </w:pPr>
            <w:r>
              <w:rPr>
                <w:rFonts w:ascii="Times New Roman"/>
                <w:w w:val="100"/>
                <w:sz w:val="21"/>
              </w:rPr>
              <w:t>9</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51"/>
              <w:ind w:left="16"/>
              <w:rPr>
                <w:rFonts w:ascii="Times New Roman"/>
                <w:sz w:val="21"/>
              </w:rPr>
            </w:pPr>
            <w:r>
              <w:rPr>
                <w:rFonts w:ascii="Times New Roman"/>
                <w:w w:val="100"/>
                <w:sz w:val="21"/>
              </w:rPr>
              <w:t>6</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rFonts w:ascii="Times New Roman" w:eastAsia="Times New Roman"/>
                <w:sz w:val="21"/>
              </w:rPr>
              <w:t>1</w:t>
            </w:r>
            <w:r>
              <w:rPr>
                <w:sz w:val="21"/>
              </w:rPr>
              <w:t>，</w:t>
            </w:r>
            <w:r>
              <w:rPr>
                <w:rFonts w:ascii="Times New Roman" w:eastAsia="Times New Roman"/>
                <w:sz w:val="21"/>
              </w:rPr>
              <w:t>1-</w:t>
            </w:r>
            <w:r>
              <w:rPr>
                <w:sz w:val="21"/>
              </w:rPr>
              <w:t>二氯乙烯</w:t>
            </w:r>
          </w:p>
        </w:tc>
        <w:tc>
          <w:tcPr>
            <w:tcW w:w="4058" w:type="dxa"/>
            <w:tcBorders>
              <w:top w:val="single" w:sz="6" w:space="0" w:color="000000"/>
              <w:left w:val="single" w:sz="6" w:space="0" w:color="000000"/>
              <w:bottom w:val="single" w:sz="6" w:space="0" w:color="000000"/>
            </w:tcBorders>
          </w:tcPr>
          <w:p>
            <w:pPr>
              <w:pStyle w:val="TableParagraph"/>
              <w:spacing w:before="51"/>
              <w:ind w:left="830" w:right="795"/>
              <w:rPr>
                <w:rFonts w:ascii="Times New Roman"/>
                <w:sz w:val="21"/>
              </w:rPr>
            </w:pPr>
            <w:r>
              <w:rPr>
                <w:rFonts w:ascii="Times New Roman"/>
                <w:sz w:val="21"/>
              </w:rPr>
              <w:t>66</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9"/>
              <w:ind w:left="16"/>
              <w:rPr>
                <w:rFonts w:ascii="Times New Roman"/>
                <w:sz w:val="21"/>
              </w:rPr>
            </w:pPr>
            <w:r>
              <w:rPr>
                <w:rFonts w:ascii="Times New Roman"/>
                <w:w w:val="100"/>
                <w:sz w:val="21"/>
              </w:rPr>
              <w:t>7</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518" w:right="486"/>
              <w:rPr>
                <w:sz w:val="21"/>
              </w:rPr>
            </w:pP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w:t>
            </w:r>
            <w:r>
              <w:rPr>
                <w:sz w:val="21"/>
              </w:rPr>
              <w:t>三氯丙烷</w:t>
            </w:r>
          </w:p>
        </w:tc>
        <w:tc>
          <w:tcPr>
            <w:tcW w:w="4058" w:type="dxa"/>
            <w:tcBorders>
              <w:top w:val="single" w:sz="6" w:space="0" w:color="000000"/>
              <w:left w:val="single" w:sz="6" w:space="0" w:color="000000"/>
              <w:bottom w:val="single" w:sz="6" w:space="0" w:color="000000"/>
            </w:tcBorders>
          </w:tcPr>
          <w:p>
            <w:pPr>
              <w:pStyle w:val="TableParagraph"/>
              <w:spacing w:before="49"/>
              <w:ind w:left="830" w:right="795"/>
              <w:rPr>
                <w:rFonts w:ascii="Times New Roman"/>
                <w:sz w:val="21"/>
              </w:rPr>
            </w:pPr>
            <w:r>
              <w:rPr>
                <w:rFonts w:ascii="Times New Roman"/>
                <w:sz w:val="21"/>
              </w:rPr>
              <w:t>0.5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8</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rFonts w:ascii="Times New Roman" w:eastAsia="Times New Roman"/>
                <w:sz w:val="21"/>
              </w:rPr>
              <w:t>1</w:t>
            </w:r>
            <w:r>
              <w:rPr>
                <w:sz w:val="21"/>
              </w:rPr>
              <w:t>，</w:t>
            </w:r>
            <w:r>
              <w:rPr>
                <w:rFonts w:ascii="Times New Roman" w:eastAsia="Times New Roman"/>
                <w:sz w:val="21"/>
              </w:rPr>
              <w:t>2-</w:t>
            </w:r>
            <w:r>
              <w:rPr>
                <w:sz w:val="21"/>
              </w:rPr>
              <w:t>二氯苯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560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9</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rFonts w:ascii="Times New Roman" w:eastAsia="Times New Roman"/>
                <w:sz w:val="21"/>
              </w:rPr>
              <w:t>1</w:t>
            </w:r>
            <w:r>
              <w:rPr>
                <w:sz w:val="21"/>
              </w:rPr>
              <w:t>，</w:t>
            </w:r>
            <w:r>
              <w:rPr>
                <w:rFonts w:ascii="Times New Roman" w:eastAsia="Times New Roman"/>
                <w:sz w:val="21"/>
              </w:rPr>
              <w:t>2-</w:t>
            </w:r>
            <w:r>
              <w:rPr>
                <w:sz w:val="21"/>
              </w:rPr>
              <w:t>二氯丙烷</w:t>
            </w:r>
          </w:p>
        </w:tc>
        <w:tc>
          <w:tcPr>
            <w:tcW w:w="4058" w:type="dxa"/>
            <w:tcBorders>
              <w:top w:val="single" w:sz="6" w:space="0" w:color="000000"/>
              <w:left w:val="single" w:sz="6" w:space="0" w:color="000000"/>
              <w:bottom w:val="single" w:sz="6" w:space="0" w:color="000000"/>
            </w:tcBorders>
          </w:tcPr>
          <w:p>
            <w:pPr>
              <w:pStyle w:val="TableParagraph"/>
              <w:spacing w:before="48"/>
              <w:ind w:left="35"/>
              <w:rPr>
                <w:rFonts w:ascii="Times New Roman"/>
                <w:sz w:val="21"/>
              </w:rPr>
            </w:pPr>
            <w:r>
              <w:rPr>
                <w:rFonts w:ascii="Times New Roman"/>
                <w:w w:val="100"/>
                <w:sz w:val="21"/>
              </w:rPr>
              <w:t>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10</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rFonts w:ascii="Times New Roman" w:eastAsia="Times New Roman"/>
                <w:sz w:val="21"/>
              </w:rPr>
              <w:t>1</w:t>
            </w:r>
            <w:r>
              <w:rPr>
                <w:sz w:val="21"/>
              </w:rPr>
              <w:t>，</w:t>
            </w:r>
            <w:r>
              <w:rPr>
                <w:rFonts w:ascii="Times New Roman" w:eastAsia="Times New Roman"/>
                <w:sz w:val="21"/>
              </w:rPr>
              <w:t>2-</w:t>
            </w:r>
            <w:r>
              <w:rPr>
                <w:sz w:val="21"/>
              </w:rPr>
              <w:t>二氯乙烷</w:t>
            </w:r>
          </w:p>
        </w:tc>
        <w:tc>
          <w:tcPr>
            <w:tcW w:w="4058" w:type="dxa"/>
            <w:tcBorders>
              <w:top w:val="single" w:sz="6" w:space="0" w:color="000000"/>
              <w:left w:val="single" w:sz="6" w:space="0" w:color="000000"/>
              <w:bottom w:val="single" w:sz="6" w:space="0" w:color="000000"/>
            </w:tcBorders>
          </w:tcPr>
          <w:p>
            <w:pPr>
              <w:pStyle w:val="TableParagraph"/>
              <w:spacing w:before="48"/>
              <w:ind w:left="35"/>
              <w:rPr>
                <w:rFonts w:ascii="Times New Roman"/>
                <w:sz w:val="21"/>
              </w:rPr>
            </w:pPr>
            <w:r>
              <w:rPr>
                <w:rFonts w:ascii="Times New Roman"/>
                <w:w w:val="100"/>
                <w:sz w:val="21"/>
              </w:rPr>
              <w:t>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47" w:right="336"/>
              <w:rPr>
                <w:rFonts w:ascii="Times New Roman"/>
                <w:sz w:val="21"/>
              </w:rPr>
            </w:pPr>
            <w:r>
              <w:rPr>
                <w:rFonts w:ascii="Times New Roman"/>
                <w:sz w:val="21"/>
              </w:rPr>
              <w:t>11</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rFonts w:ascii="Times New Roman" w:eastAsia="Times New Roman"/>
                <w:sz w:val="21"/>
              </w:rPr>
              <w:t>1</w:t>
            </w:r>
            <w:r>
              <w:rPr>
                <w:sz w:val="21"/>
              </w:rPr>
              <w:t>，</w:t>
            </w:r>
            <w:r>
              <w:rPr>
                <w:rFonts w:ascii="Times New Roman" w:eastAsia="Times New Roman"/>
                <w:sz w:val="21"/>
              </w:rPr>
              <w:t>4-</w:t>
            </w:r>
            <w:r>
              <w:rPr>
                <w:sz w:val="21"/>
              </w:rPr>
              <w:t>二氯苯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12</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苯</w:t>
            </w:r>
          </w:p>
        </w:tc>
        <w:tc>
          <w:tcPr>
            <w:tcW w:w="4058" w:type="dxa"/>
            <w:tcBorders>
              <w:top w:val="single" w:sz="6" w:space="0" w:color="000000"/>
              <w:left w:val="single" w:sz="6" w:space="0" w:color="000000"/>
              <w:bottom w:val="single" w:sz="6" w:space="0" w:color="000000"/>
            </w:tcBorders>
          </w:tcPr>
          <w:p>
            <w:pPr>
              <w:pStyle w:val="TableParagraph"/>
              <w:spacing w:before="48"/>
              <w:ind w:left="35"/>
              <w:rPr>
                <w:rFonts w:ascii="Times New Roman"/>
                <w:sz w:val="21"/>
              </w:rPr>
            </w:pPr>
            <w:r>
              <w:rPr>
                <w:rFonts w:ascii="Times New Roman"/>
                <w:w w:val="100"/>
                <w:sz w:val="21"/>
              </w:rPr>
              <w:t>4</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13</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苯乙烯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1290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14</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对二甲苯</w:t>
            </w:r>
            <w:r>
              <w:rPr>
                <w:rFonts w:ascii="Times New Roman" w:eastAsia="Times New Roman"/>
                <w:sz w:val="21"/>
              </w:rPr>
              <w:t>+</w:t>
            </w:r>
            <w:r>
              <w:rPr>
                <w:sz w:val="21"/>
              </w:rPr>
              <w:t>间二甲苯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570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15</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二氯甲烷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616</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16</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反</w:t>
            </w:r>
            <w:r>
              <w:rPr>
                <w:rFonts w:ascii="Times New Roman" w:eastAsia="Times New Roman"/>
                <w:sz w:val="21"/>
              </w:rPr>
              <w:t>-1</w:t>
            </w:r>
            <w:r>
              <w:rPr>
                <w:sz w:val="21"/>
              </w:rPr>
              <w:t>，</w:t>
            </w:r>
            <w:r>
              <w:rPr>
                <w:rFonts w:ascii="Times New Roman" w:eastAsia="Times New Roman"/>
                <w:sz w:val="21"/>
              </w:rPr>
              <w:t>2-</w:t>
            </w:r>
            <w:r>
              <w:rPr>
                <w:sz w:val="21"/>
              </w:rPr>
              <w:t>二氯乙烯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54</w:t>
            </w:r>
          </w:p>
        </w:tc>
      </w:tr>
      <w:tr>
        <w:trPr>
          <w:trHeight w:val="340" w:hRule="atLeast"/>
        </w:trPr>
        <w:tc>
          <w:tcPr>
            <w:tcW w:w="1171" w:type="dxa"/>
            <w:tcBorders>
              <w:top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17</w:t>
            </w:r>
          </w:p>
        </w:tc>
        <w:tc>
          <w:tcPr>
            <w:tcW w:w="3046" w:type="dxa"/>
            <w:tcBorders>
              <w:top w:val="single" w:sz="6" w:space="0" w:color="000000"/>
              <w:left w:val="single" w:sz="6" w:space="0" w:color="000000"/>
              <w:right w:val="single" w:sz="6" w:space="0" w:color="000000"/>
            </w:tcBorders>
          </w:tcPr>
          <w:p>
            <w:pPr>
              <w:pStyle w:val="TableParagraph"/>
              <w:spacing w:line="320" w:lineRule="exact"/>
              <w:ind w:left="518" w:right="486"/>
              <w:rPr>
                <w:sz w:val="21"/>
              </w:rPr>
            </w:pPr>
            <w:r>
              <w:rPr>
                <w:sz w:val="21"/>
              </w:rPr>
              <w:t>甲苯</w:t>
            </w:r>
          </w:p>
        </w:tc>
        <w:tc>
          <w:tcPr>
            <w:tcW w:w="4058" w:type="dxa"/>
            <w:tcBorders>
              <w:top w:val="single" w:sz="6" w:space="0" w:color="000000"/>
              <w:left w:val="single" w:sz="6" w:space="0" w:color="000000"/>
            </w:tcBorders>
          </w:tcPr>
          <w:p>
            <w:pPr>
              <w:pStyle w:val="TableParagraph"/>
              <w:spacing w:before="48"/>
              <w:ind w:left="830" w:right="795"/>
              <w:rPr>
                <w:rFonts w:ascii="Times New Roman"/>
                <w:sz w:val="21"/>
              </w:rPr>
            </w:pPr>
            <w:r>
              <w:rPr>
                <w:rFonts w:ascii="Times New Roman"/>
                <w:sz w:val="21"/>
              </w:rPr>
              <w:t>1200</w:t>
            </w:r>
          </w:p>
        </w:tc>
      </w:tr>
    </w:tbl>
    <w:p>
      <w:pPr>
        <w:spacing w:after="0"/>
        <w:rPr>
          <w:rFonts w:ascii="Times New Roman"/>
          <w:sz w:val="21"/>
        </w:rPr>
        <w:sectPr>
          <w:pgSz w:w="11910" w:h="16840"/>
          <w:pgMar w:header="877" w:footer="973" w:top="1340" w:bottom="1160" w:left="1220" w:right="1040"/>
        </w:sectPr>
      </w:pPr>
    </w:p>
    <w:p>
      <w:pPr>
        <w:pStyle w:val="BodyText"/>
        <w:spacing w:before="3"/>
        <w:rPr>
          <w:rFonts w:ascii="Times New Roman"/>
          <w:b/>
          <w:sz w:val="7"/>
        </w:rPr>
      </w:pPr>
    </w:p>
    <w:tbl>
      <w:tblPr>
        <w:tblW w:w="0" w:type="auto"/>
        <w:jc w:val="left"/>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71"/>
        <w:gridCol w:w="3046"/>
        <w:gridCol w:w="4058"/>
      </w:tblGrid>
      <w:tr>
        <w:trPr>
          <w:trHeight w:val="340" w:hRule="atLeast"/>
        </w:trPr>
        <w:tc>
          <w:tcPr>
            <w:tcW w:w="1171" w:type="dxa"/>
            <w:tcBorders>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18</w:t>
            </w:r>
          </w:p>
        </w:tc>
        <w:tc>
          <w:tcPr>
            <w:tcW w:w="3046" w:type="dxa"/>
            <w:tcBorders>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邻二甲苯</w:t>
            </w:r>
          </w:p>
        </w:tc>
        <w:tc>
          <w:tcPr>
            <w:tcW w:w="4058" w:type="dxa"/>
            <w:tcBorders>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640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19</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氯苯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270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20</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氯甲烷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37</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21</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氯乙烯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0.43</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22</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三氯甲烷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270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23</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三氯乙烯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2.8</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24</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顺</w:t>
            </w:r>
            <w:r>
              <w:rPr>
                <w:rFonts w:ascii="Times New Roman" w:eastAsia="Times New Roman"/>
                <w:sz w:val="21"/>
              </w:rPr>
              <w:t>-1</w:t>
            </w:r>
            <w:r>
              <w:rPr>
                <w:sz w:val="21"/>
              </w:rPr>
              <w:t>，</w:t>
            </w:r>
            <w:r>
              <w:rPr>
                <w:rFonts w:ascii="Times New Roman" w:eastAsia="Times New Roman"/>
                <w:sz w:val="21"/>
              </w:rPr>
              <w:t>2-</w:t>
            </w:r>
            <w:r>
              <w:rPr>
                <w:sz w:val="21"/>
              </w:rPr>
              <w:t>二氯乙烯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596</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25</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四氯化碳</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2.8</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26</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四氯乙烯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53</w:t>
            </w:r>
          </w:p>
        </w:tc>
      </w:tr>
      <w:tr>
        <w:trPr>
          <w:trHeight w:val="338" w:hRule="atLeast"/>
        </w:trPr>
        <w:tc>
          <w:tcPr>
            <w:tcW w:w="1171" w:type="dxa"/>
            <w:tcBorders>
              <w:top w:val="single" w:sz="6" w:space="0" w:color="000000"/>
              <w:bottom w:val="single" w:sz="6" w:space="0" w:color="000000"/>
              <w:right w:val="single" w:sz="6" w:space="0" w:color="000000"/>
            </w:tcBorders>
          </w:tcPr>
          <w:p>
            <w:pPr>
              <w:pStyle w:val="TableParagraph"/>
              <w:spacing w:before="49"/>
              <w:ind w:left="352" w:right="336"/>
              <w:rPr>
                <w:rFonts w:ascii="Times New Roman"/>
                <w:sz w:val="21"/>
              </w:rPr>
            </w:pPr>
            <w:r>
              <w:rPr>
                <w:rFonts w:ascii="Times New Roman"/>
                <w:sz w:val="21"/>
              </w:rPr>
              <w:t>27</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518" w:right="486"/>
              <w:rPr>
                <w:sz w:val="21"/>
              </w:rPr>
            </w:pPr>
            <w:r>
              <w:rPr>
                <w:sz w:val="21"/>
              </w:rPr>
              <w:t>乙苯</w:t>
            </w:r>
          </w:p>
        </w:tc>
        <w:tc>
          <w:tcPr>
            <w:tcW w:w="4058" w:type="dxa"/>
            <w:tcBorders>
              <w:top w:val="single" w:sz="6" w:space="0" w:color="000000"/>
              <w:left w:val="single" w:sz="6" w:space="0" w:color="000000"/>
              <w:bottom w:val="single" w:sz="6" w:space="0" w:color="000000"/>
            </w:tcBorders>
          </w:tcPr>
          <w:p>
            <w:pPr>
              <w:pStyle w:val="TableParagraph"/>
              <w:spacing w:before="49"/>
              <w:ind w:left="830" w:right="795"/>
              <w:rPr>
                <w:rFonts w:ascii="Times New Roman"/>
                <w:sz w:val="21"/>
              </w:rPr>
            </w:pPr>
            <w:r>
              <w:rPr>
                <w:rFonts w:ascii="Times New Roman"/>
                <w:sz w:val="21"/>
              </w:rPr>
              <w:t>28</w:t>
            </w:r>
          </w:p>
        </w:tc>
      </w:tr>
      <w:tr>
        <w:trPr>
          <w:trHeight w:val="340" w:hRule="atLeast"/>
        </w:trPr>
        <w:tc>
          <w:tcPr>
            <w:tcW w:w="8275" w:type="dxa"/>
            <w:gridSpan w:val="3"/>
            <w:tcBorders>
              <w:top w:val="single" w:sz="6" w:space="0" w:color="000000"/>
              <w:bottom w:val="single" w:sz="6" w:space="0" w:color="000000"/>
            </w:tcBorders>
          </w:tcPr>
          <w:p>
            <w:pPr>
              <w:pStyle w:val="TableParagraph"/>
              <w:spacing w:line="320" w:lineRule="exact"/>
              <w:ind w:left="3380" w:right="3355"/>
              <w:rPr>
                <w:sz w:val="21"/>
              </w:rPr>
            </w:pPr>
            <w:r>
              <w:rPr>
                <w:sz w:val="21"/>
              </w:rPr>
              <w:t>半挥发性有机物</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28</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硝基苯</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76</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29</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䓛</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1293</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30</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6" w:right="489"/>
              <w:rPr>
                <w:sz w:val="21"/>
              </w:rPr>
            </w:pPr>
            <w:r>
              <w:rPr>
                <w:sz w:val="21"/>
              </w:rPr>
              <w:t>苯并（</w:t>
            </w:r>
            <w:r>
              <w:rPr>
                <w:rFonts w:ascii="Times New Roman" w:eastAsia="Times New Roman"/>
                <w:sz w:val="21"/>
              </w:rPr>
              <w:t>a</w:t>
            </w:r>
            <w:r>
              <w:rPr>
                <w:sz w:val="21"/>
              </w:rPr>
              <w:t>）蒽</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31</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苯并</w:t>
            </w:r>
            <w:r>
              <w:rPr>
                <w:rFonts w:ascii="Times New Roman" w:eastAsia="Times New Roman"/>
                <w:sz w:val="21"/>
              </w:rPr>
              <w:t>(a)</w:t>
            </w:r>
            <w:r>
              <w:rPr>
                <w:sz w:val="21"/>
              </w:rPr>
              <w:t>芘</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32</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苯并（</w:t>
            </w:r>
            <w:r>
              <w:rPr>
                <w:rFonts w:ascii="Times New Roman" w:eastAsia="Times New Roman"/>
                <w:sz w:val="21"/>
              </w:rPr>
              <w:t>b</w:t>
            </w:r>
            <w:r>
              <w:rPr>
                <w:sz w:val="21"/>
              </w:rPr>
              <w:t>）荧蒽</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33</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6"/>
              <w:rPr>
                <w:sz w:val="21"/>
              </w:rPr>
            </w:pPr>
            <w:r>
              <w:rPr>
                <w:sz w:val="21"/>
              </w:rPr>
              <w:t>苯并（</w:t>
            </w:r>
            <w:r>
              <w:rPr>
                <w:rFonts w:ascii="Times New Roman" w:eastAsia="Times New Roman"/>
                <w:sz w:val="21"/>
              </w:rPr>
              <w:t>k</w:t>
            </w:r>
            <w:r>
              <w:rPr>
                <w:sz w:val="21"/>
              </w:rPr>
              <w:t>）荧蒽</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151</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34</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35</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萘</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70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36</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茚并</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3-c</w:t>
            </w:r>
            <w:r>
              <w:rPr>
                <w:sz w:val="21"/>
              </w:rPr>
              <w:t>，</w:t>
            </w:r>
            <w:r>
              <w:rPr>
                <w:rFonts w:ascii="Times New Roman" w:eastAsia="Times New Roman"/>
                <w:sz w:val="21"/>
              </w:rPr>
              <w:t>d)</w:t>
            </w:r>
            <w:r>
              <w:rPr>
                <w:sz w:val="21"/>
              </w:rPr>
              <w:t>芘</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15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37</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6" w:right="489"/>
              <w:rPr>
                <w:sz w:val="21"/>
              </w:rPr>
            </w:pPr>
            <w:r>
              <w:rPr>
                <w:rFonts w:ascii="Times New Roman" w:eastAsia="Times New Roman"/>
                <w:sz w:val="21"/>
              </w:rPr>
              <w:t>2-</w:t>
            </w:r>
            <w:r>
              <w:rPr>
                <w:sz w:val="21"/>
              </w:rPr>
              <w:t>氯酚</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2256</w:t>
            </w:r>
          </w:p>
        </w:tc>
      </w:tr>
      <w:tr>
        <w:trPr>
          <w:trHeight w:val="337"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38</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518" w:right="486"/>
              <w:rPr>
                <w:sz w:val="21"/>
              </w:rPr>
            </w:pPr>
            <w:r>
              <w:rPr>
                <w:sz w:val="21"/>
              </w:rPr>
              <w:t>苯胺</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260</w:t>
            </w:r>
          </w:p>
        </w:tc>
      </w:tr>
      <w:tr>
        <w:trPr>
          <w:trHeight w:val="340" w:hRule="atLeast"/>
        </w:trPr>
        <w:tc>
          <w:tcPr>
            <w:tcW w:w="8275" w:type="dxa"/>
            <w:gridSpan w:val="3"/>
            <w:tcBorders>
              <w:top w:val="single" w:sz="6" w:space="0" w:color="000000"/>
              <w:bottom w:val="single" w:sz="6" w:space="0" w:color="000000"/>
            </w:tcBorders>
          </w:tcPr>
          <w:p>
            <w:pPr>
              <w:pStyle w:val="TableParagraph"/>
              <w:spacing w:line="320" w:lineRule="exact"/>
              <w:ind w:left="3380" w:right="3355"/>
              <w:rPr>
                <w:sz w:val="21"/>
              </w:rPr>
            </w:pPr>
            <w:r>
              <w:rPr>
                <w:sz w:val="21"/>
              </w:rPr>
              <w:t>重金属污染物</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39</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镉</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65</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40</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汞</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38</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41</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砷</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60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42</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镍</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900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43</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铅</w:t>
            </w:r>
          </w:p>
        </w:tc>
        <w:tc>
          <w:tcPr>
            <w:tcW w:w="4058" w:type="dxa"/>
            <w:tcBorders>
              <w:top w:val="single" w:sz="6" w:space="0" w:color="000000"/>
              <w:left w:val="single" w:sz="6" w:space="0" w:color="000000"/>
              <w:bottom w:val="single" w:sz="6" w:space="0" w:color="000000"/>
            </w:tcBorders>
          </w:tcPr>
          <w:p>
            <w:pPr>
              <w:pStyle w:val="TableParagraph"/>
              <w:spacing w:before="48"/>
              <w:ind w:left="830" w:right="795"/>
              <w:rPr>
                <w:rFonts w:ascii="Times New Roman"/>
                <w:sz w:val="21"/>
              </w:rPr>
            </w:pPr>
            <w:r>
              <w:rPr>
                <w:rFonts w:ascii="Times New Roman"/>
                <w:sz w:val="21"/>
              </w:rPr>
              <w:t>800</w:t>
            </w:r>
          </w:p>
        </w:tc>
      </w:tr>
      <w:tr>
        <w:trPr>
          <w:trHeight w:val="340" w:hRule="atLeast"/>
        </w:trPr>
        <w:tc>
          <w:tcPr>
            <w:tcW w:w="1171" w:type="dxa"/>
            <w:tcBorders>
              <w:top w:val="single" w:sz="6" w:space="0" w:color="000000"/>
              <w:bottom w:val="single" w:sz="6" w:space="0" w:color="000000"/>
              <w:right w:val="single" w:sz="6" w:space="0" w:color="000000"/>
            </w:tcBorders>
          </w:tcPr>
          <w:p>
            <w:pPr>
              <w:pStyle w:val="TableParagraph"/>
              <w:spacing w:before="49"/>
              <w:ind w:left="352" w:right="336"/>
              <w:rPr>
                <w:rFonts w:ascii="Times New Roman"/>
                <w:sz w:val="21"/>
              </w:rPr>
            </w:pPr>
            <w:r>
              <w:rPr>
                <w:rFonts w:ascii="Times New Roman"/>
                <w:sz w:val="21"/>
              </w:rPr>
              <w:t>44</w:t>
            </w:r>
          </w:p>
        </w:tc>
        <w:tc>
          <w:tcPr>
            <w:tcW w:w="304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铜</w:t>
            </w:r>
          </w:p>
        </w:tc>
        <w:tc>
          <w:tcPr>
            <w:tcW w:w="4058" w:type="dxa"/>
            <w:tcBorders>
              <w:top w:val="single" w:sz="6" w:space="0" w:color="000000"/>
              <w:left w:val="single" w:sz="6" w:space="0" w:color="000000"/>
              <w:bottom w:val="single" w:sz="6" w:space="0" w:color="000000"/>
            </w:tcBorders>
          </w:tcPr>
          <w:p>
            <w:pPr>
              <w:pStyle w:val="TableParagraph"/>
              <w:spacing w:before="49"/>
              <w:ind w:left="830" w:right="795"/>
              <w:rPr>
                <w:rFonts w:ascii="Times New Roman"/>
                <w:sz w:val="21"/>
              </w:rPr>
            </w:pPr>
            <w:r>
              <w:rPr>
                <w:rFonts w:ascii="Times New Roman"/>
                <w:sz w:val="21"/>
              </w:rPr>
              <w:t>18000</w:t>
            </w:r>
          </w:p>
        </w:tc>
      </w:tr>
      <w:tr>
        <w:trPr>
          <w:trHeight w:val="339" w:hRule="atLeast"/>
        </w:trPr>
        <w:tc>
          <w:tcPr>
            <w:tcW w:w="1171" w:type="dxa"/>
            <w:tcBorders>
              <w:top w:val="single" w:sz="6" w:space="0" w:color="000000"/>
              <w:right w:val="single" w:sz="6" w:space="0" w:color="000000"/>
            </w:tcBorders>
          </w:tcPr>
          <w:p>
            <w:pPr>
              <w:pStyle w:val="TableParagraph"/>
              <w:spacing w:before="48"/>
              <w:ind w:left="352" w:right="336"/>
              <w:rPr>
                <w:rFonts w:ascii="Times New Roman"/>
                <w:sz w:val="21"/>
              </w:rPr>
            </w:pPr>
            <w:r>
              <w:rPr>
                <w:rFonts w:ascii="Times New Roman"/>
                <w:sz w:val="21"/>
              </w:rPr>
              <w:t>45</w:t>
            </w:r>
          </w:p>
        </w:tc>
        <w:tc>
          <w:tcPr>
            <w:tcW w:w="3046" w:type="dxa"/>
            <w:tcBorders>
              <w:top w:val="single" w:sz="6" w:space="0" w:color="000000"/>
              <w:left w:val="single" w:sz="6" w:space="0" w:color="000000"/>
              <w:right w:val="single" w:sz="6" w:space="0" w:color="000000"/>
            </w:tcBorders>
          </w:tcPr>
          <w:p>
            <w:pPr>
              <w:pStyle w:val="TableParagraph"/>
              <w:spacing w:line="320" w:lineRule="exact"/>
              <w:ind w:left="518" w:right="489"/>
              <w:rPr>
                <w:sz w:val="21"/>
              </w:rPr>
            </w:pPr>
            <w:r>
              <w:rPr>
                <w:sz w:val="21"/>
              </w:rPr>
              <w:t>铬（六价）</w:t>
            </w:r>
          </w:p>
        </w:tc>
        <w:tc>
          <w:tcPr>
            <w:tcW w:w="4058" w:type="dxa"/>
            <w:tcBorders>
              <w:top w:val="single" w:sz="6" w:space="0" w:color="000000"/>
              <w:left w:val="single" w:sz="6" w:space="0" w:color="000000"/>
            </w:tcBorders>
          </w:tcPr>
          <w:p>
            <w:pPr>
              <w:pStyle w:val="TableParagraph"/>
              <w:spacing w:before="48"/>
              <w:ind w:left="830" w:right="795"/>
              <w:rPr>
                <w:rFonts w:ascii="Times New Roman"/>
                <w:sz w:val="21"/>
              </w:rPr>
            </w:pPr>
            <w:r>
              <w:rPr>
                <w:rFonts w:ascii="Times New Roman"/>
                <w:sz w:val="21"/>
              </w:rPr>
              <w:t>5.7</w:t>
            </w:r>
          </w:p>
        </w:tc>
      </w:tr>
    </w:tbl>
    <w:p>
      <w:pPr>
        <w:pStyle w:val="BodyText"/>
        <w:spacing w:before="7"/>
        <w:rPr>
          <w:rFonts w:ascii="Times New Roman"/>
          <w:b/>
          <w:sz w:val="7"/>
        </w:rPr>
      </w:pPr>
    </w:p>
    <w:p>
      <w:pPr>
        <w:pStyle w:val="BodyText"/>
        <w:spacing w:line="464" w:lineRule="exact"/>
        <w:ind w:left="1058"/>
      </w:pPr>
      <w:r>
        <w:rPr>
          <w:rFonts w:ascii="Times New Roman" w:eastAsia="Times New Roman"/>
        </w:rPr>
        <w:t>2</w:t>
      </w:r>
      <w:r>
        <w:rPr/>
        <w:t>、评价方法</w:t>
      </w:r>
    </w:p>
    <w:p>
      <w:pPr>
        <w:pStyle w:val="BodyText"/>
        <w:spacing w:line="500" w:lineRule="exact"/>
        <w:ind w:left="1058"/>
      </w:pPr>
      <w:r>
        <w:rPr/>
        <w:t>单因子指数法</w:t>
      </w:r>
    </w:p>
    <w:p>
      <w:pPr>
        <w:pStyle w:val="BodyText"/>
        <w:spacing w:line="504" w:lineRule="exact"/>
        <w:ind w:left="1058"/>
      </w:pPr>
      <w:r>
        <w:rPr/>
        <w:t>采用单因子指数法进行现状评价。</w:t>
      </w:r>
    </w:p>
    <w:p>
      <w:pPr>
        <w:spacing w:after="0" w:line="504" w:lineRule="exact"/>
        <w:sectPr>
          <w:pgSz w:w="11910" w:h="16840"/>
          <w:pgMar w:header="877" w:footer="973" w:top="1340" w:bottom="1160" w:left="1220" w:right="1040"/>
        </w:sectPr>
      </w:pPr>
    </w:p>
    <w:p>
      <w:pPr>
        <w:pStyle w:val="BodyText"/>
        <w:spacing w:line="499" w:lineRule="exact"/>
        <w:ind w:left="1058"/>
      </w:pPr>
      <w:r>
        <w:rPr/>
        <w:t>计算公式为：</w:t>
      </w:r>
    </w:p>
    <w:p>
      <w:pPr>
        <w:pStyle w:val="BodyText"/>
        <w:spacing w:before="17"/>
        <w:rPr>
          <w:sz w:val="26"/>
        </w:rPr>
      </w:pPr>
      <w:r>
        <w:rPr/>
        <w:br w:type="column"/>
      </w:r>
      <w:r>
        <w:rPr>
          <w:sz w:val="26"/>
        </w:rPr>
      </w:r>
    </w:p>
    <w:p>
      <w:pPr>
        <w:spacing w:line="339" w:lineRule="exact" w:before="0"/>
        <w:ind w:left="1058" w:right="0" w:firstLine="0"/>
        <w:jc w:val="left"/>
        <w:rPr>
          <w:rFonts w:ascii="Times New Roman" w:hAnsi="Times New Roman"/>
          <w:i/>
          <w:sz w:val="14"/>
        </w:rPr>
      </w:pPr>
      <w:r>
        <w:rPr/>
        <w:pict>
          <v:line style="position:absolute;mso-position-horizontal-relative:page;mso-position-vertical-relative:paragraph;z-index:1264" from="310.202026pt,16.087049pt" to="325.317643pt,16.087049pt" stroked="true" strokeweight=".481172pt" strokecolor="#000000">
            <v:stroke dashstyle="solid"/>
            <w10:wrap type="none"/>
          </v:line>
        </w:pict>
      </w:r>
      <w:r>
        <w:rPr>
          <w:rFonts w:ascii="Times New Roman" w:hAnsi="Times New Roman"/>
          <w:i/>
          <w:sz w:val="24"/>
        </w:rPr>
        <w:t>S </w:t>
      </w:r>
      <w:r>
        <w:rPr>
          <w:rFonts w:ascii="Symbol" w:hAnsi="Symbol"/>
          <w:sz w:val="24"/>
        </w:rPr>
        <w:t></w:t>
      </w:r>
      <w:r>
        <w:rPr>
          <w:rFonts w:ascii="Times New Roman" w:hAnsi="Times New Roman"/>
          <w:sz w:val="24"/>
        </w:rPr>
        <w:t> </w:t>
      </w:r>
      <w:r>
        <w:rPr>
          <w:rFonts w:ascii="Times New Roman" w:hAnsi="Times New Roman"/>
          <w:i/>
          <w:position w:val="18"/>
          <w:sz w:val="24"/>
        </w:rPr>
        <w:t>C</w:t>
      </w:r>
      <w:r>
        <w:rPr>
          <w:rFonts w:ascii="Times New Roman" w:hAnsi="Times New Roman"/>
          <w:i/>
          <w:position w:val="12"/>
          <w:sz w:val="14"/>
        </w:rPr>
        <w:t>i</w:t>
      </w:r>
    </w:p>
    <w:p>
      <w:pPr>
        <w:spacing w:after="0" w:line="339" w:lineRule="exact"/>
        <w:jc w:val="left"/>
        <w:rPr>
          <w:rFonts w:ascii="Times New Roman" w:hAnsi="Times New Roman"/>
          <w:sz w:val="14"/>
        </w:rPr>
        <w:sectPr>
          <w:type w:val="continuous"/>
          <w:pgSz w:w="11910" w:h="16840"/>
          <w:pgMar w:top="1180" w:bottom="1160" w:left="1220" w:right="1040"/>
          <w:cols w:num="2" w:equalWidth="0">
            <w:col w:w="2539" w:space="929"/>
            <w:col w:w="6182"/>
          </w:cols>
        </w:sectPr>
      </w:pPr>
    </w:p>
    <w:p>
      <w:pPr>
        <w:spacing w:line="155" w:lineRule="exact" w:before="0"/>
        <w:ind w:left="0" w:right="306" w:firstLine="0"/>
        <w:jc w:val="center"/>
        <w:rPr>
          <w:rFonts w:ascii="Times New Roman"/>
          <w:i/>
          <w:sz w:val="14"/>
        </w:rPr>
      </w:pPr>
      <w:r>
        <w:rPr/>
        <w:pict>
          <v:shape style="position:absolute;margin-left:310.638947pt;margin-top:.953367pt;width:8.0500pt;height:13.2pt;mso-position-horizontal-relative:page;mso-position-vertical-relative:paragraph;z-index:1288" type="#_x0000_t202" filled="false" stroked="false">
            <v:textbox inset="0,0,0,0">
              <w:txbxContent>
                <w:p>
                  <w:pPr>
                    <w:spacing w:line="264" w:lineRule="exact" w:before="0"/>
                    <w:ind w:left="0" w:right="0" w:firstLine="0"/>
                    <w:jc w:val="left"/>
                    <w:rPr>
                      <w:rFonts w:ascii="Times New Roman"/>
                      <w:i/>
                      <w:sz w:val="24"/>
                    </w:rPr>
                  </w:pPr>
                  <w:r>
                    <w:rPr>
                      <w:rFonts w:ascii="Times New Roman"/>
                      <w:i/>
                      <w:w w:val="100"/>
                      <w:sz w:val="24"/>
                    </w:rPr>
                    <w:t>C</w:t>
                  </w:r>
                </w:p>
              </w:txbxContent>
            </v:textbox>
            <w10:wrap type="none"/>
          </v:shape>
        </w:pict>
      </w:r>
      <w:r>
        <w:rPr>
          <w:rFonts w:ascii="Times New Roman"/>
          <w:i/>
          <w:w w:val="100"/>
          <w:sz w:val="14"/>
        </w:rPr>
        <w:t>i</w:t>
      </w:r>
    </w:p>
    <w:p>
      <w:pPr>
        <w:spacing w:before="5"/>
        <w:ind w:left="1064" w:right="295" w:firstLine="0"/>
        <w:jc w:val="center"/>
        <w:rPr>
          <w:rFonts w:ascii="Times New Roman"/>
          <w:i/>
          <w:sz w:val="14"/>
        </w:rPr>
      </w:pPr>
      <w:r>
        <w:rPr>
          <w:rFonts w:ascii="Times New Roman"/>
          <w:i/>
          <w:sz w:val="14"/>
        </w:rPr>
        <w:t>si</w:t>
      </w:r>
    </w:p>
    <w:p>
      <w:pPr>
        <w:spacing w:after="0"/>
        <w:jc w:val="center"/>
        <w:rPr>
          <w:rFonts w:ascii="Times New Roman"/>
          <w:sz w:val="14"/>
        </w:rPr>
        <w:sectPr>
          <w:type w:val="continuous"/>
          <w:pgSz w:w="11910" w:h="16840"/>
          <w:pgMar w:top="1180" w:bottom="1160" w:left="1220" w:right="1040"/>
        </w:sectPr>
      </w:pPr>
    </w:p>
    <w:p>
      <w:pPr>
        <w:pStyle w:val="BodyText"/>
        <w:spacing w:before="10"/>
        <w:rPr>
          <w:rFonts w:ascii="Times New Roman"/>
          <w:i/>
          <w:sz w:val="14"/>
        </w:rPr>
      </w:pPr>
    </w:p>
    <w:p>
      <w:pPr>
        <w:pStyle w:val="BodyText"/>
        <w:spacing w:line="462" w:lineRule="exact"/>
        <w:ind w:left="1058"/>
      </w:pPr>
      <w:r>
        <w:rPr>
          <w:position w:val="2"/>
        </w:rPr>
        <w:t>式中：</w:t>
      </w:r>
      <w:r>
        <w:rPr>
          <w:rFonts w:ascii="Times New Roman" w:hAnsi="Times New Roman" w:eastAsia="Times New Roman"/>
          <w:i/>
          <w:position w:val="2"/>
        </w:rPr>
        <w:t>S</w:t>
      </w:r>
      <w:r>
        <w:rPr>
          <w:rFonts w:ascii="Times New Roman" w:hAnsi="Times New Roman" w:eastAsia="Times New Roman"/>
          <w:i/>
          <w:sz w:val="16"/>
        </w:rPr>
        <w:t>i</w:t>
      </w:r>
      <w:r>
        <w:rPr>
          <w:rFonts w:ascii="Times New Roman" w:hAnsi="Times New Roman" w:eastAsia="Times New Roman"/>
          <w:position w:val="2"/>
        </w:rPr>
        <w:t>——</w:t>
      </w:r>
      <w:r>
        <w:rPr>
          <w:position w:val="2"/>
        </w:rPr>
        <w:t>污染物单因子指数；</w:t>
      </w:r>
    </w:p>
    <w:p>
      <w:pPr>
        <w:pStyle w:val="BodyText"/>
        <w:spacing w:line="500" w:lineRule="exact"/>
        <w:ind w:left="1778"/>
      </w:pPr>
      <w:r>
        <w:rPr>
          <w:rFonts w:ascii="Times New Roman" w:hAnsi="Times New Roman" w:eastAsia="Times New Roman"/>
          <w:i/>
          <w:position w:val="2"/>
        </w:rPr>
        <w:t>C</w:t>
      </w:r>
      <w:r>
        <w:rPr>
          <w:rFonts w:ascii="Times New Roman" w:hAnsi="Times New Roman" w:eastAsia="Times New Roman"/>
          <w:i/>
          <w:sz w:val="16"/>
        </w:rPr>
        <w:t>i</w:t>
      </w:r>
      <w:r>
        <w:rPr>
          <w:rFonts w:ascii="Times New Roman" w:hAnsi="Times New Roman" w:eastAsia="Times New Roman"/>
          <w:position w:val="2"/>
        </w:rPr>
        <w:t>——i </w:t>
      </w:r>
      <w:r>
        <w:rPr>
          <w:position w:val="2"/>
        </w:rPr>
        <w:t>污染物的浓度值，</w:t>
      </w:r>
      <w:r>
        <w:rPr>
          <w:rFonts w:ascii="Times New Roman" w:hAnsi="Times New Roman" w:eastAsia="Times New Roman"/>
          <w:position w:val="2"/>
        </w:rPr>
        <w:t>mg/kg</w:t>
      </w:r>
      <w:r>
        <w:rPr>
          <w:position w:val="2"/>
        </w:rPr>
        <w:t>；</w:t>
      </w:r>
    </w:p>
    <w:p>
      <w:pPr>
        <w:pStyle w:val="BodyText"/>
        <w:spacing w:line="501" w:lineRule="exact"/>
        <w:ind w:left="1778"/>
      </w:pPr>
      <w:r>
        <w:rPr>
          <w:rFonts w:ascii="Times New Roman" w:hAnsi="Times New Roman" w:eastAsia="Times New Roman"/>
          <w:i/>
          <w:position w:val="2"/>
        </w:rPr>
        <w:t>C</w:t>
      </w:r>
      <w:r>
        <w:rPr>
          <w:rFonts w:ascii="Times New Roman" w:hAnsi="Times New Roman" w:eastAsia="Times New Roman"/>
          <w:i/>
          <w:sz w:val="16"/>
        </w:rPr>
        <w:t>si</w:t>
      </w:r>
      <w:r>
        <w:rPr>
          <w:rFonts w:ascii="Times New Roman" w:hAnsi="Times New Roman" w:eastAsia="Times New Roman"/>
          <w:position w:val="2"/>
        </w:rPr>
        <w:t>——i </w:t>
      </w:r>
      <w:r>
        <w:rPr>
          <w:position w:val="2"/>
        </w:rPr>
        <w:t>污染物的评价标准值，</w:t>
      </w:r>
      <w:r>
        <w:rPr>
          <w:rFonts w:ascii="Times New Roman" w:hAnsi="Times New Roman" w:eastAsia="Times New Roman"/>
          <w:position w:val="2"/>
        </w:rPr>
        <w:t>mg/kg</w:t>
      </w:r>
      <w:r>
        <w:rPr>
          <w:position w:val="2"/>
        </w:rPr>
        <w:t>。</w:t>
      </w:r>
    </w:p>
    <w:p>
      <w:pPr>
        <w:pStyle w:val="BodyText"/>
        <w:spacing w:line="500" w:lineRule="exact"/>
        <w:ind w:left="1058"/>
      </w:pPr>
      <w:r>
        <w:rPr>
          <w:rFonts w:ascii="Times New Roman" w:eastAsia="Times New Roman"/>
        </w:rPr>
        <w:t>3</w:t>
      </w:r>
      <w:r>
        <w:rPr/>
        <w:t>、评价结果</w:t>
      </w:r>
    </w:p>
    <w:p>
      <w:pPr>
        <w:pStyle w:val="BodyText"/>
        <w:spacing w:line="237" w:lineRule="auto"/>
        <w:ind w:left="578" w:right="880" w:firstLine="479"/>
      </w:pPr>
      <w:r>
        <w:rPr/>
        <w:t>单因子指数法评价结果鉴于部分监测因子未检出，因此，本次环评对未检出的监测因子不在进行评价，仅将检出的监测因子作为评价因子。</w:t>
      </w:r>
    </w:p>
    <w:p>
      <w:pPr>
        <w:pStyle w:val="BodyText"/>
        <w:spacing w:line="499" w:lineRule="exact"/>
        <w:ind w:left="1058"/>
      </w:pPr>
      <w:r>
        <w:rPr/>
        <w:t>土壤环境现状评价结果见表 </w:t>
      </w:r>
      <w:r>
        <w:rPr>
          <w:rFonts w:ascii="Times New Roman" w:eastAsia="Times New Roman"/>
        </w:rPr>
        <w:t>5.4-36</w:t>
      </w:r>
      <w:r>
        <w:rPr/>
        <w:t>。</w:t>
      </w:r>
    </w:p>
    <w:p>
      <w:pPr>
        <w:tabs>
          <w:tab w:pos="4233" w:val="left" w:leader="none"/>
        </w:tabs>
        <w:spacing w:before="99" w:after="24"/>
        <w:ind w:left="3216" w:right="0" w:firstLine="0"/>
        <w:jc w:val="left"/>
        <w:rPr>
          <w:sz w:val="21"/>
        </w:rPr>
      </w:pPr>
      <w:r>
        <w:rPr>
          <w:sz w:val="21"/>
        </w:rPr>
        <w:t>表</w:t>
      </w:r>
      <w:r>
        <w:rPr>
          <w:spacing w:val="7"/>
          <w:sz w:val="21"/>
        </w:rPr>
        <w:t> </w:t>
      </w:r>
      <w:r>
        <w:rPr>
          <w:rFonts w:ascii="Times New Roman" w:eastAsia="Times New Roman"/>
          <w:b/>
          <w:sz w:val="21"/>
        </w:rPr>
        <w:t>5.4-36</w:t>
        <w:tab/>
      </w:r>
      <w:r>
        <w:rPr>
          <w:sz w:val="21"/>
        </w:rPr>
        <w:t>土壤环境现</w:t>
      </w:r>
      <w:r>
        <w:rPr>
          <w:spacing w:val="-3"/>
          <w:sz w:val="21"/>
        </w:rPr>
        <w:t>状</w:t>
      </w:r>
      <w:r>
        <w:rPr>
          <w:sz w:val="21"/>
        </w:rPr>
        <w:t>评价结果表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78"/>
        <w:gridCol w:w="857"/>
        <w:gridCol w:w="1272"/>
        <w:gridCol w:w="860"/>
        <w:gridCol w:w="857"/>
        <w:gridCol w:w="859"/>
        <w:gridCol w:w="857"/>
        <w:gridCol w:w="744"/>
        <w:gridCol w:w="744"/>
      </w:tblGrid>
      <w:tr>
        <w:trPr>
          <w:trHeight w:val="313" w:hRule="atLeast"/>
        </w:trPr>
        <w:tc>
          <w:tcPr>
            <w:tcW w:w="1478" w:type="dxa"/>
            <w:vMerge w:val="restart"/>
            <w:tcBorders>
              <w:bottom w:val="single" w:sz="6" w:space="0" w:color="000000"/>
              <w:right w:val="single" w:sz="6" w:space="0" w:color="000000"/>
            </w:tcBorders>
          </w:tcPr>
          <w:p>
            <w:pPr>
              <w:pStyle w:val="TableParagraph"/>
              <w:spacing w:before="9"/>
              <w:jc w:val="left"/>
              <w:rPr>
                <w:sz w:val="11"/>
              </w:rPr>
            </w:pPr>
          </w:p>
          <w:p>
            <w:pPr>
              <w:pStyle w:val="TableParagraph"/>
              <w:spacing w:before="1"/>
              <w:ind w:left="318"/>
              <w:jc w:val="left"/>
              <w:rPr>
                <w:sz w:val="21"/>
              </w:rPr>
            </w:pPr>
            <w:r>
              <w:rPr>
                <w:sz w:val="21"/>
              </w:rPr>
              <w:t>检测点位</w:t>
            </w:r>
          </w:p>
        </w:tc>
        <w:tc>
          <w:tcPr>
            <w:tcW w:w="7050" w:type="dxa"/>
            <w:gridSpan w:val="8"/>
            <w:tcBorders>
              <w:left w:val="single" w:sz="6" w:space="0" w:color="000000"/>
              <w:bottom w:val="single" w:sz="6" w:space="0" w:color="000000"/>
            </w:tcBorders>
          </w:tcPr>
          <w:p>
            <w:pPr>
              <w:pStyle w:val="TableParagraph"/>
              <w:spacing w:line="293" w:lineRule="exact"/>
              <w:ind w:left="3092" w:right="3055"/>
              <w:rPr>
                <w:sz w:val="21"/>
              </w:rPr>
            </w:pPr>
            <w:r>
              <w:rPr>
                <w:sz w:val="21"/>
              </w:rPr>
              <w:t>检测项目</w:t>
            </w:r>
          </w:p>
        </w:tc>
      </w:tr>
      <w:tr>
        <w:trPr>
          <w:trHeight w:val="623" w:hRule="atLeast"/>
        </w:trPr>
        <w:tc>
          <w:tcPr>
            <w:tcW w:w="1478" w:type="dxa"/>
            <w:vMerge/>
            <w:tcBorders>
              <w:top w:val="nil"/>
              <w:bottom w:val="single" w:sz="6" w:space="0" w:color="000000"/>
              <w:right w:val="single" w:sz="6" w:space="0" w:color="000000"/>
            </w:tcBorders>
          </w:tcPr>
          <w:p>
            <w:pPr>
              <w:rPr>
                <w:sz w:val="2"/>
                <w:szCs w:val="2"/>
              </w:rPr>
            </w:pP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77"/>
              <w:ind w:left="31"/>
              <w:rPr>
                <w:sz w:val="21"/>
              </w:rPr>
            </w:pPr>
            <w:r>
              <w:rPr>
                <w:w w:val="100"/>
                <w:sz w:val="21"/>
              </w:rPr>
              <w:t>砷</w:t>
            </w:r>
          </w:p>
        </w:tc>
        <w:tc>
          <w:tcPr>
            <w:tcW w:w="1272" w:type="dxa"/>
            <w:tcBorders>
              <w:top w:val="single" w:sz="6" w:space="0" w:color="000000"/>
              <w:left w:val="single" w:sz="6" w:space="0" w:color="000000"/>
              <w:bottom w:val="single" w:sz="6" w:space="0" w:color="000000"/>
              <w:right w:val="single" w:sz="6" w:space="0" w:color="000000"/>
            </w:tcBorders>
          </w:tcPr>
          <w:p>
            <w:pPr>
              <w:pStyle w:val="TableParagraph"/>
              <w:spacing w:before="77"/>
              <w:ind w:left="30"/>
              <w:rPr>
                <w:sz w:val="21"/>
              </w:rPr>
            </w:pPr>
            <w:r>
              <w:rPr>
                <w:w w:val="100"/>
                <w:sz w:val="21"/>
              </w:rPr>
              <w:t>镉</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before="77"/>
              <w:ind w:left="29"/>
              <w:rPr>
                <w:sz w:val="21"/>
              </w:rPr>
            </w:pPr>
            <w:r>
              <w:rPr>
                <w:w w:val="100"/>
                <w:sz w:val="21"/>
              </w:rPr>
              <w:t>铜</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77"/>
              <w:ind w:left="31"/>
              <w:rPr>
                <w:sz w:val="21"/>
              </w:rPr>
            </w:pPr>
            <w:r>
              <w:rPr>
                <w:w w:val="100"/>
                <w:sz w:val="21"/>
              </w:rPr>
              <w:t>铅</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77"/>
              <w:ind w:left="29"/>
              <w:rPr>
                <w:sz w:val="21"/>
              </w:rPr>
            </w:pPr>
            <w:r>
              <w:rPr>
                <w:w w:val="100"/>
                <w:sz w:val="21"/>
              </w:rPr>
              <w:t>汞</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77"/>
              <w:ind w:left="31"/>
              <w:rPr>
                <w:sz w:val="21"/>
              </w:rPr>
            </w:pPr>
            <w:r>
              <w:rPr>
                <w:w w:val="100"/>
                <w:sz w:val="21"/>
              </w:rPr>
              <w:t>镍</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68"/>
              <w:jc w:val="left"/>
              <w:rPr>
                <w:sz w:val="21"/>
              </w:rPr>
            </w:pPr>
            <w:r>
              <w:rPr>
                <w:sz w:val="21"/>
              </w:rPr>
              <w:t>四氯</w:t>
            </w:r>
          </w:p>
          <w:p>
            <w:pPr>
              <w:pStyle w:val="TableParagraph"/>
              <w:spacing w:line="303" w:lineRule="exact"/>
              <w:ind w:left="168"/>
              <w:jc w:val="left"/>
              <w:rPr>
                <w:sz w:val="21"/>
              </w:rPr>
            </w:pPr>
            <w:r>
              <w:rPr>
                <w:sz w:val="21"/>
              </w:rPr>
              <w:t>乙烯</w:t>
            </w:r>
          </w:p>
        </w:tc>
        <w:tc>
          <w:tcPr>
            <w:tcW w:w="744" w:type="dxa"/>
            <w:tcBorders>
              <w:top w:val="single" w:sz="6" w:space="0" w:color="000000"/>
              <w:left w:val="single" w:sz="6" w:space="0" w:color="000000"/>
              <w:bottom w:val="single" w:sz="6" w:space="0" w:color="000000"/>
            </w:tcBorders>
          </w:tcPr>
          <w:p>
            <w:pPr>
              <w:pStyle w:val="TableParagraph"/>
              <w:spacing w:line="300" w:lineRule="exact"/>
              <w:ind w:left="123" w:right="86"/>
              <w:rPr>
                <w:sz w:val="21"/>
              </w:rPr>
            </w:pPr>
            <w:r>
              <w:rPr>
                <w:sz w:val="21"/>
              </w:rPr>
              <w:t>氯乙</w:t>
            </w:r>
          </w:p>
          <w:p>
            <w:pPr>
              <w:pStyle w:val="TableParagraph"/>
              <w:spacing w:line="303" w:lineRule="exact"/>
              <w:ind w:left="37"/>
              <w:rPr>
                <w:sz w:val="21"/>
              </w:rPr>
            </w:pPr>
            <w:r>
              <w:rPr>
                <w:w w:val="100"/>
                <w:sz w:val="21"/>
              </w:rPr>
              <w:t>烯</w:t>
            </w:r>
          </w:p>
        </w:tc>
      </w:tr>
      <w:tr>
        <w:trPr>
          <w:trHeight w:val="544" w:hRule="atLeast"/>
        </w:trPr>
        <w:tc>
          <w:tcPr>
            <w:tcW w:w="1478" w:type="dxa"/>
            <w:tcBorders>
              <w:top w:val="single" w:sz="6" w:space="0" w:color="000000"/>
              <w:bottom w:val="single" w:sz="6" w:space="0" w:color="000000"/>
              <w:right w:val="single" w:sz="6" w:space="0" w:color="000000"/>
            </w:tcBorders>
          </w:tcPr>
          <w:p>
            <w:pPr>
              <w:pStyle w:val="TableParagraph"/>
              <w:spacing w:line="259" w:lineRule="exact"/>
              <w:ind w:left="88" w:right="67"/>
              <w:rPr>
                <w:sz w:val="21"/>
              </w:rPr>
            </w:pPr>
            <w:r>
              <w:rPr>
                <w:sz w:val="21"/>
              </w:rPr>
              <w:t>厂址装置区表</w:t>
            </w:r>
          </w:p>
          <w:p>
            <w:pPr>
              <w:pStyle w:val="TableParagraph"/>
              <w:spacing w:line="265" w:lineRule="exact"/>
              <w:ind w:left="88" w:right="67"/>
              <w:rPr>
                <w:sz w:val="21"/>
              </w:rPr>
            </w:pPr>
            <w:r>
              <w:rPr>
                <w:sz w:val="21"/>
              </w:rPr>
              <w:t>层土</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6"/>
              <w:rPr>
                <w:rFonts w:ascii="Times New Roman"/>
                <w:sz w:val="21"/>
              </w:rPr>
            </w:pPr>
            <w:r>
              <w:rPr>
                <w:rFonts w:ascii="Times New Roman"/>
                <w:sz w:val="21"/>
              </w:rPr>
              <w:t>0.1172</w:t>
            </w:r>
          </w:p>
        </w:tc>
        <w:tc>
          <w:tcPr>
            <w:tcW w:w="1272" w:type="dxa"/>
            <w:tcBorders>
              <w:top w:val="single" w:sz="6" w:space="0" w:color="000000"/>
              <w:left w:val="single" w:sz="6" w:space="0" w:color="000000"/>
              <w:bottom w:val="single" w:sz="6" w:space="0" w:color="000000"/>
              <w:right w:val="single" w:sz="6" w:space="0" w:color="000000"/>
            </w:tcBorders>
          </w:tcPr>
          <w:p>
            <w:pPr>
              <w:pStyle w:val="TableParagraph"/>
              <w:spacing w:before="151"/>
              <w:ind w:left="334" w:right="304"/>
              <w:rPr>
                <w:rFonts w:ascii="Times New Roman"/>
                <w:sz w:val="21"/>
              </w:rPr>
            </w:pPr>
            <w:r>
              <w:rPr>
                <w:rFonts w:ascii="Times New Roman"/>
                <w:sz w:val="21"/>
              </w:rPr>
              <w:t>0.0108</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before="151"/>
              <w:ind w:left="128" w:right="99"/>
              <w:rPr>
                <w:rFonts w:ascii="Times New Roman"/>
                <w:sz w:val="21"/>
              </w:rPr>
            </w:pPr>
            <w:r>
              <w:rPr>
                <w:rFonts w:ascii="Times New Roman"/>
                <w:sz w:val="21"/>
              </w:rPr>
              <w:t>0.0010</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6"/>
              <w:rPr>
                <w:rFonts w:ascii="Times New Roman"/>
                <w:sz w:val="21"/>
              </w:rPr>
            </w:pPr>
            <w:r>
              <w:rPr>
                <w:rFonts w:ascii="Times New Roman"/>
                <w:sz w:val="21"/>
              </w:rPr>
              <w:t>0.0466</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8"/>
              <w:rPr>
                <w:rFonts w:ascii="Times New Roman"/>
                <w:sz w:val="21"/>
              </w:rPr>
            </w:pPr>
            <w:r>
              <w:rPr>
                <w:rFonts w:ascii="Times New Roman"/>
                <w:sz w:val="21"/>
              </w:rPr>
              <w:t>0.0050</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6"/>
              <w:rPr>
                <w:rFonts w:ascii="Times New Roman"/>
                <w:sz w:val="21"/>
              </w:rPr>
            </w:pPr>
            <w:r>
              <w:rPr>
                <w:rFonts w:ascii="Times New Roman"/>
                <w:sz w:val="21"/>
              </w:rPr>
              <w:t>0.0401</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151"/>
              <w:ind w:left="123" w:right="93"/>
              <w:rPr>
                <w:rFonts w:ascii="Times New Roman"/>
                <w:sz w:val="21"/>
              </w:rPr>
            </w:pPr>
            <w:r>
              <w:rPr>
                <w:rFonts w:ascii="Times New Roman"/>
                <w:sz w:val="21"/>
              </w:rPr>
              <w:t>0.075</w:t>
            </w:r>
          </w:p>
        </w:tc>
        <w:tc>
          <w:tcPr>
            <w:tcW w:w="744" w:type="dxa"/>
            <w:tcBorders>
              <w:top w:val="single" w:sz="6" w:space="0" w:color="000000"/>
              <w:left w:val="single" w:sz="6" w:space="0" w:color="000000"/>
              <w:bottom w:val="single" w:sz="6" w:space="0" w:color="000000"/>
            </w:tcBorders>
          </w:tcPr>
          <w:p>
            <w:pPr>
              <w:pStyle w:val="TableParagraph"/>
              <w:spacing w:before="39"/>
              <w:ind w:left="37"/>
              <w:rPr>
                <w:sz w:val="21"/>
              </w:rPr>
            </w:pPr>
            <w:r>
              <w:rPr>
                <w:w w:val="128"/>
                <w:sz w:val="21"/>
              </w:rPr>
              <w:t>/</w:t>
            </w:r>
          </w:p>
        </w:tc>
      </w:tr>
      <w:tr>
        <w:trPr>
          <w:trHeight w:val="544" w:hRule="atLeast"/>
        </w:trPr>
        <w:tc>
          <w:tcPr>
            <w:tcW w:w="1478" w:type="dxa"/>
            <w:tcBorders>
              <w:top w:val="single" w:sz="6" w:space="0" w:color="000000"/>
              <w:bottom w:val="single" w:sz="6" w:space="0" w:color="000000"/>
              <w:right w:val="single" w:sz="6" w:space="0" w:color="000000"/>
            </w:tcBorders>
          </w:tcPr>
          <w:p>
            <w:pPr>
              <w:pStyle w:val="TableParagraph"/>
              <w:spacing w:line="261" w:lineRule="exact"/>
              <w:ind w:left="88" w:right="67"/>
              <w:rPr>
                <w:sz w:val="21"/>
              </w:rPr>
            </w:pPr>
            <w:r>
              <w:rPr>
                <w:sz w:val="21"/>
              </w:rPr>
              <w:t>厂址装置区中</w:t>
            </w:r>
          </w:p>
          <w:p>
            <w:pPr>
              <w:pStyle w:val="TableParagraph"/>
              <w:spacing w:line="263" w:lineRule="exact"/>
              <w:ind w:left="88" w:right="67"/>
              <w:rPr>
                <w:sz w:val="21"/>
              </w:rPr>
            </w:pPr>
            <w:r>
              <w:rPr>
                <w:sz w:val="21"/>
              </w:rPr>
              <w:t>层土</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6"/>
              <w:rPr>
                <w:rFonts w:ascii="Times New Roman"/>
                <w:sz w:val="21"/>
              </w:rPr>
            </w:pPr>
            <w:r>
              <w:rPr>
                <w:rFonts w:ascii="Times New Roman"/>
                <w:sz w:val="21"/>
              </w:rPr>
              <w:t>0.0865</w:t>
            </w:r>
          </w:p>
        </w:tc>
        <w:tc>
          <w:tcPr>
            <w:tcW w:w="1272" w:type="dxa"/>
            <w:tcBorders>
              <w:top w:val="single" w:sz="6" w:space="0" w:color="000000"/>
              <w:left w:val="single" w:sz="6" w:space="0" w:color="000000"/>
              <w:bottom w:val="single" w:sz="6" w:space="0" w:color="000000"/>
              <w:right w:val="single" w:sz="6" w:space="0" w:color="000000"/>
            </w:tcBorders>
          </w:tcPr>
          <w:p>
            <w:pPr>
              <w:pStyle w:val="TableParagraph"/>
              <w:spacing w:before="151"/>
              <w:ind w:left="334" w:right="304"/>
              <w:rPr>
                <w:rFonts w:ascii="Times New Roman"/>
                <w:sz w:val="21"/>
              </w:rPr>
            </w:pPr>
            <w:r>
              <w:rPr>
                <w:rFonts w:ascii="Times New Roman"/>
                <w:sz w:val="21"/>
              </w:rPr>
              <w:t>0.0092</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before="151"/>
              <w:ind w:left="128" w:right="99"/>
              <w:rPr>
                <w:rFonts w:ascii="Times New Roman"/>
                <w:sz w:val="21"/>
              </w:rPr>
            </w:pPr>
            <w:r>
              <w:rPr>
                <w:rFonts w:ascii="Times New Roman"/>
                <w:sz w:val="21"/>
              </w:rPr>
              <w:t>0.0007</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6"/>
              <w:rPr>
                <w:rFonts w:ascii="Times New Roman"/>
                <w:sz w:val="21"/>
              </w:rPr>
            </w:pPr>
            <w:r>
              <w:rPr>
                <w:rFonts w:ascii="Times New Roman"/>
                <w:sz w:val="21"/>
              </w:rPr>
              <w:t>0.0228</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8"/>
              <w:rPr>
                <w:rFonts w:ascii="Times New Roman"/>
                <w:sz w:val="21"/>
              </w:rPr>
            </w:pPr>
            <w:r>
              <w:rPr>
                <w:rFonts w:ascii="Times New Roman"/>
                <w:sz w:val="21"/>
              </w:rPr>
              <w:t>0.0023</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51"/>
              <w:ind w:left="127" w:right="96"/>
              <w:rPr>
                <w:rFonts w:ascii="Times New Roman"/>
                <w:sz w:val="21"/>
              </w:rPr>
            </w:pPr>
            <w:r>
              <w:rPr>
                <w:rFonts w:ascii="Times New Roman"/>
                <w:sz w:val="21"/>
              </w:rPr>
              <w:t>0.0277</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39"/>
              <w:ind w:left="30"/>
              <w:rPr>
                <w:sz w:val="21"/>
              </w:rPr>
            </w:pPr>
            <w:r>
              <w:rPr>
                <w:w w:val="128"/>
                <w:sz w:val="21"/>
              </w:rPr>
              <w:t>/</w:t>
            </w:r>
          </w:p>
        </w:tc>
        <w:tc>
          <w:tcPr>
            <w:tcW w:w="744" w:type="dxa"/>
            <w:tcBorders>
              <w:top w:val="single" w:sz="6" w:space="0" w:color="000000"/>
              <w:left w:val="single" w:sz="6" w:space="0" w:color="000000"/>
              <w:bottom w:val="single" w:sz="6" w:space="0" w:color="000000"/>
            </w:tcBorders>
          </w:tcPr>
          <w:p>
            <w:pPr>
              <w:pStyle w:val="TableParagraph"/>
              <w:spacing w:before="39"/>
              <w:ind w:left="37"/>
              <w:rPr>
                <w:sz w:val="21"/>
              </w:rPr>
            </w:pPr>
            <w:r>
              <w:rPr>
                <w:w w:val="128"/>
                <w:sz w:val="21"/>
              </w:rPr>
              <w:t>/</w:t>
            </w:r>
          </w:p>
        </w:tc>
      </w:tr>
      <w:tr>
        <w:trPr>
          <w:trHeight w:val="1091" w:hRule="atLeast"/>
        </w:trPr>
        <w:tc>
          <w:tcPr>
            <w:tcW w:w="1478" w:type="dxa"/>
            <w:tcBorders>
              <w:top w:val="single" w:sz="6" w:space="0" w:color="000000"/>
              <w:bottom w:val="single" w:sz="6" w:space="0" w:color="000000"/>
              <w:right w:val="single" w:sz="6" w:space="0" w:color="000000"/>
            </w:tcBorders>
          </w:tcPr>
          <w:p>
            <w:pPr>
              <w:pStyle w:val="TableParagraph"/>
              <w:spacing w:line="146" w:lineRule="auto" w:before="23"/>
              <w:ind w:left="107" w:right="83"/>
              <w:jc w:val="both"/>
              <w:rPr>
                <w:sz w:val="21"/>
              </w:rPr>
            </w:pPr>
            <w:r>
              <w:rPr>
                <w:sz w:val="21"/>
              </w:rPr>
              <w:t>厂址南侧厂界外表层土</w:t>
            </w:r>
            <w:r>
              <w:rPr>
                <w:rFonts w:ascii="Times New Roman" w:eastAsia="Times New Roman"/>
                <w:sz w:val="21"/>
              </w:rPr>
              <w:t>/</w:t>
            </w:r>
            <w:r>
              <w:rPr>
                <w:sz w:val="21"/>
              </w:rPr>
              <w:t>项目厂址上风向</w:t>
            </w:r>
          </w:p>
          <w:p>
            <w:pPr>
              <w:pStyle w:val="TableParagraph"/>
              <w:spacing w:line="233" w:lineRule="exact"/>
              <w:ind w:left="88" w:right="67"/>
              <w:rPr>
                <w:sz w:val="21"/>
              </w:rPr>
            </w:pPr>
            <w:r>
              <w:rPr>
                <w:sz w:val="21"/>
              </w:rPr>
              <w:t>土壤</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27" w:right="96"/>
              <w:rPr>
                <w:rFonts w:ascii="Times New Roman"/>
                <w:sz w:val="21"/>
              </w:rPr>
            </w:pPr>
            <w:r>
              <w:rPr>
                <w:rFonts w:ascii="Times New Roman"/>
                <w:sz w:val="21"/>
              </w:rPr>
              <w:t>0.0988</w:t>
            </w:r>
          </w:p>
        </w:tc>
        <w:tc>
          <w:tcPr>
            <w:tcW w:w="1272"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334" w:right="304"/>
              <w:rPr>
                <w:rFonts w:ascii="Times New Roman"/>
                <w:sz w:val="21"/>
              </w:rPr>
            </w:pPr>
            <w:r>
              <w:rPr>
                <w:rFonts w:ascii="Times New Roman"/>
                <w:sz w:val="21"/>
              </w:rPr>
              <w:t>0.0108</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28" w:right="99"/>
              <w:rPr>
                <w:rFonts w:ascii="Times New Roman"/>
                <w:sz w:val="21"/>
              </w:rPr>
            </w:pPr>
            <w:r>
              <w:rPr>
                <w:rFonts w:ascii="Times New Roman"/>
                <w:sz w:val="21"/>
              </w:rPr>
              <w:t>0.0010</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27" w:right="96"/>
              <w:rPr>
                <w:rFonts w:ascii="Times New Roman"/>
                <w:sz w:val="21"/>
              </w:rPr>
            </w:pPr>
            <w:r>
              <w:rPr>
                <w:rFonts w:ascii="Times New Roman"/>
                <w:sz w:val="21"/>
              </w:rPr>
              <w:t>0.0370</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27" w:right="98"/>
              <w:rPr>
                <w:rFonts w:ascii="Times New Roman"/>
                <w:sz w:val="21"/>
              </w:rPr>
            </w:pPr>
            <w:r>
              <w:rPr>
                <w:rFonts w:ascii="Times New Roman"/>
                <w:sz w:val="21"/>
              </w:rPr>
              <w:t>0.0126</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27" w:right="96"/>
              <w:rPr>
                <w:rFonts w:ascii="Times New Roman"/>
                <w:sz w:val="21"/>
              </w:rPr>
            </w:pPr>
            <w:r>
              <w:rPr>
                <w:rFonts w:ascii="Times New Roman"/>
                <w:sz w:val="21"/>
              </w:rPr>
              <w:t>0.0342</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4"/>
              </w:rPr>
            </w:pPr>
          </w:p>
          <w:p>
            <w:pPr>
              <w:pStyle w:val="TableParagraph"/>
              <w:ind w:left="30"/>
              <w:rPr>
                <w:sz w:val="21"/>
              </w:rPr>
            </w:pPr>
            <w:r>
              <w:rPr>
                <w:w w:val="128"/>
                <w:sz w:val="21"/>
              </w:rPr>
              <w:t>/</w:t>
            </w:r>
          </w:p>
        </w:tc>
        <w:tc>
          <w:tcPr>
            <w:tcW w:w="744" w:type="dxa"/>
            <w:tcBorders>
              <w:top w:val="single" w:sz="6" w:space="0" w:color="000000"/>
              <w:left w:val="single" w:sz="6" w:space="0" w:color="000000"/>
              <w:bottom w:val="single" w:sz="6" w:space="0" w:color="000000"/>
            </w:tcBorders>
          </w:tcPr>
          <w:p>
            <w:pPr>
              <w:pStyle w:val="TableParagraph"/>
              <w:spacing w:before="16"/>
              <w:jc w:val="left"/>
              <w:rPr>
                <w:sz w:val="14"/>
              </w:rPr>
            </w:pPr>
          </w:p>
          <w:p>
            <w:pPr>
              <w:pStyle w:val="TableParagraph"/>
              <w:ind w:left="37"/>
              <w:rPr>
                <w:sz w:val="21"/>
              </w:rPr>
            </w:pPr>
            <w:r>
              <w:rPr>
                <w:w w:val="128"/>
                <w:sz w:val="21"/>
              </w:rPr>
              <w:t>/</w:t>
            </w:r>
          </w:p>
        </w:tc>
      </w:tr>
      <w:tr>
        <w:trPr>
          <w:trHeight w:val="815" w:hRule="atLeast"/>
        </w:trPr>
        <w:tc>
          <w:tcPr>
            <w:tcW w:w="1478" w:type="dxa"/>
            <w:tcBorders>
              <w:top w:val="single" w:sz="6" w:space="0" w:color="000000"/>
              <w:bottom w:val="single" w:sz="6" w:space="0" w:color="000000"/>
              <w:right w:val="single" w:sz="6" w:space="0" w:color="000000"/>
            </w:tcBorders>
          </w:tcPr>
          <w:p>
            <w:pPr>
              <w:pStyle w:val="TableParagraph"/>
              <w:spacing w:line="146" w:lineRule="auto" w:before="21"/>
              <w:ind w:left="107" w:right="83"/>
              <w:rPr>
                <w:sz w:val="21"/>
              </w:rPr>
            </w:pPr>
            <w:r>
              <w:rPr>
                <w:spacing w:val="-2"/>
                <w:sz w:val="21"/>
              </w:rPr>
              <w:t>后柴沟村表层土</w:t>
            </w:r>
            <w:r>
              <w:rPr>
                <w:rFonts w:ascii="Times New Roman" w:eastAsia="Times New Roman"/>
                <w:spacing w:val="-2"/>
                <w:sz w:val="21"/>
              </w:rPr>
              <w:t>/</w:t>
            </w:r>
            <w:r>
              <w:rPr>
                <w:spacing w:val="-2"/>
                <w:sz w:val="21"/>
              </w:rPr>
              <w:t>项目厂址</w:t>
            </w:r>
          </w:p>
          <w:p>
            <w:pPr>
              <w:pStyle w:val="TableParagraph"/>
              <w:spacing w:line="231" w:lineRule="exact"/>
              <w:ind w:left="88" w:right="64"/>
              <w:rPr>
                <w:sz w:val="21"/>
              </w:rPr>
            </w:pPr>
            <w:r>
              <w:rPr>
                <w:spacing w:val="-1"/>
                <w:sz w:val="21"/>
              </w:rPr>
              <w:t>下风向土壤</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3"/>
              </w:rPr>
            </w:pPr>
          </w:p>
          <w:p>
            <w:pPr>
              <w:pStyle w:val="TableParagraph"/>
              <w:ind w:left="127" w:right="96"/>
              <w:rPr>
                <w:rFonts w:ascii="Times New Roman"/>
                <w:sz w:val="21"/>
              </w:rPr>
            </w:pPr>
            <w:r>
              <w:rPr>
                <w:rFonts w:ascii="Times New Roman"/>
                <w:sz w:val="21"/>
              </w:rPr>
              <w:t>0.0880</w:t>
            </w:r>
          </w:p>
        </w:tc>
        <w:tc>
          <w:tcPr>
            <w:tcW w:w="1272"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3"/>
              </w:rPr>
            </w:pPr>
          </w:p>
          <w:p>
            <w:pPr>
              <w:pStyle w:val="TableParagraph"/>
              <w:ind w:left="334" w:right="304"/>
              <w:rPr>
                <w:rFonts w:ascii="Times New Roman"/>
                <w:sz w:val="21"/>
              </w:rPr>
            </w:pPr>
            <w:r>
              <w:rPr>
                <w:rFonts w:ascii="Times New Roman"/>
                <w:sz w:val="21"/>
              </w:rPr>
              <w:t>0.0108</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3"/>
              </w:rPr>
            </w:pPr>
          </w:p>
          <w:p>
            <w:pPr>
              <w:pStyle w:val="TableParagraph"/>
              <w:ind w:left="128" w:right="99"/>
              <w:rPr>
                <w:rFonts w:ascii="Times New Roman"/>
                <w:sz w:val="21"/>
              </w:rPr>
            </w:pPr>
            <w:r>
              <w:rPr>
                <w:rFonts w:ascii="Times New Roman"/>
                <w:sz w:val="21"/>
              </w:rPr>
              <w:t>0.0009</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3"/>
              </w:rPr>
            </w:pPr>
          </w:p>
          <w:p>
            <w:pPr>
              <w:pStyle w:val="TableParagraph"/>
              <w:ind w:left="127" w:right="96"/>
              <w:rPr>
                <w:rFonts w:ascii="Times New Roman"/>
                <w:sz w:val="21"/>
              </w:rPr>
            </w:pPr>
            <w:r>
              <w:rPr>
                <w:rFonts w:ascii="Times New Roman"/>
                <w:sz w:val="21"/>
              </w:rPr>
              <w:t>0.0244</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3"/>
              </w:rPr>
            </w:pPr>
          </w:p>
          <w:p>
            <w:pPr>
              <w:pStyle w:val="TableParagraph"/>
              <w:ind w:left="127" w:right="98"/>
              <w:rPr>
                <w:rFonts w:ascii="Times New Roman"/>
                <w:sz w:val="21"/>
              </w:rPr>
            </w:pPr>
            <w:r>
              <w:rPr>
                <w:rFonts w:ascii="Times New Roman"/>
                <w:sz w:val="21"/>
              </w:rPr>
              <w:t>0.0068</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3"/>
              </w:rPr>
            </w:pPr>
          </w:p>
          <w:p>
            <w:pPr>
              <w:pStyle w:val="TableParagraph"/>
              <w:ind w:left="127" w:right="96"/>
              <w:rPr>
                <w:rFonts w:ascii="Times New Roman"/>
                <w:sz w:val="21"/>
              </w:rPr>
            </w:pPr>
            <w:r>
              <w:rPr>
                <w:rFonts w:ascii="Times New Roman"/>
                <w:sz w:val="21"/>
              </w:rPr>
              <w:t>0.0242</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3"/>
              </w:rPr>
            </w:pPr>
          </w:p>
          <w:p>
            <w:pPr>
              <w:pStyle w:val="TableParagraph"/>
              <w:ind w:left="123" w:right="93"/>
              <w:rPr>
                <w:rFonts w:ascii="Times New Roman"/>
                <w:sz w:val="21"/>
              </w:rPr>
            </w:pPr>
            <w:r>
              <w:rPr>
                <w:rFonts w:ascii="Times New Roman"/>
                <w:sz w:val="21"/>
              </w:rPr>
              <w:t>0.034</w:t>
            </w:r>
          </w:p>
        </w:tc>
        <w:tc>
          <w:tcPr>
            <w:tcW w:w="744" w:type="dxa"/>
            <w:tcBorders>
              <w:top w:val="single" w:sz="6" w:space="0" w:color="000000"/>
              <w:left w:val="single" w:sz="6" w:space="0" w:color="000000"/>
              <w:bottom w:val="single" w:sz="6" w:space="0" w:color="000000"/>
            </w:tcBorders>
          </w:tcPr>
          <w:p>
            <w:pPr>
              <w:pStyle w:val="TableParagraph"/>
              <w:spacing w:before="10"/>
              <w:jc w:val="left"/>
              <w:rPr>
                <w:sz w:val="13"/>
              </w:rPr>
            </w:pPr>
          </w:p>
          <w:p>
            <w:pPr>
              <w:pStyle w:val="TableParagraph"/>
              <w:ind w:left="123" w:right="86"/>
              <w:rPr>
                <w:rFonts w:ascii="Times New Roman"/>
                <w:sz w:val="21"/>
              </w:rPr>
            </w:pPr>
            <w:r>
              <w:rPr>
                <w:rFonts w:ascii="Times New Roman"/>
                <w:sz w:val="21"/>
              </w:rPr>
              <w:t>0.003</w:t>
            </w:r>
          </w:p>
        </w:tc>
      </w:tr>
      <w:tr>
        <w:trPr>
          <w:trHeight w:val="625" w:hRule="atLeast"/>
        </w:trPr>
        <w:tc>
          <w:tcPr>
            <w:tcW w:w="1478" w:type="dxa"/>
            <w:tcBorders>
              <w:top w:val="single" w:sz="6" w:space="0" w:color="000000"/>
              <w:bottom w:val="single" w:sz="6" w:space="0" w:color="000000"/>
              <w:right w:val="single" w:sz="6" w:space="0" w:color="000000"/>
            </w:tcBorders>
          </w:tcPr>
          <w:p>
            <w:pPr>
              <w:pStyle w:val="TableParagraph"/>
              <w:spacing w:line="303" w:lineRule="exact"/>
              <w:ind w:left="88" w:right="67"/>
              <w:rPr>
                <w:sz w:val="21"/>
              </w:rPr>
            </w:pPr>
            <w:r>
              <w:rPr>
                <w:sz w:val="21"/>
              </w:rPr>
              <w:t>项目厂址装置</w:t>
            </w:r>
          </w:p>
          <w:p>
            <w:pPr>
              <w:pStyle w:val="TableParagraph"/>
              <w:spacing w:line="303" w:lineRule="exact"/>
              <w:ind w:left="88" w:right="66"/>
              <w:rPr>
                <w:rFonts w:ascii="Times New Roman" w:eastAsia="Times New Roman"/>
                <w:sz w:val="21"/>
              </w:rPr>
            </w:pPr>
            <w:r>
              <w:rPr>
                <w:sz w:val="21"/>
              </w:rPr>
              <w:t>区 </w:t>
            </w:r>
            <w:r>
              <w:rPr>
                <w:rFonts w:ascii="Times New Roman" w:eastAsia="Times New Roman"/>
                <w:sz w:val="21"/>
              </w:rPr>
              <w:t>0.5m</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80"/>
              <w:ind w:left="32"/>
              <w:rPr>
                <w:sz w:val="21"/>
              </w:rPr>
            </w:pPr>
            <w:r>
              <w:rPr>
                <w:w w:val="128"/>
                <w:sz w:val="21"/>
              </w:rPr>
              <w:t>/</w:t>
            </w:r>
          </w:p>
        </w:tc>
        <w:tc>
          <w:tcPr>
            <w:tcW w:w="1272" w:type="dxa"/>
            <w:tcBorders>
              <w:top w:val="single" w:sz="6" w:space="0" w:color="000000"/>
              <w:left w:val="single" w:sz="6" w:space="0" w:color="000000"/>
              <w:bottom w:val="single" w:sz="6" w:space="0" w:color="000000"/>
              <w:right w:val="single" w:sz="6" w:space="0" w:color="000000"/>
            </w:tcBorders>
          </w:tcPr>
          <w:p>
            <w:pPr>
              <w:pStyle w:val="TableParagraph"/>
              <w:spacing w:before="80"/>
              <w:ind w:left="30"/>
              <w:rPr>
                <w:sz w:val="21"/>
              </w:rPr>
            </w:pPr>
            <w:r>
              <w:rPr>
                <w:w w:val="128"/>
                <w:sz w:val="21"/>
              </w:rPr>
              <w:t>/</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before="80"/>
              <w:ind w:left="29"/>
              <w:rPr>
                <w:sz w:val="21"/>
              </w:rPr>
            </w:pPr>
            <w:r>
              <w:rPr>
                <w:w w:val="128"/>
                <w:sz w:val="21"/>
              </w:rPr>
              <w:t>/</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80"/>
              <w:ind w:left="31"/>
              <w:rPr>
                <w:sz w:val="21"/>
              </w:rPr>
            </w:pPr>
            <w:r>
              <w:rPr>
                <w:w w:val="128"/>
                <w:sz w:val="21"/>
              </w:rPr>
              <w:t>/</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80"/>
              <w:ind w:left="29"/>
              <w:rPr>
                <w:sz w:val="21"/>
              </w:rPr>
            </w:pPr>
            <w:r>
              <w:rPr>
                <w:w w:val="128"/>
                <w:sz w:val="21"/>
              </w:rPr>
              <w:t>/</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before="80"/>
              <w:ind w:left="31"/>
              <w:rPr>
                <w:sz w:val="21"/>
              </w:rPr>
            </w:pPr>
            <w:r>
              <w:rPr>
                <w:w w:val="128"/>
                <w:sz w:val="21"/>
              </w:rPr>
              <w:t>/</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80"/>
              <w:ind w:left="30"/>
              <w:rPr>
                <w:sz w:val="21"/>
              </w:rPr>
            </w:pPr>
            <w:r>
              <w:rPr>
                <w:w w:val="128"/>
                <w:sz w:val="21"/>
              </w:rPr>
              <w:t>/</w:t>
            </w:r>
          </w:p>
        </w:tc>
        <w:tc>
          <w:tcPr>
            <w:tcW w:w="744" w:type="dxa"/>
            <w:tcBorders>
              <w:top w:val="single" w:sz="6" w:space="0" w:color="000000"/>
              <w:left w:val="single" w:sz="6" w:space="0" w:color="000000"/>
              <w:bottom w:val="single" w:sz="6" w:space="0" w:color="000000"/>
            </w:tcBorders>
          </w:tcPr>
          <w:p>
            <w:pPr>
              <w:pStyle w:val="TableParagraph"/>
              <w:spacing w:before="80"/>
              <w:ind w:left="37"/>
              <w:rPr>
                <w:sz w:val="21"/>
              </w:rPr>
            </w:pPr>
            <w:r>
              <w:rPr>
                <w:w w:val="128"/>
                <w:sz w:val="21"/>
              </w:rPr>
              <w:t>/</w:t>
            </w:r>
          </w:p>
        </w:tc>
      </w:tr>
      <w:tr>
        <w:trPr>
          <w:trHeight w:val="620" w:hRule="atLeast"/>
        </w:trPr>
        <w:tc>
          <w:tcPr>
            <w:tcW w:w="1478" w:type="dxa"/>
            <w:tcBorders>
              <w:top w:val="single" w:sz="6" w:space="0" w:color="000000"/>
              <w:right w:val="single" w:sz="6" w:space="0" w:color="000000"/>
            </w:tcBorders>
          </w:tcPr>
          <w:p>
            <w:pPr>
              <w:pStyle w:val="TableParagraph"/>
              <w:spacing w:line="300" w:lineRule="exact"/>
              <w:ind w:left="88" w:right="67"/>
              <w:rPr>
                <w:sz w:val="21"/>
              </w:rPr>
            </w:pPr>
            <w:r>
              <w:rPr>
                <w:sz w:val="21"/>
              </w:rPr>
              <w:t>项目厂址装置</w:t>
            </w:r>
          </w:p>
          <w:p>
            <w:pPr>
              <w:pStyle w:val="TableParagraph"/>
              <w:spacing w:line="300" w:lineRule="exact"/>
              <w:ind w:left="88" w:right="66"/>
              <w:rPr>
                <w:rFonts w:ascii="Times New Roman" w:eastAsia="Times New Roman"/>
                <w:sz w:val="21"/>
              </w:rPr>
            </w:pPr>
            <w:r>
              <w:rPr>
                <w:sz w:val="21"/>
              </w:rPr>
              <w:t>区 </w:t>
            </w:r>
            <w:r>
              <w:rPr>
                <w:rFonts w:ascii="Times New Roman" w:eastAsia="Times New Roman"/>
                <w:sz w:val="21"/>
              </w:rPr>
              <w:t>1.5m</w:t>
            </w:r>
          </w:p>
        </w:tc>
        <w:tc>
          <w:tcPr>
            <w:tcW w:w="857" w:type="dxa"/>
            <w:tcBorders>
              <w:top w:val="single" w:sz="6" w:space="0" w:color="000000"/>
              <w:left w:val="single" w:sz="6" w:space="0" w:color="000000"/>
              <w:right w:val="single" w:sz="6" w:space="0" w:color="000000"/>
            </w:tcBorders>
          </w:tcPr>
          <w:p>
            <w:pPr>
              <w:pStyle w:val="TableParagraph"/>
              <w:spacing w:before="77"/>
              <w:ind w:left="32"/>
              <w:rPr>
                <w:sz w:val="21"/>
              </w:rPr>
            </w:pPr>
            <w:r>
              <w:rPr>
                <w:w w:val="128"/>
                <w:sz w:val="21"/>
              </w:rPr>
              <w:t>/</w:t>
            </w:r>
          </w:p>
        </w:tc>
        <w:tc>
          <w:tcPr>
            <w:tcW w:w="1272" w:type="dxa"/>
            <w:tcBorders>
              <w:top w:val="single" w:sz="6" w:space="0" w:color="000000"/>
              <w:left w:val="single" w:sz="6" w:space="0" w:color="000000"/>
              <w:right w:val="single" w:sz="6" w:space="0" w:color="000000"/>
            </w:tcBorders>
          </w:tcPr>
          <w:p>
            <w:pPr>
              <w:pStyle w:val="TableParagraph"/>
              <w:spacing w:before="77"/>
              <w:ind w:left="30"/>
              <w:rPr>
                <w:sz w:val="21"/>
              </w:rPr>
            </w:pPr>
            <w:r>
              <w:rPr>
                <w:w w:val="128"/>
                <w:sz w:val="21"/>
              </w:rPr>
              <w:t>/</w:t>
            </w:r>
          </w:p>
        </w:tc>
        <w:tc>
          <w:tcPr>
            <w:tcW w:w="860" w:type="dxa"/>
            <w:tcBorders>
              <w:top w:val="single" w:sz="6" w:space="0" w:color="000000"/>
              <w:left w:val="single" w:sz="6" w:space="0" w:color="000000"/>
              <w:right w:val="single" w:sz="6" w:space="0" w:color="000000"/>
            </w:tcBorders>
          </w:tcPr>
          <w:p>
            <w:pPr>
              <w:pStyle w:val="TableParagraph"/>
              <w:spacing w:before="77"/>
              <w:ind w:left="29"/>
              <w:rPr>
                <w:sz w:val="21"/>
              </w:rPr>
            </w:pPr>
            <w:r>
              <w:rPr>
                <w:w w:val="128"/>
                <w:sz w:val="21"/>
              </w:rPr>
              <w:t>/</w:t>
            </w:r>
          </w:p>
        </w:tc>
        <w:tc>
          <w:tcPr>
            <w:tcW w:w="857" w:type="dxa"/>
            <w:tcBorders>
              <w:top w:val="single" w:sz="6" w:space="0" w:color="000000"/>
              <w:left w:val="single" w:sz="6" w:space="0" w:color="000000"/>
              <w:right w:val="single" w:sz="6" w:space="0" w:color="000000"/>
            </w:tcBorders>
          </w:tcPr>
          <w:p>
            <w:pPr>
              <w:pStyle w:val="TableParagraph"/>
              <w:spacing w:before="77"/>
              <w:ind w:left="31"/>
              <w:rPr>
                <w:sz w:val="21"/>
              </w:rPr>
            </w:pPr>
            <w:r>
              <w:rPr>
                <w:w w:val="128"/>
                <w:sz w:val="21"/>
              </w:rPr>
              <w:t>/</w:t>
            </w:r>
          </w:p>
        </w:tc>
        <w:tc>
          <w:tcPr>
            <w:tcW w:w="859" w:type="dxa"/>
            <w:tcBorders>
              <w:top w:val="single" w:sz="6" w:space="0" w:color="000000"/>
              <w:left w:val="single" w:sz="6" w:space="0" w:color="000000"/>
              <w:right w:val="single" w:sz="6" w:space="0" w:color="000000"/>
            </w:tcBorders>
          </w:tcPr>
          <w:p>
            <w:pPr>
              <w:pStyle w:val="TableParagraph"/>
              <w:spacing w:before="77"/>
              <w:ind w:left="29"/>
              <w:rPr>
                <w:sz w:val="21"/>
              </w:rPr>
            </w:pPr>
            <w:r>
              <w:rPr>
                <w:w w:val="128"/>
                <w:sz w:val="21"/>
              </w:rPr>
              <w:t>/</w:t>
            </w:r>
          </w:p>
        </w:tc>
        <w:tc>
          <w:tcPr>
            <w:tcW w:w="857" w:type="dxa"/>
            <w:tcBorders>
              <w:top w:val="single" w:sz="6" w:space="0" w:color="000000"/>
              <w:left w:val="single" w:sz="6" w:space="0" w:color="000000"/>
              <w:right w:val="single" w:sz="6" w:space="0" w:color="000000"/>
            </w:tcBorders>
          </w:tcPr>
          <w:p>
            <w:pPr>
              <w:pStyle w:val="TableParagraph"/>
              <w:spacing w:before="77"/>
              <w:ind w:left="31"/>
              <w:rPr>
                <w:sz w:val="21"/>
              </w:rPr>
            </w:pPr>
            <w:r>
              <w:rPr>
                <w:w w:val="128"/>
                <w:sz w:val="21"/>
              </w:rPr>
              <w:t>/</w:t>
            </w:r>
          </w:p>
        </w:tc>
        <w:tc>
          <w:tcPr>
            <w:tcW w:w="744" w:type="dxa"/>
            <w:tcBorders>
              <w:top w:val="single" w:sz="6" w:space="0" w:color="000000"/>
              <w:left w:val="single" w:sz="6" w:space="0" w:color="000000"/>
              <w:right w:val="single" w:sz="6" w:space="0" w:color="000000"/>
            </w:tcBorders>
          </w:tcPr>
          <w:p>
            <w:pPr>
              <w:pStyle w:val="TableParagraph"/>
              <w:spacing w:before="190"/>
              <w:ind w:left="123" w:right="93"/>
              <w:rPr>
                <w:rFonts w:ascii="Times New Roman"/>
                <w:sz w:val="21"/>
              </w:rPr>
            </w:pPr>
            <w:r>
              <w:rPr>
                <w:rFonts w:ascii="Times New Roman"/>
                <w:sz w:val="21"/>
              </w:rPr>
              <w:t>0.034</w:t>
            </w:r>
          </w:p>
        </w:tc>
        <w:tc>
          <w:tcPr>
            <w:tcW w:w="744" w:type="dxa"/>
            <w:tcBorders>
              <w:top w:val="single" w:sz="6" w:space="0" w:color="000000"/>
              <w:left w:val="single" w:sz="6" w:space="0" w:color="000000"/>
            </w:tcBorders>
          </w:tcPr>
          <w:p>
            <w:pPr>
              <w:pStyle w:val="TableParagraph"/>
              <w:spacing w:before="77"/>
              <w:ind w:left="37"/>
              <w:rPr>
                <w:sz w:val="21"/>
              </w:rPr>
            </w:pPr>
            <w:r>
              <w:rPr>
                <w:w w:val="128"/>
                <w:sz w:val="21"/>
              </w:rPr>
              <w:t>/</w:t>
            </w:r>
          </w:p>
        </w:tc>
      </w:tr>
    </w:tbl>
    <w:p>
      <w:pPr>
        <w:pStyle w:val="BodyText"/>
        <w:spacing w:line="220" w:lineRule="auto" w:before="151"/>
        <w:ind w:left="578" w:right="874" w:firstLine="482"/>
        <w:jc w:val="both"/>
      </w:pPr>
      <w:r>
        <w:rPr/>
        <w:t>由评价结果可知，项目厂址监测点中土壤污染物含量均小于《土壤环境质量标准 建设用地土壤污染风险管控标准</w:t>
      </w:r>
      <w:r>
        <w:rPr>
          <w:spacing w:val="-132"/>
        </w:rPr>
        <w:t>》</w:t>
      </w:r>
      <w:r>
        <w:rPr/>
        <w:t>（</w:t>
      </w:r>
      <w:r>
        <w:rPr>
          <w:rFonts w:ascii="Times New Roman" w:eastAsia="Times New Roman"/>
        </w:rPr>
        <w:t>GB36600-2018</w:t>
      </w:r>
      <w:r>
        <w:rPr/>
        <w:t>）筛选值中第二类用地标准，建设用地土壤污染风险低、可以忽略。</w:t>
      </w:r>
    </w:p>
    <w:p>
      <w:pPr>
        <w:spacing w:after="0" w:line="220" w:lineRule="auto"/>
        <w:jc w:val="both"/>
        <w:sectPr>
          <w:pgSz w:w="11910" w:h="16840"/>
          <w:pgMar w:header="877" w:footer="973" w:top="1340" w:bottom="1160" w:left="1220" w:right="1040"/>
        </w:sectPr>
      </w:pPr>
    </w:p>
    <w:p>
      <w:pPr>
        <w:pStyle w:val="BodyText"/>
        <w:spacing w:before="5"/>
        <w:rPr>
          <w:sz w:val="10"/>
        </w:rPr>
      </w:pPr>
    </w:p>
    <w:p>
      <w:pPr>
        <w:pStyle w:val="Heading1"/>
        <w:numPr>
          <w:ilvl w:val="0"/>
          <w:numId w:val="10"/>
        </w:numPr>
        <w:tabs>
          <w:tab w:pos="1019" w:val="left" w:leader="none"/>
          <w:tab w:pos="1020" w:val="left" w:leader="none"/>
        </w:tabs>
        <w:spacing w:line="725" w:lineRule="exact" w:before="0" w:after="0"/>
        <w:ind w:left="1019" w:right="0" w:hanging="441"/>
        <w:jc w:val="left"/>
      </w:pPr>
      <w:r>
        <w:rPr/>
        <w:t>环境风险评价</w:t>
      </w:r>
    </w:p>
    <w:p>
      <w:pPr>
        <w:pStyle w:val="BodyText"/>
        <w:spacing w:line="220" w:lineRule="auto" w:before="70"/>
        <w:ind w:left="578" w:right="666" w:firstLine="479"/>
        <w:jc w:val="both"/>
      </w:pPr>
      <w:r>
        <w:rPr/>
        <w:t>环境风险是指突发性事故造成的重大环境污染的事件，其特点是危害性大、</w:t>
      </w:r>
      <w:r>
        <w:rPr>
          <w:spacing w:val="-8"/>
        </w:rPr>
        <w:t>影响范围广、发生概率具有很大的不确定性。本项目是在厂区原有：山东仁和堂</w:t>
      </w:r>
      <w:r>
        <w:rPr>
          <w:spacing w:val="3"/>
        </w:rPr>
        <w:t>药业有限公司医药工业园</w:t>
      </w:r>
      <w:r>
        <w:rPr>
          <w:rFonts w:ascii="Times New Roman" w:hAnsi="Times New Roman" w:eastAsia="Times New Roman"/>
          <w:spacing w:val="4"/>
        </w:rPr>
        <w:t>—</w:t>
      </w:r>
      <w:r>
        <w:rPr>
          <w:spacing w:val="2"/>
        </w:rPr>
        <w:t>原料药建设项目的基础上产品种类和产品规模发生</w:t>
      </w:r>
      <w:r>
        <w:rPr>
          <w:spacing w:val="-9"/>
        </w:rPr>
        <w:t>变化、生产工艺部分发生变更、废气、废水处理措施变更、储罐发生变更等导致</w:t>
      </w:r>
      <w:r>
        <w:rPr>
          <w:spacing w:val="-14"/>
        </w:rPr>
        <w:t>项目与原环评相比发生重大变动，需重新进行评价。本次环境风险评价主要对变更后的现状进行风险评价，并针对不足之处提出改进措施。</w:t>
      </w:r>
    </w:p>
    <w:p>
      <w:pPr>
        <w:pStyle w:val="BodyText"/>
        <w:spacing w:line="460" w:lineRule="exact"/>
        <w:ind w:left="1058"/>
      </w:pPr>
      <w:r>
        <w:rPr/>
        <w:t>根据《关于进一步加强环境影响评价管理防范环境风险的通知》（环发</w:t>
      </w:r>
    </w:p>
    <w:p>
      <w:pPr>
        <w:pStyle w:val="BodyText"/>
        <w:spacing w:line="220" w:lineRule="auto" w:before="8"/>
        <w:ind w:left="578" w:right="631"/>
        <w:jc w:val="both"/>
      </w:pPr>
      <w:r>
        <w:rPr>
          <w:rFonts w:ascii="Times New Roman" w:eastAsia="Times New Roman"/>
        </w:rPr>
        <w:t>[2012]77 </w:t>
      </w:r>
      <w:r>
        <w:rPr>
          <w:spacing w:val="-3"/>
        </w:rPr>
        <w:t>号</w:t>
      </w:r>
      <w:r>
        <w:rPr>
          <w:spacing w:val="-56"/>
        </w:rPr>
        <w:t>）</w:t>
      </w:r>
      <w:r>
        <w:rPr>
          <w:spacing w:val="-8"/>
        </w:rPr>
        <w:t>和《关于构建全省环境安全防控体系的实施意见</w:t>
      </w:r>
      <w:r>
        <w:rPr>
          <w:spacing w:val="-176"/>
        </w:rPr>
        <w:t>》</w:t>
      </w:r>
      <w:r>
        <w:rPr/>
        <w:t>（鲁环发</w:t>
      </w:r>
      <w:r>
        <w:rPr>
          <w:rFonts w:ascii="Times New Roman" w:eastAsia="Times New Roman"/>
        </w:rPr>
        <w:t>[2009]80 </w:t>
      </w:r>
      <w:r>
        <w:rPr/>
        <w:t>号</w:t>
      </w:r>
      <w:r>
        <w:rPr>
          <w:spacing w:val="-27"/>
        </w:rPr>
        <w:t>）</w:t>
      </w:r>
      <w:r>
        <w:rPr>
          <w:spacing w:val="-8"/>
        </w:rPr>
        <w:t>的有关要求，按照《建设项目环境风险评价技术导则</w:t>
      </w:r>
      <w:r>
        <w:rPr>
          <w:spacing w:val="-147"/>
        </w:rPr>
        <w:t>》</w:t>
      </w:r>
      <w:r>
        <w:rPr/>
        <w:t>（</w:t>
      </w:r>
      <w:r>
        <w:rPr>
          <w:rFonts w:ascii="Times New Roman" w:eastAsia="Times New Roman"/>
        </w:rPr>
        <w:t>HJ </w:t>
      </w:r>
      <w:r>
        <w:rPr>
          <w:rFonts w:ascii="Times New Roman" w:eastAsia="Times New Roman"/>
          <w:spacing w:val="-4"/>
        </w:rPr>
        <w:t>169-2018</w:t>
      </w:r>
      <w:r>
        <w:rPr>
          <w:spacing w:val="-4"/>
        </w:rPr>
        <w:t>）</w:t>
      </w:r>
      <w:r>
        <w:rPr/>
        <w:t>要求， </w:t>
      </w:r>
      <w:r>
        <w:rPr>
          <w:spacing w:val="-9"/>
        </w:rPr>
        <w:t>对项目潜在危险、有害因素、运行期间可能发生的突发性事件或事故所造成的环</w:t>
      </w:r>
      <w:r>
        <w:rPr>
          <w:spacing w:val="-13"/>
        </w:rPr>
        <w:t>境影响损害程度进行分析，并提出合理可行的防范、应急与减缓措施，以使建设项目事故率、损失和环境影响达到可接受的水平。</w:t>
      </w:r>
    </w:p>
    <w:p>
      <w:pPr>
        <w:pStyle w:val="Heading2"/>
        <w:numPr>
          <w:ilvl w:val="1"/>
          <w:numId w:val="10"/>
        </w:numPr>
        <w:tabs>
          <w:tab w:pos="1210" w:val="left" w:leader="none"/>
        </w:tabs>
        <w:spacing w:line="240" w:lineRule="auto" w:before="134" w:after="0"/>
        <w:ind w:left="1209" w:right="0" w:hanging="631"/>
        <w:jc w:val="left"/>
      </w:pPr>
      <w:r>
        <w:rPr/>
        <w:t>风险调查</w:t>
      </w:r>
    </w:p>
    <w:p>
      <w:pPr>
        <w:pStyle w:val="Heading3"/>
        <w:numPr>
          <w:ilvl w:val="2"/>
          <w:numId w:val="10"/>
        </w:numPr>
        <w:tabs>
          <w:tab w:pos="1378" w:val="left" w:leader="none"/>
        </w:tabs>
        <w:spacing w:line="240" w:lineRule="auto" w:before="134" w:after="0"/>
        <w:ind w:left="1377" w:right="0" w:hanging="799"/>
        <w:jc w:val="left"/>
      </w:pPr>
      <w:r>
        <w:rPr/>
        <w:t>建设项目风险源调查</w:t>
      </w:r>
    </w:p>
    <w:p>
      <w:pPr>
        <w:pStyle w:val="BodyText"/>
        <w:spacing w:line="488" w:lineRule="exact" w:before="169"/>
        <w:ind w:left="1060"/>
      </w:pPr>
      <w:r>
        <w:rPr/>
        <w:t>（</w:t>
      </w:r>
      <w:r>
        <w:rPr>
          <w:rFonts w:ascii="Times New Roman" w:eastAsia="Times New Roman"/>
        </w:rPr>
        <w:t>1</w:t>
      </w:r>
      <w:r>
        <w:rPr/>
        <w:t>）危险物质调查</w:t>
      </w:r>
    </w:p>
    <w:p>
      <w:pPr>
        <w:pStyle w:val="BodyText"/>
        <w:spacing w:line="220" w:lineRule="auto" w:before="8"/>
        <w:ind w:left="578" w:right="631" w:firstLine="479"/>
        <w:jc w:val="both"/>
      </w:pPr>
      <w:r>
        <w:rPr>
          <w:spacing w:val="-7"/>
        </w:rPr>
        <w:t>鉴于本项目已建设完毕，并达产运行。根据企业、设计单位所提供的化学品</w:t>
      </w:r>
      <w:r>
        <w:rPr>
          <w:spacing w:val="-15"/>
        </w:rPr>
        <w:t>用量资料，本项目使用的危险化学品包括吡啶、哌啶、溴乙烷、呋喃、氯化亚砜、</w:t>
      </w:r>
      <w:r>
        <w:rPr>
          <w:spacing w:val="-16"/>
        </w:rPr>
        <w:t>醋酸、甲醇钠、苯甲醛、乙醇胺、环氧氯丙烷、正丙胺、正丁醇、溴丙烷、氯苯、甲醛、甲酸、乙酸铵、碳酸钾、氯化铵、顺丁烯二酸酐、氢氧化钾、聚乙二醇、脱水山梨醇、邻氨基苄醇、丁二酸酐、富马酸、氯甲酸乙酯、硼氢化钾、甲醇、</w:t>
      </w:r>
      <w:r>
        <w:rPr>
          <w:spacing w:val="-10"/>
        </w:rPr>
        <w:t>氢气、乙醇、乙酸乙酯、四氢呋喃、二苯甲酮、镁粉、硝酸、甲苯、浓硫酸、丙</w:t>
      </w:r>
      <w:r>
        <w:rPr>
          <w:spacing w:val="-12"/>
        </w:rPr>
        <w:t>酮等；其中除乳酸、醋酐、氯化苯乙烯、乙酸铵、碳酸钾、聚乙二醇、脱水山梨</w:t>
      </w:r>
      <w:r>
        <w:rPr>
          <w:spacing w:val="-11"/>
        </w:rPr>
        <w:t>醇、邻氨基苄醇、丁二酸酐、富马酸、二苯甲酮外其余均为危险化学品。项目所</w:t>
      </w:r>
      <w:r>
        <w:rPr>
          <w:spacing w:val="-14"/>
        </w:rPr>
        <w:t>涉及的原辅料种类较多，大部分为有毒有害、易燃类物质，项目主要涉及危险化</w:t>
      </w:r>
      <w:r>
        <w:rPr>
          <w:spacing w:val="-12"/>
        </w:rPr>
        <w:t>学品调查结果见表 </w:t>
      </w:r>
      <w:r>
        <w:rPr>
          <w:rFonts w:ascii="Times New Roman" w:eastAsia="Times New Roman"/>
        </w:rPr>
        <w:t>7.1-1</w:t>
      </w:r>
      <w:r>
        <w:rPr/>
        <w:t>。</w:t>
      </w:r>
    </w:p>
    <w:p>
      <w:pPr>
        <w:spacing w:after="0" w:line="220" w:lineRule="auto"/>
        <w:jc w:val="both"/>
        <w:sectPr>
          <w:footerReference w:type="default" r:id="rId30"/>
          <w:pgSz w:w="11910" w:h="16840"/>
          <w:pgMar w:footer="973" w:header="877" w:top="1340" w:bottom="1160" w:left="1220" w:right="1040"/>
        </w:sectPr>
      </w:pPr>
    </w:p>
    <w:p>
      <w:pPr>
        <w:pStyle w:val="BodyText"/>
        <w:spacing w:before="21"/>
        <w:rPr>
          <w:sz w:val="4"/>
        </w:rPr>
      </w:pPr>
    </w:p>
    <w:p>
      <w:pPr>
        <w:tabs>
          <w:tab w:pos="3508" w:val="left" w:leader="none"/>
        </w:tabs>
        <w:spacing w:line="423" w:lineRule="exact" w:before="0" w:after="24"/>
        <w:ind w:left="2597" w:right="0" w:firstLine="0"/>
        <w:jc w:val="left"/>
        <w:rPr>
          <w:sz w:val="21"/>
        </w:rPr>
      </w:pPr>
      <w:r>
        <w:rPr>
          <w:sz w:val="21"/>
        </w:rPr>
        <w:t>表</w:t>
      </w:r>
      <w:r>
        <w:rPr>
          <w:spacing w:val="4"/>
          <w:sz w:val="21"/>
        </w:rPr>
        <w:t> </w:t>
      </w:r>
      <w:r>
        <w:rPr>
          <w:rFonts w:ascii="Times New Roman" w:eastAsia="Times New Roman"/>
          <w:sz w:val="21"/>
        </w:rPr>
        <w:t>7.1-1</w:t>
        <w:tab/>
      </w:r>
      <w:r>
        <w:rPr>
          <w:spacing w:val="-3"/>
          <w:sz w:val="21"/>
        </w:rPr>
        <w:t>拟</w:t>
      </w:r>
      <w:r>
        <w:rPr>
          <w:sz w:val="21"/>
        </w:rPr>
        <w:t>建</w:t>
      </w:r>
      <w:r>
        <w:rPr>
          <w:spacing w:val="-3"/>
          <w:sz w:val="21"/>
        </w:rPr>
        <w:t>项</w:t>
      </w:r>
      <w:r>
        <w:rPr>
          <w:sz w:val="21"/>
        </w:rPr>
        <w:t>目</w:t>
      </w:r>
      <w:r>
        <w:rPr>
          <w:spacing w:val="-3"/>
          <w:sz w:val="21"/>
        </w:rPr>
        <w:t>主</w:t>
      </w:r>
      <w:r>
        <w:rPr>
          <w:sz w:val="21"/>
        </w:rPr>
        <w:t>要</w:t>
      </w:r>
      <w:r>
        <w:rPr>
          <w:spacing w:val="-3"/>
          <w:sz w:val="21"/>
        </w:rPr>
        <w:t>涉</w:t>
      </w:r>
      <w:r>
        <w:rPr>
          <w:sz w:val="21"/>
        </w:rPr>
        <w:t>及危</w:t>
      </w:r>
      <w:r>
        <w:rPr>
          <w:spacing w:val="-3"/>
          <w:sz w:val="21"/>
        </w:rPr>
        <w:t>险</w:t>
      </w:r>
      <w:r>
        <w:rPr>
          <w:sz w:val="21"/>
        </w:rPr>
        <w:t>物</w:t>
      </w:r>
      <w:r>
        <w:rPr>
          <w:spacing w:val="-3"/>
          <w:sz w:val="21"/>
        </w:rPr>
        <w:t>质</w:t>
      </w:r>
      <w:r>
        <w:rPr>
          <w:sz w:val="21"/>
        </w:rPr>
        <w:t>调</w:t>
      </w:r>
      <w:r>
        <w:rPr>
          <w:spacing w:val="-3"/>
          <w:sz w:val="21"/>
        </w:rPr>
        <w:t>查</w:t>
      </w:r>
      <w:r>
        <w:rPr>
          <w:sz w:val="21"/>
        </w:rPr>
        <w:t>情况</w:t>
      </w:r>
    </w:p>
    <w:tbl>
      <w:tblPr>
        <w:tblW w:w="0" w:type="auto"/>
        <w:jc w:val="left"/>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
        <w:gridCol w:w="1729"/>
        <w:gridCol w:w="917"/>
        <w:gridCol w:w="1450"/>
        <w:gridCol w:w="1042"/>
        <w:gridCol w:w="1043"/>
        <w:gridCol w:w="896"/>
        <w:gridCol w:w="793"/>
      </w:tblGrid>
      <w:tr>
        <w:trPr>
          <w:trHeight w:val="623" w:hRule="atLeast"/>
        </w:trPr>
        <w:tc>
          <w:tcPr>
            <w:tcW w:w="478" w:type="dxa"/>
            <w:tcBorders>
              <w:bottom w:val="single" w:sz="6" w:space="0" w:color="000000"/>
              <w:right w:val="single" w:sz="6" w:space="0" w:color="000000"/>
            </w:tcBorders>
          </w:tcPr>
          <w:p>
            <w:pPr>
              <w:pStyle w:val="TableParagraph"/>
              <w:spacing w:before="77"/>
              <w:ind w:left="28"/>
              <w:rPr>
                <w:sz w:val="21"/>
              </w:rPr>
            </w:pPr>
            <w:r>
              <w:rPr>
                <w:sz w:val="21"/>
              </w:rPr>
              <w:t>序号</w:t>
            </w:r>
          </w:p>
        </w:tc>
        <w:tc>
          <w:tcPr>
            <w:tcW w:w="1729" w:type="dxa"/>
            <w:tcBorders>
              <w:left w:val="single" w:sz="6" w:space="0" w:color="000000"/>
              <w:bottom w:val="single" w:sz="6" w:space="0" w:color="000000"/>
              <w:right w:val="single" w:sz="6" w:space="0" w:color="000000"/>
            </w:tcBorders>
          </w:tcPr>
          <w:p>
            <w:pPr>
              <w:pStyle w:val="TableParagraph"/>
              <w:spacing w:before="77"/>
              <w:ind w:left="219" w:right="193"/>
              <w:rPr>
                <w:sz w:val="21"/>
              </w:rPr>
            </w:pPr>
            <w:r>
              <w:rPr>
                <w:sz w:val="21"/>
              </w:rPr>
              <w:t>物料</w:t>
            </w:r>
          </w:p>
        </w:tc>
        <w:tc>
          <w:tcPr>
            <w:tcW w:w="917" w:type="dxa"/>
            <w:tcBorders>
              <w:left w:val="single" w:sz="6" w:space="0" w:color="000000"/>
              <w:bottom w:val="single" w:sz="6" w:space="0" w:color="000000"/>
              <w:right w:val="single" w:sz="6" w:space="0" w:color="000000"/>
            </w:tcBorders>
          </w:tcPr>
          <w:p>
            <w:pPr>
              <w:pStyle w:val="TableParagraph"/>
              <w:spacing w:before="77"/>
              <w:ind w:left="24"/>
              <w:rPr>
                <w:sz w:val="21"/>
              </w:rPr>
            </w:pPr>
            <w:r>
              <w:rPr>
                <w:sz w:val="21"/>
              </w:rPr>
              <w:t>储存位置</w:t>
            </w:r>
          </w:p>
        </w:tc>
        <w:tc>
          <w:tcPr>
            <w:tcW w:w="1450" w:type="dxa"/>
            <w:tcBorders>
              <w:left w:val="single" w:sz="6" w:space="0" w:color="000000"/>
              <w:bottom w:val="single" w:sz="6" w:space="0" w:color="000000"/>
              <w:right w:val="single" w:sz="6" w:space="0" w:color="000000"/>
            </w:tcBorders>
          </w:tcPr>
          <w:p>
            <w:pPr>
              <w:pStyle w:val="TableParagraph"/>
              <w:spacing w:before="77"/>
              <w:ind w:left="291" w:right="263"/>
              <w:rPr>
                <w:sz w:val="21"/>
              </w:rPr>
            </w:pPr>
            <w:r>
              <w:rPr>
                <w:sz w:val="21"/>
              </w:rPr>
              <w:t>储存方式</w:t>
            </w:r>
          </w:p>
        </w:tc>
        <w:tc>
          <w:tcPr>
            <w:tcW w:w="1042" w:type="dxa"/>
            <w:tcBorders>
              <w:left w:val="single" w:sz="6" w:space="0" w:color="000000"/>
              <w:bottom w:val="single" w:sz="6" w:space="0" w:color="000000"/>
              <w:right w:val="single" w:sz="6" w:space="0" w:color="000000"/>
            </w:tcBorders>
          </w:tcPr>
          <w:p>
            <w:pPr>
              <w:pStyle w:val="TableParagraph"/>
              <w:spacing w:before="77"/>
              <w:ind w:right="287"/>
              <w:jc w:val="right"/>
              <w:rPr>
                <w:sz w:val="21"/>
              </w:rPr>
            </w:pPr>
            <w:r>
              <w:rPr>
                <w:sz w:val="21"/>
              </w:rPr>
              <w:t>形态</w:t>
            </w:r>
          </w:p>
        </w:tc>
        <w:tc>
          <w:tcPr>
            <w:tcW w:w="1043" w:type="dxa"/>
            <w:tcBorders>
              <w:left w:val="single" w:sz="6" w:space="0" w:color="000000"/>
              <w:bottom w:val="single" w:sz="6" w:space="0" w:color="000000"/>
              <w:right w:val="single" w:sz="6" w:space="0" w:color="000000"/>
            </w:tcBorders>
          </w:tcPr>
          <w:p>
            <w:pPr>
              <w:pStyle w:val="TableParagraph"/>
              <w:spacing w:before="77"/>
              <w:ind w:left="109" w:right="85"/>
              <w:rPr>
                <w:sz w:val="21"/>
              </w:rPr>
            </w:pPr>
            <w:r>
              <w:rPr>
                <w:sz w:val="21"/>
              </w:rPr>
              <w:t>规格</w:t>
            </w:r>
          </w:p>
        </w:tc>
        <w:tc>
          <w:tcPr>
            <w:tcW w:w="896" w:type="dxa"/>
            <w:tcBorders>
              <w:left w:val="single" w:sz="6" w:space="0" w:color="000000"/>
              <w:bottom w:val="single" w:sz="6" w:space="0" w:color="000000"/>
              <w:right w:val="single" w:sz="6" w:space="0" w:color="000000"/>
            </w:tcBorders>
          </w:tcPr>
          <w:p>
            <w:pPr>
              <w:pStyle w:val="TableParagraph"/>
              <w:spacing w:line="300" w:lineRule="exact"/>
              <w:ind w:left="134"/>
              <w:jc w:val="left"/>
              <w:rPr>
                <w:sz w:val="21"/>
              </w:rPr>
            </w:pPr>
            <w:r>
              <w:rPr>
                <w:sz w:val="21"/>
              </w:rPr>
              <w:t>储存量</w:t>
            </w:r>
          </w:p>
          <w:p>
            <w:pPr>
              <w:pStyle w:val="TableParagraph"/>
              <w:spacing w:line="303" w:lineRule="exact"/>
              <w:ind w:left="134"/>
              <w:jc w:val="left"/>
              <w:rPr>
                <w:sz w:val="21"/>
              </w:rPr>
            </w:pPr>
            <w:r>
              <w:rPr>
                <w:sz w:val="21"/>
              </w:rPr>
              <w:t>（吨）</w:t>
            </w:r>
          </w:p>
        </w:tc>
        <w:tc>
          <w:tcPr>
            <w:tcW w:w="793" w:type="dxa"/>
            <w:tcBorders>
              <w:left w:val="single" w:sz="6" w:space="0" w:color="000000"/>
              <w:bottom w:val="single" w:sz="6" w:space="0" w:color="000000"/>
            </w:tcBorders>
          </w:tcPr>
          <w:p>
            <w:pPr>
              <w:pStyle w:val="TableParagraph"/>
              <w:spacing w:line="300" w:lineRule="exact"/>
              <w:ind w:left="78"/>
              <w:jc w:val="left"/>
              <w:rPr>
                <w:sz w:val="21"/>
              </w:rPr>
            </w:pPr>
            <w:r>
              <w:rPr>
                <w:sz w:val="21"/>
              </w:rPr>
              <w:t>年用量</w:t>
            </w:r>
          </w:p>
          <w:p>
            <w:pPr>
              <w:pStyle w:val="TableParagraph"/>
              <w:spacing w:line="303" w:lineRule="exact"/>
              <w:ind w:left="78"/>
              <w:jc w:val="left"/>
              <w:rPr>
                <w:sz w:val="21"/>
              </w:rPr>
            </w:pPr>
            <w:r>
              <w:rPr>
                <w:sz w:val="21"/>
              </w:rPr>
              <w:t>（吨）</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51"/>
              <w:ind w:left="28"/>
              <w:rPr>
                <w:rFonts w:ascii="Times New Roman"/>
                <w:sz w:val="21"/>
              </w:rPr>
            </w:pPr>
            <w:r>
              <w:rPr>
                <w:rFonts w:ascii="Times New Roman"/>
                <w:w w:val="100"/>
                <w:sz w:val="21"/>
              </w:rPr>
              <w:t>1</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吡啶</w:t>
            </w:r>
          </w:p>
        </w:tc>
        <w:tc>
          <w:tcPr>
            <w:tcW w:w="917"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21"/>
              </w:rPr>
            </w:pPr>
          </w:p>
          <w:p>
            <w:pPr>
              <w:pStyle w:val="TableParagraph"/>
              <w:ind w:left="42"/>
              <w:jc w:val="left"/>
              <w:rPr>
                <w:sz w:val="21"/>
              </w:rPr>
            </w:pPr>
            <w:r>
              <w:rPr>
                <w:sz w:val="21"/>
              </w:rPr>
              <w:t>液体仓库</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51"/>
              <w:ind w:left="16"/>
              <w:rPr>
                <w:rFonts w:ascii="Times New Roman"/>
                <w:sz w:val="21"/>
              </w:rPr>
            </w:pPr>
            <w:r>
              <w:rPr>
                <w:rFonts w:ascii="Times New Roman"/>
                <w:w w:val="100"/>
                <w:sz w:val="21"/>
              </w:rPr>
              <w:t>4</w:t>
            </w:r>
          </w:p>
        </w:tc>
        <w:tc>
          <w:tcPr>
            <w:tcW w:w="793" w:type="dxa"/>
            <w:tcBorders>
              <w:top w:val="single" w:sz="6" w:space="0" w:color="000000"/>
              <w:left w:val="single" w:sz="6" w:space="0" w:color="000000"/>
              <w:bottom w:val="single" w:sz="6" w:space="0" w:color="000000"/>
            </w:tcBorders>
          </w:tcPr>
          <w:p>
            <w:pPr>
              <w:pStyle w:val="TableParagraph"/>
              <w:spacing w:before="51"/>
              <w:ind w:right="135"/>
              <w:jc w:val="right"/>
              <w:rPr>
                <w:rFonts w:ascii="Times New Roman"/>
                <w:sz w:val="21"/>
              </w:rPr>
            </w:pPr>
            <w:r>
              <w:rPr>
                <w:rFonts w:ascii="Times New Roman"/>
                <w:sz w:val="21"/>
              </w:rPr>
              <w:t>7.269</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2</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哌啶</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180kg/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3.6</w:t>
            </w:r>
          </w:p>
        </w:tc>
        <w:tc>
          <w:tcPr>
            <w:tcW w:w="793" w:type="dxa"/>
            <w:tcBorders>
              <w:top w:val="single" w:sz="6" w:space="0" w:color="000000"/>
              <w:left w:val="single" w:sz="6" w:space="0" w:color="000000"/>
              <w:bottom w:val="single" w:sz="6" w:space="0" w:color="000000"/>
            </w:tcBorders>
          </w:tcPr>
          <w:p>
            <w:pPr>
              <w:pStyle w:val="TableParagraph"/>
              <w:spacing w:before="48"/>
              <w:ind w:left="138" w:right="119"/>
              <w:rPr>
                <w:rFonts w:ascii="Times New Roman"/>
                <w:sz w:val="21"/>
              </w:rPr>
            </w:pPr>
            <w:r>
              <w:rPr>
                <w:rFonts w:ascii="Times New Roman"/>
                <w:sz w:val="21"/>
              </w:rPr>
              <w:t>13</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3</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溴乙烷</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0.5kg/</w:t>
            </w:r>
            <w:r>
              <w:rPr>
                <w:sz w:val="21"/>
              </w:rPr>
              <w:t>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0.02</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0.04</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4</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乳酸</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25kg/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0.5</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1.25</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5</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呋喃</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180kg/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0.144</w:t>
            </w:r>
          </w:p>
        </w:tc>
        <w:tc>
          <w:tcPr>
            <w:tcW w:w="793" w:type="dxa"/>
            <w:tcBorders>
              <w:top w:val="single" w:sz="6" w:space="0" w:color="000000"/>
              <w:left w:val="single" w:sz="6" w:space="0" w:color="000000"/>
              <w:bottom w:val="single" w:sz="6" w:space="0" w:color="000000"/>
            </w:tcBorders>
          </w:tcPr>
          <w:p>
            <w:pPr>
              <w:pStyle w:val="TableParagraph"/>
              <w:spacing w:before="48"/>
              <w:ind w:right="135"/>
              <w:jc w:val="right"/>
              <w:rPr>
                <w:rFonts w:ascii="Times New Roman"/>
                <w:sz w:val="21"/>
              </w:rPr>
            </w:pPr>
            <w:r>
              <w:rPr>
                <w:rFonts w:ascii="Times New Roman"/>
                <w:sz w:val="21"/>
              </w:rPr>
              <w:t>0.144</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6</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氯化亚砜</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300kg/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0.3</w:t>
            </w:r>
          </w:p>
        </w:tc>
        <w:tc>
          <w:tcPr>
            <w:tcW w:w="793" w:type="dxa"/>
            <w:tcBorders>
              <w:top w:val="single" w:sz="6" w:space="0" w:color="000000"/>
              <w:left w:val="single" w:sz="6" w:space="0" w:color="000000"/>
              <w:bottom w:val="single" w:sz="6" w:space="0" w:color="000000"/>
            </w:tcBorders>
          </w:tcPr>
          <w:p>
            <w:pPr>
              <w:pStyle w:val="TableParagraph"/>
              <w:spacing w:before="48"/>
              <w:ind w:right="135"/>
              <w:jc w:val="right"/>
              <w:rPr>
                <w:rFonts w:ascii="Times New Roman"/>
                <w:sz w:val="21"/>
              </w:rPr>
            </w:pPr>
            <w:r>
              <w:rPr>
                <w:rFonts w:ascii="Times New Roman"/>
                <w:sz w:val="21"/>
              </w:rPr>
              <w:t>1.794</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9"/>
              <w:ind w:left="28"/>
              <w:rPr>
                <w:rFonts w:ascii="Times New Roman"/>
                <w:sz w:val="21"/>
              </w:rPr>
            </w:pPr>
            <w:r>
              <w:rPr>
                <w:rFonts w:ascii="Times New Roman"/>
                <w:w w:val="100"/>
                <w:sz w:val="21"/>
              </w:rPr>
              <w:t>7</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19" w:right="193"/>
              <w:rPr>
                <w:sz w:val="21"/>
              </w:rPr>
            </w:pPr>
            <w:r>
              <w:rPr>
                <w:sz w:val="21"/>
              </w:rPr>
              <w:t>醋酸</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9" w:right="85"/>
              <w:rPr>
                <w:sz w:val="21"/>
              </w:rPr>
            </w:pPr>
            <w:r>
              <w:rPr>
                <w:rFonts w:ascii="Times New Roman" w:eastAsia="Times New Roman"/>
                <w:sz w:val="21"/>
              </w:rPr>
              <w:t>200kg/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9"/>
              <w:ind w:left="194" w:right="173"/>
              <w:rPr>
                <w:rFonts w:ascii="Times New Roman"/>
                <w:sz w:val="21"/>
              </w:rPr>
            </w:pPr>
            <w:r>
              <w:rPr>
                <w:rFonts w:ascii="Times New Roman"/>
                <w:sz w:val="21"/>
              </w:rPr>
              <w:t>4.8</w:t>
            </w:r>
          </w:p>
        </w:tc>
        <w:tc>
          <w:tcPr>
            <w:tcW w:w="793" w:type="dxa"/>
            <w:tcBorders>
              <w:top w:val="single" w:sz="6" w:space="0" w:color="000000"/>
              <w:left w:val="single" w:sz="6" w:space="0" w:color="000000"/>
              <w:bottom w:val="single" w:sz="6" w:space="0" w:color="000000"/>
            </w:tcBorders>
          </w:tcPr>
          <w:p>
            <w:pPr>
              <w:pStyle w:val="TableParagraph"/>
              <w:spacing w:before="49"/>
              <w:ind w:right="30"/>
              <w:jc w:val="right"/>
              <w:rPr>
                <w:rFonts w:ascii="Times New Roman"/>
                <w:sz w:val="21"/>
              </w:rPr>
            </w:pPr>
            <w:r>
              <w:rPr>
                <w:rFonts w:ascii="Times New Roman"/>
                <w:sz w:val="21"/>
              </w:rPr>
              <w:t>125.992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8</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甲醇钠</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5</w:t>
            </w:r>
          </w:p>
        </w:tc>
        <w:tc>
          <w:tcPr>
            <w:tcW w:w="793" w:type="dxa"/>
            <w:tcBorders>
              <w:top w:val="single" w:sz="6" w:space="0" w:color="000000"/>
              <w:left w:val="single" w:sz="6" w:space="0" w:color="000000"/>
              <w:bottom w:val="single" w:sz="6" w:space="0" w:color="000000"/>
            </w:tcBorders>
          </w:tcPr>
          <w:p>
            <w:pPr>
              <w:pStyle w:val="TableParagraph"/>
              <w:spacing w:before="48"/>
              <w:ind w:left="138" w:right="119"/>
              <w:rPr>
                <w:rFonts w:ascii="Times New Roman"/>
                <w:sz w:val="21"/>
              </w:rPr>
            </w:pPr>
            <w:r>
              <w:rPr>
                <w:rFonts w:ascii="Times New Roman"/>
                <w:sz w:val="21"/>
              </w:rPr>
              <w:t>24</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9</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苯甲醛</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210kg/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0.42</w:t>
            </w:r>
          </w:p>
        </w:tc>
        <w:tc>
          <w:tcPr>
            <w:tcW w:w="793" w:type="dxa"/>
            <w:tcBorders>
              <w:top w:val="single" w:sz="6" w:space="0" w:color="000000"/>
              <w:left w:val="single" w:sz="6" w:space="0" w:color="000000"/>
              <w:bottom w:val="single" w:sz="6" w:space="0" w:color="000000"/>
            </w:tcBorders>
          </w:tcPr>
          <w:p>
            <w:pPr>
              <w:pStyle w:val="TableParagraph"/>
              <w:spacing w:before="48"/>
              <w:ind w:right="135"/>
              <w:jc w:val="right"/>
              <w:rPr>
                <w:rFonts w:ascii="Times New Roman"/>
                <w:sz w:val="21"/>
              </w:rPr>
            </w:pPr>
            <w:r>
              <w:rPr>
                <w:rFonts w:ascii="Times New Roman"/>
                <w:sz w:val="21"/>
              </w:rPr>
              <w:t>1.932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10</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乙醇胺</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210kg/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0.42</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1.11</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11</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氧化苯乙烯</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0.2</w:t>
            </w:r>
          </w:p>
        </w:tc>
        <w:tc>
          <w:tcPr>
            <w:tcW w:w="793" w:type="dxa"/>
            <w:tcBorders>
              <w:top w:val="single" w:sz="6" w:space="0" w:color="000000"/>
              <w:left w:val="single" w:sz="6" w:space="0" w:color="000000"/>
              <w:bottom w:val="single" w:sz="6" w:space="0" w:color="000000"/>
            </w:tcBorders>
          </w:tcPr>
          <w:p>
            <w:pPr>
              <w:pStyle w:val="TableParagraph"/>
              <w:spacing w:before="48"/>
              <w:ind w:right="135"/>
              <w:jc w:val="right"/>
              <w:rPr>
                <w:rFonts w:ascii="Times New Roman"/>
                <w:sz w:val="21"/>
              </w:rPr>
            </w:pPr>
            <w:r>
              <w:rPr>
                <w:rFonts w:ascii="Times New Roman"/>
                <w:sz w:val="21"/>
              </w:rPr>
              <w:t>0.903</w:t>
            </w:r>
          </w:p>
        </w:tc>
      </w:tr>
      <w:tr>
        <w:trPr>
          <w:trHeight w:val="337"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12</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18" w:right="194"/>
              <w:rPr>
                <w:sz w:val="21"/>
              </w:rPr>
            </w:pPr>
            <w:r>
              <w:rPr>
                <w:sz w:val="21"/>
              </w:rPr>
              <w:t>环氧氯丙烷</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9" w:right="85"/>
              <w:rPr>
                <w:sz w:val="21"/>
              </w:rPr>
            </w:pPr>
            <w:r>
              <w:rPr>
                <w:rFonts w:ascii="Times New Roman" w:eastAsia="Times New Roman"/>
                <w:sz w:val="21"/>
              </w:rPr>
              <w:t>240kg/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3</w:t>
            </w:r>
          </w:p>
        </w:tc>
        <w:tc>
          <w:tcPr>
            <w:tcW w:w="793" w:type="dxa"/>
            <w:tcBorders>
              <w:top w:val="single" w:sz="6" w:space="0" w:color="000000"/>
              <w:left w:val="single" w:sz="6" w:space="0" w:color="000000"/>
              <w:bottom w:val="single" w:sz="6" w:space="0" w:color="000000"/>
            </w:tcBorders>
          </w:tcPr>
          <w:p>
            <w:pPr>
              <w:pStyle w:val="TableParagraph"/>
              <w:spacing w:before="48"/>
              <w:ind w:right="135"/>
              <w:jc w:val="right"/>
              <w:rPr>
                <w:rFonts w:ascii="Times New Roman"/>
                <w:sz w:val="21"/>
              </w:rPr>
            </w:pPr>
            <w:r>
              <w:rPr>
                <w:rFonts w:ascii="Times New Roman"/>
                <w:sz w:val="21"/>
              </w:rPr>
              <w:t>3.942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51"/>
              <w:ind w:left="28"/>
              <w:rPr>
                <w:rFonts w:ascii="Times New Roman"/>
                <w:sz w:val="21"/>
              </w:rPr>
            </w:pPr>
            <w:r>
              <w:rPr>
                <w:rFonts w:ascii="Times New Roman"/>
                <w:sz w:val="21"/>
              </w:rPr>
              <w:t>13</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正丙胺</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140kg/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51"/>
              <w:ind w:left="194" w:right="173"/>
              <w:rPr>
                <w:rFonts w:ascii="Times New Roman"/>
                <w:sz w:val="21"/>
              </w:rPr>
            </w:pPr>
            <w:r>
              <w:rPr>
                <w:rFonts w:ascii="Times New Roman"/>
                <w:sz w:val="21"/>
              </w:rPr>
              <w:t>2.8</w:t>
            </w:r>
          </w:p>
        </w:tc>
        <w:tc>
          <w:tcPr>
            <w:tcW w:w="793" w:type="dxa"/>
            <w:tcBorders>
              <w:top w:val="single" w:sz="6" w:space="0" w:color="000000"/>
              <w:left w:val="single" w:sz="6" w:space="0" w:color="000000"/>
              <w:bottom w:val="single" w:sz="6" w:space="0" w:color="000000"/>
            </w:tcBorders>
          </w:tcPr>
          <w:p>
            <w:pPr>
              <w:pStyle w:val="TableParagraph"/>
              <w:spacing w:before="51"/>
              <w:ind w:right="135"/>
              <w:jc w:val="right"/>
              <w:rPr>
                <w:rFonts w:ascii="Times New Roman"/>
                <w:sz w:val="21"/>
              </w:rPr>
            </w:pPr>
            <w:r>
              <w:rPr>
                <w:rFonts w:ascii="Times New Roman"/>
                <w:sz w:val="21"/>
              </w:rPr>
              <w:t>2.583</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14</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正丁醇</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170kg/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0.51</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0.48</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15</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溴丙烷</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250kg/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89" w:right="173"/>
              <w:rPr>
                <w:rFonts w:ascii="Times New Roman"/>
                <w:sz w:val="21"/>
              </w:rPr>
            </w:pPr>
            <w:r>
              <w:rPr>
                <w:rFonts w:ascii="Times New Roman"/>
                <w:sz w:val="21"/>
              </w:rPr>
              <w:t>20</w:t>
            </w:r>
          </w:p>
        </w:tc>
        <w:tc>
          <w:tcPr>
            <w:tcW w:w="793" w:type="dxa"/>
            <w:tcBorders>
              <w:top w:val="single" w:sz="6" w:space="0" w:color="000000"/>
              <w:left w:val="single" w:sz="6" w:space="0" w:color="000000"/>
              <w:bottom w:val="single" w:sz="6" w:space="0" w:color="000000"/>
            </w:tcBorders>
          </w:tcPr>
          <w:p>
            <w:pPr>
              <w:pStyle w:val="TableParagraph"/>
              <w:spacing w:before="48"/>
              <w:ind w:left="236"/>
              <w:jc w:val="left"/>
              <w:rPr>
                <w:rFonts w:ascii="Times New Roman"/>
                <w:sz w:val="21"/>
              </w:rPr>
            </w:pPr>
            <w:r>
              <w:rPr>
                <w:rFonts w:ascii="Times New Roman"/>
                <w:sz w:val="21"/>
              </w:rPr>
              <w:t>210</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16</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19" w:right="193"/>
              <w:rPr>
                <w:sz w:val="21"/>
              </w:rPr>
            </w:pPr>
            <w:r>
              <w:rPr>
                <w:sz w:val="21"/>
              </w:rPr>
              <w:t>乙酰乙酸甲酯</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9" w:right="85"/>
              <w:rPr>
                <w:sz w:val="21"/>
              </w:rPr>
            </w:pPr>
            <w:r>
              <w:rPr>
                <w:rFonts w:ascii="Times New Roman" w:eastAsia="Times New Roman"/>
                <w:sz w:val="21"/>
              </w:rPr>
              <w:t>200kg/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89" w:right="173"/>
              <w:rPr>
                <w:rFonts w:ascii="Times New Roman"/>
                <w:sz w:val="21"/>
              </w:rPr>
            </w:pPr>
            <w:r>
              <w:rPr>
                <w:rFonts w:ascii="Times New Roman"/>
                <w:sz w:val="21"/>
              </w:rPr>
              <w:t>12</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90.3</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17</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rFonts w:ascii="Times New Roman" w:eastAsia="Times New Roman"/>
                <w:sz w:val="21"/>
              </w:rPr>
              <w:t>1-</w:t>
            </w:r>
            <w:r>
              <w:rPr>
                <w:sz w:val="21"/>
              </w:rPr>
              <w:t>溴</w:t>
            </w:r>
            <w:r>
              <w:rPr>
                <w:rFonts w:ascii="Times New Roman" w:eastAsia="Times New Roman"/>
                <w:sz w:val="21"/>
              </w:rPr>
              <w:t>-3-</w:t>
            </w:r>
            <w:r>
              <w:rPr>
                <w:sz w:val="21"/>
              </w:rPr>
              <w:t>氯丙烷</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300kg/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6</w:t>
            </w:r>
          </w:p>
        </w:tc>
        <w:tc>
          <w:tcPr>
            <w:tcW w:w="793" w:type="dxa"/>
            <w:tcBorders>
              <w:top w:val="single" w:sz="6" w:space="0" w:color="000000"/>
              <w:left w:val="single" w:sz="6" w:space="0" w:color="000000"/>
              <w:bottom w:val="single" w:sz="6" w:space="0" w:color="000000"/>
            </w:tcBorders>
          </w:tcPr>
          <w:p>
            <w:pPr>
              <w:pStyle w:val="TableParagraph"/>
              <w:spacing w:before="48"/>
              <w:ind w:left="138" w:right="119"/>
              <w:rPr>
                <w:rFonts w:ascii="Times New Roman"/>
                <w:sz w:val="21"/>
              </w:rPr>
            </w:pPr>
            <w:r>
              <w:rPr>
                <w:rFonts w:ascii="Times New Roman"/>
                <w:sz w:val="21"/>
              </w:rPr>
              <w:t>26</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18</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氯苯</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4</w:t>
            </w:r>
          </w:p>
        </w:tc>
        <w:tc>
          <w:tcPr>
            <w:tcW w:w="793" w:type="dxa"/>
            <w:tcBorders>
              <w:top w:val="single" w:sz="6" w:space="0" w:color="000000"/>
              <w:left w:val="single" w:sz="6" w:space="0" w:color="000000"/>
              <w:bottom w:val="single" w:sz="6" w:space="0" w:color="000000"/>
            </w:tcBorders>
          </w:tcPr>
          <w:p>
            <w:pPr>
              <w:pStyle w:val="TableParagraph"/>
              <w:spacing w:before="48"/>
              <w:ind w:left="263"/>
              <w:jc w:val="left"/>
              <w:rPr>
                <w:rFonts w:ascii="Times New Roman"/>
                <w:sz w:val="21"/>
              </w:rPr>
            </w:pPr>
            <w:r>
              <w:rPr>
                <w:rFonts w:ascii="Times New Roman"/>
                <w:sz w:val="21"/>
              </w:rPr>
              <w:t>3.8</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19</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甲醛</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160kg/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1.44</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43.2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20</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rFonts w:ascii="Times New Roman" w:eastAsia="Times New Roman"/>
                <w:sz w:val="21"/>
              </w:rPr>
              <w:t>90%</w:t>
            </w:r>
            <w:r>
              <w:rPr>
                <w:sz w:val="21"/>
              </w:rPr>
              <w:t>甲酸</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25kg/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0.5</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0.45</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21</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乙酸铵</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袋装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固体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25kg/</w:t>
            </w:r>
            <w:r>
              <w:rPr>
                <w:sz w:val="21"/>
              </w:rPr>
              <w:t>袋</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5.3</w:t>
            </w:r>
          </w:p>
        </w:tc>
        <w:tc>
          <w:tcPr>
            <w:tcW w:w="793" w:type="dxa"/>
            <w:tcBorders>
              <w:top w:val="single" w:sz="6" w:space="0" w:color="000000"/>
              <w:left w:val="single" w:sz="6" w:space="0" w:color="000000"/>
              <w:bottom w:val="single" w:sz="6" w:space="0" w:color="000000"/>
            </w:tcBorders>
          </w:tcPr>
          <w:p>
            <w:pPr>
              <w:pStyle w:val="TableParagraph"/>
              <w:spacing w:before="48"/>
              <w:ind w:right="83"/>
              <w:jc w:val="right"/>
              <w:rPr>
                <w:rFonts w:ascii="Times New Roman"/>
                <w:sz w:val="21"/>
              </w:rPr>
            </w:pPr>
            <w:r>
              <w:rPr>
                <w:rFonts w:ascii="Times New Roman"/>
                <w:sz w:val="21"/>
              </w:rPr>
              <w:t>10.368</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22</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碳酸钾</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袋装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固体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40kg/</w:t>
            </w:r>
            <w:r>
              <w:rPr>
                <w:sz w:val="21"/>
              </w:rPr>
              <w:t>袋</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89" w:right="173"/>
              <w:rPr>
                <w:rFonts w:ascii="Times New Roman"/>
                <w:sz w:val="21"/>
              </w:rPr>
            </w:pPr>
            <w:r>
              <w:rPr>
                <w:rFonts w:ascii="Times New Roman"/>
                <w:sz w:val="21"/>
              </w:rPr>
              <w:t>22</w:t>
            </w:r>
          </w:p>
        </w:tc>
        <w:tc>
          <w:tcPr>
            <w:tcW w:w="793" w:type="dxa"/>
            <w:tcBorders>
              <w:top w:val="single" w:sz="6" w:space="0" w:color="000000"/>
              <w:left w:val="single" w:sz="6" w:space="0" w:color="000000"/>
              <w:bottom w:val="single" w:sz="6" w:space="0" w:color="000000"/>
            </w:tcBorders>
          </w:tcPr>
          <w:p>
            <w:pPr>
              <w:pStyle w:val="TableParagraph"/>
              <w:spacing w:before="48"/>
              <w:ind w:left="236"/>
              <w:jc w:val="left"/>
              <w:rPr>
                <w:rFonts w:ascii="Times New Roman"/>
                <w:sz w:val="21"/>
              </w:rPr>
            </w:pPr>
            <w:r>
              <w:rPr>
                <w:rFonts w:ascii="Times New Roman"/>
                <w:sz w:val="21"/>
              </w:rPr>
              <w:t>210</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23</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氯化铵</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袋装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固体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50kg/</w:t>
            </w:r>
            <w:r>
              <w:rPr>
                <w:sz w:val="21"/>
              </w:rPr>
              <w:t>袋</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5</w:t>
            </w:r>
          </w:p>
        </w:tc>
        <w:tc>
          <w:tcPr>
            <w:tcW w:w="793" w:type="dxa"/>
            <w:tcBorders>
              <w:top w:val="single" w:sz="6" w:space="0" w:color="000000"/>
              <w:left w:val="single" w:sz="6" w:space="0" w:color="000000"/>
              <w:bottom w:val="single" w:sz="6" w:space="0" w:color="000000"/>
            </w:tcBorders>
          </w:tcPr>
          <w:p>
            <w:pPr>
              <w:pStyle w:val="TableParagraph"/>
              <w:spacing w:before="48"/>
              <w:ind w:left="138" w:right="119"/>
              <w:rPr>
                <w:rFonts w:ascii="Times New Roman"/>
                <w:sz w:val="21"/>
              </w:rPr>
            </w:pPr>
            <w:r>
              <w:rPr>
                <w:rFonts w:ascii="Times New Roman"/>
                <w:sz w:val="21"/>
              </w:rPr>
              <w:t>10</w:t>
            </w:r>
          </w:p>
        </w:tc>
      </w:tr>
      <w:tr>
        <w:trPr>
          <w:trHeight w:val="337"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24</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19" w:right="193"/>
              <w:rPr>
                <w:sz w:val="21"/>
              </w:rPr>
            </w:pPr>
            <w:r>
              <w:rPr>
                <w:sz w:val="21"/>
              </w:rPr>
              <w:t>顺丁烯二酸酐</w:t>
            </w:r>
          </w:p>
        </w:tc>
        <w:tc>
          <w:tcPr>
            <w:tcW w:w="917"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12"/>
              </w:rPr>
            </w:pPr>
          </w:p>
          <w:p>
            <w:pPr>
              <w:pStyle w:val="TableParagraph"/>
              <w:ind w:left="42"/>
              <w:jc w:val="left"/>
              <w:rPr>
                <w:sz w:val="21"/>
              </w:rPr>
            </w:pPr>
            <w:r>
              <w:rPr>
                <w:sz w:val="21"/>
              </w:rPr>
              <w:t>丙类仓库</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89" w:right="263"/>
              <w:rPr>
                <w:sz w:val="21"/>
              </w:rPr>
            </w:pPr>
            <w:r>
              <w:rPr>
                <w:sz w:val="21"/>
              </w:rPr>
              <w:t>袋装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287"/>
              <w:jc w:val="right"/>
              <w:rPr>
                <w:sz w:val="21"/>
              </w:rPr>
            </w:pPr>
            <w:r>
              <w:rPr>
                <w:sz w:val="21"/>
              </w:rPr>
              <w:t>固体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9" w:right="85"/>
              <w:rPr>
                <w:sz w:val="21"/>
              </w:rPr>
            </w:pPr>
            <w:r>
              <w:rPr>
                <w:rFonts w:ascii="Times New Roman" w:eastAsia="Times New Roman"/>
                <w:sz w:val="21"/>
              </w:rPr>
              <w:t>25kg/</w:t>
            </w:r>
            <w:r>
              <w:rPr>
                <w:sz w:val="21"/>
              </w:rPr>
              <w:t>袋</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0.1</w:t>
            </w:r>
          </w:p>
        </w:tc>
        <w:tc>
          <w:tcPr>
            <w:tcW w:w="793" w:type="dxa"/>
            <w:tcBorders>
              <w:top w:val="single" w:sz="6" w:space="0" w:color="000000"/>
              <w:left w:val="single" w:sz="6" w:space="0" w:color="000000"/>
              <w:bottom w:val="single" w:sz="6" w:space="0" w:color="000000"/>
            </w:tcBorders>
          </w:tcPr>
          <w:p>
            <w:pPr>
              <w:pStyle w:val="TableParagraph"/>
              <w:spacing w:before="48"/>
              <w:ind w:left="263"/>
              <w:jc w:val="left"/>
              <w:rPr>
                <w:rFonts w:ascii="Times New Roman"/>
                <w:sz w:val="21"/>
              </w:rPr>
            </w:pPr>
            <w:r>
              <w:rPr>
                <w:rFonts w:ascii="Times New Roman"/>
                <w:sz w:val="21"/>
              </w:rPr>
              <w:t>0.2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51"/>
              <w:ind w:left="28"/>
              <w:rPr>
                <w:rFonts w:ascii="Times New Roman"/>
                <w:sz w:val="21"/>
              </w:rPr>
            </w:pPr>
            <w:r>
              <w:rPr>
                <w:rFonts w:ascii="Times New Roman"/>
                <w:sz w:val="21"/>
              </w:rPr>
              <w:t>25</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氢氧化钾</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袋装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固体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25kg/</w:t>
            </w:r>
            <w:r>
              <w:rPr>
                <w:sz w:val="21"/>
              </w:rPr>
              <w:t>袋</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51"/>
              <w:ind w:left="194" w:right="173"/>
              <w:rPr>
                <w:rFonts w:ascii="Times New Roman"/>
                <w:sz w:val="21"/>
              </w:rPr>
            </w:pPr>
            <w:r>
              <w:rPr>
                <w:rFonts w:ascii="Times New Roman"/>
                <w:sz w:val="21"/>
              </w:rPr>
              <w:t>0.5</w:t>
            </w:r>
          </w:p>
        </w:tc>
        <w:tc>
          <w:tcPr>
            <w:tcW w:w="793" w:type="dxa"/>
            <w:tcBorders>
              <w:top w:val="single" w:sz="6" w:space="0" w:color="000000"/>
              <w:left w:val="single" w:sz="6" w:space="0" w:color="000000"/>
              <w:bottom w:val="single" w:sz="6" w:space="0" w:color="000000"/>
            </w:tcBorders>
          </w:tcPr>
          <w:p>
            <w:pPr>
              <w:pStyle w:val="TableParagraph"/>
              <w:spacing w:before="51"/>
              <w:ind w:left="210"/>
              <w:jc w:val="left"/>
              <w:rPr>
                <w:rFonts w:ascii="Times New Roman"/>
                <w:sz w:val="21"/>
              </w:rPr>
            </w:pPr>
            <w:r>
              <w:rPr>
                <w:rFonts w:ascii="Times New Roman"/>
                <w:sz w:val="21"/>
              </w:rPr>
              <w:t>2.28</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9"/>
              <w:ind w:left="28"/>
              <w:rPr>
                <w:rFonts w:ascii="Times New Roman"/>
                <w:sz w:val="21"/>
              </w:rPr>
            </w:pPr>
            <w:r>
              <w:rPr>
                <w:rFonts w:ascii="Times New Roman"/>
                <w:sz w:val="21"/>
              </w:rPr>
              <w:t>26</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18" w:right="194"/>
              <w:rPr>
                <w:sz w:val="21"/>
              </w:rPr>
            </w:pPr>
            <w:r>
              <w:rPr>
                <w:sz w:val="21"/>
              </w:rPr>
              <w:t>氯甲酸乙酯</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9" w:right="85"/>
              <w:rPr>
                <w:sz w:val="21"/>
              </w:rPr>
            </w:pPr>
            <w:r>
              <w:rPr>
                <w:rFonts w:ascii="Times New Roman" w:eastAsia="Times New Roman"/>
                <w:sz w:val="21"/>
              </w:rPr>
              <w:t>200kg/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9"/>
              <w:ind w:left="194" w:right="173"/>
              <w:rPr>
                <w:rFonts w:ascii="Times New Roman"/>
                <w:sz w:val="21"/>
              </w:rPr>
            </w:pPr>
            <w:r>
              <w:rPr>
                <w:rFonts w:ascii="Times New Roman"/>
                <w:sz w:val="21"/>
              </w:rPr>
              <w:t>0.2</w:t>
            </w:r>
          </w:p>
        </w:tc>
        <w:tc>
          <w:tcPr>
            <w:tcW w:w="793" w:type="dxa"/>
            <w:tcBorders>
              <w:top w:val="single" w:sz="6" w:space="0" w:color="000000"/>
              <w:left w:val="single" w:sz="6" w:space="0" w:color="000000"/>
              <w:bottom w:val="single" w:sz="6" w:space="0" w:color="000000"/>
            </w:tcBorders>
          </w:tcPr>
          <w:p>
            <w:pPr>
              <w:pStyle w:val="TableParagraph"/>
              <w:spacing w:before="49"/>
              <w:ind w:left="210"/>
              <w:jc w:val="left"/>
              <w:rPr>
                <w:rFonts w:ascii="Times New Roman"/>
                <w:sz w:val="21"/>
              </w:rPr>
            </w:pPr>
            <w:r>
              <w:rPr>
                <w:rFonts w:ascii="Times New Roman"/>
                <w:sz w:val="21"/>
              </w:rPr>
              <w:t>0.48</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27</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硼氢化钾</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袋装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固体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25kg/</w:t>
            </w:r>
            <w:r>
              <w:rPr>
                <w:sz w:val="21"/>
              </w:rPr>
              <w:t>袋</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0.5</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1.02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28</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甲醇</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170kg/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3.5</w:t>
            </w:r>
          </w:p>
        </w:tc>
        <w:tc>
          <w:tcPr>
            <w:tcW w:w="793" w:type="dxa"/>
            <w:tcBorders>
              <w:top w:val="single" w:sz="6" w:space="0" w:color="000000"/>
              <w:left w:val="single" w:sz="6" w:space="0" w:color="000000"/>
              <w:bottom w:val="single" w:sz="6" w:space="0" w:color="000000"/>
            </w:tcBorders>
          </w:tcPr>
          <w:p>
            <w:pPr>
              <w:pStyle w:val="TableParagraph"/>
              <w:spacing w:before="48"/>
              <w:ind w:right="83"/>
              <w:jc w:val="right"/>
              <w:rPr>
                <w:rFonts w:ascii="Times New Roman"/>
                <w:sz w:val="21"/>
              </w:rPr>
            </w:pPr>
            <w:r>
              <w:rPr>
                <w:rFonts w:ascii="Times New Roman"/>
                <w:sz w:val="21"/>
              </w:rPr>
              <w:t>32.532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29</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氢气</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钢瓶</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气体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before="48"/>
              <w:ind w:left="109" w:right="85"/>
              <w:rPr>
                <w:rFonts w:ascii="Times New Roman"/>
                <w:sz w:val="21"/>
              </w:rPr>
            </w:pPr>
            <w:r>
              <w:rPr>
                <w:rFonts w:ascii="Times New Roman"/>
                <w:sz w:val="21"/>
              </w:rPr>
              <w:t>--</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0.06</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0.06</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30</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工业乙醇</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400kg/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5</w:t>
            </w:r>
          </w:p>
        </w:tc>
        <w:tc>
          <w:tcPr>
            <w:tcW w:w="793" w:type="dxa"/>
            <w:tcBorders>
              <w:top w:val="single" w:sz="6" w:space="0" w:color="000000"/>
              <w:left w:val="single" w:sz="6" w:space="0" w:color="000000"/>
              <w:bottom w:val="single" w:sz="6" w:space="0" w:color="000000"/>
            </w:tcBorders>
          </w:tcPr>
          <w:p>
            <w:pPr>
              <w:pStyle w:val="TableParagraph"/>
              <w:spacing w:before="48"/>
              <w:ind w:right="83"/>
              <w:jc w:val="right"/>
              <w:rPr>
                <w:rFonts w:ascii="Times New Roman"/>
                <w:sz w:val="21"/>
              </w:rPr>
            </w:pPr>
            <w:r>
              <w:rPr>
                <w:rFonts w:ascii="Times New Roman"/>
                <w:sz w:val="21"/>
              </w:rPr>
              <w:t>33.714</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31</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无水乙醇</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170kg/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94" w:right="173"/>
              <w:rPr>
                <w:rFonts w:ascii="Times New Roman"/>
                <w:sz w:val="21"/>
              </w:rPr>
            </w:pPr>
            <w:r>
              <w:rPr>
                <w:rFonts w:ascii="Times New Roman"/>
                <w:sz w:val="21"/>
              </w:rPr>
              <w:t>3.4</w:t>
            </w:r>
          </w:p>
        </w:tc>
        <w:tc>
          <w:tcPr>
            <w:tcW w:w="793" w:type="dxa"/>
            <w:tcBorders>
              <w:top w:val="single" w:sz="6" w:space="0" w:color="000000"/>
              <w:left w:val="single" w:sz="6" w:space="0" w:color="000000"/>
              <w:bottom w:val="single" w:sz="6" w:space="0" w:color="000000"/>
            </w:tcBorders>
          </w:tcPr>
          <w:p>
            <w:pPr>
              <w:pStyle w:val="TableParagraph"/>
              <w:spacing w:before="48"/>
              <w:ind w:right="83"/>
              <w:jc w:val="right"/>
              <w:rPr>
                <w:rFonts w:ascii="Times New Roman"/>
                <w:sz w:val="21"/>
              </w:rPr>
            </w:pPr>
            <w:r>
              <w:rPr>
                <w:rFonts w:ascii="Times New Roman"/>
                <w:sz w:val="21"/>
              </w:rPr>
              <w:t>18.028</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32</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乙酸乙酯</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180kg/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9</w:t>
            </w:r>
          </w:p>
        </w:tc>
        <w:tc>
          <w:tcPr>
            <w:tcW w:w="793" w:type="dxa"/>
            <w:tcBorders>
              <w:top w:val="single" w:sz="6" w:space="0" w:color="000000"/>
              <w:left w:val="single" w:sz="6" w:space="0" w:color="000000"/>
              <w:bottom w:val="single" w:sz="6" w:space="0" w:color="000000"/>
            </w:tcBorders>
          </w:tcPr>
          <w:p>
            <w:pPr>
              <w:pStyle w:val="TableParagraph"/>
              <w:spacing w:before="48"/>
              <w:ind w:left="138" w:right="119"/>
              <w:rPr>
                <w:rFonts w:ascii="Times New Roman"/>
                <w:sz w:val="21"/>
              </w:rPr>
            </w:pPr>
            <w:r>
              <w:rPr>
                <w:rFonts w:ascii="Times New Roman"/>
                <w:sz w:val="21"/>
              </w:rPr>
              <w:t>35</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33</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8" w:right="194"/>
              <w:rPr>
                <w:sz w:val="21"/>
              </w:rPr>
            </w:pPr>
            <w:r>
              <w:rPr>
                <w:sz w:val="21"/>
              </w:rPr>
              <w:t>四氢呋喃</w:t>
            </w: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桶装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180kg/</w:t>
            </w:r>
            <w:r>
              <w:rPr>
                <w:sz w:val="21"/>
              </w:rPr>
              <w:t>桶</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3</w:t>
            </w:r>
          </w:p>
        </w:tc>
        <w:tc>
          <w:tcPr>
            <w:tcW w:w="793" w:type="dxa"/>
            <w:tcBorders>
              <w:top w:val="single" w:sz="6" w:space="0" w:color="000000"/>
              <w:left w:val="single" w:sz="6" w:space="0" w:color="000000"/>
              <w:bottom w:val="single" w:sz="6" w:space="0" w:color="000000"/>
            </w:tcBorders>
          </w:tcPr>
          <w:p>
            <w:pPr>
              <w:pStyle w:val="TableParagraph"/>
              <w:spacing w:before="48"/>
              <w:ind w:right="135"/>
              <w:jc w:val="right"/>
              <w:rPr>
                <w:rFonts w:ascii="Times New Roman"/>
                <w:sz w:val="21"/>
              </w:rPr>
            </w:pPr>
            <w:r>
              <w:rPr>
                <w:rFonts w:ascii="Times New Roman"/>
                <w:sz w:val="21"/>
              </w:rPr>
              <w:t>12.12</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sz w:val="21"/>
              </w:rPr>
              <w:t>34</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9" w:right="193"/>
              <w:rPr>
                <w:sz w:val="21"/>
              </w:rPr>
            </w:pPr>
            <w:r>
              <w:rPr>
                <w:sz w:val="21"/>
              </w:rPr>
              <w:t>镁粉</w:t>
            </w:r>
          </w:p>
        </w:tc>
        <w:tc>
          <w:tcPr>
            <w:tcW w:w="91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
              <w:rPr>
                <w:sz w:val="21"/>
              </w:rPr>
            </w:pPr>
            <w:r>
              <w:rPr>
                <w:sz w:val="21"/>
              </w:rPr>
              <w:t>镁粉库</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9" w:right="263"/>
              <w:rPr>
                <w:sz w:val="21"/>
              </w:rPr>
            </w:pPr>
            <w:r>
              <w:rPr>
                <w:sz w:val="21"/>
              </w:rPr>
              <w:t>袋装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87"/>
              <w:jc w:val="right"/>
              <w:rPr>
                <w:sz w:val="21"/>
              </w:rPr>
            </w:pPr>
            <w:r>
              <w:rPr>
                <w:sz w:val="21"/>
              </w:rPr>
              <w:t>固体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9" w:right="85"/>
              <w:rPr>
                <w:sz w:val="21"/>
              </w:rPr>
            </w:pPr>
            <w:r>
              <w:rPr>
                <w:rFonts w:ascii="Times New Roman" w:eastAsia="Times New Roman"/>
                <w:sz w:val="21"/>
              </w:rPr>
              <w:t>25kg/</w:t>
            </w:r>
            <w:r>
              <w:rPr>
                <w:sz w:val="21"/>
              </w:rPr>
              <w:t>袋</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1</w:t>
            </w:r>
          </w:p>
        </w:tc>
        <w:tc>
          <w:tcPr>
            <w:tcW w:w="793" w:type="dxa"/>
            <w:tcBorders>
              <w:top w:val="single" w:sz="6" w:space="0" w:color="000000"/>
              <w:left w:val="single" w:sz="6" w:space="0" w:color="000000"/>
              <w:bottom w:val="single" w:sz="6" w:space="0" w:color="000000"/>
            </w:tcBorders>
          </w:tcPr>
          <w:p>
            <w:pPr>
              <w:pStyle w:val="TableParagraph"/>
              <w:spacing w:before="48"/>
              <w:ind w:left="210"/>
              <w:jc w:val="left"/>
              <w:rPr>
                <w:rFonts w:ascii="Times New Roman"/>
                <w:sz w:val="21"/>
              </w:rPr>
            </w:pPr>
            <w:r>
              <w:rPr>
                <w:rFonts w:ascii="Times New Roman"/>
                <w:sz w:val="21"/>
              </w:rPr>
              <w:t>2.44</w:t>
            </w:r>
          </w:p>
        </w:tc>
      </w:tr>
      <w:tr>
        <w:trPr>
          <w:trHeight w:val="340" w:hRule="atLeast"/>
        </w:trPr>
        <w:tc>
          <w:tcPr>
            <w:tcW w:w="478" w:type="dxa"/>
            <w:tcBorders>
              <w:top w:val="single" w:sz="6" w:space="0" w:color="000000"/>
              <w:bottom w:val="single" w:sz="6" w:space="0" w:color="000000"/>
              <w:right w:val="single" w:sz="6" w:space="0" w:color="000000"/>
            </w:tcBorders>
          </w:tcPr>
          <w:p>
            <w:pPr>
              <w:pStyle w:val="TableParagraph"/>
              <w:spacing w:before="49"/>
              <w:ind w:left="28"/>
              <w:rPr>
                <w:rFonts w:ascii="Times New Roman"/>
                <w:sz w:val="21"/>
              </w:rPr>
            </w:pPr>
            <w:r>
              <w:rPr>
                <w:rFonts w:ascii="Times New Roman"/>
                <w:sz w:val="21"/>
              </w:rPr>
              <w:t>35</w:t>
            </w:r>
          </w:p>
        </w:tc>
        <w:tc>
          <w:tcPr>
            <w:tcW w:w="172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19" w:right="193"/>
              <w:rPr>
                <w:sz w:val="21"/>
              </w:rPr>
            </w:pPr>
            <w:r>
              <w:rPr>
                <w:sz w:val="21"/>
              </w:rPr>
              <w:t>硝酸</w:t>
            </w:r>
          </w:p>
        </w:tc>
        <w:tc>
          <w:tcPr>
            <w:tcW w:w="91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6"/>
              <w:rPr>
                <w:sz w:val="21"/>
              </w:rPr>
            </w:pPr>
            <w:r>
              <w:rPr>
                <w:sz w:val="21"/>
              </w:rPr>
              <w:t>硝化库</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89" w:right="263"/>
              <w:rPr>
                <w:sz w:val="21"/>
              </w:rPr>
            </w:pPr>
            <w:r>
              <w:rPr>
                <w:sz w:val="21"/>
              </w:rPr>
              <w:t>罐装</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287"/>
              <w:jc w:val="right"/>
              <w:rPr>
                <w:sz w:val="21"/>
              </w:rPr>
            </w:pPr>
            <w:r>
              <w:rPr>
                <w:sz w:val="21"/>
              </w:rPr>
              <w:t>液体</w:t>
            </w:r>
          </w:p>
        </w:tc>
        <w:tc>
          <w:tcPr>
            <w:tcW w:w="104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9" w:right="85"/>
              <w:rPr>
                <w:sz w:val="21"/>
              </w:rPr>
            </w:pPr>
            <w:r>
              <w:rPr>
                <w:rFonts w:ascii="Times New Roman" w:eastAsia="Times New Roman"/>
                <w:sz w:val="21"/>
              </w:rPr>
              <w:t>50kg/</w:t>
            </w:r>
            <w:r>
              <w:rPr>
                <w:sz w:val="21"/>
              </w:rPr>
              <w:t>罐</w:t>
            </w:r>
          </w:p>
        </w:tc>
        <w:tc>
          <w:tcPr>
            <w:tcW w:w="896" w:type="dxa"/>
            <w:tcBorders>
              <w:top w:val="single" w:sz="6" w:space="0" w:color="000000"/>
              <w:left w:val="single" w:sz="6" w:space="0" w:color="000000"/>
              <w:bottom w:val="single" w:sz="6" w:space="0" w:color="000000"/>
              <w:right w:val="single" w:sz="6" w:space="0" w:color="000000"/>
            </w:tcBorders>
          </w:tcPr>
          <w:p>
            <w:pPr>
              <w:pStyle w:val="TableParagraph"/>
              <w:spacing w:before="49"/>
              <w:ind w:left="16"/>
              <w:rPr>
                <w:rFonts w:ascii="Times New Roman"/>
                <w:sz w:val="21"/>
              </w:rPr>
            </w:pPr>
            <w:r>
              <w:rPr>
                <w:rFonts w:ascii="Times New Roman"/>
                <w:w w:val="100"/>
                <w:sz w:val="21"/>
              </w:rPr>
              <w:t>2</w:t>
            </w:r>
          </w:p>
        </w:tc>
        <w:tc>
          <w:tcPr>
            <w:tcW w:w="793" w:type="dxa"/>
            <w:tcBorders>
              <w:top w:val="single" w:sz="6" w:space="0" w:color="000000"/>
              <w:left w:val="single" w:sz="6" w:space="0" w:color="000000"/>
              <w:bottom w:val="single" w:sz="6" w:space="0" w:color="000000"/>
            </w:tcBorders>
          </w:tcPr>
          <w:p>
            <w:pPr>
              <w:pStyle w:val="TableParagraph"/>
              <w:spacing w:before="49"/>
              <w:ind w:left="210"/>
              <w:jc w:val="left"/>
              <w:rPr>
                <w:rFonts w:ascii="Times New Roman"/>
                <w:sz w:val="21"/>
              </w:rPr>
            </w:pPr>
            <w:r>
              <w:rPr>
                <w:rFonts w:ascii="Times New Roman"/>
                <w:sz w:val="21"/>
              </w:rPr>
              <w:t>12.5</w:t>
            </w:r>
          </w:p>
        </w:tc>
      </w:tr>
      <w:tr>
        <w:trPr>
          <w:trHeight w:val="337" w:hRule="atLeast"/>
        </w:trPr>
        <w:tc>
          <w:tcPr>
            <w:tcW w:w="478" w:type="dxa"/>
            <w:tcBorders>
              <w:top w:val="single" w:sz="6" w:space="0" w:color="000000"/>
              <w:right w:val="single" w:sz="6" w:space="0" w:color="000000"/>
            </w:tcBorders>
          </w:tcPr>
          <w:p>
            <w:pPr>
              <w:pStyle w:val="TableParagraph"/>
              <w:spacing w:before="48"/>
              <w:ind w:left="28"/>
              <w:rPr>
                <w:rFonts w:ascii="Times New Roman"/>
                <w:sz w:val="21"/>
              </w:rPr>
            </w:pPr>
            <w:r>
              <w:rPr>
                <w:rFonts w:ascii="Times New Roman"/>
                <w:sz w:val="21"/>
              </w:rPr>
              <w:t>36</w:t>
            </w:r>
          </w:p>
        </w:tc>
        <w:tc>
          <w:tcPr>
            <w:tcW w:w="1729" w:type="dxa"/>
            <w:tcBorders>
              <w:top w:val="single" w:sz="6" w:space="0" w:color="000000"/>
              <w:left w:val="single" w:sz="6" w:space="0" w:color="000000"/>
              <w:right w:val="single" w:sz="6" w:space="0" w:color="000000"/>
            </w:tcBorders>
          </w:tcPr>
          <w:p>
            <w:pPr>
              <w:pStyle w:val="TableParagraph"/>
              <w:spacing w:line="317" w:lineRule="exact"/>
              <w:ind w:left="219" w:right="193"/>
              <w:rPr>
                <w:sz w:val="21"/>
              </w:rPr>
            </w:pPr>
            <w:r>
              <w:rPr>
                <w:sz w:val="21"/>
              </w:rPr>
              <w:t>甲苯</w:t>
            </w:r>
          </w:p>
        </w:tc>
        <w:tc>
          <w:tcPr>
            <w:tcW w:w="917" w:type="dxa"/>
            <w:tcBorders>
              <w:top w:val="single" w:sz="6" w:space="0" w:color="000000"/>
              <w:left w:val="single" w:sz="6" w:space="0" w:color="000000"/>
              <w:right w:val="single" w:sz="6" w:space="0" w:color="000000"/>
            </w:tcBorders>
          </w:tcPr>
          <w:p>
            <w:pPr>
              <w:pStyle w:val="TableParagraph"/>
              <w:spacing w:line="317" w:lineRule="exact"/>
              <w:ind w:left="24"/>
              <w:rPr>
                <w:sz w:val="21"/>
              </w:rPr>
            </w:pPr>
            <w:r>
              <w:rPr>
                <w:sz w:val="21"/>
              </w:rPr>
              <w:t>易制毒库</w:t>
            </w:r>
          </w:p>
        </w:tc>
        <w:tc>
          <w:tcPr>
            <w:tcW w:w="1450" w:type="dxa"/>
            <w:tcBorders>
              <w:top w:val="single" w:sz="6" w:space="0" w:color="000000"/>
              <w:left w:val="single" w:sz="6" w:space="0" w:color="000000"/>
              <w:right w:val="single" w:sz="6" w:space="0" w:color="000000"/>
            </w:tcBorders>
          </w:tcPr>
          <w:p>
            <w:pPr>
              <w:pStyle w:val="TableParagraph"/>
              <w:spacing w:line="317" w:lineRule="exact"/>
              <w:ind w:left="289" w:right="263"/>
              <w:rPr>
                <w:sz w:val="21"/>
              </w:rPr>
            </w:pPr>
            <w:r>
              <w:rPr>
                <w:sz w:val="21"/>
              </w:rPr>
              <w:t>桶装</w:t>
            </w:r>
          </w:p>
        </w:tc>
        <w:tc>
          <w:tcPr>
            <w:tcW w:w="1042" w:type="dxa"/>
            <w:tcBorders>
              <w:top w:val="single" w:sz="6" w:space="0" w:color="000000"/>
              <w:left w:val="single" w:sz="6" w:space="0" w:color="000000"/>
              <w:right w:val="single" w:sz="6" w:space="0" w:color="000000"/>
            </w:tcBorders>
          </w:tcPr>
          <w:p>
            <w:pPr>
              <w:pStyle w:val="TableParagraph"/>
              <w:spacing w:line="317" w:lineRule="exact"/>
              <w:ind w:right="287"/>
              <w:jc w:val="right"/>
              <w:rPr>
                <w:sz w:val="21"/>
              </w:rPr>
            </w:pPr>
            <w:r>
              <w:rPr>
                <w:sz w:val="21"/>
              </w:rPr>
              <w:t>液体</w:t>
            </w:r>
          </w:p>
        </w:tc>
        <w:tc>
          <w:tcPr>
            <w:tcW w:w="1043" w:type="dxa"/>
            <w:tcBorders>
              <w:top w:val="single" w:sz="6" w:space="0" w:color="000000"/>
              <w:left w:val="single" w:sz="6" w:space="0" w:color="000000"/>
              <w:right w:val="single" w:sz="6" w:space="0" w:color="000000"/>
            </w:tcBorders>
          </w:tcPr>
          <w:p>
            <w:pPr>
              <w:pStyle w:val="TableParagraph"/>
              <w:spacing w:line="317" w:lineRule="exact"/>
              <w:ind w:left="109" w:right="85"/>
              <w:rPr>
                <w:sz w:val="21"/>
              </w:rPr>
            </w:pPr>
            <w:r>
              <w:rPr>
                <w:rFonts w:ascii="Times New Roman" w:eastAsia="Times New Roman"/>
                <w:sz w:val="21"/>
              </w:rPr>
              <w:t>180kg/</w:t>
            </w:r>
            <w:r>
              <w:rPr>
                <w:sz w:val="21"/>
              </w:rPr>
              <w:t>桶</w:t>
            </w:r>
          </w:p>
        </w:tc>
        <w:tc>
          <w:tcPr>
            <w:tcW w:w="896" w:type="dxa"/>
            <w:tcBorders>
              <w:top w:val="single" w:sz="6" w:space="0" w:color="000000"/>
              <w:left w:val="single" w:sz="6" w:space="0" w:color="000000"/>
              <w:right w:val="single" w:sz="6" w:space="0" w:color="000000"/>
            </w:tcBorders>
          </w:tcPr>
          <w:p>
            <w:pPr>
              <w:pStyle w:val="TableParagraph"/>
              <w:spacing w:before="48"/>
              <w:ind w:left="16"/>
              <w:rPr>
                <w:rFonts w:ascii="Times New Roman"/>
                <w:sz w:val="21"/>
              </w:rPr>
            </w:pPr>
            <w:r>
              <w:rPr>
                <w:rFonts w:ascii="Times New Roman"/>
                <w:w w:val="100"/>
                <w:sz w:val="21"/>
              </w:rPr>
              <w:t>6</w:t>
            </w:r>
          </w:p>
        </w:tc>
        <w:tc>
          <w:tcPr>
            <w:tcW w:w="793" w:type="dxa"/>
            <w:tcBorders>
              <w:top w:val="single" w:sz="6" w:space="0" w:color="000000"/>
              <w:left w:val="single" w:sz="6" w:space="0" w:color="000000"/>
            </w:tcBorders>
          </w:tcPr>
          <w:p>
            <w:pPr>
              <w:pStyle w:val="TableParagraph"/>
              <w:spacing w:before="48"/>
              <w:ind w:right="135"/>
              <w:jc w:val="right"/>
              <w:rPr>
                <w:rFonts w:ascii="Times New Roman"/>
                <w:sz w:val="21"/>
              </w:rPr>
            </w:pPr>
            <w:r>
              <w:rPr>
                <w:rFonts w:ascii="Times New Roman"/>
                <w:sz w:val="21"/>
              </w:rPr>
              <w:t>34.06</w:t>
            </w:r>
          </w:p>
        </w:tc>
      </w:tr>
    </w:tbl>
    <w:p>
      <w:pPr>
        <w:spacing w:after="0"/>
        <w:jc w:val="right"/>
        <w:rPr>
          <w:rFonts w:ascii="Times New Roman"/>
          <w:sz w:val="21"/>
        </w:rPr>
        <w:sectPr>
          <w:footerReference w:type="default" r:id="rId31"/>
          <w:pgSz w:w="11910" w:h="16840"/>
          <w:pgMar w:footer="973" w:header="877" w:top="1340" w:bottom="1160" w:left="1220" w:right="1040"/>
          <w:pgNumType w:start="2"/>
        </w:sectPr>
      </w:pPr>
    </w:p>
    <w:p>
      <w:pPr>
        <w:pStyle w:val="BodyText"/>
        <w:spacing w:before="20"/>
        <w:rPr>
          <w:sz w:val="3"/>
        </w:rPr>
      </w:pPr>
    </w:p>
    <w:tbl>
      <w:tblPr>
        <w:tblW w:w="0" w:type="auto"/>
        <w:jc w:val="left"/>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
        <w:gridCol w:w="1729"/>
        <w:gridCol w:w="917"/>
        <w:gridCol w:w="1450"/>
        <w:gridCol w:w="1042"/>
        <w:gridCol w:w="1043"/>
        <w:gridCol w:w="896"/>
        <w:gridCol w:w="793"/>
      </w:tblGrid>
      <w:tr>
        <w:trPr>
          <w:trHeight w:val="332" w:hRule="atLeast"/>
        </w:trPr>
        <w:tc>
          <w:tcPr>
            <w:tcW w:w="478" w:type="dxa"/>
            <w:tcBorders>
              <w:bottom w:val="single" w:sz="6" w:space="0" w:color="000000"/>
              <w:right w:val="single" w:sz="6" w:space="0" w:color="000000"/>
            </w:tcBorders>
          </w:tcPr>
          <w:p>
            <w:pPr>
              <w:pStyle w:val="TableParagraph"/>
              <w:spacing w:before="48"/>
              <w:ind w:right="106"/>
              <w:jc w:val="right"/>
              <w:rPr>
                <w:rFonts w:ascii="Times New Roman"/>
                <w:sz w:val="21"/>
              </w:rPr>
            </w:pPr>
            <w:r>
              <w:rPr>
                <w:rFonts w:ascii="Times New Roman"/>
                <w:sz w:val="21"/>
              </w:rPr>
              <w:t>37</w:t>
            </w:r>
          </w:p>
        </w:tc>
        <w:tc>
          <w:tcPr>
            <w:tcW w:w="1729" w:type="dxa"/>
            <w:tcBorders>
              <w:left w:val="single" w:sz="6" w:space="0" w:color="000000"/>
              <w:bottom w:val="single" w:sz="6" w:space="0" w:color="000000"/>
              <w:right w:val="single" w:sz="6" w:space="0" w:color="000000"/>
            </w:tcBorders>
          </w:tcPr>
          <w:p>
            <w:pPr>
              <w:pStyle w:val="TableParagraph"/>
              <w:spacing w:line="313" w:lineRule="exact"/>
              <w:ind w:left="219" w:right="193"/>
              <w:rPr>
                <w:sz w:val="21"/>
              </w:rPr>
            </w:pPr>
            <w:r>
              <w:rPr>
                <w:sz w:val="21"/>
              </w:rPr>
              <w:t>浓硫酸</w:t>
            </w:r>
          </w:p>
        </w:tc>
        <w:tc>
          <w:tcPr>
            <w:tcW w:w="917" w:type="dxa"/>
            <w:vMerge w:val="restart"/>
            <w:tcBorders>
              <w:left w:val="single" w:sz="6" w:space="0" w:color="000000"/>
              <w:right w:val="single" w:sz="6" w:space="0" w:color="000000"/>
            </w:tcBorders>
          </w:tcPr>
          <w:p>
            <w:pPr>
              <w:pStyle w:val="TableParagraph"/>
              <w:jc w:val="left"/>
              <w:rPr>
                <w:rFonts w:ascii="Times New Roman"/>
                <w:sz w:val="20"/>
              </w:rPr>
            </w:pPr>
          </w:p>
        </w:tc>
        <w:tc>
          <w:tcPr>
            <w:tcW w:w="1450" w:type="dxa"/>
            <w:tcBorders>
              <w:left w:val="single" w:sz="6" w:space="0" w:color="000000"/>
              <w:bottom w:val="single" w:sz="6" w:space="0" w:color="000000"/>
              <w:right w:val="single" w:sz="6" w:space="0" w:color="000000"/>
            </w:tcBorders>
          </w:tcPr>
          <w:p>
            <w:pPr>
              <w:pStyle w:val="TableParagraph"/>
              <w:spacing w:line="313" w:lineRule="exact"/>
              <w:ind w:right="491"/>
              <w:jc w:val="right"/>
              <w:rPr>
                <w:sz w:val="21"/>
              </w:rPr>
            </w:pPr>
            <w:r>
              <w:rPr>
                <w:sz w:val="21"/>
              </w:rPr>
              <w:t>瓶装</w:t>
            </w:r>
          </w:p>
        </w:tc>
        <w:tc>
          <w:tcPr>
            <w:tcW w:w="1042" w:type="dxa"/>
            <w:tcBorders>
              <w:left w:val="single" w:sz="6" w:space="0" w:color="000000"/>
              <w:bottom w:val="single" w:sz="6" w:space="0" w:color="000000"/>
              <w:right w:val="single" w:sz="6" w:space="0" w:color="000000"/>
            </w:tcBorders>
          </w:tcPr>
          <w:p>
            <w:pPr>
              <w:pStyle w:val="TableParagraph"/>
              <w:spacing w:line="313" w:lineRule="exact"/>
              <w:ind w:right="287"/>
              <w:jc w:val="right"/>
              <w:rPr>
                <w:sz w:val="21"/>
              </w:rPr>
            </w:pPr>
            <w:r>
              <w:rPr>
                <w:sz w:val="21"/>
              </w:rPr>
              <w:t>液体</w:t>
            </w:r>
          </w:p>
        </w:tc>
        <w:tc>
          <w:tcPr>
            <w:tcW w:w="1043" w:type="dxa"/>
            <w:tcBorders>
              <w:left w:val="single" w:sz="6" w:space="0" w:color="000000"/>
              <w:bottom w:val="single" w:sz="6" w:space="0" w:color="000000"/>
              <w:right w:val="single" w:sz="6" w:space="0" w:color="000000"/>
            </w:tcBorders>
          </w:tcPr>
          <w:p>
            <w:pPr>
              <w:pStyle w:val="TableParagraph"/>
              <w:spacing w:line="313" w:lineRule="exact"/>
              <w:ind w:left="109" w:right="85"/>
              <w:rPr>
                <w:sz w:val="21"/>
              </w:rPr>
            </w:pPr>
            <w:r>
              <w:rPr>
                <w:rFonts w:ascii="Times New Roman" w:eastAsia="Times New Roman"/>
                <w:sz w:val="21"/>
              </w:rPr>
              <w:t>0.5kg/</w:t>
            </w:r>
            <w:r>
              <w:rPr>
                <w:sz w:val="21"/>
              </w:rPr>
              <w:t>桶</w:t>
            </w:r>
          </w:p>
        </w:tc>
        <w:tc>
          <w:tcPr>
            <w:tcW w:w="896" w:type="dxa"/>
            <w:tcBorders>
              <w:left w:val="single" w:sz="6" w:space="0" w:color="000000"/>
              <w:bottom w:val="single" w:sz="6" w:space="0" w:color="000000"/>
              <w:right w:val="single" w:sz="6" w:space="0" w:color="000000"/>
            </w:tcBorders>
          </w:tcPr>
          <w:p>
            <w:pPr>
              <w:pStyle w:val="TableParagraph"/>
              <w:spacing w:before="48"/>
              <w:ind w:left="395"/>
              <w:jc w:val="left"/>
              <w:rPr>
                <w:rFonts w:ascii="Times New Roman"/>
                <w:sz w:val="21"/>
              </w:rPr>
            </w:pPr>
            <w:r>
              <w:rPr>
                <w:rFonts w:ascii="Times New Roman"/>
                <w:w w:val="100"/>
                <w:sz w:val="21"/>
              </w:rPr>
              <w:t>1</w:t>
            </w:r>
          </w:p>
        </w:tc>
        <w:tc>
          <w:tcPr>
            <w:tcW w:w="793" w:type="dxa"/>
            <w:tcBorders>
              <w:left w:val="single" w:sz="6" w:space="0" w:color="000000"/>
              <w:bottom w:val="single" w:sz="6" w:space="0" w:color="000000"/>
            </w:tcBorders>
          </w:tcPr>
          <w:p>
            <w:pPr>
              <w:pStyle w:val="TableParagraph"/>
              <w:spacing w:before="48"/>
              <w:ind w:left="138" w:right="119"/>
              <w:rPr>
                <w:rFonts w:ascii="Times New Roman"/>
                <w:sz w:val="21"/>
              </w:rPr>
            </w:pPr>
            <w:r>
              <w:rPr>
                <w:rFonts w:ascii="Times New Roman"/>
                <w:sz w:val="21"/>
              </w:rPr>
              <w:t>4.392</w:t>
            </w:r>
          </w:p>
        </w:tc>
      </w:tr>
      <w:tr>
        <w:trPr>
          <w:trHeight w:val="332" w:hRule="atLeast"/>
        </w:trPr>
        <w:tc>
          <w:tcPr>
            <w:tcW w:w="478" w:type="dxa"/>
            <w:tcBorders>
              <w:top w:val="single" w:sz="6" w:space="0" w:color="000000"/>
              <w:right w:val="single" w:sz="6" w:space="0" w:color="000000"/>
            </w:tcBorders>
          </w:tcPr>
          <w:p>
            <w:pPr>
              <w:pStyle w:val="TableParagraph"/>
              <w:spacing w:before="41"/>
              <w:ind w:right="106"/>
              <w:jc w:val="right"/>
              <w:rPr>
                <w:rFonts w:ascii="Times New Roman"/>
                <w:sz w:val="21"/>
              </w:rPr>
            </w:pPr>
            <w:r>
              <w:rPr>
                <w:rFonts w:ascii="Times New Roman"/>
                <w:sz w:val="21"/>
              </w:rPr>
              <w:t>38</w:t>
            </w:r>
          </w:p>
        </w:tc>
        <w:tc>
          <w:tcPr>
            <w:tcW w:w="1729" w:type="dxa"/>
            <w:tcBorders>
              <w:top w:val="single" w:sz="6" w:space="0" w:color="000000"/>
              <w:left w:val="single" w:sz="6" w:space="0" w:color="000000"/>
              <w:right w:val="single" w:sz="6" w:space="0" w:color="000000"/>
            </w:tcBorders>
          </w:tcPr>
          <w:p>
            <w:pPr>
              <w:pStyle w:val="TableParagraph"/>
              <w:spacing w:line="312" w:lineRule="exact"/>
              <w:ind w:left="219" w:right="193"/>
              <w:rPr>
                <w:sz w:val="21"/>
              </w:rPr>
            </w:pPr>
            <w:r>
              <w:rPr>
                <w:sz w:val="21"/>
              </w:rPr>
              <w:t>丙酮</w:t>
            </w:r>
          </w:p>
        </w:tc>
        <w:tc>
          <w:tcPr>
            <w:tcW w:w="917" w:type="dxa"/>
            <w:vMerge/>
            <w:tcBorders>
              <w:top w:val="nil"/>
              <w:left w:val="single" w:sz="6" w:space="0" w:color="000000"/>
              <w:right w:val="single" w:sz="6" w:space="0" w:color="000000"/>
            </w:tcBorders>
          </w:tcPr>
          <w:p>
            <w:pPr>
              <w:rPr>
                <w:sz w:val="2"/>
                <w:szCs w:val="2"/>
              </w:rPr>
            </w:pPr>
          </w:p>
        </w:tc>
        <w:tc>
          <w:tcPr>
            <w:tcW w:w="1450" w:type="dxa"/>
            <w:tcBorders>
              <w:top w:val="single" w:sz="6" w:space="0" w:color="000000"/>
              <w:left w:val="single" w:sz="6" w:space="0" w:color="000000"/>
              <w:right w:val="single" w:sz="6" w:space="0" w:color="000000"/>
            </w:tcBorders>
          </w:tcPr>
          <w:p>
            <w:pPr>
              <w:pStyle w:val="TableParagraph"/>
              <w:spacing w:line="312" w:lineRule="exact"/>
              <w:ind w:right="491"/>
              <w:jc w:val="right"/>
              <w:rPr>
                <w:sz w:val="21"/>
              </w:rPr>
            </w:pPr>
            <w:r>
              <w:rPr>
                <w:sz w:val="21"/>
              </w:rPr>
              <w:t>桶装</w:t>
            </w:r>
          </w:p>
        </w:tc>
        <w:tc>
          <w:tcPr>
            <w:tcW w:w="1042" w:type="dxa"/>
            <w:tcBorders>
              <w:top w:val="single" w:sz="6" w:space="0" w:color="000000"/>
              <w:left w:val="single" w:sz="6" w:space="0" w:color="000000"/>
              <w:right w:val="single" w:sz="6" w:space="0" w:color="000000"/>
            </w:tcBorders>
          </w:tcPr>
          <w:p>
            <w:pPr>
              <w:pStyle w:val="TableParagraph"/>
              <w:spacing w:line="312" w:lineRule="exact"/>
              <w:ind w:right="287"/>
              <w:jc w:val="right"/>
              <w:rPr>
                <w:sz w:val="21"/>
              </w:rPr>
            </w:pPr>
            <w:r>
              <w:rPr>
                <w:sz w:val="21"/>
              </w:rPr>
              <w:t>液体</w:t>
            </w:r>
          </w:p>
        </w:tc>
        <w:tc>
          <w:tcPr>
            <w:tcW w:w="1043" w:type="dxa"/>
            <w:tcBorders>
              <w:top w:val="single" w:sz="6" w:space="0" w:color="000000"/>
              <w:left w:val="single" w:sz="6" w:space="0" w:color="000000"/>
              <w:right w:val="single" w:sz="6" w:space="0" w:color="000000"/>
            </w:tcBorders>
          </w:tcPr>
          <w:p>
            <w:pPr>
              <w:pStyle w:val="TableParagraph"/>
              <w:spacing w:line="312" w:lineRule="exact"/>
              <w:ind w:left="109" w:right="85"/>
              <w:rPr>
                <w:sz w:val="21"/>
              </w:rPr>
            </w:pPr>
            <w:r>
              <w:rPr>
                <w:rFonts w:ascii="Times New Roman" w:eastAsia="Times New Roman"/>
                <w:sz w:val="21"/>
              </w:rPr>
              <w:t>160kg/</w:t>
            </w:r>
            <w:r>
              <w:rPr>
                <w:sz w:val="21"/>
              </w:rPr>
              <w:t>桶</w:t>
            </w:r>
          </w:p>
        </w:tc>
        <w:tc>
          <w:tcPr>
            <w:tcW w:w="896" w:type="dxa"/>
            <w:tcBorders>
              <w:top w:val="single" w:sz="6" w:space="0" w:color="000000"/>
              <w:left w:val="single" w:sz="6" w:space="0" w:color="000000"/>
              <w:right w:val="single" w:sz="6" w:space="0" w:color="000000"/>
            </w:tcBorders>
          </w:tcPr>
          <w:p>
            <w:pPr>
              <w:pStyle w:val="TableParagraph"/>
              <w:spacing w:before="41"/>
              <w:ind w:left="395"/>
              <w:jc w:val="left"/>
              <w:rPr>
                <w:rFonts w:ascii="Times New Roman"/>
                <w:sz w:val="21"/>
              </w:rPr>
            </w:pPr>
            <w:r>
              <w:rPr>
                <w:rFonts w:ascii="Times New Roman"/>
                <w:w w:val="100"/>
                <w:sz w:val="21"/>
              </w:rPr>
              <w:t>5</w:t>
            </w:r>
          </w:p>
        </w:tc>
        <w:tc>
          <w:tcPr>
            <w:tcW w:w="793" w:type="dxa"/>
            <w:tcBorders>
              <w:top w:val="single" w:sz="6" w:space="0" w:color="000000"/>
              <w:left w:val="single" w:sz="6" w:space="0" w:color="000000"/>
            </w:tcBorders>
          </w:tcPr>
          <w:p>
            <w:pPr>
              <w:pStyle w:val="TableParagraph"/>
              <w:spacing w:before="41"/>
              <w:ind w:left="138" w:right="119"/>
              <w:rPr>
                <w:rFonts w:ascii="Times New Roman"/>
                <w:sz w:val="21"/>
              </w:rPr>
            </w:pPr>
            <w:r>
              <w:rPr>
                <w:rFonts w:ascii="Times New Roman"/>
                <w:sz w:val="21"/>
              </w:rPr>
              <w:t>5.46</w:t>
            </w:r>
          </w:p>
        </w:tc>
      </w:tr>
    </w:tbl>
    <w:p>
      <w:pPr>
        <w:pStyle w:val="BodyText"/>
        <w:spacing w:line="455" w:lineRule="exact"/>
        <w:ind w:left="1060"/>
      </w:pPr>
      <w:r>
        <w:rPr/>
        <w:t>（</w:t>
      </w:r>
      <w:r>
        <w:rPr>
          <w:rFonts w:ascii="Times New Roman" w:eastAsia="Times New Roman"/>
        </w:rPr>
        <w:t>2</w:t>
      </w:r>
      <w:r>
        <w:rPr/>
        <w:t>）危险物质安全技术说明书</w:t>
      </w:r>
    </w:p>
    <w:p>
      <w:pPr>
        <w:pStyle w:val="BodyText"/>
        <w:spacing w:line="488" w:lineRule="exact"/>
        <w:ind w:left="1060"/>
      </w:pPr>
      <w:r>
        <w:rPr/>
        <w:t>项目涉及的危险、有害物质的性质、危险特性及急救措施见表 </w:t>
      </w:r>
      <w:r>
        <w:rPr>
          <w:rFonts w:ascii="Times New Roman" w:eastAsia="Times New Roman"/>
        </w:rPr>
        <w:t>7.1-2</w:t>
      </w:r>
      <w:r>
        <w:rPr/>
        <w:t>。</w:t>
      </w:r>
    </w:p>
    <w:p>
      <w:pPr>
        <w:tabs>
          <w:tab w:pos="4140" w:val="left" w:leader="none"/>
        </w:tabs>
        <w:spacing w:before="73"/>
        <w:ind w:left="3228" w:right="0" w:firstLine="0"/>
        <w:jc w:val="left"/>
        <w:rPr>
          <w:sz w:val="21"/>
        </w:rPr>
      </w:pPr>
      <w:r>
        <w:rPr>
          <w:sz w:val="21"/>
        </w:rPr>
        <w:t>表</w:t>
      </w:r>
      <w:r>
        <w:rPr>
          <w:spacing w:val="4"/>
          <w:sz w:val="21"/>
        </w:rPr>
        <w:t> </w:t>
      </w:r>
      <w:r>
        <w:rPr>
          <w:rFonts w:ascii="Times New Roman" w:eastAsia="Times New Roman"/>
          <w:sz w:val="21"/>
        </w:rPr>
        <w:t>7.1-2</w:t>
        <w:tab/>
      </w:r>
      <w:r>
        <w:rPr>
          <w:spacing w:val="-3"/>
          <w:sz w:val="21"/>
        </w:rPr>
        <w:t>吡</w:t>
      </w:r>
      <w:r>
        <w:rPr>
          <w:sz w:val="21"/>
        </w:rPr>
        <w:t>啶</w:t>
      </w:r>
      <w:r>
        <w:rPr>
          <w:spacing w:val="-3"/>
          <w:sz w:val="21"/>
        </w:rPr>
        <w:t>危</w:t>
      </w:r>
      <w:r>
        <w:rPr>
          <w:sz w:val="21"/>
        </w:rPr>
        <w:t>险</w:t>
      </w:r>
      <w:r>
        <w:rPr>
          <w:spacing w:val="-3"/>
          <w:sz w:val="21"/>
        </w:rPr>
        <w:t>特</w:t>
      </w:r>
      <w:r>
        <w:rPr>
          <w:sz w:val="21"/>
        </w:rPr>
        <w:t>性</w:t>
      </w:r>
      <w:r>
        <w:rPr>
          <w:spacing w:val="-3"/>
          <w:sz w:val="21"/>
        </w:rPr>
        <w:t>及</w:t>
      </w:r>
      <w:r>
        <w:rPr>
          <w:sz w:val="21"/>
        </w:rPr>
        <w:t>处理</w:t>
      </w:r>
      <w:r>
        <w:rPr>
          <w:spacing w:val="-3"/>
          <w:sz w:val="21"/>
        </w:rPr>
        <w:t>措</w:t>
      </w:r>
      <w:r>
        <w:rPr>
          <w:sz w:val="21"/>
        </w:rPr>
        <w:t>施表</w:t>
      </w:r>
    </w:p>
    <w:p>
      <w:pPr>
        <w:pStyle w:val="BodyText"/>
        <w:spacing w:before="1"/>
        <w:rPr>
          <w:sz w:val="3"/>
        </w:rPr>
      </w:pPr>
    </w:p>
    <w:tbl>
      <w:tblPr>
        <w:tblW w:w="0" w:type="auto"/>
        <w:jc w:val="left"/>
        <w:tblInd w:w="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540"/>
      </w:tblGrid>
      <w:tr>
        <w:trPr>
          <w:trHeight w:val="395" w:hRule="atLeast"/>
        </w:trPr>
        <w:tc>
          <w:tcPr>
            <w:tcW w:w="1188" w:type="dxa"/>
            <w:tcBorders>
              <w:bottom w:val="single" w:sz="6" w:space="0" w:color="000000"/>
              <w:right w:val="single" w:sz="6" w:space="0" w:color="000000"/>
            </w:tcBorders>
          </w:tcPr>
          <w:p>
            <w:pPr>
              <w:pStyle w:val="TableParagraph"/>
              <w:spacing w:line="375" w:lineRule="exact"/>
              <w:ind w:left="100"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before="91"/>
              <w:ind w:left="208" w:right="184"/>
              <w:rPr>
                <w:rFonts w:ascii="Times New Roman"/>
                <w:sz w:val="21"/>
              </w:rPr>
            </w:pPr>
            <w:r>
              <w:rPr>
                <w:rFonts w:ascii="Times New Roman"/>
                <w:sz w:val="21"/>
              </w:rPr>
              <w:t>32104</w:t>
            </w:r>
          </w:p>
        </w:tc>
        <w:tc>
          <w:tcPr>
            <w:tcW w:w="1440" w:type="dxa"/>
            <w:tcBorders>
              <w:left w:val="single" w:sz="6" w:space="0" w:color="000000"/>
              <w:bottom w:val="single" w:sz="6" w:space="0" w:color="000000"/>
              <w:right w:val="single" w:sz="6" w:space="0" w:color="000000"/>
            </w:tcBorders>
          </w:tcPr>
          <w:p>
            <w:pPr>
              <w:pStyle w:val="TableParagraph"/>
              <w:spacing w:line="375" w:lineRule="exact"/>
              <w:ind w:left="178" w:right="152"/>
              <w:rPr>
                <w:sz w:val="21"/>
              </w:rPr>
            </w:pPr>
            <w:r>
              <w:rPr>
                <w:rFonts w:ascii="Times New Roman" w:eastAsia="Times New Roman"/>
                <w:sz w:val="21"/>
              </w:rPr>
              <w:t>CAS </w:t>
            </w:r>
            <w:r>
              <w:rPr>
                <w:sz w:val="21"/>
              </w:rPr>
              <w:t>号</w:t>
            </w:r>
          </w:p>
        </w:tc>
        <w:tc>
          <w:tcPr>
            <w:tcW w:w="2540" w:type="dxa"/>
            <w:tcBorders>
              <w:left w:val="single" w:sz="6" w:space="0" w:color="000000"/>
              <w:bottom w:val="single" w:sz="6" w:space="0" w:color="000000"/>
            </w:tcBorders>
          </w:tcPr>
          <w:p>
            <w:pPr>
              <w:pStyle w:val="TableParagraph"/>
              <w:spacing w:before="91"/>
              <w:ind w:left="110" w:right="81"/>
              <w:rPr>
                <w:rFonts w:ascii="Times New Roman"/>
                <w:sz w:val="21"/>
              </w:rPr>
            </w:pPr>
            <w:r>
              <w:rPr>
                <w:rFonts w:ascii="Times New Roman"/>
                <w:sz w:val="21"/>
              </w:rPr>
              <w:t>110-86-1</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0"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08" w:right="184"/>
              <w:rPr>
                <w:sz w:val="21"/>
              </w:rPr>
            </w:pPr>
            <w:r>
              <w:rPr>
                <w:sz w:val="21"/>
              </w:rPr>
              <w:t>吡啶</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8" w:right="152"/>
              <w:rPr>
                <w:sz w:val="21"/>
              </w:rPr>
            </w:pPr>
            <w:r>
              <w:rPr>
                <w:sz w:val="21"/>
              </w:rPr>
              <w:t>英文名称</w:t>
            </w:r>
          </w:p>
        </w:tc>
        <w:tc>
          <w:tcPr>
            <w:tcW w:w="2540" w:type="dxa"/>
            <w:tcBorders>
              <w:top w:val="single" w:sz="6" w:space="0" w:color="000000"/>
              <w:left w:val="single" w:sz="6" w:space="0" w:color="000000"/>
              <w:bottom w:val="single" w:sz="6" w:space="0" w:color="000000"/>
            </w:tcBorders>
          </w:tcPr>
          <w:p>
            <w:pPr>
              <w:pStyle w:val="TableParagraph"/>
              <w:spacing w:before="94"/>
              <w:ind w:left="112" w:right="81"/>
              <w:rPr>
                <w:rFonts w:ascii="Times New Roman"/>
                <w:sz w:val="21"/>
              </w:rPr>
            </w:pPr>
            <w:r>
              <w:rPr>
                <w:rFonts w:ascii="Times New Roman"/>
                <w:sz w:val="21"/>
              </w:rPr>
              <w:t>Pyridine</w:t>
            </w:r>
          </w:p>
        </w:tc>
      </w:tr>
      <w:tr>
        <w:trPr>
          <w:trHeight w:val="398"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2" w:right="84"/>
              <w:rPr>
                <w:sz w:val="21"/>
              </w:rPr>
            </w:pPr>
            <w:r>
              <w:rPr>
                <w:sz w:val="21"/>
              </w:rPr>
              <w:t>分子式</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94"/>
              <w:ind w:left="206" w:right="184"/>
              <w:rPr>
                <w:rFonts w:ascii="Times New Roman"/>
                <w:sz w:val="21"/>
              </w:rPr>
            </w:pPr>
            <w:r>
              <w:rPr>
                <w:rFonts w:ascii="Times New Roman"/>
                <w:position w:val="2"/>
                <w:sz w:val="21"/>
              </w:rPr>
              <w:t>C</w:t>
            </w:r>
            <w:r>
              <w:rPr>
                <w:rFonts w:ascii="Times New Roman"/>
                <w:sz w:val="14"/>
              </w:rPr>
              <w:t>5</w:t>
            </w:r>
            <w:r>
              <w:rPr>
                <w:rFonts w:ascii="Times New Roman"/>
                <w:position w:val="2"/>
                <w:sz w:val="21"/>
              </w:rPr>
              <w:t>H</w:t>
            </w:r>
            <w:r>
              <w:rPr>
                <w:rFonts w:ascii="Times New Roman"/>
                <w:sz w:val="14"/>
              </w:rPr>
              <w:t>5</w:t>
            </w:r>
            <w:r>
              <w:rPr>
                <w:rFonts w:ascii="Times New Roman"/>
                <w:position w:val="2"/>
                <w:sz w:val="21"/>
              </w:rPr>
              <w:t>N</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8" w:right="152"/>
              <w:rPr>
                <w:sz w:val="21"/>
              </w:rPr>
            </w:pPr>
            <w:r>
              <w:rPr>
                <w:sz w:val="21"/>
              </w:rPr>
              <w:t>危险标记</w:t>
            </w:r>
          </w:p>
        </w:tc>
        <w:tc>
          <w:tcPr>
            <w:tcW w:w="2540" w:type="dxa"/>
            <w:tcBorders>
              <w:top w:val="single" w:sz="6" w:space="0" w:color="000000"/>
              <w:left w:val="single" w:sz="6" w:space="0" w:color="000000"/>
              <w:bottom w:val="single" w:sz="6" w:space="0" w:color="000000"/>
            </w:tcBorders>
          </w:tcPr>
          <w:p>
            <w:pPr>
              <w:pStyle w:val="TableParagraph"/>
              <w:spacing w:line="378" w:lineRule="exact"/>
              <w:ind w:left="115" w:right="81"/>
              <w:rPr>
                <w:rFonts w:ascii="Times New Roman" w:eastAsia="Times New Roman"/>
                <w:sz w:val="21"/>
              </w:rPr>
            </w:pPr>
            <w:r>
              <w:rPr>
                <w:rFonts w:ascii="Times New Roman" w:eastAsia="Times New Roman"/>
                <w:sz w:val="21"/>
              </w:rPr>
              <w:t>7(</w:t>
            </w:r>
            <w:r>
              <w:rPr>
                <w:sz w:val="21"/>
              </w:rPr>
              <w:t>易燃液体</w:t>
            </w:r>
            <w:r>
              <w:rPr>
                <w:rFonts w:ascii="Times New Roman" w:eastAsia="Times New Roman"/>
                <w:sz w:val="21"/>
              </w:rPr>
              <w:t>)</w:t>
            </w:r>
            <w:r>
              <w:rPr>
                <w:sz w:val="21"/>
              </w:rPr>
              <w:t>，</w:t>
            </w:r>
            <w:r>
              <w:rPr>
                <w:rFonts w:ascii="Times New Roman" w:eastAsia="Times New Roman"/>
                <w:sz w:val="21"/>
              </w:rPr>
              <w:t>40(</w:t>
            </w:r>
            <w:r>
              <w:rPr>
                <w:sz w:val="21"/>
              </w:rPr>
              <w:t>有毒品</w:t>
            </w:r>
            <w:r>
              <w:rPr>
                <w:rFonts w:ascii="Times New Roman" w:eastAsia="Times New Roman"/>
                <w:sz w:val="21"/>
              </w:rPr>
              <w:t>)</w:t>
            </w:r>
          </w:p>
        </w:tc>
      </w:tr>
      <w:tr>
        <w:trPr>
          <w:trHeight w:val="395" w:hRule="atLeast"/>
        </w:trPr>
        <w:tc>
          <w:tcPr>
            <w:tcW w:w="1188" w:type="dxa"/>
            <w:tcBorders>
              <w:top w:val="single" w:sz="6" w:space="0" w:color="000000"/>
              <w:bottom w:val="single" w:sz="6" w:space="0" w:color="000000"/>
              <w:right w:val="single" w:sz="6" w:space="0" w:color="000000"/>
            </w:tcBorders>
          </w:tcPr>
          <w:p>
            <w:pPr>
              <w:pStyle w:val="TableParagraph"/>
              <w:spacing w:line="375" w:lineRule="exact"/>
              <w:ind w:left="100" w:right="84"/>
              <w:rPr>
                <w:sz w:val="21"/>
              </w:rPr>
            </w:pPr>
            <w:r>
              <w:rPr>
                <w:sz w:val="21"/>
              </w:rPr>
              <w:t>侵入途径</w:t>
            </w:r>
          </w:p>
        </w:tc>
        <w:tc>
          <w:tcPr>
            <w:tcW w:w="7581" w:type="dxa"/>
            <w:gridSpan w:val="3"/>
            <w:tcBorders>
              <w:top w:val="single" w:sz="6" w:space="0" w:color="000000"/>
              <w:left w:val="single" w:sz="6" w:space="0" w:color="000000"/>
              <w:bottom w:val="single" w:sz="6" w:space="0" w:color="000000"/>
            </w:tcBorders>
          </w:tcPr>
          <w:p>
            <w:pPr>
              <w:pStyle w:val="TableParagraph"/>
              <w:spacing w:line="375" w:lineRule="exact"/>
              <w:ind w:left="100" w:right="65"/>
              <w:rPr>
                <w:sz w:val="21"/>
              </w:rPr>
            </w:pPr>
            <w:r>
              <w:rPr>
                <w:sz w:val="21"/>
              </w:rPr>
              <w:t>吸入、食入、经皮吸收</w:t>
            </w:r>
          </w:p>
        </w:tc>
      </w:tr>
      <w:tr>
        <w:trPr>
          <w:trHeight w:val="1201"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17"/>
              </w:rPr>
            </w:pPr>
          </w:p>
          <w:p>
            <w:pPr>
              <w:pStyle w:val="TableParagraph"/>
              <w:ind w:left="100" w:right="84"/>
              <w:rPr>
                <w:sz w:val="21"/>
              </w:rPr>
            </w:pPr>
            <w:r>
              <w:rPr>
                <w:sz w:val="21"/>
              </w:rPr>
              <w:t>健康危害</w:t>
            </w:r>
          </w:p>
        </w:tc>
        <w:tc>
          <w:tcPr>
            <w:tcW w:w="7581" w:type="dxa"/>
            <w:gridSpan w:val="3"/>
            <w:tcBorders>
              <w:top w:val="single" w:sz="6" w:space="0" w:color="000000"/>
              <w:left w:val="single" w:sz="6" w:space="0" w:color="000000"/>
              <w:bottom w:val="single" w:sz="6" w:space="0" w:color="000000"/>
            </w:tcBorders>
          </w:tcPr>
          <w:p>
            <w:pPr>
              <w:pStyle w:val="TableParagraph"/>
              <w:spacing w:line="160" w:lineRule="auto" w:before="34"/>
              <w:ind w:left="112" w:right="-29" w:firstLine="4"/>
              <w:jc w:val="both"/>
              <w:rPr>
                <w:sz w:val="21"/>
              </w:rPr>
            </w:pPr>
            <w:r>
              <w:rPr>
                <w:spacing w:val="-3"/>
                <w:sz w:val="21"/>
              </w:rPr>
              <w:t>有强烈刺激性；能麻醉中枢神经系统。对眼及上呼吸道有刺激作用。高浓度吸入后，轻者有欣快或窒息感，继之出现抑郁、肌无力、呕吐；重者意识丧失、大小</w:t>
            </w:r>
            <w:r>
              <w:rPr>
                <w:spacing w:val="-12"/>
                <w:sz w:val="21"/>
              </w:rPr>
              <w:t>便失禁、强直性痉挛、血压下降。误服可致死。长期吸入出现头晕、头痛、失眠、</w:t>
            </w:r>
          </w:p>
          <w:p>
            <w:pPr>
              <w:pStyle w:val="TableParagraph"/>
              <w:spacing w:line="253" w:lineRule="exact"/>
              <w:ind w:left="957"/>
              <w:jc w:val="left"/>
              <w:rPr>
                <w:sz w:val="21"/>
              </w:rPr>
            </w:pPr>
            <w:r>
              <w:rPr>
                <w:sz w:val="21"/>
              </w:rPr>
              <w:t>步态不稳及消化道功能紊乱。可发生肝肾损害。可引起皮炎。</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77"/>
              <w:ind w:left="102" w:right="84"/>
              <w:rPr>
                <w:sz w:val="21"/>
              </w:rPr>
            </w:pPr>
            <w:r>
              <w:rPr>
                <w:sz w:val="21"/>
              </w:rPr>
              <w:t>毒性</w:t>
            </w:r>
          </w:p>
        </w:tc>
        <w:tc>
          <w:tcPr>
            <w:tcW w:w="7581" w:type="dxa"/>
            <w:gridSpan w:val="3"/>
            <w:tcBorders>
              <w:top w:val="single" w:sz="6" w:space="0" w:color="000000"/>
              <w:left w:val="single" w:sz="6" w:space="0" w:color="000000"/>
              <w:bottom w:val="single" w:sz="6" w:space="0" w:color="000000"/>
            </w:tcBorders>
          </w:tcPr>
          <w:p>
            <w:pPr>
              <w:pStyle w:val="TableParagraph"/>
              <w:spacing w:line="301" w:lineRule="exact"/>
              <w:ind w:left="92" w:right="82"/>
              <w:rPr>
                <w:rFonts w:ascii="Times New Roman" w:hAnsi="Times New Roman" w:eastAsia="Times New Roman"/>
                <w:sz w:val="21"/>
              </w:rPr>
            </w:pPr>
            <w:r>
              <w:rPr>
                <w:position w:val="2"/>
                <w:sz w:val="21"/>
              </w:rPr>
              <w:t>急性毒性：</w:t>
            </w:r>
            <w:r>
              <w:rPr>
                <w:rFonts w:ascii="Times New Roman" w:hAnsi="Times New Roman" w:eastAsia="Times New Roman"/>
                <w:position w:val="2"/>
                <w:sz w:val="21"/>
              </w:rPr>
              <w:t>LD</w:t>
            </w:r>
            <w:r>
              <w:rPr>
                <w:rFonts w:ascii="Times New Roman" w:hAnsi="Times New Roman" w:eastAsia="Times New Roman"/>
                <w:sz w:val="14"/>
              </w:rPr>
              <w:t>50</w:t>
            </w:r>
            <w:r>
              <w:rPr>
                <w:rFonts w:ascii="Times New Roman" w:hAnsi="Times New Roman" w:eastAsia="Times New Roman"/>
                <w:position w:val="2"/>
                <w:sz w:val="21"/>
              </w:rPr>
              <w:t>1580mg/kg(</w:t>
            </w:r>
            <w:r>
              <w:rPr>
                <w:position w:val="2"/>
                <w:sz w:val="21"/>
              </w:rPr>
              <w:t>大鼠经口</w:t>
            </w:r>
            <w:r>
              <w:rPr>
                <w:rFonts w:ascii="Times New Roman" w:hAnsi="Times New Roman" w:eastAsia="Times New Roman"/>
                <w:position w:val="2"/>
                <w:sz w:val="21"/>
              </w:rPr>
              <w:t>)</w:t>
            </w:r>
            <w:r>
              <w:rPr>
                <w:position w:val="2"/>
                <w:sz w:val="21"/>
              </w:rPr>
              <w:t>；</w:t>
            </w:r>
            <w:r>
              <w:rPr>
                <w:rFonts w:ascii="Times New Roman" w:hAnsi="Times New Roman" w:eastAsia="Times New Roman"/>
                <w:position w:val="2"/>
                <w:sz w:val="21"/>
              </w:rPr>
              <w:t>1121mg/kg(</w:t>
            </w:r>
            <w:r>
              <w:rPr>
                <w:position w:val="2"/>
                <w:sz w:val="21"/>
              </w:rPr>
              <w:t>兔经皮</w:t>
            </w:r>
            <w:r>
              <w:rPr>
                <w:rFonts w:ascii="Times New Roman" w:hAnsi="Times New Roman" w:eastAsia="Times New Roman"/>
                <w:position w:val="2"/>
                <w:sz w:val="21"/>
              </w:rPr>
              <w:t>)</w:t>
            </w:r>
            <w:r>
              <w:rPr>
                <w:position w:val="2"/>
                <w:sz w:val="21"/>
              </w:rPr>
              <w:t>；人吸入 </w:t>
            </w:r>
            <w:r>
              <w:rPr>
                <w:rFonts w:ascii="Times New Roman" w:hAnsi="Times New Roman" w:eastAsia="Times New Roman"/>
                <w:position w:val="2"/>
                <w:sz w:val="21"/>
              </w:rPr>
              <w:t>25mg/m</w:t>
            </w:r>
            <w:r>
              <w:rPr>
                <w:rFonts w:ascii="Times New Roman" w:hAnsi="Times New Roman" w:eastAsia="Times New Roman"/>
                <w:position w:val="2"/>
                <w:sz w:val="21"/>
                <w:vertAlign w:val="superscript"/>
              </w:rPr>
              <w:t>3</w:t>
            </w:r>
            <w:r>
              <w:rPr>
                <w:rFonts w:ascii="Times New Roman" w:hAnsi="Times New Roman" w:eastAsia="Times New Roman"/>
                <w:position w:val="2"/>
                <w:sz w:val="21"/>
                <w:vertAlign w:val="baseline"/>
              </w:rPr>
              <w:t>×20</w:t>
            </w:r>
          </w:p>
          <w:p>
            <w:pPr>
              <w:pStyle w:val="TableParagraph"/>
              <w:spacing w:line="278" w:lineRule="exact"/>
              <w:ind w:left="100" w:right="64"/>
              <w:rPr>
                <w:sz w:val="21"/>
              </w:rPr>
            </w:pPr>
            <w:r>
              <w:rPr>
                <w:sz w:val="21"/>
              </w:rPr>
              <w:t>分钟，对眼结膜和上呼吸道粘膜有刺激作用。</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0" w:right="84"/>
              <w:rPr>
                <w:sz w:val="21"/>
              </w:rPr>
            </w:pPr>
            <w:r>
              <w:rPr>
                <w:sz w:val="21"/>
              </w:rPr>
              <w:t>危险特性</w:t>
            </w:r>
          </w:p>
        </w:tc>
        <w:tc>
          <w:tcPr>
            <w:tcW w:w="7581" w:type="dxa"/>
            <w:gridSpan w:val="3"/>
            <w:tcBorders>
              <w:top w:val="single" w:sz="6" w:space="0" w:color="000000"/>
              <w:left w:val="single" w:sz="6" w:space="0" w:color="000000"/>
              <w:bottom w:val="single" w:sz="6" w:space="0" w:color="000000"/>
            </w:tcBorders>
          </w:tcPr>
          <w:p>
            <w:pPr>
              <w:pStyle w:val="TableParagraph"/>
              <w:spacing w:line="160" w:lineRule="auto" w:before="31"/>
              <w:ind w:left="117" w:right="82"/>
              <w:rPr>
                <w:sz w:val="21"/>
              </w:rPr>
            </w:pPr>
            <w:r>
              <w:rPr>
                <w:sz w:val="21"/>
              </w:rPr>
              <w:t>其蒸气与空气形成爆炸性混合物，遇明火、高热能引起燃烧爆炸。与氧化剂能发生强烈反应。其蒸气比空气重，能在较低处扩散到相当远的地方，遇火源引着回</w:t>
            </w:r>
          </w:p>
          <w:p>
            <w:pPr>
              <w:pStyle w:val="TableParagraph"/>
              <w:spacing w:line="251" w:lineRule="exact"/>
              <w:ind w:left="100" w:right="64"/>
              <w:rPr>
                <w:sz w:val="21"/>
              </w:rPr>
            </w:pPr>
            <w:r>
              <w:rPr>
                <w:sz w:val="21"/>
              </w:rPr>
              <w:t>燃。若遇高热，容器内压增大，有开裂和爆炸的危险。</w:t>
            </w:r>
          </w:p>
        </w:tc>
      </w:tr>
      <w:tr>
        <w:trPr>
          <w:trHeight w:val="1799" w:hRule="atLeast"/>
        </w:trPr>
        <w:tc>
          <w:tcPr>
            <w:tcW w:w="1188" w:type="dxa"/>
            <w:tcBorders>
              <w:top w:val="single" w:sz="6" w:space="0" w:color="000000"/>
              <w:bottom w:val="single" w:sz="6" w:space="0" w:color="000000"/>
              <w:right w:val="single" w:sz="6" w:space="0" w:color="000000"/>
            </w:tcBorders>
          </w:tcPr>
          <w:p>
            <w:pPr>
              <w:pStyle w:val="TableParagraph"/>
              <w:spacing w:before="17"/>
              <w:jc w:val="left"/>
              <w:rPr>
                <w:sz w:val="29"/>
              </w:rPr>
            </w:pPr>
          </w:p>
          <w:p>
            <w:pPr>
              <w:pStyle w:val="TableParagraph"/>
              <w:spacing w:line="160" w:lineRule="auto"/>
              <w:ind w:left="275" w:right="254"/>
              <w:jc w:val="left"/>
              <w:rPr>
                <w:sz w:val="21"/>
              </w:rPr>
            </w:pPr>
            <w:r>
              <w:rPr>
                <w:sz w:val="21"/>
              </w:rPr>
              <w:t>泄漏应急处理</w:t>
            </w:r>
          </w:p>
        </w:tc>
        <w:tc>
          <w:tcPr>
            <w:tcW w:w="7581" w:type="dxa"/>
            <w:gridSpan w:val="3"/>
            <w:tcBorders>
              <w:top w:val="single" w:sz="6" w:space="0" w:color="000000"/>
              <w:left w:val="single" w:sz="6" w:space="0" w:color="000000"/>
              <w:bottom w:val="single" w:sz="6" w:space="0" w:color="000000"/>
            </w:tcBorders>
          </w:tcPr>
          <w:p>
            <w:pPr>
              <w:pStyle w:val="TableParagraph"/>
              <w:spacing w:line="160" w:lineRule="auto" w:before="32"/>
              <w:ind w:left="117" w:right="81"/>
              <w:jc w:val="both"/>
              <w:rPr>
                <w:sz w:val="21"/>
              </w:rPr>
            </w:pPr>
            <w:r>
              <w:rPr>
                <w:sz w:val="21"/>
              </w:rPr>
              <w:t>疏散泄漏污染区人员至安全区，禁止无关人员进入污染区。切断火源。建议应急处理人员戴自给式呼吸器，穿一般消防防护服。在确保安全情况下堵漏。喷水雾可减少蒸发，但不能降低泄漏物在受限制空间内的易燃性。用沙土或其它不燃性吸附剂混合吸收，收集运至废物处理场所处置。也可以用大量水冲洗，经稀释的洗液放入废水系统。如大量泄漏，利用围堤收容，然后收集、转移、回收或无害</w:t>
            </w:r>
          </w:p>
          <w:p>
            <w:pPr>
              <w:pStyle w:val="TableParagraph"/>
              <w:spacing w:line="257" w:lineRule="exact"/>
              <w:ind w:left="100" w:right="65"/>
              <w:rPr>
                <w:sz w:val="21"/>
              </w:rPr>
            </w:pPr>
            <w:r>
              <w:rPr>
                <w:sz w:val="21"/>
              </w:rPr>
              <w:t>处理后废弃。</w:t>
            </w:r>
          </w:p>
        </w:tc>
      </w:tr>
      <w:tr>
        <w:trPr>
          <w:trHeight w:val="1201"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17"/>
              </w:rPr>
            </w:pPr>
          </w:p>
          <w:p>
            <w:pPr>
              <w:pStyle w:val="TableParagraph"/>
              <w:ind w:left="100" w:right="84"/>
              <w:rPr>
                <w:sz w:val="21"/>
              </w:rPr>
            </w:pPr>
            <w:r>
              <w:rPr>
                <w:sz w:val="21"/>
              </w:rPr>
              <w:t>防护措施</w:t>
            </w:r>
          </w:p>
        </w:tc>
        <w:tc>
          <w:tcPr>
            <w:tcW w:w="7581" w:type="dxa"/>
            <w:gridSpan w:val="3"/>
            <w:tcBorders>
              <w:top w:val="single" w:sz="6" w:space="0" w:color="000000"/>
              <w:left w:val="single" w:sz="6" w:space="0" w:color="000000"/>
              <w:bottom w:val="single" w:sz="6" w:space="0" w:color="000000"/>
            </w:tcBorders>
          </w:tcPr>
          <w:p>
            <w:pPr>
              <w:pStyle w:val="TableParagraph"/>
              <w:spacing w:line="160" w:lineRule="auto" w:before="34"/>
              <w:ind w:left="112" w:right="-29"/>
              <w:jc w:val="left"/>
              <w:rPr>
                <w:sz w:val="21"/>
              </w:rPr>
            </w:pPr>
            <w:r>
              <w:rPr>
                <w:spacing w:val="-10"/>
                <w:sz w:val="21"/>
              </w:rPr>
              <w:t>呼吸系统防护：空气中浓度超标时，必须佩带防毒口罩。紧急事态抢救或撤离时， </w:t>
            </w:r>
            <w:r>
              <w:rPr>
                <w:spacing w:val="-5"/>
                <w:sz w:val="21"/>
              </w:rPr>
              <w:t>建议佩戴自给式呼吸器。眼睛防护：戴安全防护眼镜。身体防护：穿相应的工作</w:t>
            </w:r>
            <w:r>
              <w:rPr>
                <w:spacing w:val="-11"/>
                <w:sz w:val="21"/>
              </w:rPr>
              <w:t>服。手防护：戴防化学品手套。其它：工作现场禁止吸烟、进食和饮水。工作后，</w:t>
            </w:r>
          </w:p>
          <w:p>
            <w:pPr>
              <w:pStyle w:val="TableParagraph"/>
              <w:spacing w:line="253" w:lineRule="exact"/>
              <w:ind w:left="2009"/>
              <w:jc w:val="left"/>
              <w:rPr>
                <w:sz w:val="21"/>
              </w:rPr>
            </w:pPr>
            <w:r>
              <w:rPr>
                <w:sz w:val="21"/>
              </w:rPr>
              <w:t>淋浴更衣。进行就业前和定期的体检。</w:t>
            </w:r>
          </w:p>
        </w:tc>
      </w:tr>
      <w:tr>
        <w:trPr>
          <w:trHeight w:val="1497" w:hRule="atLeast"/>
        </w:trPr>
        <w:tc>
          <w:tcPr>
            <w:tcW w:w="1188" w:type="dxa"/>
            <w:tcBorders>
              <w:top w:val="single" w:sz="6" w:space="0" w:color="000000"/>
              <w:right w:val="single" w:sz="6" w:space="0" w:color="000000"/>
            </w:tcBorders>
          </w:tcPr>
          <w:p>
            <w:pPr>
              <w:pStyle w:val="TableParagraph"/>
              <w:spacing w:before="20"/>
              <w:jc w:val="left"/>
              <w:rPr>
                <w:sz w:val="24"/>
              </w:rPr>
            </w:pPr>
          </w:p>
          <w:p>
            <w:pPr>
              <w:pStyle w:val="TableParagraph"/>
              <w:ind w:left="100" w:right="84"/>
              <w:rPr>
                <w:sz w:val="21"/>
              </w:rPr>
            </w:pPr>
            <w:r>
              <w:rPr>
                <w:sz w:val="21"/>
              </w:rPr>
              <w:t>急救措施</w:t>
            </w:r>
          </w:p>
        </w:tc>
        <w:tc>
          <w:tcPr>
            <w:tcW w:w="7581" w:type="dxa"/>
            <w:gridSpan w:val="3"/>
            <w:tcBorders>
              <w:top w:val="single" w:sz="6" w:space="0" w:color="000000"/>
              <w:left w:val="single" w:sz="6" w:space="0" w:color="000000"/>
            </w:tcBorders>
          </w:tcPr>
          <w:p>
            <w:pPr>
              <w:pStyle w:val="TableParagraph"/>
              <w:spacing w:line="160" w:lineRule="auto" w:before="31"/>
              <w:ind w:left="112" w:right="-44"/>
              <w:jc w:val="both"/>
              <w:rPr>
                <w:sz w:val="21"/>
              </w:rPr>
            </w:pPr>
            <w:r>
              <w:rPr>
                <w:spacing w:val="-9"/>
                <w:sz w:val="21"/>
              </w:rPr>
              <w:t>皮肤接触：脱去污染的衣着，用大量流动清水彻底冲洗。 眼睛接触：立即提起眼睑，用流动清水或生理盐水冲洗至少 </w:t>
            </w:r>
            <w:r>
              <w:rPr>
                <w:rFonts w:ascii="Times New Roman" w:eastAsia="Times New Roman"/>
                <w:sz w:val="21"/>
              </w:rPr>
              <w:t>15 </w:t>
            </w:r>
            <w:r>
              <w:rPr>
                <w:spacing w:val="-14"/>
                <w:sz w:val="21"/>
              </w:rPr>
              <w:t>分钟。吸入：迅速脱离现场至空气新鲜处。</w:t>
            </w:r>
            <w:r>
              <w:rPr>
                <w:spacing w:val="-13"/>
                <w:sz w:val="21"/>
              </w:rPr>
              <w:t>呼吸困难时给输氧。呼吸及心跳停止时，立即进行人工呼吸和心脏按压术。就医。</w:t>
            </w:r>
            <w:r>
              <w:rPr>
                <w:spacing w:val="-6"/>
                <w:sz w:val="21"/>
              </w:rPr>
              <w:t>食入：患者清醒时给饮足量温水，催吐。就医。灭火方法：泡沫、二氧化碳、干</w:t>
            </w:r>
          </w:p>
          <w:p>
            <w:pPr>
              <w:pStyle w:val="TableParagraph"/>
              <w:spacing w:line="253" w:lineRule="exact"/>
              <w:ind w:left="100" w:right="67"/>
              <w:rPr>
                <w:sz w:val="21"/>
              </w:rPr>
            </w:pPr>
            <w:r>
              <w:rPr>
                <w:sz w:val="21"/>
              </w:rPr>
              <w:t>粉、砂土、雾状水。</w:t>
            </w:r>
          </w:p>
        </w:tc>
      </w:tr>
    </w:tbl>
    <w:p>
      <w:pPr>
        <w:tabs>
          <w:tab w:pos="4140" w:val="left" w:leader="none"/>
        </w:tabs>
        <w:spacing w:before="80"/>
        <w:ind w:left="3228" w:right="0" w:firstLine="0"/>
        <w:jc w:val="left"/>
        <w:rPr>
          <w:sz w:val="21"/>
        </w:rPr>
      </w:pPr>
      <w:r>
        <w:rPr>
          <w:sz w:val="21"/>
        </w:rPr>
        <w:t>表</w:t>
      </w:r>
      <w:r>
        <w:rPr>
          <w:spacing w:val="4"/>
          <w:sz w:val="21"/>
        </w:rPr>
        <w:t> </w:t>
      </w:r>
      <w:r>
        <w:rPr>
          <w:rFonts w:ascii="Times New Roman" w:eastAsia="Times New Roman"/>
          <w:sz w:val="21"/>
        </w:rPr>
        <w:t>7.1-3</w:t>
        <w:tab/>
      </w:r>
      <w:r>
        <w:rPr>
          <w:spacing w:val="-3"/>
          <w:sz w:val="21"/>
        </w:rPr>
        <w:t>醋</w:t>
      </w:r>
      <w:r>
        <w:rPr>
          <w:sz w:val="21"/>
        </w:rPr>
        <w:t>酸</w:t>
      </w:r>
      <w:r>
        <w:rPr>
          <w:spacing w:val="-3"/>
          <w:sz w:val="21"/>
        </w:rPr>
        <w:t>危</w:t>
      </w:r>
      <w:r>
        <w:rPr>
          <w:sz w:val="21"/>
        </w:rPr>
        <w:t>险</w:t>
      </w:r>
      <w:r>
        <w:rPr>
          <w:spacing w:val="-3"/>
          <w:sz w:val="21"/>
        </w:rPr>
        <w:t>特</w:t>
      </w:r>
      <w:r>
        <w:rPr>
          <w:sz w:val="21"/>
        </w:rPr>
        <w:t>性</w:t>
      </w:r>
      <w:r>
        <w:rPr>
          <w:spacing w:val="-3"/>
          <w:sz w:val="21"/>
        </w:rPr>
        <w:t>及</w:t>
      </w:r>
      <w:r>
        <w:rPr>
          <w:sz w:val="21"/>
        </w:rPr>
        <w:t>处理</w:t>
      </w:r>
      <w:r>
        <w:rPr>
          <w:spacing w:val="-3"/>
          <w:sz w:val="21"/>
        </w:rPr>
        <w:t>措</w:t>
      </w:r>
      <w:r>
        <w:rPr>
          <w:sz w:val="21"/>
        </w:rPr>
        <w:t>施表</w:t>
      </w:r>
    </w:p>
    <w:p>
      <w:pPr>
        <w:pStyle w:val="BodyText"/>
        <w:spacing w:before="2"/>
        <w:rPr>
          <w:sz w:val="3"/>
        </w:rPr>
      </w:pPr>
    </w:p>
    <w:tbl>
      <w:tblPr>
        <w:tblW w:w="0" w:type="auto"/>
        <w:jc w:val="left"/>
        <w:tblInd w:w="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540"/>
      </w:tblGrid>
      <w:tr>
        <w:trPr>
          <w:trHeight w:val="397" w:hRule="atLeast"/>
        </w:trPr>
        <w:tc>
          <w:tcPr>
            <w:tcW w:w="1188" w:type="dxa"/>
            <w:tcBorders>
              <w:bottom w:val="single" w:sz="6" w:space="0" w:color="000000"/>
              <w:right w:val="single" w:sz="6" w:space="0" w:color="000000"/>
            </w:tcBorders>
          </w:tcPr>
          <w:p>
            <w:pPr>
              <w:pStyle w:val="TableParagraph"/>
              <w:spacing w:line="377" w:lineRule="exact"/>
              <w:ind w:left="100"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before="101"/>
              <w:ind w:left="208" w:right="184"/>
              <w:rPr>
                <w:rFonts w:ascii="Times New Roman"/>
                <w:sz w:val="21"/>
              </w:rPr>
            </w:pPr>
            <w:r>
              <w:rPr>
                <w:rFonts w:ascii="Times New Roman"/>
                <w:sz w:val="21"/>
              </w:rPr>
              <w:t>81601</w:t>
            </w:r>
          </w:p>
        </w:tc>
        <w:tc>
          <w:tcPr>
            <w:tcW w:w="1440" w:type="dxa"/>
            <w:tcBorders>
              <w:left w:val="single" w:sz="6" w:space="0" w:color="000000"/>
              <w:bottom w:val="single" w:sz="6" w:space="0" w:color="000000"/>
              <w:right w:val="single" w:sz="6" w:space="0" w:color="000000"/>
            </w:tcBorders>
          </w:tcPr>
          <w:p>
            <w:pPr>
              <w:pStyle w:val="TableParagraph"/>
              <w:spacing w:line="377" w:lineRule="exact"/>
              <w:ind w:left="178" w:right="152"/>
              <w:rPr>
                <w:sz w:val="21"/>
              </w:rPr>
            </w:pPr>
            <w:r>
              <w:rPr>
                <w:rFonts w:ascii="Times New Roman" w:eastAsia="Times New Roman"/>
                <w:sz w:val="21"/>
              </w:rPr>
              <w:t>CAS </w:t>
            </w:r>
            <w:r>
              <w:rPr>
                <w:sz w:val="21"/>
              </w:rPr>
              <w:t>号</w:t>
            </w:r>
          </w:p>
        </w:tc>
        <w:tc>
          <w:tcPr>
            <w:tcW w:w="2540" w:type="dxa"/>
            <w:tcBorders>
              <w:left w:val="single" w:sz="6" w:space="0" w:color="000000"/>
              <w:bottom w:val="single" w:sz="6" w:space="0" w:color="000000"/>
            </w:tcBorders>
          </w:tcPr>
          <w:p>
            <w:pPr>
              <w:pStyle w:val="TableParagraph"/>
              <w:spacing w:before="101"/>
              <w:ind w:left="112" w:right="81"/>
              <w:rPr>
                <w:rFonts w:ascii="Times New Roman"/>
                <w:sz w:val="21"/>
              </w:rPr>
            </w:pPr>
            <w:r>
              <w:rPr>
                <w:rFonts w:ascii="Times New Roman"/>
                <w:sz w:val="21"/>
              </w:rPr>
              <w:t>64-19-7</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0"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08" w:right="184"/>
              <w:rPr>
                <w:sz w:val="21"/>
              </w:rPr>
            </w:pPr>
            <w:r>
              <w:rPr>
                <w:sz w:val="21"/>
              </w:rPr>
              <w:t>醋酸</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8" w:right="152"/>
              <w:rPr>
                <w:sz w:val="21"/>
              </w:rPr>
            </w:pPr>
            <w:r>
              <w:rPr>
                <w:sz w:val="21"/>
              </w:rPr>
              <w:t>英文名称</w:t>
            </w:r>
          </w:p>
        </w:tc>
        <w:tc>
          <w:tcPr>
            <w:tcW w:w="2540" w:type="dxa"/>
            <w:tcBorders>
              <w:top w:val="single" w:sz="6" w:space="0" w:color="000000"/>
              <w:left w:val="single" w:sz="6" w:space="0" w:color="000000"/>
              <w:bottom w:val="single" w:sz="6" w:space="0" w:color="000000"/>
            </w:tcBorders>
          </w:tcPr>
          <w:p>
            <w:pPr>
              <w:pStyle w:val="TableParagraph"/>
              <w:spacing w:before="101"/>
              <w:ind w:left="114" w:right="81"/>
              <w:rPr>
                <w:rFonts w:ascii="Times New Roman"/>
                <w:sz w:val="21"/>
              </w:rPr>
            </w:pPr>
            <w:r>
              <w:rPr>
                <w:rFonts w:ascii="Times New Roman"/>
                <w:sz w:val="21"/>
              </w:rPr>
              <w:t>Acetic acid</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2" w:right="84"/>
              <w:rPr>
                <w:sz w:val="21"/>
              </w:rPr>
            </w:pPr>
            <w:r>
              <w:rPr>
                <w:sz w:val="21"/>
              </w:rPr>
              <w:t>分子式</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71"/>
              <w:ind w:left="210" w:right="184"/>
              <w:rPr>
                <w:rFonts w:ascii="Times New Roman"/>
                <w:sz w:val="14"/>
              </w:rPr>
            </w:pPr>
            <w:r>
              <w:rPr>
                <w:rFonts w:ascii="Times New Roman"/>
                <w:position w:val="2"/>
                <w:sz w:val="21"/>
              </w:rPr>
              <w:t>C</w:t>
            </w:r>
            <w:r>
              <w:rPr>
                <w:rFonts w:ascii="Times New Roman"/>
                <w:sz w:val="14"/>
              </w:rPr>
              <w:t>2</w:t>
            </w:r>
            <w:r>
              <w:rPr>
                <w:rFonts w:ascii="Times New Roman"/>
                <w:position w:val="2"/>
                <w:sz w:val="21"/>
              </w:rPr>
              <w:t>H</w:t>
            </w:r>
            <w:r>
              <w:rPr>
                <w:rFonts w:ascii="Times New Roman"/>
                <w:sz w:val="14"/>
              </w:rPr>
              <w:t>4</w:t>
            </w:r>
            <w:r>
              <w:rPr>
                <w:rFonts w:ascii="Times New Roman"/>
                <w:position w:val="2"/>
                <w:sz w:val="21"/>
              </w:rPr>
              <w:t>O</w:t>
            </w:r>
            <w:r>
              <w:rPr>
                <w:rFonts w:ascii="Times New Roman"/>
                <w:sz w:val="14"/>
              </w:rPr>
              <w:t>2</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8" w:right="152"/>
              <w:rPr>
                <w:sz w:val="21"/>
              </w:rPr>
            </w:pPr>
            <w:r>
              <w:rPr>
                <w:sz w:val="21"/>
              </w:rPr>
              <w:t>危险标记</w:t>
            </w:r>
          </w:p>
        </w:tc>
        <w:tc>
          <w:tcPr>
            <w:tcW w:w="2540" w:type="dxa"/>
            <w:tcBorders>
              <w:top w:val="single" w:sz="6" w:space="0" w:color="000000"/>
              <w:left w:val="single" w:sz="6" w:space="0" w:color="000000"/>
              <w:bottom w:val="single" w:sz="6" w:space="0" w:color="000000"/>
            </w:tcBorders>
          </w:tcPr>
          <w:p>
            <w:pPr>
              <w:pStyle w:val="TableParagraph"/>
              <w:spacing w:line="378" w:lineRule="exact"/>
              <w:ind w:left="118" w:right="81"/>
              <w:rPr>
                <w:rFonts w:ascii="Times New Roman" w:eastAsia="Times New Roman"/>
                <w:sz w:val="21"/>
              </w:rPr>
            </w:pPr>
            <w:r>
              <w:rPr>
                <w:rFonts w:ascii="Times New Roman" w:eastAsia="Times New Roman"/>
                <w:sz w:val="21"/>
              </w:rPr>
              <w:t>20(</w:t>
            </w:r>
            <w:r>
              <w:rPr>
                <w:sz w:val="21"/>
              </w:rPr>
              <w:t>酸性腐蚀品</w:t>
            </w:r>
            <w:r>
              <w:rPr>
                <w:rFonts w:ascii="Times New Roman" w:eastAsia="Times New Roman"/>
                <w:sz w:val="21"/>
              </w:rPr>
              <w:t>)</w:t>
            </w:r>
          </w:p>
        </w:tc>
      </w:tr>
      <w:tr>
        <w:trPr>
          <w:trHeight w:val="395" w:hRule="atLeast"/>
        </w:trPr>
        <w:tc>
          <w:tcPr>
            <w:tcW w:w="1188" w:type="dxa"/>
            <w:tcBorders>
              <w:top w:val="single" w:sz="6" w:space="0" w:color="000000"/>
              <w:bottom w:val="single" w:sz="6" w:space="0" w:color="000000"/>
              <w:right w:val="single" w:sz="6" w:space="0" w:color="000000"/>
            </w:tcBorders>
          </w:tcPr>
          <w:p>
            <w:pPr>
              <w:pStyle w:val="TableParagraph"/>
              <w:spacing w:line="376" w:lineRule="exact"/>
              <w:ind w:left="100" w:right="84"/>
              <w:rPr>
                <w:sz w:val="21"/>
              </w:rPr>
            </w:pPr>
            <w:r>
              <w:rPr>
                <w:sz w:val="21"/>
              </w:rPr>
              <w:t>侵入途径</w:t>
            </w:r>
          </w:p>
        </w:tc>
        <w:tc>
          <w:tcPr>
            <w:tcW w:w="7581" w:type="dxa"/>
            <w:gridSpan w:val="3"/>
            <w:tcBorders>
              <w:top w:val="single" w:sz="6" w:space="0" w:color="000000"/>
              <w:left w:val="single" w:sz="6" w:space="0" w:color="000000"/>
              <w:bottom w:val="single" w:sz="6" w:space="0" w:color="000000"/>
            </w:tcBorders>
          </w:tcPr>
          <w:p>
            <w:pPr>
              <w:pStyle w:val="TableParagraph"/>
              <w:spacing w:line="376" w:lineRule="exact"/>
              <w:ind w:left="100" w:right="65"/>
              <w:rPr>
                <w:sz w:val="21"/>
              </w:rPr>
            </w:pPr>
            <w:r>
              <w:rPr>
                <w:sz w:val="21"/>
              </w:rPr>
              <w:t>吸入、食入、经皮吸收</w:t>
            </w:r>
          </w:p>
        </w:tc>
      </w:tr>
      <w:tr>
        <w:trPr>
          <w:trHeight w:val="397" w:hRule="atLeast"/>
        </w:trPr>
        <w:tc>
          <w:tcPr>
            <w:tcW w:w="1188" w:type="dxa"/>
            <w:tcBorders>
              <w:top w:val="single" w:sz="6" w:space="0" w:color="000000"/>
              <w:right w:val="single" w:sz="6" w:space="0" w:color="000000"/>
            </w:tcBorders>
          </w:tcPr>
          <w:p>
            <w:pPr>
              <w:pStyle w:val="TableParagraph"/>
              <w:spacing w:line="377" w:lineRule="exact"/>
              <w:ind w:left="100" w:right="84"/>
              <w:rPr>
                <w:sz w:val="21"/>
              </w:rPr>
            </w:pPr>
            <w:r>
              <w:rPr>
                <w:sz w:val="21"/>
              </w:rPr>
              <w:t>健康危害</w:t>
            </w:r>
          </w:p>
        </w:tc>
        <w:tc>
          <w:tcPr>
            <w:tcW w:w="7581" w:type="dxa"/>
            <w:gridSpan w:val="3"/>
            <w:tcBorders>
              <w:top w:val="single" w:sz="6" w:space="0" w:color="000000"/>
              <w:left w:val="single" w:sz="6" w:space="0" w:color="000000"/>
            </w:tcBorders>
          </w:tcPr>
          <w:p>
            <w:pPr>
              <w:pStyle w:val="TableParagraph"/>
              <w:spacing w:line="377" w:lineRule="exact"/>
              <w:ind w:left="112"/>
              <w:jc w:val="left"/>
              <w:rPr>
                <w:sz w:val="21"/>
              </w:rPr>
            </w:pPr>
            <w:r>
              <w:rPr>
                <w:sz w:val="21"/>
              </w:rPr>
              <w:t>吸入后对鼻、喉和呼吸道有刺激性。对眼有强烈刺激作用。皮肤接触，轻者出现</w:t>
            </w:r>
          </w:p>
        </w:tc>
      </w:tr>
    </w:tbl>
    <w:p>
      <w:pPr>
        <w:spacing w:after="0" w:line="377"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581"/>
      </w:tblGrid>
      <w:tr>
        <w:trPr>
          <w:trHeight w:val="961"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7581" w:type="dxa"/>
            <w:tcBorders>
              <w:left w:val="single" w:sz="6" w:space="0" w:color="000000"/>
              <w:bottom w:val="single" w:sz="6" w:space="0" w:color="000000"/>
            </w:tcBorders>
          </w:tcPr>
          <w:p>
            <w:pPr>
              <w:pStyle w:val="TableParagraph"/>
              <w:spacing w:line="172" w:lineRule="auto" w:before="35"/>
              <w:ind w:left="112" w:right="72"/>
              <w:jc w:val="left"/>
              <w:rPr>
                <w:sz w:val="21"/>
              </w:rPr>
            </w:pPr>
            <w:r>
              <w:rPr>
                <w:sz w:val="21"/>
              </w:rPr>
              <w:t>红斑，重者引起化学灼伤。误服浓乙酸，口腔和消化道可产生糜烂，重者可因休克而致死。眼睑水肿、结膜充血、慢性咽炎和支气管炎。长期反复接触，可致皮</w:t>
            </w:r>
          </w:p>
          <w:p>
            <w:pPr>
              <w:pStyle w:val="TableParagraph"/>
              <w:spacing w:line="266" w:lineRule="exact"/>
              <w:ind w:left="112"/>
              <w:jc w:val="left"/>
              <w:rPr>
                <w:sz w:val="21"/>
              </w:rPr>
            </w:pPr>
            <w:r>
              <w:rPr>
                <w:sz w:val="21"/>
              </w:rPr>
              <w:t>肤干燥、脱脂和皮炎。</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spacing w:before="10"/>
              <w:jc w:val="left"/>
              <w:rPr>
                <w:sz w:val="12"/>
              </w:rPr>
            </w:pPr>
          </w:p>
          <w:p>
            <w:pPr>
              <w:pStyle w:val="TableParagraph"/>
              <w:ind w:left="102" w:right="84"/>
              <w:rPr>
                <w:sz w:val="21"/>
              </w:rPr>
            </w:pPr>
            <w:r>
              <w:rPr>
                <w:sz w:val="21"/>
              </w:rPr>
              <w:t>毒性</w:t>
            </w:r>
          </w:p>
        </w:tc>
        <w:tc>
          <w:tcPr>
            <w:tcW w:w="7581" w:type="dxa"/>
            <w:tcBorders>
              <w:top w:val="single" w:sz="6" w:space="0" w:color="000000"/>
              <w:left w:val="single" w:sz="6" w:space="0" w:color="000000"/>
              <w:bottom w:val="single" w:sz="6" w:space="0" w:color="000000"/>
            </w:tcBorders>
          </w:tcPr>
          <w:p>
            <w:pPr>
              <w:pStyle w:val="TableParagraph"/>
              <w:spacing w:line="170" w:lineRule="auto" w:before="41"/>
              <w:ind w:left="112" w:right="-44"/>
              <w:jc w:val="left"/>
              <w:rPr>
                <w:sz w:val="21"/>
              </w:rPr>
            </w:pPr>
            <w:r>
              <w:rPr>
                <w:spacing w:val="-1"/>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3530mg/kg(</w:t>
            </w:r>
            <w:r>
              <w:rPr>
                <w:spacing w:val="-1"/>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1060mg/kg(</w:t>
            </w:r>
            <w:r>
              <w:rPr>
                <w:spacing w:val="-2"/>
                <w:position w:val="2"/>
                <w:sz w:val="21"/>
              </w:rPr>
              <w:t>兔经皮</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5620ppm</w:t>
            </w:r>
            <w:r>
              <w:rPr>
                <w:position w:val="2"/>
                <w:sz w:val="21"/>
              </w:rPr>
              <w:t>，</w:t>
            </w:r>
            <w:r>
              <w:rPr>
                <w:rFonts w:ascii="Times New Roman" w:eastAsia="Times New Roman"/>
                <w:position w:val="2"/>
                <w:sz w:val="21"/>
              </w:rPr>
              <w:t>1</w:t>
            </w:r>
            <w:r>
              <w:rPr>
                <w:rFonts w:ascii="Times New Roman" w:eastAsia="Times New Roman"/>
                <w:spacing w:val="31"/>
                <w:position w:val="2"/>
                <w:sz w:val="21"/>
              </w:rPr>
              <w:t> </w:t>
            </w:r>
            <w:r>
              <w:rPr>
                <w:position w:val="2"/>
                <w:sz w:val="21"/>
              </w:rPr>
              <w:t>小</w:t>
            </w:r>
            <w:r>
              <w:rPr>
                <w:sz w:val="21"/>
              </w:rPr>
              <w:t>时</w:t>
            </w:r>
            <w:r>
              <w:rPr>
                <w:rFonts w:ascii="Times New Roman" w:eastAsia="Times New Roman"/>
                <w:sz w:val="21"/>
              </w:rPr>
              <w:t>(</w:t>
            </w:r>
            <w:r>
              <w:rPr>
                <w:spacing w:val="-2"/>
                <w:sz w:val="21"/>
              </w:rPr>
              <w:t>小鼠吸入</w:t>
            </w:r>
            <w:r>
              <w:rPr>
                <w:rFonts w:ascii="Times New Roman" w:eastAsia="Times New Roman"/>
                <w:spacing w:val="-39"/>
                <w:sz w:val="21"/>
              </w:rPr>
              <w:t>)</w:t>
            </w:r>
            <w:r>
              <w:rPr>
                <w:spacing w:val="-6"/>
                <w:sz w:val="21"/>
              </w:rPr>
              <w:t>；人经口 </w:t>
            </w:r>
            <w:r>
              <w:rPr>
                <w:rFonts w:ascii="Times New Roman" w:eastAsia="Times New Roman"/>
                <w:spacing w:val="-9"/>
                <w:sz w:val="21"/>
              </w:rPr>
              <w:t>1.47mg/kg</w:t>
            </w:r>
            <w:r>
              <w:rPr>
                <w:spacing w:val="-14"/>
                <w:sz w:val="21"/>
              </w:rPr>
              <w:t>，最低中毒量，出现消化道症状；人经口 </w:t>
            </w:r>
            <w:r>
              <w:rPr>
                <w:rFonts w:ascii="Times New Roman" w:eastAsia="Times New Roman"/>
                <w:sz w:val="21"/>
              </w:rPr>
              <w:t>20</w:t>
            </w:r>
            <w:r>
              <w:rPr>
                <w:sz w:val="21"/>
              </w:rPr>
              <w:t>～</w:t>
            </w:r>
            <w:r>
              <w:rPr>
                <w:rFonts w:ascii="Times New Roman" w:eastAsia="Times New Roman"/>
                <w:sz w:val="21"/>
              </w:rPr>
              <w:t>50g</w:t>
            </w:r>
            <w:r>
              <w:rPr>
                <w:sz w:val="21"/>
              </w:rPr>
              <w:t>，</w:t>
            </w:r>
          </w:p>
          <w:p>
            <w:pPr>
              <w:pStyle w:val="TableParagraph"/>
              <w:spacing w:line="266" w:lineRule="exact"/>
              <w:ind w:left="112"/>
              <w:jc w:val="left"/>
              <w:rPr>
                <w:sz w:val="21"/>
              </w:rPr>
            </w:pPr>
            <w:r>
              <w:rPr>
                <w:sz w:val="21"/>
              </w:rPr>
              <w:t>致死剂量。</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0" w:right="84"/>
              <w:rPr>
                <w:sz w:val="21"/>
              </w:rPr>
            </w:pPr>
            <w:r>
              <w:rPr>
                <w:sz w:val="21"/>
              </w:rPr>
              <w:t>危险特性</w:t>
            </w:r>
          </w:p>
        </w:tc>
        <w:tc>
          <w:tcPr>
            <w:tcW w:w="7581" w:type="dxa"/>
            <w:tcBorders>
              <w:top w:val="single" w:sz="6" w:space="0" w:color="000000"/>
              <w:left w:val="single" w:sz="6" w:space="0" w:color="000000"/>
              <w:bottom w:val="single" w:sz="6" w:space="0" w:color="000000"/>
            </w:tcBorders>
          </w:tcPr>
          <w:p>
            <w:pPr>
              <w:pStyle w:val="TableParagraph"/>
              <w:spacing w:line="328" w:lineRule="exact"/>
              <w:ind w:left="112"/>
              <w:jc w:val="left"/>
              <w:rPr>
                <w:sz w:val="21"/>
              </w:rPr>
            </w:pPr>
            <w:r>
              <w:rPr>
                <w:sz w:val="21"/>
              </w:rPr>
              <w:t>其蒸气与空气形成爆炸性混合物，遇明火、高热能引起燃烧爆炸。与强氧化剂可</w:t>
            </w:r>
          </w:p>
          <w:p>
            <w:pPr>
              <w:pStyle w:val="TableParagraph"/>
              <w:spacing w:line="292" w:lineRule="exact"/>
              <w:ind w:left="112"/>
              <w:jc w:val="left"/>
              <w:rPr>
                <w:sz w:val="21"/>
              </w:rPr>
            </w:pPr>
            <w:r>
              <w:rPr>
                <w:sz w:val="21"/>
              </w:rPr>
              <w:t>发生反应。</w:t>
            </w:r>
          </w:p>
        </w:tc>
      </w:tr>
      <w:tr>
        <w:trPr>
          <w:trHeight w:val="192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6"/>
              <w:jc w:val="left"/>
              <w:rPr>
                <w:sz w:val="11"/>
              </w:rPr>
            </w:pPr>
          </w:p>
          <w:p>
            <w:pPr>
              <w:pStyle w:val="TableParagraph"/>
              <w:spacing w:line="172" w:lineRule="auto" w:before="1"/>
              <w:ind w:left="380" w:right="151" w:hanging="212"/>
              <w:jc w:val="left"/>
              <w:rPr>
                <w:sz w:val="21"/>
              </w:rPr>
            </w:pPr>
            <w:r>
              <w:rPr>
                <w:sz w:val="21"/>
              </w:rPr>
              <w:t>泄漏应急处理</w:t>
            </w:r>
          </w:p>
        </w:tc>
        <w:tc>
          <w:tcPr>
            <w:tcW w:w="7581" w:type="dxa"/>
            <w:tcBorders>
              <w:top w:val="single" w:sz="6" w:space="0" w:color="000000"/>
              <w:left w:val="single" w:sz="6" w:space="0" w:color="000000"/>
              <w:bottom w:val="single" w:sz="6" w:space="0" w:color="000000"/>
            </w:tcBorders>
          </w:tcPr>
          <w:p>
            <w:pPr>
              <w:pStyle w:val="TableParagraph"/>
              <w:spacing w:line="172" w:lineRule="auto" w:before="32"/>
              <w:ind w:left="112" w:right="72"/>
              <w:jc w:val="both"/>
              <w:rPr>
                <w:sz w:val="21"/>
              </w:rPr>
            </w:pPr>
            <w:r>
              <w:rPr>
                <w:sz w:val="21"/>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w:t>
            </w:r>
          </w:p>
          <w:p>
            <w:pPr>
              <w:pStyle w:val="TableParagraph"/>
              <w:spacing w:line="265" w:lineRule="exact"/>
              <w:ind w:left="112"/>
              <w:jc w:val="both"/>
              <w:rPr>
                <w:sz w:val="21"/>
              </w:rPr>
            </w:pPr>
            <w:r>
              <w:rPr>
                <w:sz w:val="21"/>
              </w:rPr>
              <w:t>害处理后废弃。</w:t>
            </w:r>
          </w:p>
        </w:tc>
      </w:tr>
      <w:tr>
        <w:trPr>
          <w:trHeight w:val="191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15"/>
              </w:rPr>
            </w:pPr>
          </w:p>
          <w:p>
            <w:pPr>
              <w:pStyle w:val="TableParagraph"/>
              <w:ind w:left="100" w:right="84"/>
              <w:rPr>
                <w:sz w:val="21"/>
              </w:rPr>
            </w:pPr>
            <w:r>
              <w:rPr>
                <w:sz w:val="21"/>
              </w:rPr>
              <w:t>防护措施</w:t>
            </w:r>
          </w:p>
        </w:tc>
        <w:tc>
          <w:tcPr>
            <w:tcW w:w="7581" w:type="dxa"/>
            <w:tcBorders>
              <w:top w:val="single" w:sz="6" w:space="0" w:color="000000"/>
              <w:left w:val="single" w:sz="6" w:space="0" w:color="000000"/>
              <w:bottom w:val="single" w:sz="6" w:space="0" w:color="000000"/>
            </w:tcBorders>
          </w:tcPr>
          <w:p>
            <w:pPr>
              <w:pStyle w:val="TableParagraph"/>
              <w:spacing w:line="172" w:lineRule="auto" w:before="32"/>
              <w:ind w:left="112" w:right="-29"/>
              <w:jc w:val="left"/>
              <w:rPr>
                <w:sz w:val="21"/>
              </w:rPr>
            </w:pPr>
            <w:r>
              <w:rPr>
                <w:spacing w:val="-10"/>
                <w:sz w:val="21"/>
              </w:rPr>
              <w:t>呼吸系统防护：空气中浓度超标时，应该佩带防毒面具。紧急事态抢救或逃生时， </w:t>
            </w:r>
            <w:r>
              <w:rPr>
                <w:spacing w:val="-5"/>
                <w:sz w:val="21"/>
              </w:rPr>
              <w:t>佩带自给式呼吸器。</w:t>
            </w:r>
          </w:p>
          <w:p>
            <w:pPr>
              <w:pStyle w:val="TableParagraph"/>
              <w:spacing w:line="172" w:lineRule="auto"/>
              <w:ind w:left="112" w:right="4150"/>
              <w:jc w:val="left"/>
              <w:rPr>
                <w:sz w:val="21"/>
              </w:rPr>
            </w:pPr>
            <w:r>
              <w:rPr>
                <w:sz w:val="21"/>
              </w:rPr>
              <w:t>眼睛防护：戴化学安全防护眼镜。防护服：穿工作服</w:t>
            </w:r>
            <w:r>
              <w:rPr>
                <w:rFonts w:ascii="Times New Roman" w:eastAsia="Times New Roman"/>
                <w:sz w:val="21"/>
              </w:rPr>
              <w:t>(</w:t>
            </w:r>
            <w:r>
              <w:rPr>
                <w:sz w:val="21"/>
              </w:rPr>
              <w:t>防腐材料制作</w:t>
            </w:r>
            <w:r>
              <w:rPr>
                <w:rFonts w:ascii="Times New Roman" w:eastAsia="Times New Roman"/>
                <w:sz w:val="21"/>
              </w:rPr>
              <w:t>)</w:t>
            </w:r>
            <w:r>
              <w:rPr>
                <w:sz w:val="21"/>
              </w:rPr>
              <w:t>。手防护：戴橡皮手套。</w:t>
            </w:r>
          </w:p>
          <w:p>
            <w:pPr>
              <w:pStyle w:val="TableParagraph"/>
              <w:spacing w:line="264" w:lineRule="exact"/>
              <w:ind w:left="112"/>
              <w:jc w:val="left"/>
              <w:rPr>
                <w:sz w:val="21"/>
              </w:rPr>
            </w:pPr>
            <w:r>
              <w:rPr>
                <w:sz w:val="21"/>
              </w:rPr>
              <w:t>其它：工作后，淋浴更衣。注意个人清洁卫生。</w:t>
            </w:r>
          </w:p>
        </w:tc>
      </w:tr>
      <w:tr>
        <w:trPr>
          <w:trHeight w:val="191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5"/>
              <w:jc w:val="left"/>
              <w:rPr>
                <w:sz w:val="15"/>
              </w:rPr>
            </w:pPr>
          </w:p>
          <w:p>
            <w:pPr>
              <w:pStyle w:val="TableParagraph"/>
              <w:ind w:left="100" w:right="84"/>
              <w:rPr>
                <w:sz w:val="21"/>
              </w:rPr>
            </w:pPr>
            <w:r>
              <w:rPr>
                <w:sz w:val="21"/>
              </w:rPr>
              <w:t>急救措施</w:t>
            </w:r>
          </w:p>
        </w:tc>
        <w:tc>
          <w:tcPr>
            <w:tcW w:w="7581" w:type="dxa"/>
            <w:tcBorders>
              <w:top w:val="single" w:sz="6" w:space="0" w:color="000000"/>
              <w:left w:val="single" w:sz="6" w:space="0" w:color="000000"/>
            </w:tcBorders>
          </w:tcPr>
          <w:p>
            <w:pPr>
              <w:pStyle w:val="TableParagraph"/>
              <w:spacing w:line="329" w:lineRule="exact"/>
              <w:ind w:left="112" w:right="-29"/>
              <w:jc w:val="left"/>
              <w:rPr>
                <w:sz w:val="21"/>
              </w:rPr>
            </w:pPr>
            <w:r>
              <w:rPr>
                <w:spacing w:val="-2"/>
                <w:sz w:val="21"/>
              </w:rPr>
              <w:t>皮肤接触：脱去污染的衣着，立即用水冲洗至少 </w:t>
            </w:r>
            <w:r>
              <w:rPr>
                <w:rFonts w:ascii="Times New Roman" w:eastAsia="Times New Roman"/>
                <w:sz w:val="21"/>
              </w:rPr>
              <w:t>15</w:t>
            </w:r>
            <w:r>
              <w:rPr>
                <w:rFonts w:ascii="Times New Roman" w:eastAsia="Times New Roman"/>
                <w:spacing w:val="12"/>
                <w:sz w:val="21"/>
              </w:rPr>
              <w:t> </w:t>
            </w:r>
            <w:r>
              <w:rPr>
                <w:spacing w:val="-3"/>
                <w:sz w:val="21"/>
              </w:rPr>
              <w:t>分钟。若有灼伤，就医治疗。</w:t>
            </w:r>
          </w:p>
          <w:p>
            <w:pPr>
              <w:pStyle w:val="TableParagraph"/>
              <w:spacing w:line="320" w:lineRule="exact"/>
              <w:ind w:left="112"/>
              <w:jc w:val="left"/>
              <w:rPr>
                <w:sz w:val="21"/>
              </w:rPr>
            </w:pPr>
            <w:r>
              <w:rPr>
                <w:sz w:val="21"/>
              </w:rPr>
              <w:t>眼睛接触：立即提起眼睑，用流动清水或生理盐水冲洗至少 </w:t>
            </w:r>
            <w:r>
              <w:rPr>
                <w:rFonts w:ascii="Times New Roman" w:eastAsia="Times New Roman"/>
                <w:sz w:val="21"/>
              </w:rPr>
              <w:t>15 </w:t>
            </w:r>
            <w:r>
              <w:rPr>
                <w:sz w:val="21"/>
              </w:rPr>
              <w:t>分钟。就医。</w:t>
            </w:r>
          </w:p>
          <w:p>
            <w:pPr>
              <w:pStyle w:val="TableParagraph"/>
              <w:spacing w:line="319" w:lineRule="exact"/>
              <w:ind w:left="112"/>
              <w:jc w:val="left"/>
              <w:rPr>
                <w:sz w:val="21"/>
              </w:rPr>
            </w:pPr>
            <w:r>
              <w:rPr>
                <w:sz w:val="21"/>
              </w:rPr>
              <w:t>吸入：迅速脱离现场至空气新鲜处。保持呼吸道通畅。呼吸困难时给输氧。给予</w:t>
            </w:r>
          </w:p>
          <w:p>
            <w:pPr>
              <w:pStyle w:val="TableParagraph"/>
              <w:spacing w:line="320" w:lineRule="exact"/>
              <w:ind w:left="112"/>
              <w:jc w:val="left"/>
              <w:rPr>
                <w:sz w:val="21"/>
              </w:rPr>
            </w:pPr>
            <w:r>
              <w:rPr>
                <w:rFonts w:ascii="Times New Roman" w:eastAsia="Times New Roman"/>
                <w:sz w:val="21"/>
              </w:rPr>
              <w:t>2-4%</w:t>
            </w:r>
            <w:r>
              <w:rPr>
                <w:sz w:val="21"/>
              </w:rPr>
              <w:t>碳酸氢钠溶液雾化吸入。就医。</w:t>
            </w:r>
          </w:p>
          <w:p>
            <w:pPr>
              <w:pStyle w:val="TableParagraph"/>
              <w:spacing w:line="320" w:lineRule="exact"/>
              <w:ind w:left="112"/>
              <w:jc w:val="left"/>
              <w:rPr>
                <w:sz w:val="21"/>
              </w:rPr>
            </w:pPr>
            <w:r>
              <w:rPr>
                <w:sz w:val="21"/>
              </w:rPr>
              <w:t>食入：误服者给饮大量温水，催吐。就医。</w:t>
            </w:r>
          </w:p>
          <w:p>
            <w:pPr>
              <w:pStyle w:val="TableParagraph"/>
              <w:spacing w:line="290" w:lineRule="exact"/>
              <w:ind w:left="112"/>
              <w:jc w:val="left"/>
              <w:rPr>
                <w:sz w:val="21"/>
              </w:rPr>
            </w:pPr>
            <w:r>
              <w:rPr>
                <w:sz w:val="21"/>
              </w:rPr>
              <w:t>灭火方法：雾状水、泡沫、二氧化碳、砂土。</w:t>
            </w:r>
          </w:p>
        </w:tc>
      </w:tr>
    </w:tbl>
    <w:p>
      <w:pPr>
        <w:pStyle w:val="BodyText"/>
        <w:spacing w:before="15"/>
        <w:rPr>
          <w:sz w:val="11"/>
        </w:rPr>
      </w:pPr>
    </w:p>
    <w:p>
      <w:pPr>
        <w:tabs>
          <w:tab w:pos="3542" w:val="left" w:leader="none"/>
        </w:tabs>
        <w:spacing w:line="460" w:lineRule="exact" w:before="0"/>
        <w:ind w:left="2565" w:right="0" w:firstLine="0"/>
        <w:jc w:val="left"/>
        <w:rPr>
          <w:sz w:val="24"/>
        </w:rPr>
      </w:pPr>
      <w:r>
        <w:rPr/>
        <w:pict>
          <v:shape style="position:absolute;margin-left:77.783997pt;margin-top:18.934551pt;width:440.6pt;height:232.75pt;mso-position-horizontal-relative:page;mso-position-vertical-relative:paragraph;z-index:131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540"/>
                  </w:tblGrid>
                  <w:tr>
                    <w:trPr>
                      <w:trHeight w:val="397" w:hRule="atLeast"/>
                    </w:trPr>
                    <w:tc>
                      <w:tcPr>
                        <w:tcW w:w="1188" w:type="dxa"/>
                        <w:tcBorders>
                          <w:bottom w:val="single" w:sz="6" w:space="0" w:color="000000"/>
                          <w:right w:val="single" w:sz="6" w:space="0" w:color="000000"/>
                        </w:tcBorders>
                      </w:tcPr>
                      <w:p>
                        <w:pPr>
                          <w:pStyle w:val="TableParagraph"/>
                          <w:spacing w:line="378" w:lineRule="exact"/>
                          <w:ind w:left="100"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before="93"/>
                          <w:ind w:left="208" w:right="184"/>
                          <w:rPr>
                            <w:rFonts w:ascii="Times New Roman"/>
                            <w:sz w:val="21"/>
                          </w:rPr>
                        </w:pPr>
                        <w:r>
                          <w:rPr>
                            <w:rFonts w:ascii="Times New Roman"/>
                            <w:sz w:val="21"/>
                          </w:rPr>
                          <w:t>33530</w:t>
                        </w:r>
                      </w:p>
                    </w:tc>
                    <w:tc>
                      <w:tcPr>
                        <w:tcW w:w="1440" w:type="dxa"/>
                        <w:tcBorders>
                          <w:left w:val="single" w:sz="6" w:space="0" w:color="000000"/>
                          <w:bottom w:val="single" w:sz="6" w:space="0" w:color="000000"/>
                          <w:right w:val="single" w:sz="6" w:space="0" w:color="000000"/>
                        </w:tcBorders>
                      </w:tcPr>
                      <w:p>
                        <w:pPr>
                          <w:pStyle w:val="TableParagraph"/>
                          <w:spacing w:line="378" w:lineRule="exact"/>
                          <w:ind w:left="178" w:right="152"/>
                          <w:rPr>
                            <w:sz w:val="21"/>
                          </w:rPr>
                        </w:pPr>
                        <w:r>
                          <w:rPr>
                            <w:rFonts w:ascii="Times New Roman" w:eastAsia="Times New Roman"/>
                            <w:sz w:val="21"/>
                          </w:rPr>
                          <w:t>CAS </w:t>
                        </w:r>
                        <w:r>
                          <w:rPr>
                            <w:sz w:val="21"/>
                          </w:rPr>
                          <w:t>号</w:t>
                        </w:r>
                      </w:p>
                    </w:tc>
                    <w:tc>
                      <w:tcPr>
                        <w:tcW w:w="2540" w:type="dxa"/>
                        <w:tcBorders>
                          <w:left w:val="single" w:sz="6" w:space="0" w:color="000000"/>
                          <w:bottom w:val="single" w:sz="6" w:space="0" w:color="000000"/>
                        </w:tcBorders>
                      </w:tcPr>
                      <w:p>
                        <w:pPr>
                          <w:pStyle w:val="TableParagraph"/>
                          <w:spacing w:before="93"/>
                          <w:ind w:left="112" w:right="81"/>
                          <w:rPr>
                            <w:rFonts w:ascii="Times New Roman"/>
                            <w:sz w:val="21"/>
                          </w:rPr>
                        </w:pPr>
                        <w:r>
                          <w:rPr>
                            <w:rFonts w:ascii="Times New Roman"/>
                            <w:sz w:val="21"/>
                          </w:rPr>
                          <w:t>106-94-5</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0"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80"/>
                          <w:ind w:left="210" w:right="184"/>
                          <w:rPr>
                            <w:sz w:val="21"/>
                          </w:rPr>
                        </w:pPr>
                        <w:r>
                          <w:rPr>
                            <w:sz w:val="21"/>
                          </w:rPr>
                          <w:t>正溴丙烷</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80"/>
                          <w:ind w:left="178" w:right="152"/>
                          <w:rPr>
                            <w:sz w:val="21"/>
                          </w:rPr>
                        </w:pPr>
                        <w:r>
                          <w:rPr>
                            <w:sz w:val="21"/>
                          </w:rPr>
                          <w:t>英文名称</w:t>
                        </w:r>
                      </w:p>
                    </w:tc>
                    <w:tc>
                      <w:tcPr>
                        <w:tcW w:w="2540" w:type="dxa"/>
                        <w:tcBorders>
                          <w:top w:val="single" w:sz="6" w:space="0" w:color="000000"/>
                          <w:left w:val="single" w:sz="6" w:space="0" w:color="000000"/>
                          <w:bottom w:val="single" w:sz="6" w:space="0" w:color="000000"/>
                        </w:tcBorders>
                      </w:tcPr>
                      <w:p>
                        <w:pPr>
                          <w:pStyle w:val="TableParagraph"/>
                          <w:spacing w:line="359" w:lineRule="exact"/>
                          <w:ind w:left="520"/>
                          <w:jc w:val="left"/>
                          <w:rPr>
                            <w:sz w:val="21"/>
                          </w:rPr>
                        </w:pPr>
                        <w:r>
                          <w:rPr>
                            <w:rFonts w:ascii="Times New Roman" w:eastAsia="Times New Roman"/>
                            <w:sz w:val="21"/>
                          </w:rPr>
                          <w:t>propyl bromide</w:t>
                        </w:r>
                        <w:r>
                          <w:rPr>
                            <w:sz w:val="21"/>
                          </w:rPr>
                          <w:t>；</w:t>
                        </w:r>
                      </w:p>
                      <w:p>
                        <w:pPr>
                          <w:pStyle w:val="TableParagraph"/>
                          <w:spacing w:line="221" w:lineRule="exact"/>
                          <w:ind w:left="576"/>
                          <w:jc w:val="left"/>
                          <w:rPr>
                            <w:rFonts w:ascii="Times New Roman"/>
                            <w:sz w:val="21"/>
                          </w:rPr>
                        </w:pPr>
                        <w:r>
                          <w:rPr>
                            <w:rFonts w:ascii="Times New Roman"/>
                            <w:sz w:val="21"/>
                          </w:rPr>
                          <w:t>1-bromopropane</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2" w:right="84"/>
                          <w:rPr>
                            <w:sz w:val="21"/>
                          </w:rPr>
                        </w:pPr>
                        <w:r>
                          <w:rPr>
                            <w:sz w:val="21"/>
                          </w:rPr>
                          <w:t>分子式</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93"/>
                          <w:ind w:left="209" w:right="184"/>
                          <w:rPr>
                            <w:rFonts w:ascii="Times New Roman"/>
                            <w:sz w:val="21"/>
                          </w:rPr>
                        </w:pPr>
                        <w:r>
                          <w:rPr>
                            <w:rFonts w:ascii="Times New Roman"/>
                            <w:position w:val="2"/>
                            <w:sz w:val="21"/>
                          </w:rPr>
                          <w:t>C</w:t>
                        </w:r>
                        <w:r>
                          <w:rPr>
                            <w:rFonts w:ascii="Times New Roman"/>
                            <w:sz w:val="14"/>
                          </w:rPr>
                          <w:t>3</w:t>
                        </w:r>
                        <w:r>
                          <w:rPr>
                            <w:rFonts w:ascii="Times New Roman"/>
                            <w:position w:val="2"/>
                            <w:sz w:val="21"/>
                          </w:rPr>
                          <w:t>H</w:t>
                        </w:r>
                        <w:r>
                          <w:rPr>
                            <w:rFonts w:ascii="Times New Roman"/>
                            <w:sz w:val="14"/>
                          </w:rPr>
                          <w:t>7</w:t>
                        </w:r>
                        <w:r>
                          <w:rPr>
                            <w:rFonts w:ascii="Times New Roman"/>
                            <w:position w:val="2"/>
                            <w:sz w:val="21"/>
                          </w:rPr>
                          <w:t>Br</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8" w:right="152"/>
                          <w:rPr>
                            <w:sz w:val="21"/>
                          </w:rPr>
                        </w:pPr>
                        <w:r>
                          <w:rPr>
                            <w:sz w:val="21"/>
                          </w:rPr>
                          <w:t>危险标记</w:t>
                        </w:r>
                      </w:p>
                    </w:tc>
                    <w:tc>
                      <w:tcPr>
                        <w:tcW w:w="2540" w:type="dxa"/>
                        <w:tcBorders>
                          <w:top w:val="single" w:sz="6" w:space="0" w:color="000000"/>
                          <w:left w:val="single" w:sz="6" w:space="0" w:color="000000"/>
                          <w:bottom w:val="single" w:sz="6" w:space="0" w:color="000000"/>
                        </w:tcBorders>
                      </w:tcPr>
                      <w:p>
                        <w:pPr>
                          <w:pStyle w:val="TableParagraph"/>
                          <w:spacing w:line="378" w:lineRule="exact"/>
                          <w:ind w:left="115" w:right="81"/>
                          <w:rPr>
                            <w:rFonts w:ascii="Times New Roman" w:eastAsia="Times New Roman"/>
                            <w:sz w:val="21"/>
                          </w:rPr>
                        </w:pPr>
                        <w:r>
                          <w:rPr>
                            <w:rFonts w:ascii="Times New Roman" w:eastAsia="Times New Roman"/>
                            <w:sz w:val="21"/>
                          </w:rPr>
                          <w:t>7(</w:t>
                        </w:r>
                        <w:r>
                          <w:rPr>
                            <w:sz w:val="21"/>
                          </w:rPr>
                          <w:t>易燃液体</w:t>
                        </w:r>
                        <w:r>
                          <w:rPr>
                            <w:rFonts w:ascii="Times New Roman" w:eastAsia="Times New Roman"/>
                            <w:sz w:val="21"/>
                          </w:rPr>
                          <w:t>)</w:t>
                        </w:r>
                      </w:p>
                    </w:tc>
                  </w:tr>
                  <w:tr>
                    <w:trPr>
                      <w:trHeight w:val="395" w:hRule="atLeast"/>
                    </w:trPr>
                    <w:tc>
                      <w:tcPr>
                        <w:tcW w:w="1188" w:type="dxa"/>
                        <w:tcBorders>
                          <w:top w:val="single" w:sz="6" w:space="0" w:color="000000"/>
                          <w:bottom w:val="single" w:sz="6" w:space="0" w:color="000000"/>
                          <w:right w:val="single" w:sz="6" w:space="0" w:color="000000"/>
                        </w:tcBorders>
                      </w:tcPr>
                      <w:p>
                        <w:pPr>
                          <w:pStyle w:val="TableParagraph"/>
                          <w:spacing w:line="375" w:lineRule="exact"/>
                          <w:ind w:left="100" w:right="84"/>
                          <w:rPr>
                            <w:sz w:val="21"/>
                          </w:rPr>
                        </w:pPr>
                        <w:r>
                          <w:rPr>
                            <w:sz w:val="21"/>
                          </w:rPr>
                          <w:t>侵入途径</w:t>
                        </w:r>
                      </w:p>
                    </w:tc>
                    <w:tc>
                      <w:tcPr>
                        <w:tcW w:w="7581" w:type="dxa"/>
                        <w:gridSpan w:val="3"/>
                        <w:tcBorders>
                          <w:top w:val="single" w:sz="6" w:space="0" w:color="000000"/>
                          <w:left w:val="single" w:sz="6" w:space="0" w:color="000000"/>
                          <w:bottom w:val="single" w:sz="6" w:space="0" w:color="000000"/>
                        </w:tcBorders>
                      </w:tcPr>
                      <w:p>
                        <w:pPr>
                          <w:pStyle w:val="TableParagraph"/>
                          <w:spacing w:line="375" w:lineRule="exact"/>
                          <w:ind w:left="100" w:right="66"/>
                          <w:rPr>
                            <w:sz w:val="21"/>
                          </w:rPr>
                        </w:pPr>
                        <w:r>
                          <w:rPr>
                            <w:sz w:val="21"/>
                          </w:rPr>
                          <w:t>吸入、食入</w:t>
                        </w:r>
                      </w:p>
                    </w:tc>
                  </w:tr>
                  <w:tr>
                    <w:trPr>
                      <w:trHeight w:val="601" w:hRule="atLeast"/>
                    </w:trPr>
                    <w:tc>
                      <w:tcPr>
                        <w:tcW w:w="1188" w:type="dxa"/>
                        <w:tcBorders>
                          <w:top w:val="single" w:sz="6" w:space="0" w:color="000000"/>
                          <w:bottom w:val="single" w:sz="6" w:space="0" w:color="000000"/>
                          <w:right w:val="single" w:sz="6" w:space="0" w:color="000000"/>
                        </w:tcBorders>
                      </w:tcPr>
                      <w:p>
                        <w:pPr>
                          <w:pStyle w:val="TableParagraph"/>
                          <w:spacing w:before="80"/>
                          <w:ind w:left="100" w:right="84"/>
                          <w:rPr>
                            <w:sz w:val="21"/>
                          </w:rPr>
                        </w:pPr>
                        <w:r>
                          <w:rPr>
                            <w:sz w:val="21"/>
                          </w:rPr>
                          <w:t>健康危害</w:t>
                        </w:r>
                      </w:p>
                    </w:tc>
                    <w:tc>
                      <w:tcPr>
                        <w:tcW w:w="7581" w:type="dxa"/>
                        <w:gridSpan w:val="3"/>
                        <w:tcBorders>
                          <w:top w:val="single" w:sz="6" w:space="0" w:color="000000"/>
                          <w:left w:val="single" w:sz="6" w:space="0" w:color="000000"/>
                          <w:bottom w:val="single" w:sz="6" w:space="0" w:color="000000"/>
                        </w:tcBorders>
                      </w:tcPr>
                      <w:p>
                        <w:pPr>
                          <w:pStyle w:val="TableParagraph"/>
                          <w:spacing w:line="304" w:lineRule="exact"/>
                          <w:ind w:left="112"/>
                          <w:jc w:val="left"/>
                          <w:rPr>
                            <w:sz w:val="21"/>
                          </w:rPr>
                        </w:pPr>
                        <w:r>
                          <w:rPr>
                            <w:sz w:val="21"/>
                          </w:rPr>
                          <w:t>本品对中枢神经系统有抑制作用。对皮肤和眼有刺激性。动物接触麻醉浓度可引</w:t>
                        </w:r>
                      </w:p>
                      <w:p>
                        <w:pPr>
                          <w:pStyle w:val="TableParagraph"/>
                          <w:spacing w:line="278" w:lineRule="exact"/>
                          <w:ind w:left="112"/>
                          <w:jc w:val="left"/>
                          <w:rPr>
                            <w:sz w:val="21"/>
                          </w:rPr>
                        </w:pPr>
                        <w:r>
                          <w:rPr>
                            <w:sz w:val="21"/>
                          </w:rPr>
                          <w:t>起肺、肝损害。</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77"/>
                          <w:ind w:left="102" w:right="84"/>
                          <w:rPr>
                            <w:sz w:val="21"/>
                          </w:rPr>
                        </w:pPr>
                        <w:r>
                          <w:rPr>
                            <w:sz w:val="21"/>
                          </w:rPr>
                          <w:t>毒性</w:t>
                        </w:r>
                      </w:p>
                    </w:tc>
                    <w:tc>
                      <w:tcPr>
                        <w:tcW w:w="7581" w:type="dxa"/>
                        <w:gridSpan w:val="3"/>
                        <w:tcBorders>
                          <w:top w:val="single" w:sz="6" w:space="0" w:color="000000"/>
                          <w:left w:val="single" w:sz="6" w:space="0" w:color="000000"/>
                          <w:bottom w:val="single" w:sz="6" w:space="0" w:color="000000"/>
                        </w:tcBorders>
                      </w:tcPr>
                      <w:p>
                        <w:pPr>
                          <w:pStyle w:val="TableParagraph"/>
                          <w:spacing w:line="301" w:lineRule="exact"/>
                          <w:ind w:left="112"/>
                          <w:jc w:val="left"/>
                          <w:rPr>
                            <w:sz w:val="21"/>
                          </w:rPr>
                        </w:pPr>
                        <w:r>
                          <w:rPr>
                            <w:spacing w:val="-1"/>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2900mg/kg(</w:t>
                        </w:r>
                        <w:r>
                          <w:rPr>
                            <w:spacing w:val="-1"/>
                            <w:position w:val="2"/>
                            <w:sz w:val="21"/>
                          </w:rPr>
                          <w:t>大鼠腑腔内</w:t>
                        </w:r>
                        <w:r>
                          <w:rPr>
                            <w:rFonts w:ascii="Times New Roman" w:eastAsia="Times New Roman"/>
                            <w:position w:val="2"/>
                            <w:sz w:val="21"/>
                          </w:rPr>
                          <w:t>)</w:t>
                        </w:r>
                        <w:r>
                          <w:rPr>
                            <w:spacing w:val="-1"/>
                            <w:position w:val="2"/>
                            <w:sz w:val="21"/>
                          </w:rPr>
                          <w:t>；小鼠吸入 </w:t>
                        </w:r>
                        <w:r>
                          <w:rPr>
                            <w:rFonts w:ascii="Times New Roman" w:eastAsia="Times New Roman"/>
                            <w:position w:val="2"/>
                            <w:sz w:val="21"/>
                          </w:rPr>
                          <w:t>50g/m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30</w:t>
                        </w:r>
                        <w:r>
                          <w:rPr>
                            <w:rFonts w:ascii="Times New Roman" w:eastAsia="Times New Roman"/>
                            <w:spacing w:val="51"/>
                            <w:position w:val="2"/>
                            <w:sz w:val="21"/>
                            <w:vertAlign w:val="baseline"/>
                          </w:rPr>
                          <w:t> </w:t>
                        </w:r>
                        <w:r>
                          <w:rPr>
                            <w:spacing w:val="-3"/>
                            <w:position w:val="2"/>
                            <w:sz w:val="21"/>
                            <w:vertAlign w:val="baseline"/>
                          </w:rPr>
                          <w:t>分钟侧倒，一昼</w:t>
                        </w:r>
                      </w:p>
                      <w:p>
                        <w:pPr>
                          <w:pStyle w:val="TableParagraph"/>
                          <w:spacing w:line="278" w:lineRule="exact"/>
                          <w:ind w:left="112"/>
                          <w:jc w:val="left"/>
                          <w:rPr>
                            <w:sz w:val="21"/>
                          </w:rPr>
                        </w:pPr>
                        <w:r>
                          <w:rPr>
                            <w:sz w:val="21"/>
                          </w:rPr>
                          <w:t>夜死亡。</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0" w:right="84"/>
                          <w:rPr>
                            <w:sz w:val="21"/>
                          </w:rPr>
                        </w:pPr>
                        <w:r>
                          <w:rPr>
                            <w:sz w:val="21"/>
                          </w:rPr>
                          <w:t>危险特性</w:t>
                        </w:r>
                      </w:p>
                    </w:tc>
                    <w:tc>
                      <w:tcPr>
                        <w:tcW w:w="7581" w:type="dxa"/>
                        <w:gridSpan w:val="3"/>
                        <w:tcBorders>
                          <w:top w:val="single" w:sz="6" w:space="0" w:color="000000"/>
                          <w:left w:val="single" w:sz="6" w:space="0" w:color="000000"/>
                          <w:bottom w:val="single" w:sz="6" w:space="0" w:color="000000"/>
                        </w:tcBorders>
                      </w:tcPr>
                      <w:p>
                        <w:pPr>
                          <w:pStyle w:val="TableParagraph"/>
                          <w:spacing w:line="301" w:lineRule="exact"/>
                          <w:ind w:left="112"/>
                          <w:jc w:val="left"/>
                          <w:rPr>
                            <w:sz w:val="21"/>
                          </w:rPr>
                        </w:pPr>
                        <w:r>
                          <w:rPr>
                            <w:sz w:val="21"/>
                          </w:rPr>
                          <w:t>易燃，遇明火、高热或与氧化剂接触，有引起燃烧爆炸的危险。受高热分解产生</w:t>
                        </w:r>
                      </w:p>
                      <w:p>
                        <w:pPr>
                          <w:pStyle w:val="TableParagraph"/>
                          <w:spacing w:line="278" w:lineRule="exact"/>
                          <w:ind w:left="112"/>
                          <w:jc w:val="left"/>
                          <w:rPr>
                            <w:sz w:val="21"/>
                          </w:rPr>
                        </w:pPr>
                        <w:r>
                          <w:rPr>
                            <w:sz w:val="21"/>
                          </w:rPr>
                          <w:t>有毒的溴化物气体。</w:t>
                        </w:r>
                      </w:p>
                    </w:tc>
                  </w:tr>
                  <w:tr>
                    <w:trPr>
                      <w:trHeight w:val="899" w:hRule="atLeast"/>
                    </w:trPr>
                    <w:tc>
                      <w:tcPr>
                        <w:tcW w:w="1188" w:type="dxa"/>
                        <w:tcBorders>
                          <w:top w:val="single" w:sz="6" w:space="0" w:color="000000"/>
                          <w:right w:val="single" w:sz="6" w:space="0" w:color="000000"/>
                        </w:tcBorders>
                      </w:tcPr>
                      <w:p>
                        <w:pPr>
                          <w:pStyle w:val="TableParagraph"/>
                          <w:spacing w:before="13"/>
                          <w:jc w:val="left"/>
                          <w:rPr>
                            <w:sz w:val="8"/>
                          </w:rPr>
                        </w:pPr>
                      </w:p>
                      <w:p>
                        <w:pPr>
                          <w:pStyle w:val="TableParagraph"/>
                          <w:spacing w:line="160" w:lineRule="auto"/>
                          <w:ind w:left="380" w:right="151" w:hanging="212"/>
                          <w:jc w:val="left"/>
                          <w:rPr>
                            <w:sz w:val="21"/>
                          </w:rPr>
                        </w:pPr>
                        <w:r>
                          <w:rPr>
                            <w:sz w:val="21"/>
                          </w:rPr>
                          <w:t>泄漏应急处理</w:t>
                        </w:r>
                      </w:p>
                    </w:tc>
                    <w:tc>
                      <w:tcPr>
                        <w:tcW w:w="7581" w:type="dxa"/>
                        <w:gridSpan w:val="3"/>
                        <w:tcBorders>
                          <w:top w:val="single" w:sz="6" w:space="0" w:color="000000"/>
                          <w:left w:val="single" w:sz="6" w:space="0" w:color="000000"/>
                        </w:tcBorders>
                      </w:tcPr>
                      <w:p>
                        <w:pPr>
                          <w:pStyle w:val="TableParagraph"/>
                          <w:spacing w:line="160" w:lineRule="auto" w:before="31"/>
                          <w:ind w:left="112" w:right="72"/>
                          <w:jc w:val="left"/>
                          <w:rPr>
                            <w:sz w:val="21"/>
                          </w:rPr>
                        </w:pPr>
                        <w:r>
                          <w:rPr>
                            <w:spacing w:val="-3"/>
                            <w:sz w:val="21"/>
                          </w:rPr>
                          <w:t>迅速撤离泄漏污染区人员至安全区，并进行隔离，严格限制出入。切断火源。建议应急处理人员戴自给正压式呼吸器，穿消防防护服。尽可能切断泄漏源，防止</w:t>
                        </w:r>
                      </w:p>
                      <w:p>
                        <w:pPr>
                          <w:pStyle w:val="TableParagraph"/>
                          <w:spacing w:line="251" w:lineRule="exact"/>
                          <w:ind w:left="112"/>
                          <w:jc w:val="left"/>
                          <w:rPr>
                            <w:sz w:val="21"/>
                          </w:rPr>
                        </w:pPr>
                        <w:r>
                          <w:rPr>
                            <w:spacing w:val="-3"/>
                            <w:sz w:val="21"/>
                          </w:rPr>
                          <w:t>进入下水道、排洪沟等限制性空间。小量泄漏：用砂土或其它不燃材料吸附或吸</w:t>
                        </w:r>
                      </w:p>
                    </w:tc>
                  </w:tr>
                </w:tbl>
                <w:p>
                  <w:pPr>
                    <w:pStyle w:val="BodyText"/>
                  </w:pPr>
                </w:p>
              </w:txbxContent>
            </v:textbox>
            <w10:wrap type="none"/>
          </v:shape>
        </w:pict>
      </w:r>
      <w:r>
        <w:rPr>
          <w:sz w:val="24"/>
        </w:rPr>
        <w:t>表</w:t>
      </w:r>
      <w:r>
        <w:rPr>
          <w:spacing w:val="5"/>
          <w:sz w:val="24"/>
        </w:rPr>
        <w:t> </w:t>
      </w:r>
      <w:r>
        <w:rPr>
          <w:rFonts w:ascii="Times New Roman" w:eastAsia="Times New Roman"/>
          <w:sz w:val="21"/>
        </w:rPr>
        <w:t>7.1-4</w:t>
        <w:tab/>
      </w:r>
      <w:r>
        <w:rPr>
          <w:sz w:val="24"/>
        </w:rPr>
        <w:t>正溴丙烷危险特性及处理措施表</w:t>
      </w:r>
    </w:p>
    <w:p>
      <w:pPr>
        <w:spacing w:after="0" w:line="460" w:lineRule="exact"/>
        <w:jc w:val="left"/>
        <w:rPr>
          <w:sz w:val="24"/>
        </w:rPr>
        <w:sectPr>
          <w:pgSz w:w="11910" w:h="16840"/>
          <w:pgMar w:header="877" w:footer="973" w:top="1340" w:bottom="1160" w:left="1220" w:right="1040"/>
        </w:sectPr>
      </w:pPr>
    </w:p>
    <w:p>
      <w:pPr>
        <w:pStyle w:val="BodyText"/>
        <w:spacing w:before="20"/>
        <w:rPr>
          <w:sz w:val="3"/>
        </w:rPr>
      </w:pPr>
    </w:p>
    <w:tbl>
      <w:tblPr>
        <w:tblW w:w="0" w:type="auto"/>
        <w:jc w:val="left"/>
        <w:tblInd w:w="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581"/>
      </w:tblGrid>
      <w:tr>
        <w:trPr>
          <w:trHeight w:val="601"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7581" w:type="dxa"/>
            <w:tcBorders>
              <w:left w:val="single" w:sz="6" w:space="0" w:color="000000"/>
              <w:bottom w:val="single" w:sz="6" w:space="0" w:color="000000"/>
            </w:tcBorders>
          </w:tcPr>
          <w:p>
            <w:pPr>
              <w:pStyle w:val="TableParagraph"/>
              <w:spacing w:line="304" w:lineRule="exact"/>
              <w:ind w:left="112"/>
              <w:jc w:val="left"/>
              <w:rPr>
                <w:sz w:val="21"/>
              </w:rPr>
            </w:pPr>
            <w:r>
              <w:rPr>
                <w:sz w:val="21"/>
              </w:rPr>
              <w:t>收。大量泄漏：构筑围堤或挖坑收容；用泡沫覆盖，降低蒸气灾害。用防爆泵转</w:t>
            </w:r>
          </w:p>
          <w:p>
            <w:pPr>
              <w:pStyle w:val="TableParagraph"/>
              <w:spacing w:line="278" w:lineRule="exact"/>
              <w:ind w:left="112"/>
              <w:jc w:val="left"/>
              <w:rPr>
                <w:sz w:val="21"/>
              </w:rPr>
            </w:pPr>
            <w:r>
              <w:rPr>
                <w:sz w:val="21"/>
              </w:rPr>
              <w:t>移至槽车或专用收集器内，回收或运至废物处理场所处置。</w:t>
            </w:r>
          </w:p>
        </w:tc>
      </w:tr>
      <w:tr>
        <w:trPr>
          <w:trHeight w:val="179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0"/>
              <w:jc w:val="left"/>
              <w:rPr>
                <w:sz w:val="11"/>
              </w:rPr>
            </w:pPr>
          </w:p>
          <w:p>
            <w:pPr>
              <w:pStyle w:val="TableParagraph"/>
              <w:ind w:left="100" w:right="84"/>
              <w:rPr>
                <w:sz w:val="21"/>
              </w:rPr>
            </w:pPr>
            <w:r>
              <w:rPr>
                <w:sz w:val="21"/>
              </w:rPr>
              <w:t>防护措施</w:t>
            </w:r>
          </w:p>
        </w:tc>
        <w:tc>
          <w:tcPr>
            <w:tcW w:w="7581" w:type="dxa"/>
            <w:tcBorders>
              <w:top w:val="single" w:sz="6" w:space="0" w:color="000000"/>
              <w:left w:val="single" w:sz="6" w:space="0" w:color="000000"/>
              <w:bottom w:val="single" w:sz="6" w:space="0" w:color="000000"/>
            </w:tcBorders>
          </w:tcPr>
          <w:p>
            <w:pPr>
              <w:pStyle w:val="TableParagraph"/>
              <w:spacing w:line="160" w:lineRule="auto" w:before="31"/>
              <w:ind w:left="112" w:right="69"/>
              <w:jc w:val="left"/>
              <w:rPr>
                <w:sz w:val="21"/>
              </w:rPr>
            </w:pPr>
            <w:r>
              <w:rPr>
                <w:sz w:val="21"/>
              </w:rPr>
              <w:t>呼吸系统防护：可能接触其蒸气时，应该佩戴自吸过滤式防毒面具</w:t>
            </w:r>
            <w:r>
              <w:rPr>
                <w:rFonts w:ascii="Times New Roman" w:eastAsia="Times New Roman"/>
                <w:sz w:val="21"/>
              </w:rPr>
              <w:t>(</w:t>
            </w:r>
            <w:r>
              <w:rPr>
                <w:sz w:val="21"/>
              </w:rPr>
              <w:t>半面罩</w:t>
            </w:r>
            <w:r>
              <w:rPr>
                <w:rFonts w:ascii="Times New Roman" w:eastAsia="Times New Roman"/>
                <w:sz w:val="21"/>
              </w:rPr>
              <w:t>)</w:t>
            </w:r>
            <w:r>
              <w:rPr>
                <w:sz w:val="21"/>
              </w:rPr>
              <w:t>。紧急事态抢救或撤离时，建议佩戴空气呼吸器。</w:t>
            </w:r>
          </w:p>
          <w:p>
            <w:pPr>
              <w:pStyle w:val="TableParagraph"/>
              <w:spacing w:line="160" w:lineRule="auto" w:before="4"/>
              <w:ind w:left="112" w:right="3449"/>
              <w:jc w:val="left"/>
              <w:rPr>
                <w:sz w:val="21"/>
              </w:rPr>
            </w:pPr>
            <w:r>
              <w:rPr>
                <w:sz w:val="21"/>
              </w:rPr>
              <w:t>眼睛防护：必要时，戴化学安全防护眼镜。身体防护：穿防毒物渗透工作服。</w:t>
            </w:r>
          </w:p>
          <w:p>
            <w:pPr>
              <w:pStyle w:val="TableParagraph"/>
              <w:spacing w:line="273" w:lineRule="exact"/>
              <w:ind w:left="112"/>
              <w:jc w:val="left"/>
              <w:rPr>
                <w:sz w:val="21"/>
              </w:rPr>
            </w:pPr>
            <w:r>
              <w:rPr>
                <w:sz w:val="21"/>
              </w:rPr>
              <w:t>手防护：戴防苯耐油手套。</w:t>
            </w:r>
          </w:p>
          <w:p>
            <w:pPr>
              <w:pStyle w:val="TableParagraph"/>
              <w:spacing w:line="278" w:lineRule="exact"/>
              <w:ind w:left="112"/>
              <w:jc w:val="left"/>
              <w:rPr>
                <w:sz w:val="21"/>
              </w:rPr>
            </w:pPr>
            <w:r>
              <w:rPr>
                <w:sz w:val="21"/>
              </w:rPr>
              <w:t>其它：工作现场严禁吸烟。注意检测毒物。注意个人清洁卫生。</w:t>
            </w:r>
          </w:p>
        </w:tc>
      </w:tr>
      <w:tr>
        <w:trPr>
          <w:trHeight w:val="20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00" w:right="84"/>
              <w:rPr>
                <w:sz w:val="21"/>
              </w:rPr>
            </w:pPr>
            <w:r>
              <w:rPr>
                <w:sz w:val="21"/>
              </w:rPr>
              <w:t>急救措施</w:t>
            </w:r>
          </w:p>
        </w:tc>
        <w:tc>
          <w:tcPr>
            <w:tcW w:w="7581" w:type="dxa"/>
            <w:tcBorders>
              <w:top w:val="single" w:sz="6" w:space="0" w:color="000000"/>
              <w:left w:val="single" w:sz="6" w:space="0" w:color="000000"/>
            </w:tcBorders>
          </w:tcPr>
          <w:p>
            <w:pPr>
              <w:pStyle w:val="TableParagraph"/>
              <w:spacing w:line="160" w:lineRule="auto" w:before="31"/>
              <w:ind w:left="112" w:right="1558"/>
              <w:jc w:val="left"/>
              <w:rPr>
                <w:sz w:val="21"/>
              </w:rPr>
            </w:pPr>
            <w:r>
              <w:rPr>
                <w:sz w:val="21"/>
              </w:rPr>
              <w:t>皮肤接触：脱去被污染的衣着，用肥皂水和清水彻底冲洗皮肤。眼睛接触：提起眼睑，用流动清水或生理盐水冲洗。就医。</w:t>
            </w:r>
          </w:p>
          <w:p>
            <w:pPr>
              <w:pStyle w:val="TableParagraph"/>
              <w:spacing w:line="163" w:lineRule="auto"/>
              <w:ind w:left="112" w:right="72"/>
              <w:jc w:val="left"/>
              <w:rPr>
                <w:sz w:val="21"/>
              </w:rPr>
            </w:pPr>
            <w:r>
              <w:rPr>
                <w:sz w:val="21"/>
              </w:rPr>
              <w:t>吸入：迅速脱离现场至空气新鲜处。保持呼吸道通畅。如呼吸困难，给输氧。如呼吸停止，立即进行人工呼吸。就医。</w:t>
            </w:r>
          </w:p>
          <w:p>
            <w:pPr>
              <w:pStyle w:val="TableParagraph"/>
              <w:spacing w:line="268" w:lineRule="exact"/>
              <w:ind w:left="112"/>
              <w:jc w:val="left"/>
              <w:rPr>
                <w:sz w:val="21"/>
              </w:rPr>
            </w:pPr>
            <w:r>
              <w:rPr>
                <w:sz w:val="21"/>
              </w:rPr>
              <w:t>食入：饮足量水，催吐。就医。</w:t>
            </w:r>
          </w:p>
          <w:p>
            <w:pPr>
              <w:pStyle w:val="TableParagraph"/>
              <w:spacing w:line="300" w:lineRule="exact"/>
              <w:ind w:left="112" w:right="-15"/>
              <w:jc w:val="left"/>
              <w:rPr>
                <w:sz w:val="21"/>
              </w:rPr>
            </w:pPr>
            <w:r>
              <w:rPr>
                <w:spacing w:val="-7"/>
                <w:sz w:val="21"/>
              </w:rPr>
              <w:t>灭火方法：喷水冷却容器，可能的话将容器从火场移至空旷处。。灭火剂：泡沫、</w:t>
            </w:r>
          </w:p>
          <w:p>
            <w:pPr>
              <w:pStyle w:val="TableParagraph"/>
              <w:spacing w:line="278" w:lineRule="exact"/>
              <w:ind w:left="112"/>
              <w:jc w:val="left"/>
              <w:rPr>
                <w:sz w:val="21"/>
              </w:rPr>
            </w:pPr>
            <w:r>
              <w:rPr>
                <w:sz w:val="21"/>
              </w:rPr>
              <w:t>二氧化碳、干粉、砂土。</w:t>
            </w:r>
          </w:p>
        </w:tc>
      </w:tr>
    </w:tbl>
    <w:p>
      <w:pPr>
        <w:pStyle w:val="BodyText"/>
        <w:spacing w:before="18"/>
        <w:rPr>
          <w:sz w:val="4"/>
        </w:rPr>
      </w:pPr>
    </w:p>
    <w:p>
      <w:pPr>
        <w:tabs>
          <w:tab w:pos="3720" w:val="left" w:leader="none"/>
        </w:tabs>
        <w:spacing w:line="423" w:lineRule="exact" w:before="0"/>
        <w:ind w:left="2808" w:right="0" w:firstLine="0"/>
        <w:jc w:val="left"/>
        <w:rPr>
          <w:sz w:val="21"/>
        </w:rPr>
      </w:pPr>
      <w:r>
        <w:rPr>
          <w:sz w:val="21"/>
        </w:rPr>
        <w:t>表</w:t>
      </w:r>
      <w:r>
        <w:rPr>
          <w:spacing w:val="4"/>
          <w:sz w:val="21"/>
        </w:rPr>
        <w:t> </w:t>
      </w:r>
      <w:r>
        <w:rPr>
          <w:rFonts w:ascii="Times New Roman" w:eastAsia="Times New Roman"/>
          <w:sz w:val="21"/>
        </w:rPr>
        <w:t>7.1-5</w:t>
        <w:tab/>
      </w:r>
      <w:r>
        <w:rPr>
          <w:spacing w:val="-3"/>
          <w:sz w:val="21"/>
        </w:rPr>
        <w:t>乙</w:t>
      </w:r>
      <w:r>
        <w:rPr>
          <w:sz w:val="21"/>
        </w:rPr>
        <w:t>酰</w:t>
      </w:r>
      <w:r>
        <w:rPr>
          <w:spacing w:val="-3"/>
          <w:sz w:val="21"/>
        </w:rPr>
        <w:t>乙</w:t>
      </w:r>
      <w:r>
        <w:rPr>
          <w:sz w:val="21"/>
        </w:rPr>
        <w:t>酸</w:t>
      </w:r>
      <w:r>
        <w:rPr>
          <w:spacing w:val="-3"/>
          <w:sz w:val="21"/>
        </w:rPr>
        <w:t>甲</w:t>
      </w:r>
      <w:r>
        <w:rPr>
          <w:sz w:val="21"/>
        </w:rPr>
        <w:t>酯</w:t>
      </w:r>
      <w:r>
        <w:rPr>
          <w:spacing w:val="-3"/>
          <w:sz w:val="21"/>
        </w:rPr>
        <w:t>危</w:t>
      </w:r>
      <w:r>
        <w:rPr>
          <w:sz w:val="21"/>
        </w:rPr>
        <w:t>险特</w:t>
      </w:r>
      <w:r>
        <w:rPr>
          <w:spacing w:val="-3"/>
          <w:sz w:val="21"/>
        </w:rPr>
        <w:t>性</w:t>
      </w:r>
      <w:r>
        <w:rPr>
          <w:sz w:val="21"/>
        </w:rPr>
        <w:t>及</w:t>
      </w:r>
      <w:r>
        <w:rPr>
          <w:spacing w:val="-3"/>
          <w:sz w:val="21"/>
        </w:rPr>
        <w:t>处</w:t>
      </w:r>
      <w:r>
        <w:rPr>
          <w:sz w:val="21"/>
        </w:rPr>
        <w:t>理</w:t>
      </w:r>
      <w:r>
        <w:rPr>
          <w:spacing w:val="-3"/>
          <w:sz w:val="21"/>
        </w:rPr>
        <w:t>措</w:t>
      </w:r>
      <w:r>
        <w:rPr>
          <w:sz w:val="21"/>
        </w:rPr>
        <w:t>施表</w:t>
      </w:r>
    </w:p>
    <w:p>
      <w:pPr>
        <w:pStyle w:val="BodyText"/>
        <w:spacing w:before="20"/>
        <w:rPr>
          <w:sz w:val="2"/>
        </w:rPr>
      </w:pPr>
    </w:p>
    <w:tbl>
      <w:tblPr>
        <w:tblW w:w="0" w:type="auto"/>
        <w:jc w:val="left"/>
        <w:tblInd w:w="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482"/>
      </w:tblGrid>
      <w:tr>
        <w:trPr>
          <w:trHeight w:val="397" w:hRule="atLeast"/>
        </w:trPr>
        <w:tc>
          <w:tcPr>
            <w:tcW w:w="1188" w:type="dxa"/>
            <w:tcBorders>
              <w:bottom w:val="single" w:sz="6" w:space="0" w:color="000000"/>
              <w:right w:val="single" w:sz="6" w:space="0" w:color="000000"/>
            </w:tcBorders>
          </w:tcPr>
          <w:p>
            <w:pPr>
              <w:pStyle w:val="TableParagraph"/>
              <w:spacing w:line="377"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before="93"/>
              <w:ind w:left="208" w:right="184"/>
              <w:rPr>
                <w:rFonts w:ascii="Times New Roman"/>
                <w:sz w:val="21"/>
              </w:rPr>
            </w:pPr>
            <w:r>
              <w:rPr>
                <w:rFonts w:ascii="Times New Roman"/>
                <w:sz w:val="21"/>
              </w:rPr>
              <w:t>----</w:t>
            </w:r>
          </w:p>
        </w:tc>
        <w:tc>
          <w:tcPr>
            <w:tcW w:w="1440" w:type="dxa"/>
            <w:tcBorders>
              <w:left w:val="single" w:sz="6" w:space="0" w:color="000000"/>
              <w:bottom w:val="single" w:sz="6" w:space="0" w:color="000000"/>
              <w:right w:val="single" w:sz="6" w:space="0" w:color="000000"/>
            </w:tcBorders>
          </w:tcPr>
          <w:p>
            <w:pPr>
              <w:pStyle w:val="TableParagraph"/>
              <w:spacing w:line="377" w:lineRule="exact"/>
              <w:ind w:left="183" w:right="152"/>
              <w:rPr>
                <w:sz w:val="21"/>
              </w:rPr>
            </w:pPr>
            <w:r>
              <w:rPr>
                <w:rFonts w:ascii="Times New Roman" w:eastAsia="Times New Roman"/>
                <w:sz w:val="21"/>
              </w:rPr>
              <w:t>CAS </w:t>
            </w:r>
            <w:r>
              <w:rPr>
                <w:sz w:val="21"/>
              </w:rPr>
              <w:t>号</w:t>
            </w:r>
          </w:p>
        </w:tc>
        <w:tc>
          <w:tcPr>
            <w:tcW w:w="2482" w:type="dxa"/>
            <w:tcBorders>
              <w:left w:val="single" w:sz="6" w:space="0" w:color="000000"/>
              <w:bottom w:val="single" w:sz="6" w:space="0" w:color="000000"/>
            </w:tcBorders>
          </w:tcPr>
          <w:p>
            <w:pPr>
              <w:pStyle w:val="TableParagraph"/>
              <w:spacing w:before="93"/>
              <w:ind w:left="32"/>
              <w:rPr>
                <w:rFonts w:ascii="Times New Roman"/>
                <w:sz w:val="21"/>
              </w:rPr>
            </w:pPr>
            <w:r>
              <w:rPr>
                <w:rFonts w:ascii="Times New Roman"/>
                <w:sz w:val="21"/>
              </w:rPr>
              <w:t>105-45-3</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12" w:right="184"/>
              <w:rPr>
                <w:sz w:val="21"/>
              </w:rPr>
            </w:pPr>
            <w:r>
              <w:rPr>
                <w:sz w:val="21"/>
              </w:rPr>
              <w:t>乙酰乙酸甲酯</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83" w:right="152"/>
              <w:rPr>
                <w:sz w:val="21"/>
              </w:rPr>
            </w:pPr>
            <w:r>
              <w:rPr>
                <w:sz w:val="21"/>
              </w:rPr>
              <w:t>英文名称</w:t>
            </w:r>
          </w:p>
        </w:tc>
        <w:tc>
          <w:tcPr>
            <w:tcW w:w="2482" w:type="dxa"/>
            <w:tcBorders>
              <w:top w:val="single" w:sz="6" w:space="0" w:color="000000"/>
              <w:left w:val="single" w:sz="6" w:space="0" w:color="000000"/>
              <w:bottom w:val="single" w:sz="6" w:space="0" w:color="000000"/>
            </w:tcBorders>
          </w:tcPr>
          <w:p>
            <w:pPr>
              <w:pStyle w:val="TableParagraph"/>
              <w:tabs>
                <w:tab w:pos="826" w:val="left" w:leader="none"/>
              </w:tabs>
              <w:spacing w:before="94"/>
              <w:ind w:left="34"/>
              <w:rPr>
                <w:rFonts w:ascii="Times New Roman"/>
                <w:sz w:val="21"/>
              </w:rPr>
            </w:pPr>
            <w:r>
              <w:rPr>
                <w:rFonts w:ascii="Times New Roman"/>
                <w:sz w:val="21"/>
              </w:rPr>
              <w:t>methyl</w:t>
              <w:tab/>
              <w:t>acetoacetate</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6" w:right="83"/>
              <w:rPr>
                <w:sz w:val="21"/>
              </w:rPr>
            </w:pPr>
            <w:r>
              <w:rPr>
                <w:sz w:val="21"/>
              </w:rPr>
              <w:t>分子式</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93"/>
              <w:ind w:left="212" w:right="181"/>
              <w:rPr>
                <w:rFonts w:ascii="Times New Roman"/>
                <w:sz w:val="14"/>
              </w:rPr>
            </w:pPr>
            <w:r>
              <w:rPr>
                <w:rFonts w:ascii="Times New Roman"/>
                <w:position w:val="2"/>
                <w:sz w:val="21"/>
              </w:rPr>
              <w:t>C</w:t>
            </w:r>
            <w:r>
              <w:rPr>
                <w:rFonts w:ascii="Times New Roman"/>
                <w:sz w:val="14"/>
              </w:rPr>
              <w:t>5</w:t>
            </w:r>
            <w:r>
              <w:rPr>
                <w:rFonts w:ascii="Times New Roman"/>
                <w:position w:val="2"/>
                <w:sz w:val="21"/>
              </w:rPr>
              <w:t>H</w:t>
            </w:r>
            <w:r>
              <w:rPr>
                <w:rFonts w:ascii="Times New Roman"/>
                <w:sz w:val="14"/>
              </w:rPr>
              <w:t>8</w:t>
            </w:r>
            <w:r>
              <w:rPr>
                <w:rFonts w:ascii="Times New Roman"/>
                <w:position w:val="2"/>
                <w:sz w:val="21"/>
              </w:rPr>
              <w:t>O</w:t>
            </w:r>
            <w:r>
              <w:rPr>
                <w:rFonts w:ascii="Times New Roman"/>
                <w:sz w:val="14"/>
              </w:rPr>
              <w:t>3</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83" w:right="152"/>
              <w:rPr>
                <w:sz w:val="21"/>
              </w:rPr>
            </w:pPr>
            <w:r>
              <w:rPr>
                <w:sz w:val="21"/>
              </w:rPr>
              <w:t>外观与性状</w:t>
            </w:r>
          </w:p>
        </w:tc>
        <w:tc>
          <w:tcPr>
            <w:tcW w:w="2482" w:type="dxa"/>
            <w:tcBorders>
              <w:top w:val="single" w:sz="6" w:space="0" w:color="000000"/>
              <w:left w:val="single" w:sz="6" w:space="0" w:color="000000"/>
              <w:bottom w:val="single" w:sz="6" w:space="0" w:color="000000"/>
            </w:tcBorders>
          </w:tcPr>
          <w:p>
            <w:pPr>
              <w:pStyle w:val="TableParagraph"/>
              <w:spacing w:line="378" w:lineRule="exact"/>
              <w:ind w:left="38"/>
              <w:rPr>
                <w:sz w:val="21"/>
              </w:rPr>
            </w:pPr>
            <w:r>
              <w:rPr>
                <w:sz w:val="21"/>
              </w:rPr>
              <w:t>无色液体</w:t>
            </w:r>
            <w:r>
              <w:rPr>
                <w:rFonts w:ascii="Times New Roman" w:eastAsia="Times New Roman"/>
                <w:sz w:val="21"/>
              </w:rPr>
              <w:t>, </w:t>
            </w:r>
            <w:r>
              <w:rPr>
                <w:sz w:val="21"/>
              </w:rPr>
              <w:t>有特臭</w:t>
            </w:r>
          </w:p>
        </w:tc>
      </w:tr>
      <w:tr>
        <w:trPr>
          <w:trHeight w:val="395" w:hRule="atLeast"/>
        </w:trPr>
        <w:tc>
          <w:tcPr>
            <w:tcW w:w="1188" w:type="dxa"/>
            <w:tcBorders>
              <w:top w:val="single" w:sz="6" w:space="0" w:color="000000"/>
              <w:bottom w:val="single" w:sz="6" w:space="0" w:color="000000"/>
              <w:right w:val="single" w:sz="6" w:space="0" w:color="000000"/>
            </w:tcBorders>
          </w:tcPr>
          <w:p>
            <w:pPr>
              <w:pStyle w:val="TableParagraph"/>
              <w:spacing w:line="376" w:lineRule="exact"/>
              <w:ind w:left="105" w:right="84"/>
              <w:rPr>
                <w:sz w:val="21"/>
              </w:rPr>
            </w:pPr>
            <w:r>
              <w:rPr>
                <w:sz w:val="21"/>
              </w:rPr>
              <w:t>侵入途径</w:t>
            </w:r>
          </w:p>
        </w:tc>
        <w:tc>
          <w:tcPr>
            <w:tcW w:w="7523" w:type="dxa"/>
            <w:gridSpan w:val="3"/>
            <w:tcBorders>
              <w:top w:val="single" w:sz="6" w:space="0" w:color="000000"/>
              <w:left w:val="single" w:sz="6" w:space="0" w:color="000000"/>
              <w:bottom w:val="single" w:sz="6" w:space="0" w:color="000000"/>
            </w:tcBorders>
          </w:tcPr>
          <w:p>
            <w:pPr>
              <w:pStyle w:val="TableParagraph"/>
              <w:spacing w:line="376" w:lineRule="exact"/>
              <w:ind w:left="3224" w:right="3185"/>
              <w:rPr>
                <w:sz w:val="21"/>
              </w:rPr>
            </w:pPr>
            <w:r>
              <w:rPr>
                <w:sz w:val="21"/>
              </w:rPr>
              <w:t>吸入、食入</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5" w:right="84"/>
              <w:rPr>
                <w:sz w:val="21"/>
              </w:rPr>
            </w:pPr>
            <w:r>
              <w:rPr>
                <w:sz w:val="21"/>
              </w:rPr>
              <w:t>健康危害</w:t>
            </w:r>
          </w:p>
        </w:tc>
        <w:tc>
          <w:tcPr>
            <w:tcW w:w="7523" w:type="dxa"/>
            <w:gridSpan w:val="3"/>
            <w:tcBorders>
              <w:top w:val="single" w:sz="6" w:space="0" w:color="000000"/>
              <w:left w:val="single" w:sz="6" w:space="0" w:color="000000"/>
              <w:bottom w:val="single" w:sz="6" w:space="0" w:color="000000"/>
            </w:tcBorders>
          </w:tcPr>
          <w:p>
            <w:pPr>
              <w:pStyle w:val="TableParagraph"/>
              <w:spacing w:line="378" w:lineRule="exact"/>
              <w:ind w:left="114"/>
              <w:jc w:val="left"/>
              <w:rPr>
                <w:sz w:val="21"/>
              </w:rPr>
            </w:pPr>
            <w:r>
              <w:rPr>
                <w:sz w:val="21"/>
              </w:rPr>
              <w:t>吸入、摄入或经皮肤吸收后对身体有害。本品对眼睛和皮肤有刺激作用。</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6" w:right="83"/>
              <w:rPr>
                <w:sz w:val="21"/>
              </w:rPr>
            </w:pPr>
            <w:r>
              <w:rPr>
                <w:sz w:val="21"/>
              </w:rPr>
              <w:t>毒性</w:t>
            </w:r>
          </w:p>
        </w:tc>
        <w:tc>
          <w:tcPr>
            <w:tcW w:w="7523" w:type="dxa"/>
            <w:gridSpan w:val="3"/>
            <w:tcBorders>
              <w:top w:val="single" w:sz="6" w:space="0" w:color="000000"/>
              <w:left w:val="single" w:sz="6" w:space="0" w:color="000000"/>
              <w:bottom w:val="single" w:sz="6" w:space="0" w:color="000000"/>
            </w:tcBorders>
          </w:tcPr>
          <w:p>
            <w:pPr>
              <w:pStyle w:val="TableParagraph"/>
              <w:spacing w:line="378" w:lineRule="exact"/>
              <w:ind w:left="114"/>
              <w:jc w:val="left"/>
              <w:rPr>
                <w:rFonts w:ascii="Times New Roman" w:eastAsia="Times New Roman"/>
                <w:sz w:val="21"/>
              </w:rPr>
            </w:pPr>
            <w:r>
              <w:rPr>
                <w:sz w:val="21"/>
              </w:rPr>
              <w:t>急性毒性：</w:t>
            </w:r>
            <w:r>
              <w:rPr>
                <w:rFonts w:ascii="Times New Roman" w:eastAsia="Times New Roman"/>
                <w:sz w:val="21"/>
              </w:rPr>
              <w:t>LD50</w:t>
            </w:r>
            <w:r>
              <w:rPr>
                <w:sz w:val="21"/>
              </w:rPr>
              <w:t>：</w:t>
            </w:r>
            <w:r>
              <w:rPr>
                <w:rFonts w:ascii="Times New Roman" w:eastAsia="Times New Roman"/>
                <w:sz w:val="21"/>
              </w:rPr>
              <w:t>3000 mg/kg(</w:t>
            </w:r>
            <w:r>
              <w:rPr>
                <w:sz w:val="21"/>
              </w:rPr>
              <w:t>大鼠经口</w:t>
            </w:r>
            <w:r>
              <w:rPr>
                <w:rFonts w:ascii="Times New Roman" w:eastAsia="Times New Roman"/>
                <w:sz w:val="21"/>
              </w:rPr>
              <w:t>)</w:t>
            </w:r>
            <w:r>
              <w:rPr>
                <w:sz w:val="21"/>
              </w:rPr>
              <w:t>；</w:t>
            </w:r>
            <w:r>
              <w:rPr>
                <w:rFonts w:ascii="Times New Roman" w:eastAsia="Times New Roman"/>
                <w:sz w:val="21"/>
              </w:rPr>
              <w:t>10800 mg/kg(</w:t>
            </w:r>
            <w:r>
              <w:rPr>
                <w:sz w:val="21"/>
              </w:rPr>
              <w:t>兔经皮</w:t>
            </w:r>
            <w:r>
              <w:rPr>
                <w:rFonts w:ascii="Times New Roman" w:eastAsia="Times New Roman"/>
                <w:sz w:val="21"/>
              </w:rPr>
              <w:t>)</w:t>
            </w:r>
          </w:p>
        </w:tc>
      </w:tr>
      <w:tr>
        <w:trPr>
          <w:trHeight w:val="395" w:hRule="atLeast"/>
        </w:trPr>
        <w:tc>
          <w:tcPr>
            <w:tcW w:w="1188" w:type="dxa"/>
            <w:tcBorders>
              <w:top w:val="single" w:sz="6" w:space="0" w:color="000000"/>
              <w:bottom w:val="single" w:sz="6" w:space="0" w:color="000000"/>
              <w:right w:val="single" w:sz="6" w:space="0" w:color="000000"/>
            </w:tcBorders>
          </w:tcPr>
          <w:p>
            <w:pPr>
              <w:pStyle w:val="TableParagraph"/>
              <w:spacing w:line="375" w:lineRule="exact"/>
              <w:ind w:left="105" w:right="84"/>
              <w:rPr>
                <w:sz w:val="21"/>
              </w:rPr>
            </w:pPr>
            <w:r>
              <w:rPr>
                <w:sz w:val="21"/>
              </w:rPr>
              <w:t>危险特性</w:t>
            </w:r>
          </w:p>
        </w:tc>
        <w:tc>
          <w:tcPr>
            <w:tcW w:w="7523" w:type="dxa"/>
            <w:gridSpan w:val="3"/>
            <w:tcBorders>
              <w:top w:val="single" w:sz="6" w:space="0" w:color="000000"/>
              <w:left w:val="single" w:sz="6" w:space="0" w:color="000000"/>
              <w:bottom w:val="single" w:sz="6" w:space="0" w:color="000000"/>
            </w:tcBorders>
          </w:tcPr>
          <w:p>
            <w:pPr>
              <w:pStyle w:val="TableParagraph"/>
              <w:spacing w:line="375" w:lineRule="exact"/>
              <w:ind w:left="114"/>
              <w:jc w:val="left"/>
              <w:rPr>
                <w:sz w:val="21"/>
              </w:rPr>
            </w:pPr>
            <w:r>
              <w:rPr>
                <w:sz w:val="21"/>
              </w:rPr>
              <w:t>遇明火、高热可燃。若遇高热，容器内压增大，有开裂和爆炸的危险。</w:t>
            </w:r>
          </w:p>
        </w:tc>
      </w:tr>
      <w:tr>
        <w:trPr>
          <w:trHeight w:val="1801"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29"/>
              </w:rPr>
            </w:pPr>
          </w:p>
          <w:p>
            <w:pPr>
              <w:pStyle w:val="TableParagraph"/>
              <w:spacing w:line="160" w:lineRule="auto"/>
              <w:ind w:left="383" w:right="148" w:hanging="212"/>
              <w:jc w:val="left"/>
              <w:rPr>
                <w:sz w:val="21"/>
              </w:rPr>
            </w:pPr>
            <w:r>
              <w:rPr>
                <w:sz w:val="21"/>
              </w:rPr>
              <w:t>泄漏应急处理</w:t>
            </w:r>
          </w:p>
        </w:tc>
        <w:tc>
          <w:tcPr>
            <w:tcW w:w="7523" w:type="dxa"/>
            <w:gridSpan w:val="3"/>
            <w:tcBorders>
              <w:top w:val="single" w:sz="6" w:space="0" w:color="000000"/>
              <w:left w:val="single" w:sz="6" w:space="0" w:color="000000"/>
              <w:bottom w:val="single" w:sz="6" w:space="0" w:color="000000"/>
            </w:tcBorders>
          </w:tcPr>
          <w:p>
            <w:pPr>
              <w:pStyle w:val="TableParagraph"/>
              <w:spacing w:line="160" w:lineRule="auto" w:before="34"/>
              <w:ind w:left="114" w:right="26"/>
              <w:jc w:val="both"/>
              <w:rPr>
                <w:sz w:val="21"/>
              </w:rPr>
            </w:pPr>
            <w:r>
              <w:rPr>
                <w:spacing w:val="-7"/>
                <w:sz w:val="21"/>
              </w:rPr>
              <w:t>迅速撤离泄漏污染区人员至安全区，并进行隔离，严格限制出入。切断火源。建</w:t>
            </w:r>
            <w:r>
              <w:rPr>
                <w:spacing w:val="-8"/>
                <w:sz w:val="21"/>
              </w:rPr>
              <w:t>议应急处理人员戴自给正压式呼吸器，穿防毒服。尽可能切断泄漏源。防止流入</w:t>
            </w:r>
            <w:r>
              <w:rPr>
                <w:spacing w:val="-5"/>
                <w:sz w:val="21"/>
              </w:rPr>
              <w:t>下水道、排洪沟等限制性空间。小量泄漏：用砂土、蛭石或其它惰性材料吸收。</w:t>
            </w:r>
            <w:r>
              <w:rPr>
                <w:spacing w:val="-8"/>
                <w:sz w:val="21"/>
              </w:rPr>
              <w:t>也可以用大量水冲洗，洗水稀释后放入废水系统。大量泄漏：构筑围堤或挖坑收容。撒湿冰或冰水冷却。用泵转移至槽车或专用收集器内，回收或运至废物处理</w:t>
            </w:r>
          </w:p>
          <w:p>
            <w:pPr>
              <w:pStyle w:val="TableParagraph"/>
              <w:spacing w:line="257" w:lineRule="exact"/>
              <w:ind w:left="114"/>
              <w:jc w:val="both"/>
              <w:rPr>
                <w:sz w:val="21"/>
              </w:rPr>
            </w:pPr>
            <w:r>
              <w:rPr>
                <w:sz w:val="21"/>
              </w:rPr>
              <w:t>场所处置。</w:t>
            </w:r>
          </w:p>
        </w:tc>
      </w:tr>
      <w:tr>
        <w:trPr>
          <w:trHeight w:val="179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1"/>
              <w:jc w:val="left"/>
              <w:rPr>
                <w:sz w:val="11"/>
              </w:rPr>
            </w:pPr>
          </w:p>
          <w:p>
            <w:pPr>
              <w:pStyle w:val="TableParagraph"/>
              <w:ind w:left="105" w:right="84"/>
              <w:rPr>
                <w:sz w:val="21"/>
              </w:rPr>
            </w:pPr>
            <w:r>
              <w:rPr>
                <w:sz w:val="21"/>
              </w:rPr>
              <w:t>防护措施</w:t>
            </w:r>
          </w:p>
        </w:tc>
        <w:tc>
          <w:tcPr>
            <w:tcW w:w="7523" w:type="dxa"/>
            <w:gridSpan w:val="3"/>
            <w:tcBorders>
              <w:top w:val="single" w:sz="6" w:space="0" w:color="000000"/>
              <w:left w:val="single" w:sz="6" w:space="0" w:color="000000"/>
              <w:bottom w:val="single" w:sz="6" w:space="0" w:color="000000"/>
            </w:tcBorders>
          </w:tcPr>
          <w:p>
            <w:pPr>
              <w:pStyle w:val="TableParagraph"/>
              <w:spacing w:line="160" w:lineRule="auto" w:before="32"/>
              <w:ind w:left="114" w:right="-44"/>
              <w:jc w:val="both"/>
              <w:rPr>
                <w:sz w:val="21"/>
              </w:rPr>
            </w:pPr>
            <w:r>
              <w:rPr>
                <w:spacing w:val="-8"/>
                <w:sz w:val="21"/>
              </w:rPr>
              <w:t>密闭操作，注意通风。操作人员必须经过专门培训，严格遵守操作规程。建议操</w:t>
            </w:r>
            <w:r>
              <w:rPr>
                <w:spacing w:val="-3"/>
                <w:w w:val="100"/>
                <w:sz w:val="21"/>
              </w:rPr>
              <w:t>作人员佩戴自吸过滤式防毒面具</w:t>
            </w:r>
            <w:r>
              <w:rPr>
                <w:w w:val="100"/>
                <w:sz w:val="21"/>
              </w:rPr>
              <w:t>（半面罩</w:t>
            </w:r>
            <w:r>
              <w:rPr>
                <w:spacing w:val="-106"/>
                <w:w w:val="100"/>
                <w:sz w:val="21"/>
              </w:rPr>
              <w:t>）</w:t>
            </w:r>
            <w:r>
              <w:rPr>
                <w:w w:val="100"/>
                <w:sz w:val="21"/>
              </w:rPr>
              <w:t>，戴化学安全防护眼镜，穿防毒物渗</w:t>
            </w:r>
            <w:r>
              <w:rPr>
                <w:spacing w:val="-8"/>
                <w:sz w:val="21"/>
              </w:rPr>
              <w:t>透工作服，戴橡胶耐油手套。远离火种、热源，工作场所严禁吸烟。使用防爆型</w:t>
            </w:r>
            <w:r>
              <w:rPr>
                <w:spacing w:val="-14"/>
                <w:sz w:val="21"/>
              </w:rPr>
              <w:t>的通风系统和设备。防止蒸气泄漏到工作场所空气中。避免与氧化剂、碱类接触。</w:t>
            </w:r>
            <w:r>
              <w:rPr>
                <w:spacing w:val="-10"/>
                <w:sz w:val="21"/>
              </w:rPr>
              <w:t>搬运时要轻装轻卸，防止包装及容器损坏。配备相应品种和数量的消防器材及泄</w:t>
            </w:r>
          </w:p>
          <w:p>
            <w:pPr>
              <w:pStyle w:val="TableParagraph"/>
              <w:spacing w:line="257" w:lineRule="exact"/>
              <w:ind w:left="114"/>
              <w:jc w:val="both"/>
              <w:rPr>
                <w:sz w:val="21"/>
              </w:rPr>
            </w:pPr>
            <w:r>
              <w:rPr>
                <w:sz w:val="21"/>
              </w:rPr>
              <w:t>漏应急处理设备。倒空的容器可能残留有害物。</w:t>
            </w:r>
          </w:p>
        </w:tc>
      </w:tr>
      <w:tr>
        <w:trPr>
          <w:trHeight w:val="20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05" w:right="84"/>
              <w:rPr>
                <w:sz w:val="21"/>
              </w:rPr>
            </w:pPr>
            <w:r>
              <w:rPr>
                <w:sz w:val="21"/>
              </w:rPr>
              <w:t>急救措施</w:t>
            </w:r>
          </w:p>
        </w:tc>
        <w:tc>
          <w:tcPr>
            <w:tcW w:w="7523" w:type="dxa"/>
            <w:gridSpan w:val="3"/>
            <w:tcBorders>
              <w:top w:val="single" w:sz="6" w:space="0" w:color="000000"/>
              <w:left w:val="single" w:sz="6" w:space="0" w:color="000000"/>
            </w:tcBorders>
          </w:tcPr>
          <w:p>
            <w:pPr>
              <w:pStyle w:val="TableParagraph"/>
              <w:spacing w:line="160" w:lineRule="auto" w:before="31"/>
              <w:ind w:left="114" w:right="1497"/>
              <w:jc w:val="left"/>
              <w:rPr>
                <w:sz w:val="21"/>
              </w:rPr>
            </w:pPr>
            <w:r>
              <w:rPr>
                <w:sz w:val="21"/>
              </w:rPr>
              <w:t>皮肤接触：脱去被污染的衣着，用肥皂水和清水彻底冲洗皮肤。眼睛接触：提起眼睑，用流动清水或生理盐水冲洗。就医。</w:t>
            </w:r>
          </w:p>
          <w:p>
            <w:pPr>
              <w:pStyle w:val="TableParagraph"/>
              <w:spacing w:line="160" w:lineRule="auto" w:before="4"/>
              <w:ind w:left="114" w:right="74"/>
              <w:jc w:val="left"/>
              <w:rPr>
                <w:sz w:val="21"/>
              </w:rPr>
            </w:pPr>
            <w:r>
              <w:rPr>
                <w:spacing w:val="-8"/>
                <w:sz w:val="21"/>
              </w:rPr>
              <w:t>吸入：迅速脱离现场至空气新鲜处。保持呼吸道通畅。如呼吸困难，给输氧。如</w:t>
            </w:r>
            <w:r>
              <w:rPr>
                <w:spacing w:val="-5"/>
                <w:sz w:val="21"/>
              </w:rPr>
              <w:t>呼吸停止，立即进行人工呼吸。就医。</w:t>
            </w:r>
          </w:p>
          <w:p>
            <w:pPr>
              <w:pStyle w:val="TableParagraph"/>
              <w:spacing w:line="274" w:lineRule="exact"/>
              <w:ind w:left="114"/>
              <w:jc w:val="left"/>
              <w:rPr>
                <w:sz w:val="21"/>
              </w:rPr>
            </w:pPr>
            <w:r>
              <w:rPr>
                <w:sz w:val="21"/>
              </w:rPr>
              <w:t>食入：饮足量水，催吐。就医。</w:t>
            </w:r>
          </w:p>
          <w:p>
            <w:pPr>
              <w:pStyle w:val="TableParagraph"/>
              <w:spacing w:line="300" w:lineRule="exact"/>
              <w:ind w:left="114"/>
              <w:jc w:val="left"/>
              <w:rPr>
                <w:sz w:val="21"/>
              </w:rPr>
            </w:pPr>
            <w:r>
              <w:rPr>
                <w:spacing w:val="-7"/>
                <w:sz w:val="21"/>
              </w:rPr>
              <w:t>灭火方法：消防人员须佩戴防毒面具、穿全身消防服，在上风向灭火。尽可能将</w:t>
            </w:r>
          </w:p>
          <w:p>
            <w:pPr>
              <w:pStyle w:val="TableParagraph"/>
              <w:spacing w:line="278" w:lineRule="exact"/>
              <w:ind w:left="114"/>
              <w:jc w:val="left"/>
              <w:rPr>
                <w:sz w:val="21"/>
              </w:rPr>
            </w:pPr>
            <w:r>
              <w:rPr>
                <w:spacing w:val="-7"/>
                <w:sz w:val="21"/>
              </w:rPr>
              <w:t>容器从火场移至空旷处。喷水保持火场容器冷却，直至灭火结束。处在火场中的</w:t>
            </w:r>
          </w:p>
        </w:tc>
      </w:tr>
    </w:tbl>
    <w:p>
      <w:pPr>
        <w:spacing w:after="0" w:line="278" w:lineRule="exact"/>
        <w:jc w:val="left"/>
        <w:rPr>
          <w:sz w:val="21"/>
        </w:rPr>
        <w:sectPr>
          <w:pgSz w:w="11910" w:h="16840"/>
          <w:pgMar w:header="877" w:footer="973" w:top="1340" w:bottom="1160" w:left="1220" w:right="1040"/>
        </w:sectPr>
      </w:pPr>
    </w:p>
    <w:p>
      <w:pPr>
        <w:pStyle w:val="BodyText"/>
        <w:spacing w:before="5"/>
        <w:rPr>
          <w:sz w:val="3"/>
        </w:rPr>
      </w:pPr>
    </w:p>
    <w:p>
      <w:pPr>
        <w:pStyle w:val="BodyText"/>
        <w:ind w:left="1558"/>
        <w:rPr>
          <w:sz w:val="20"/>
        </w:rPr>
      </w:pPr>
      <w:r>
        <w:rPr>
          <w:sz w:val="20"/>
        </w:rPr>
        <w:pict>
          <v:group style="width:377.25pt;height:47.9pt;mso-position-horizontal-relative:char;mso-position-vertical-relative:line" coordorigin="0,0" coordsize="7545,958">
            <v:rect style="position:absolute;left:0;top:0;width:29;height:29" filled="true" fillcolor="#000000" stroked="false">
              <v:fill type="solid"/>
            </v:rect>
            <v:line style="position:absolute" from="29,14" to="7516,14" stroked="true" strokeweight="1.44pt" strokecolor="#000000">
              <v:stroke dashstyle="solid"/>
            </v:line>
            <v:line style="position:absolute" from="7,29" to="7,929" stroked="true" strokeweight=".71999pt" strokecolor="#000000">
              <v:stroke dashstyle="solid"/>
            </v:line>
            <v:rect style="position:absolute;left:0;top:929;width:29;height:29" filled="true" fillcolor="#000000" stroked="false">
              <v:fill type="solid"/>
            </v:rect>
            <v:line style="position:absolute" from="29,944" to="7516,944" stroked="true" strokeweight="1.44pt" strokecolor="#000000">
              <v:stroke dashstyle="solid"/>
            </v:line>
            <v:line style="position:absolute" from="7530,0" to="7530,958" stroked="true" strokeweight="1.44pt" strokecolor="#000000">
              <v:stroke dashstyle="solid"/>
            </v:line>
            <v:shape style="position:absolute;left:14;top:28;width:7502;height:901" type="#_x0000_t202" filled="false" stroked="false">
              <v:textbox inset="0,0,0,0">
                <w:txbxContent>
                  <w:p>
                    <w:pPr>
                      <w:spacing w:line="160" w:lineRule="auto" w:before="34"/>
                      <w:ind w:left="100" w:right="-15" w:firstLine="0"/>
                      <w:jc w:val="both"/>
                      <w:rPr>
                        <w:sz w:val="21"/>
                      </w:rPr>
                    </w:pPr>
                    <w:r>
                      <w:rPr>
                        <w:spacing w:val="-10"/>
                        <w:sz w:val="21"/>
                      </w:rPr>
                      <w:t>容器若已变色或从安全泄压装置中产生声音，必须马上撤离。用水喷射逸出液体， 使其稀释成不燃性混合物，并用雾状水保护消防人员。灭火剂：水、雾状水、抗溶性泡沫、干粉、二氧化碳、砂土。</w:t>
                    </w:r>
                  </w:p>
                </w:txbxContent>
              </v:textbox>
              <w10:wrap type="none"/>
            </v:shape>
          </v:group>
        </w:pict>
      </w:r>
      <w:r>
        <w:rPr>
          <w:sz w:val="20"/>
        </w:rPr>
      </w:r>
    </w:p>
    <w:p>
      <w:pPr>
        <w:pStyle w:val="BodyText"/>
        <w:spacing w:before="7"/>
        <w:rPr>
          <w:sz w:val="3"/>
        </w:rPr>
      </w:pPr>
    </w:p>
    <w:p>
      <w:pPr>
        <w:tabs>
          <w:tab w:pos="1156" w:val="left" w:leader="none"/>
        </w:tabs>
        <w:spacing w:line="423" w:lineRule="exact" w:before="0"/>
        <w:ind w:left="244" w:right="0" w:firstLine="0"/>
        <w:jc w:val="center"/>
        <w:rPr>
          <w:sz w:val="21"/>
        </w:rPr>
      </w:pPr>
      <w:r>
        <w:rPr/>
        <w:pict>
          <v:line style="position:absolute;mso-position-horizontal-relative:page;mso-position-vertical-relative:paragraph;z-index:1384" from="79.944pt,-53.005447pt" to="79.944pt,-5.105447pt" stroked="true" strokeweight="1.44pt" strokecolor="#000000">
            <v:stroke dashstyle="solid"/>
            <w10:wrap type="none"/>
          </v:line>
        </w:pict>
      </w:r>
      <w:r>
        <w:rPr>
          <w:sz w:val="21"/>
        </w:rPr>
        <w:t>表</w:t>
      </w:r>
      <w:r>
        <w:rPr>
          <w:spacing w:val="4"/>
          <w:sz w:val="21"/>
        </w:rPr>
        <w:t> </w:t>
      </w:r>
      <w:r>
        <w:rPr>
          <w:rFonts w:ascii="Times New Roman" w:eastAsia="Times New Roman"/>
          <w:sz w:val="21"/>
        </w:rPr>
        <w:t>7.1-6</w:t>
        <w:tab/>
      </w:r>
      <w:r>
        <w:rPr>
          <w:spacing w:val="-3"/>
          <w:sz w:val="21"/>
        </w:rPr>
        <w:t>甲</w:t>
      </w:r>
      <w:r>
        <w:rPr>
          <w:sz w:val="21"/>
        </w:rPr>
        <w:t>醇</w:t>
      </w:r>
      <w:r>
        <w:rPr>
          <w:spacing w:val="-3"/>
          <w:sz w:val="21"/>
        </w:rPr>
        <w:t>危</w:t>
      </w:r>
      <w:r>
        <w:rPr>
          <w:sz w:val="21"/>
        </w:rPr>
        <w:t>险</w:t>
      </w:r>
      <w:r>
        <w:rPr>
          <w:spacing w:val="-3"/>
          <w:sz w:val="21"/>
        </w:rPr>
        <w:t>特</w:t>
      </w:r>
      <w:r>
        <w:rPr>
          <w:sz w:val="21"/>
        </w:rPr>
        <w:t>性</w:t>
      </w:r>
      <w:r>
        <w:rPr>
          <w:spacing w:val="-3"/>
          <w:sz w:val="21"/>
        </w:rPr>
        <w:t>及</w:t>
      </w:r>
      <w:r>
        <w:rPr>
          <w:sz w:val="21"/>
        </w:rPr>
        <w:t>处理</w:t>
      </w:r>
      <w:r>
        <w:rPr>
          <w:spacing w:val="-3"/>
          <w:sz w:val="21"/>
        </w:rPr>
        <w:t>措</w:t>
      </w:r>
      <w:r>
        <w:rPr>
          <w:sz w:val="21"/>
        </w:rPr>
        <w:t>施表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40"/>
        <w:gridCol w:w="2413"/>
        <w:gridCol w:w="329"/>
        <w:gridCol w:w="1021"/>
        <w:gridCol w:w="351"/>
        <w:gridCol w:w="987"/>
        <w:gridCol w:w="1124"/>
        <w:gridCol w:w="1102"/>
      </w:tblGrid>
      <w:tr>
        <w:trPr>
          <w:trHeight w:val="272" w:hRule="atLeast"/>
        </w:trPr>
        <w:tc>
          <w:tcPr>
            <w:tcW w:w="1440" w:type="dxa"/>
            <w:tcBorders>
              <w:bottom w:val="single" w:sz="6" w:space="0" w:color="000000"/>
              <w:right w:val="single" w:sz="6" w:space="0" w:color="000000"/>
            </w:tcBorders>
          </w:tcPr>
          <w:p>
            <w:pPr>
              <w:pStyle w:val="TableParagraph"/>
              <w:spacing w:line="253" w:lineRule="exact"/>
              <w:ind w:left="66" w:right="43"/>
              <w:rPr>
                <w:sz w:val="21"/>
              </w:rPr>
            </w:pPr>
            <w:r>
              <w:rPr>
                <w:sz w:val="21"/>
              </w:rPr>
              <w:t>中文名称</w:t>
            </w:r>
          </w:p>
        </w:tc>
        <w:tc>
          <w:tcPr>
            <w:tcW w:w="2413" w:type="dxa"/>
            <w:tcBorders>
              <w:left w:val="single" w:sz="6" w:space="0" w:color="000000"/>
              <w:bottom w:val="single" w:sz="6" w:space="0" w:color="000000"/>
              <w:right w:val="single" w:sz="6" w:space="0" w:color="000000"/>
            </w:tcBorders>
          </w:tcPr>
          <w:p>
            <w:pPr>
              <w:pStyle w:val="TableParagraph"/>
              <w:spacing w:line="253" w:lineRule="exact"/>
              <w:ind w:left="144" w:right="113"/>
              <w:rPr>
                <w:sz w:val="21"/>
              </w:rPr>
            </w:pPr>
            <w:r>
              <w:rPr>
                <w:sz w:val="21"/>
              </w:rPr>
              <w:t>甲醇</w:t>
            </w:r>
          </w:p>
        </w:tc>
        <w:tc>
          <w:tcPr>
            <w:tcW w:w="1701" w:type="dxa"/>
            <w:gridSpan w:val="3"/>
            <w:tcBorders>
              <w:left w:val="single" w:sz="6" w:space="0" w:color="000000"/>
              <w:bottom w:val="single" w:sz="6" w:space="0" w:color="000000"/>
              <w:right w:val="single" w:sz="6" w:space="0" w:color="000000"/>
            </w:tcBorders>
          </w:tcPr>
          <w:p>
            <w:pPr>
              <w:pStyle w:val="TableParagraph"/>
              <w:spacing w:line="253" w:lineRule="exact"/>
              <w:ind w:left="436"/>
              <w:jc w:val="left"/>
              <w:rPr>
                <w:sz w:val="21"/>
              </w:rPr>
            </w:pPr>
            <w:r>
              <w:rPr>
                <w:sz w:val="21"/>
              </w:rPr>
              <w:t>英文名称</w:t>
            </w:r>
          </w:p>
        </w:tc>
        <w:tc>
          <w:tcPr>
            <w:tcW w:w="3213" w:type="dxa"/>
            <w:gridSpan w:val="3"/>
            <w:tcBorders>
              <w:left w:val="single" w:sz="6" w:space="0" w:color="000000"/>
              <w:bottom w:val="single" w:sz="6" w:space="0" w:color="000000"/>
            </w:tcBorders>
          </w:tcPr>
          <w:p>
            <w:pPr>
              <w:pStyle w:val="TableParagraph"/>
              <w:spacing w:line="253" w:lineRule="exact"/>
              <w:ind w:left="473"/>
              <w:jc w:val="left"/>
              <w:rPr>
                <w:rFonts w:ascii="Times New Roman" w:eastAsia="Times New Roman"/>
                <w:sz w:val="21"/>
              </w:rPr>
            </w:pPr>
            <w:r>
              <w:rPr>
                <w:rFonts w:ascii="Times New Roman" w:eastAsia="Times New Roman"/>
                <w:sz w:val="21"/>
              </w:rPr>
              <w:t>methyl alcohol</w:t>
            </w:r>
            <w:r>
              <w:rPr>
                <w:sz w:val="21"/>
              </w:rPr>
              <w:t>；</w:t>
            </w:r>
            <w:r>
              <w:rPr>
                <w:rFonts w:ascii="Times New Roman" w:eastAsia="Times New Roman"/>
                <w:sz w:val="21"/>
              </w:rPr>
              <w:t>Methanol</w:t>
            </w:r>
          </w:p>
        </w:tc>
      </w:tr>
      <w:tr>
        <w:trPr>
          <w:trHeight w:val="544" w:hRule="atLeast"/>
        </w:trPr>
        <w:tc>
          <w:tcPr>
            <w:tcW w:w="1440" w:type="dxa"/>
            <w:tcBorders>
              <w:top w:val="single" w:sz="6" w:space="0" w:color="000000"/>
              <w:bottom w:val="single" w:sz="6" w:space="0" w:color="000000"/>
              <w:right w:val="single" w:sz="6" w:space="0" w:color="000000"/>
            </w:tcBorders>
          </w:tcPr>
          <w:p>
            <w:pPr>
              <w:pStyle w:val="TableParagraph"/>
              <w:spacing w:before="37"/>
              <w:ind w:left="66" w:right="43"/>
              <w:rPr>
                <w:sz w:val="21"/>
              </w:rPr>
            </w:pPr>
            <w:r>
              <w:rPr>
                <w:sz w:val="21"/>
              </w:rPr>
              <w:t>外观与性状</w:t>
            </w:r>
          </w:p>
        </w:tc>
        <w:tc>
          <w:tcPr>
            <w:tcW w:w="2413"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44" w:right="114"/>
              <w:rPr>
                <w:sz w:val="21"/>
              </w:rPr>
            </w:pPr>
            <w:r>
              <w:rPr>
                <w:sz w:val="21"/>
              </w:rPr>
              <w:t>无色澄清液体，有刺激</w:t>
            </w:r>
          </w:p>
          <w:p>
            <w:pPr>
              <w:pStyle w:val="TableParagraph"/>
              <w:spacing w:line="265" w:lineRule="exact"/>
              <w:ind w:left="144" w:right="113"/>
              <w:rPr>
                <w:sz w:val="21"/>
              </w:rPr>
            </w:pPr>
            <w:r>
              <w:rPr>
                <w:sz w:val="21"/>
              </w:rPr>
              <w:t>性气味</w:t>
            </w:r>
          </w:p>
        </w:tc>
        <w:tc>
          <w:tcPr>
            <w:tcW w:w="170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7"/>
              <w:ind w:left="436"/>
              <w:jc w:val="left"/>
              <w:rPr>
                <w:sz w:val="21"/>
              </w:rPr>
            </w:pPr>
            <w:r>
              <w:rPr>
                <w:sz w:val="21"/>
              </w:rPr>
              <w:t>侵入途径</w:t>
            </w:r>
          </w:p>
        </w:tc>
        <w:tc>
          <w:tcPr>
            <w:tcW w:w="3213" w:type="dxa"/>
            <w:gridSpan w:val="3"/>
            <w:tcBorders>
              <w:top w:val="single" w:sz="6" w:space="0" w:color="000000"/>
              <w:left w:val="single" w:sz="6" w:space="0" w:color="000000"/>
              <w:bottom w:val="single" w:sz="6" w:space="0" w:color="000000"/>
            </w:tcBorders>
          </w:tcPr>
          <w:p>
            <w:pPr>
              <w:pStyle w:val="TableParagraph"/>
              <w:spacing w:before="37"/>
              <w:ind w:left="451"/>
              <w:jc w:val="left"/>
              <w:rPr>
                <w:sz w:val="21"/>
              </w:rPr>
            </w:pPr>
            <w:r>
              <w:rPr>
                <w:sz w:val="21"/>
              </w:rPr>
              <w:t>吸入、食入、经皮吸收。</w:t>
            </w:r>
          </w:p>
        </w:tc>
      </w:tr>
      <w:tr>
        <w:trPr>
          <w:trHeight w:val="544" w:hRule="atLeast"/>
        </w:trPr>
        <w:tc>
          <w:tcPr>
            <w:tcW w:w="1440" w:type="dxa"/>
            <w:tcBorders>
              <w:top w:val="single" w:sz="6" w:space="0" w:color="000000"/>
              <w:bottom w:val="single" w:sz="6" w:space="0" w:color="000000"/>
              <w:right w:val="single" w:sz="6" w:space="0" w:color="000000"/>
            </w:tcBorders>
          </w:tcPr>
          <w:p>
            <w:pPr>
              <w:pStyle w:val="TableParagraph"/>
              <w:spacing w:line="259" w:lineRule="exact"/>
              <w:ind w:left="299"/>
              <w:jc w:val="left"/>
              <w:rPr>
                <w:sz w:val="21"/>
              </w:rPr>
            </w:pPr>
            <w:r>
              <w:rPr>
                <w:spacing w:val="-1"/>
                <w:sz w:val="21"/>
              </w:rPr>
              <w:t>爆炸极限</w:t>
            </w:r>
          </w:p>
          <w:p>
            <w:pPr>
              <w:pStyle w:val="TableParagraph"/>
              <w:spacing w:line="265" w:lineRule="exact"/>
              <w:ind w:left="287"/>
              <w:jc w:val="left"/>
              <w:rPr>
                <w:sz w:val="21"/>
              </w:rPr>
            </w:pPr>
            <w:r>
              <w:rPr>
                <w:sz w:val="21"/>
              </w:rPr>
              <w:t>（</w:t>
            </w:r>
            <w:r>
              <w:rPr>
                <w:rFonts w:ascii="Times New Roman" w:eastAsia="Times New Roman"/>
                <w:sz w:val="21"/>
              </w:rPr>
              <w:t>vol%</w:t>
            </w:r>
            <w:r>
              <w:rPr>
                <w:sz w:val="21"/>
              </w:rPr>
              <w:t>）</w:t>
            </w:r>
          </w:p>
        </w:tc>
        <w:tc>
          <w:tcPr>
            <w:tcW w:w="7327" w:type="dxa"/>
            <w:gridSpan w:val="7"/>
            <w:tcBorders>
              <w:top w:val="single" w:sz="6" w:space="0" w:color="000000"/>
              <w:left w:val="single" w:sz="6" w:space="0" w:color="000000"/>
              <w:bottom w:val="single" w:sz="6" w:space="0" w:color="000000"/>
            </w:tcBorders>
          </w:tcPr>
          <w:p>
            <w:pPr>
              <w:pStyle w:val="TableParagraph"/>
              <w:spacing w:before="37"/>
              <w:ind w:left="3228" w:right="3195"/>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44.0</w:t>
            </w:r>
          </w:p>
        </w:tc>
      </w:tr>
      <w:tr>
        <w:trPr>
          <w:trHeight w:val="272" w:hRule="atLeast"/>
        </w:trPr>
        <w:tc>
          <w:tcPr>
            <w:tcW w:w="1440" w:type="dxa"/>
            <w:tcBorders>
              <w:top w:val="single" w:sz="6" w:space="0" w:color="000000"/>
              <w:bottom w:val="single" w:sz="6" w:space="0" w:color="000000"/>
              <w:right w:val="single" w:sz="6" w:space="0" w:color="000000"/>
            </w:tcBorders>
          </w:tcPr>
          <w:p>
            <w:pPr>
              <w:pStyle w:val="TableParagraph"/>
              <w:spacing w:line="253" w:lineRule="exact"/>
              <w:ind w:left="66" w:right="43"/>
              <w:rPr>
                <w:sz w:val="21"/>
              </w:rPr>
            </w:pPr>
            <w:r>
              <w:rPr>
                <w:sz w:val="21"/>
              </w:rPr>
              <w:t>主要用途</w:t>
            </w:r>
          </w:p>
        </w:tc>
        <w:tc>
          <w:tcPr>
            <w:tcW w:w="7327" w:type="dxa"/>
            <w:gridSpan w:val="7"/>
            <w:tcBorders>
              <w:top w:val="single" w:sz="6" w:space="0" w:color="000000"/>
              <w:left w:val="single" w:sz="6" w:space="0" w:color="000000"/>
              <w:bottom w:val="single" w:sz="6" w:space="0" w:color="000000"/>
            </w:tcBorders>
          </w:tcPr>
          <w:p>
            <w:pPr>
              <w:pStyle w:val="TableParagraph"/>
              <w:spacing w:line="253" w:lineRule="exact"/>
              <w:ind w:left="1145"/>
              <w:jc w:val="left"/>
              <w:rPr>
                <w:sz w:val="21"/>
              </w:rPr>
            </w:pPr>
            <w:r>
              <w:rPr>
                <w:sz w:val="21"/>
              </w:rPr>
              <w:t>作为合成聚酯纤维、树脂、涂料、染料和农药等的原料</w:t>
            </w:r>
          </w:p>
        </w:tc>
      </w:tr>
      <w:tr>
        <w:trPr>
          <w:trHeight w:val="544" w:hRule="atLeast"/>
        </w:trPr>
        <w:tc>
          <w:tcPr>
            <w:tcW w:w="1440" w:type="dxa"/>
            <w:tcBorders>
              <w:top w:val="single" w:sz="6" w:space="0" w:color="000000"/>
              <w:bottom w:val="single" w:sz="6" w:space="0" w:color="000000"/>
              <w:right w:val="single" w:sz="6" w:space="0" w:color="000000"/>
            </w:tcBorders>
          </w:tcPr>
          <w:p>
            <w:pPr>
              <w:pStyle w:val="TableParagraph"/>
              <w:spacing w:line="260" w:lineRule="exact"/>
              <w:ind w:left="402"/>
              <w:jc w:val="left"/>
              <w:rPr>
                <w:sz w:val="21"/>
              </w:rPr>
            </w:pPr>
            <w:r>
              <w:rPr>
                <w:sz w:val="21"/>
              </w:rPr>
              <w:t>物质危</w:t>
            </w:r>
          </w:p>
          <w:p>
            <w:pPr>
              <w:pStyle w:val="TableParagraph"/>
              <w:spacing w:line="265" w:lineRule="exact"/>
              <w:ind w:left="402"/>
              <w:jc w:val="left"/>
              <w:rPr>
                <w:sz w:val="21"/>
              </w:rPr>
            </w:pPr>
            <w:r>
              <w:rPr>
                <w:sz w:val="21"/>
              </w:rPr>
              <w:t>险类别</w:t>
            </w:r>
          </w:p>
        </w:tc>
        <w:tc>
          <w:tcPr>
            <w:tcW w:w="274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641"/>
              <w:jc w:val="left"/>
              <w:rPr>
                <w:sz w:val="21"/>
              </w:rPr>
            </w:pPr>
            <w:r>
              <w:rPr>
                <w:sz w:val="21"/>
              </w:rPr>
              <w:t>中闪点易燃液体</w:t>
            </w:r>
          </w:p>
        </w:tc>
        <w:tc>
          <w:tcPr>
            <w:tcW w:w="1021" w:type="dxa"/>
            <w:tcBorders>
              <w:top w:val="single" w:sz="6" w:space="0" w:color="000000"/>
              <w:left w:val="single" w:sz="6" w:space="0" w:color="000000"/>
              <w:bottom w:val="single" w:sz="6" w:space="0" w:color="000000"/>
              <w:right w:val="single" w:sz="6" w:space="0" w:color="000000"/>
            </w:tcBorders>
          </w:tcPr>
          <w:p>
            <w:pPr>
              <w:pStyle w:val="TableParagraph"/>
              <w:spacing w:before="37"/>
              <w:ind w:left="108" w:right="79"/>
              <w:rPr>
                <w:sz w:val="21"/>
              </w:rPr>
            </w:pPr>
            <w:r>
              <w:rPr>
                <w:sz w:val="21"/>
              </w:rPr>
              <w:t>燃烧性</w:t>
            </w:r>
          </w:p>
        </w:tc>
        <w:tc>
          <w:tcPr>
            <w:tcW w:w="3564" w:type="dxa"/>
            <w:gridSpan w:val="4"/>
            <w:tcBorders>
              <w:top w:val="single" w:sz="6" w:space="0" w:color="000000"/>
              <w:left w:val="single" w:sz="6" w:space="0" w:color="000000"/>
              <w:bottom w:val="single" w:sz="6" w:space="0" w:color="000000"/>
            </w:tcBorders>
          </w:tcPr>
          <w:p>
            <w:pPr>
              <w:pStyle w:val="TableParagraph"/>
              <w:spacing w:before="37"/>
              <w:ind w:left="85" w:right="53"/>
              <w:rPr>
                <w:sz w:val="21"/>
              </w:rPr>
            </w:pPr>
            <w:r>
              <w:rPr>
                <w:sz w:val="21"/>
              </w:rPr>
              <w:t>易燃</w:t>
            </w:r>
          </w:p>
        </w:tc>
      </w:tr>
      <w:tr>
        <w:trPr>
          <w:trHeight w:val="546" w:hRule="atLeast"/>
        </w:trPr>
        <w:tc>
          <w:tcPr>
            <w:tcW w:w="1440" w:type="dxa"/>
            <w:tcBorders>
              <w:top w:val="single" w:sz="6" w:space="0" w:color="000000"/>
              <w:bottom w:val="single" w:sz="6" w:space="0" w:color="000000"/>
              <w:right w:val="single" w:sz="6" w:space="0" w:color="000000"/>
            </w:tcBorders>
          </w:tcPr>
          <w:p>
            <w:pPr>
              <w:pStyle w:val="TableParagraph"/>
              <w:spacing w:before="37"/>
              <w:ind w:left="64" w:right="43"/>
              <w:rPr>
                <w:sz w:val="21"/>
              </w:rPr>
            </w:pPr>
            <w:r>
              <w:rPr>
                <w:sz w:val="21"/>
              </w:rPr>
              <w:t>禁忌物</w:t>
            </w:r>
          </w:p>
        </w:tc>
        <w:tc>
          <w:tcPr>
            <w:tcW w:w="2742"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96" w:right="71"/>
              <w:rPr>
                <w:sz w:val="21"/>
              </w:rPr>
            </w:pPr>
            <w:r>
              <w:rPr>
                <w:sz w:val="21"/>
              </w:rPr>
              <w:t>酸类、酸酐、强氧化剂、碱</w:t>
            </w:r>
          </w:p>
          <w:p>
            <w:pPr>
              <w:pStyle w:val="TableParagraph"/>
              <w:spacing w:line="266" w:lineRule="exact"/>
              <w:ind w:left="96" w:right="68"/>
              <w:rPr>
                <w:sz w:val="21"/>
              </w:rPr>
            </w:pPr>
            <w:r>
              <w:rPr>
                <w:sz w:val="21"/>
              </w:rPr>
              <w:t>金属</w:t>
            </w:r>
          </w:p>
        </w:tc>
        <w:tc>
          <w:tcPr>
            <w:tcW w:w="1021" w:type="dxa"/>
            <w:tcBorders>
              <w:top w:val="single" w:sz="6" w:space="0" w:color="000000"/>
              <w:left w:val="single" w:sz="6" w:space="0" w:color="000000"/>
              <w:bottom w:val="single" w:sz="6" w:space="0" w:color="000000"/>
              <w:right w:val="single" w:sz="6" w:space="0" w:color="000000"/>
            </w:tcBorders>
          </w:tcPr>
          <w:p>
            <w:pPr>
              <w:pStyle w:val="TableParagraph"/>
              <w:spacing w:before="37"/>
              <w:ind w:left="108" w:right="79"/>
              <w:rPr>
                <w:sz w:val="21"/>
              </w:rPr>
            </w:pPr>
            <w:r>
              <w:rPr>
                <w:sz w:val="21"/>
              </w:rPr>
              <w:t>溶解性</w:t>
            </w:r>
          </w:p>
        </w:tc>
        <w:tc>
          <w:tcPr>
            <w:tcW w:w="3564" w:type="dxa"/>
            <w:gridSpan w:val="4"/>
            <w:tcBorders>
              <w:top w:val="single" w:sz="6" w:space="0" w:color="000000"/>
              <w:left w:val="single" w:sz="6" w:space="0" w:color="000000"/>
              <w:bottom w:val="single" w:sz="6" w:space="0" w:color="000000"/>
            </w:tcBorders>
          </w:tcPr>
          <w:p>
            <w:pPr>
              <w:pStyle w:val="TableParagraph"/>
              <w:spacing w:line="261" w:lineRule="exact"/>
              <w:ind w:left="87" w:right="53"/>
              <w:rPr>
                <w:sz w:val="21"/>
              </w:rPr>
            </w:pPr>
            <w:r>
              <w:rPr>
                <w:sz w:val="21"/>
              </w:rPr>
              <w:t>溶于水，可混溶于醇、醚等多数有机</w:t>
            </w:r>
          </w:p>
          <w:p>
            <w:pPr>
              <w:pStyle w:val="TableParagraph"/>
              <w:spacing w:line="266" w:lineRule="exact"/>
              <w:ind w:left="85" w:right="53"/>
              <w:rPr>
                <w:sz w:val="21"/>
              </w:rPr>
            </w:pPr>
            <w:r>
              <w:rPr>
                <w:sz w:val="21"/>
              </w:rPr>
              <w:t>溶剂</w:t>
            </w:r>
          </w:p>
        </w:tc>
      </w:tr>
      <w:tr>
        <w:trPr>
          <w:trHeight w:val="270" w:hRule="atLeast"/>
        </w:trPr>
        <w:tc>
          <w:tcPr>
            <w:tcW w:w="1440" w:type="dxa"/>
            <w:tcBorders>
              <w:top w:val="single" w:sz="6" w:space="0" w:color="000000"/>
              <w:bottom w:val="single" w:sz="6" w:space="0" w:color="000000"/>
              <w:right w:val="single" w:sz="6" w:space="0" w:color="000000"/>
            </w:tcBorders>
          </w:tcPr>
          <w:p>
            <w:pPr>
              <w:pStyle w:val="TableParagraph"/>
              <w:spacing w:line="251" w:lineRule="exact"/>
              <w:ind w:left="73" w:right="43"/>
              <w:rPr>
                <w:sz w:val="21"/>
              </w:rPr>
            </w:pPr>
            <w:r>
              <w:rPr>
                <w:sz w:val="21"/>
              </w:rPr>
              <w:t>燃烧分解产物</w:t>
            </w:r>
          </w:p>
        </w:tc>
        <w:tc>
          <w:tcPr>
            <w:tcW w:w="2742" w:type="dxa"/>
            <w:gridSpan w:val="2"/>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432"/>
              <w:jc w:val="left"/>
              <w:rPr>
                <w:sz w:val="21"/>
              </w:rPr>
            </w:pPr>
            <w:r>
              <w:rPr>
                <w:sz w:val="21"/>
              </w:rPr>
              <w:t>一氧化碳、二氧化碳</w:t>
            </w:r>
          </w:p>
        </w:tc>
        <w:tc>
          <w:tcPr>
            <w:tcW w:w="102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08" w:right="81"/>
              <w:rPr>
                <w:sz w:val="21"/>
              </w:rPr>
            </w:pPr>
            <w:r>
              <w:rPr>
                <w:rFonts w:ascii="Times New Roman" w:eastAsia="Times New Roman"/>
                <w:sz w:val="21"/>
              </w:rPr>
              <w:t>UN </w:t>
            </w:r>
            <w:r>
              <w:rPr>
                <w:sz w:val="21"/>
              </w:rPr>
              <w:t>编号</w:t>
            </w:r>
          </w:p>
        </w:tc>
        <w:tc>
          <w:tcPr>
            <w:tcW w:w="13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
              <w:ind w:left="464"/>
              <w:jc w:val="left"/>
              <w:rPr>
                <w:rFonts w:ascii="Times New Roman"/>
                <w:sz w:val="21"/>
              </w:rPr>
            </w:pPr>
            <w:r>
              <w:rPr>
                <w:rFonts w:ascii="Times New Roman"/>
                <w:sz w:val="21"/>
              </w:rPr>
              <w:t>1230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spacing w:before="7"/>
              <w:ind w:left="127" w:right="101"/>
              <w:rPr>
                <w:rFonts w:ascii="Times New Roman"/>
                <w:sz w:val="21"/>
              </w:rPr>
            </w:pPr>
            <w:r>
              <w:rPr>
                <w:rFonts w:ascii="Times New Roman"/>
                <w:sz w:val="21"/>
              </w:rPr>
              <w:t>CAS NO.</w:t>
            </w:r>
          </w:p>
        </w:tc>
        <w:tc>
          <w:tcPr>
            <w:tcW w:w="1102" w:type="dxa"/>
            <w:tcBorders>
              <w:top w:val="single" w:sz="6" w:space="0" w:color="000000"/>
              <w:left w:val="single" w:sz="6" w:space="0" w:color="000000"/>
              <w:bottom w:val="single" w:sz="6" w:space="0" w:color="000000"/>
            </w:tcBorders>
          </w:tcPr>
          <w:p>
            <w:pPr>
              <w:pStyle w:val="TableParagraph"/>
              <w:spacing w:before="7"/>
              <w:ind w:left="109" w:right="86"/>
              <w:rPr>
                <w:rFonts w:ascii="Times New Roman"/>
                <w:sz w:val="21"/>
              </w:rPr>
            </w:pPr>
            <w:r>
              <w:rPr>
                <w:rFonts w:ascii="Times New Roman"/>
                <w:sz w:val="21"/>
              </w:rPr>
              <w:t>67-56-1</w:t>
            </w:r>
          </w:p>
        </w:tc>
      </w:tr>
      <w:tr>
        <w:trPr>
          <w:trHeight w:val="544" w:hRule="atLeast"/>
        </w:trPr>
        <w:tc>
          <w:tcPr>
            <w:tcW w:w="1440" w:type="dxa"/>
            <w:tcBorders>
              <w:top w:val="single" w:sz="6" w:space="0" w:color="000000"/>
              <w:bottom w:val="single" w:sz="6" w:space="0" w:color="000000"/>
              <w:right w:val="single" w:sz="6" w:space="0" w:color="000000"/>
            </w:tcBorders>
          </w:tcPr>
          <w:p>
            <w:pPr>
              <w:pStyle w:val="TableParagraph"/>
              <w:spacing w:before="37"/>
              <w:ind w:left="73" w:right="43"/>
              <w:rPr>
                <w:sz w:val="21"/>
              </w:rPr>
            </w:pPr>
            <w:r>
              <w:rPr>
                <w:sz w:val="21"/>
              </w:rPr>
              <w:t>危险货物编号</w:t>
            </w:r>
          </w:p>
        </w:tc>
        <w:tc>
          <w:tcPr>
            <w:tcW w:w="274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7"/>
              <w:ind w:left="96" w:right="68"/>
              <w:rPr>
                <w:rFonts w:ascii="Times New Roman"/>
                <w:sz w:val="21"/>
              </w:rPr>
            </w:pPr>
            <w:r>
              <w:rPr>
                <w:rFonts w:ascii="Times New Roman"/>
                <w:sz w:val="21"/>
              </w:rPr>
              <w:t>32058</w:t>
            </w:r>
          </w:p>
        </w:tc>
        <w:tc>
          <w:tcPr>
            <w:tcW w:w="102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08" w:right="79"/>
              <w:rPr>
                <w:sz w:val="21"/>
              </w:rPr>
            </w:pPr>
            <w:r>
              <w:rPr>
                <w:sz w:val="21"/>
              </w:rPr>
              <w:t>包装类</w:t>
            </w:r>
          </w:p>
          <w:p>
            <w:pPr>
              <w:pStyle w:val="TableParagraph"/>
              <w:spacing w:line="265" w:lineRule="exact"/>
              <w:ind w:left="24"/>
              <w:rPr>
                <w:sz w:val="21"/>
              </w:rPr>
            </w:pPr>
            <w:r>
              <w:rPr>
                <w:w w:val="100"/>
                <w:sz w:val="21"/>
              </w:rPr>
              <w:t>别</w:t>
            </w:r>
          </w:p>
        </w:tc>
        <w:tc>
          <w:tcPr>
            <w:tcW w:w="13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2"/>
              <w:ind w:left="22"/>
              <w:rPr>
                <w:sz w:val="21"/>
              </w:rPr>
            </w:pPr>
            <w:r>
              <w:rPr>
                <w:w w:val="100"/>
                <w:sz w:val="21"/>
              </w:rPr>
              <w:t>Ⅱ</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spacing w:before="37"/>
              <w:ind w:left="127" w:right="101"/>
              <w:rPr>
                <w:sz w:val="21"/>
              </w:rPr>
            </w:pPr>
            <w:r>
              <w:rPr>
                <w:sz w:val="21"/>
              </w:rPr>
              <w:t>包装标志</w:t>
            </w:r>
          </w:p>
        </w:tc>
        <w:tc>
          <w:tcPr>
            <w:tcW w:w="1102" w:type="dxa"/>
            <w:tcBorders>
              <w:top w:val="single" w:sz="6" w:space="0" w:color="000000"/>
              <w:left w:val="single" w:sz="6" w:space="0" w:color="000000"/>
              <w:bottom w:val="single" w:sz="6" w:space="0" w:color="000000"/>
            </w:tcBorders>
          </w:tcPr>
          <w:p>
            <w:pPr>
              <w:pStyle w:val="TableParagraph"/>
              <w:spacing w:before="147"/>
              <w:ind w:left="23"/>
              <w:rPr>
                <w:rFonts w:ascii="Times New Roman"/>
                <w:sz w:val="21"/>
              </w:rPr>
            </w:pPr>
            <w:r>
              <w:rPr>
                <w:rFonts w:ascii="Times New Roman"/>
                <w:w w:val="100"/>
                <w:sz w:val="21"/>
              </w:rPr>
              <w:t>7</w:t>
            </w:r>
          </w:p>
        </w:tc>
      </w:tr>
      <w:tr>
        <w:trPr>
          <w:trHeight w:val="817" w:hRule="atLeast"/>
        </w:trPr>
        <w:tc>
          <w:tcPr>
            <w:tcW w:w="1440" w:type="dxa"/>
            <w:tcBorders>
              <w:top w:val="single" w:sz="6" w:space="0" w:color="000000"/>
              <w:bottom w:val="single" w:sz="6" w:space="0" w:color="000000"/>
              <w:right w:val="single" w:sz="6" w:space="0" w:color="000000"/>
            </w:tcBorders>
          </w:tcPr>
          <w:p>
            <w:pPr>
              <w:pStyle w:val="TableParagraph"/>
              <w:spacing w:before="173"/>
              <w:ind w:left="66" w:right="43"/>
              <w:rPr>
                <w:sz w:val="21"/>
              </w:rPr>
            </w:pPr>
            <w:r>
              <w:rPr>
                <w:sz w:val="21"/>
              </w:rPr>
              <w:t>危险特性</w:t>
            </w:r>
          </w:p>
        </w:tc>
        <w:tc>
          <w:tcPr>
            <w:tcW w:w="7327" w:type="dxa"/>
            <w:gridSpan w:val="7"/>
            <w:tcBorders>
              <w:top w:val="single" w:sz="6" w:space="0" w:color="000000"/>
              <w:left w:val="single" w:sz="6" w:space="0" w:color="000000"/>
              <w:bottom w:val="single" w:sz="6" w:space="0" w:color="000000"/>
            </w:tcBorders>
          </w:tcPr>
          <w:p>
            <w:pPr>
              <w:pStyle w:val="TableParagraph"/>
              <w:spacing w:line="146" w:lineRule="auto" w:before="23"/>
              <w:ind w:left="114" w:right="80"/>
              <w:jc w:val="left"/>
              <w:rPr>
                <w:sz w:val="21"/>
              </w:rPr>
            </w:pPr>
            <w:r>
              <w:rPr>
                <w:spacing w:val="-7"/>
                <w:sz w:val="21"/>
              </w:rPr>
              <w:t>易燃，其蒸气与空气可形成爆炸性混合物。遇明火、高热能引起燃烧爆炸。与</w:t>
            </w:r>
            <w:r>
              <w:rPr>
                <w:spacing w:val="-8"/>
                <w:sz w:val="21"/>
              </w:rPr>
              <w:t>氧化剂接触发生化学反应或引起燃烧。在火场中，受热的容器有爆炸危险。其</w:t>
            </w:r>
          </w:p>
          <w:p>
            <w:pPr>
              <w:pStyle w:val="TableParagraph"/>
              <w:spacing w:line="231" w:lineRule="exact"/>
              <w:ind w:left="114"/>
              <w:jc w:val="left"/>
              <w:rPr>
                <w:sz w:val="21"/>
              </w:rPr>
            </w:pPr>
            <w:r>
              <w:rPr>
                <w:sz w:val="21"/>
              </w:rPr>
              <w:t>蒸气比空气重，能在较低处扩散到相当远的地方，遇明火会引着回燃。</w:t>
            </w:r>
          </w:p>
        </w:tc>
      </w:tr>
      <w:tr>
        <w:trPr>
          <w:trHeight w:val="645" w:hRule="atLeast"/>
        </w:trPr>
        <w:tc>
          <w:tcPr>
            <w:tcW w:w="1440" w:type="dxa"/>
            <w:tcBorders>
              <w:top w:val="single" w:sz="6" w:space="0" w:color="000000"/>
              <w:bottom w:val="single" w:sz="6" w:space="0" w:color="000000"/>
              <w:right w:val="single" w:sz="6" w:space="0" w:color="000000"/>
            </w:tcBorders>
          </w:tcPr>
          <w:p>
            <w:pPr>
              <w:pStyle w:val="TableParagraph"/>
              <w:spacing w:before="87"/>
              <w:ind w:left="64" w:right="43"/>
              <w:rPr>
                <w:sz w:val="21"/>
              </w:rPr>
            </w:pPr>
            <w:r>
              <w:rPr>
                <w:sz w:val="21"/>
              </w:rPr>
              <w:t>毒性</w:t>
            </w:r>
          </w:p>
        </w:tc>
        <w:tc>
          <w:tcPr>
            <w:tcW w:w="7327" w:type="dxa"/>
            <w:gridSpan w:val="7"/>
            <w:tcBorders>
              <w:top w:val="single" w:sz="6" w:space="0" w:color="000000"/>
              <w:left w:val="single" w:sz="6" w:space="0" w:color="000000"/>
              <w:bottom w:val="single" w:sz="6" w:space="0" w:color="000000"/>
            </w:tcBorders>
          </w:tcPr>
          <w:p>
            <w:pPr>
              <w:pStyle w:val="TableParagraph"/>
              <w:spacing w:line="308" w:lineRule="exact"/>
              <w:ind w:left="167"/>
              <w:jc w:val="left"/>
              <w:rPr>
                <w:sz w:val="21"/>
              </w:rPr>
            </w:pPr>
            <w:r>
              <w:rPr>
                <w:rFonts w:ascii="Times New Roman" w:eastAsia="Times New Roman"/>
                <w:spacing w:val="-5"/>
                <w:w w:val="100"/>
                <w:position w:val="2"/>
                <w:sz w:val="21"/>
              </w:rPr>
              <w:t>L</w:t>
            </w:r>
            <w:r>
              <w:rPr>
                <w:rFonts w:ascii="Times New Roman" w:eastAsia="Times New Roman"/>
                <w:spacing w:val="1"/>
                <w:w w:val="100"/>
                <w:position w:val="2"/>
                <w:sz w:val="21"/>
              </w:rPr>
              <w:t>D</w:t>
            </w:r>
            <w:r>
              <w:rPr>
                <w:rFonts w:ascii="Times New Roman" w:eastAsia="Times New Roman"/>
                <w:w w:val="99"/>
                <w:sz w:val="14"/>
              </w:rPr>
              <w:t>50</w:t>
            </w:r>
            <w:r>
              <w:rPr>
                <w:rFonts w:ascii="Times New Roman" w:eastAsia="Times New Roman"/>
                <w:w w:val="100"/>
                <w:position w:val="2"/>
                <w:sz w:val="21"/>
              </w:rPr>
              <w:t>5628</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w w:val="100"/>
                <w:position w:val="2"/>
                <w:sz w:val="21"/>
              </w:rPr>
              <w:t>（</w:t>
            </w:r>
            <w:r>
              <w:rPr>
                <w:spacing w:val="-2"/>
                <w:w w:val="100"/>
                <w:position w:val="2"/>
                <w:sz w:val="21"/>
              </w:rPr>
              <w:t>大鼠经口</w:t>
            </w:r>
            <w:r>
              <w:rPr>
                <w:spacing w:val="-1"/>
                <w:w w:val="100"/>
                <w:position w:val="2"/>
                <w:sz w:val="21"/>
              </w:rPr>
              <w:t>）</w:t>
            </w:r>
            <w:r>
              <w:rPr>
                <w:rFonts w:ascii="Times New Roman" w:eastAsia="Times New Roman"/>
                <w:w w:val="100"/>
                <w:position w:val="2"/>
                <w:sz w:val="21"/>
              </w:rPr>
              <w:t>158</w:t>
            </w:r>
            <w:r>
              <w:rPr>
                <w:rFonts w:ascii="Times New Roman" w:eastAsia="Times New Roman"/>
                <w:spacing w:val="-3"/>
                <w:w w:val="100"/>
                <w:position w:val="2"/>
                <w:sz w:val="21"/>
              </w:rPr>
              <w:t>0</w:t>
            </w:r>
            <w:r>
              <w:rPr>
                <w:rFonts w:ascii="Times New Roman" w:eastAsia="Times New Roman"/>
                <w:w w:val="100"/>
                <w:position w:val="2"/>
                <w:sz w:val="21"/>
              </w:rPr>
              <w:t>0</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w w:val="100"/>
                <w:position w:val="2"/>
                <w:sz w:val="21"/>
              </w:rPr>
              <w:t>（</w:t>
            </w:r>
            <w:r>
              <w:rPr>
                <w:spacing w:val="-2"/>
                <w:w w:val="100"/>
                <w:position w:val="2"/>
                <w:sz w:val="21"/>
              </w:rPr>
              <w:t>兔经皮</w:t>
            </w:r>
            <w:r>
              <w:rPr>
                <w:spacing w:val="-108"/>
                <w:w w:val="100"/>
                <w:position w:val="2"/>
                <w:sz w:val="21"/>
              </w:rPr>
              <w:t>）</w:t>
            </w:r>
            <w:r>
              <w:rPr>
                <w:w w:val="100"/>
                <w:position w:val="2"/>
                <w:sz w:val="21"/>
              </w:rPr>
              <w:t>；</w:t>
            </w:r>
          </w:p>
          <w:p>
            <w:pPr>
              <w:pStyle w:val="TableParagraph"/>
              <w:spacing w:line="317" w:lineRule="exact"/>
              <w:ind w:left="167"/>
              <w:jc w:val="left"/>
              <w:rPr>
                <w:sz w:val="21"/>
              </w:rPr>
            </w:pP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83776mg/m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4 </w:t>
            </w:r>
            <w:r>
              <w:rPr>
                <w:position w:val="2"/>
                <w:sz w:val="21"/>
                <w:vertAlign w:val="baseline"/>
              </w:rPr>
              <w:t>小时（大鼠吸入）</w:t>
            </w:r>
          </w:p>
        </w:tc>
      </w:tr>
      <w:tr>
        <w:trPr>
          <w:trHeight w:val="544" w:hRule="atLeast"/>
        </w:trPr>
        <w:tc>
          <w:tcPr>
            <w:tcW w:w="1440" w:type="dxa"/>
            <w:tcBorders>
              <w:top w:val="single" w:sz="6" w:space="0" w:color="000000"/>
              <w:bottom w:val="single" w:sz="6" w:space="0" w:color="000000"/>
              <w:right w:val="single" w:sz="6" w:space="0" w:color="000000"/>
            </w:tcBorders>
          </w:tcPr>
          <w:p>
            <w:pPr>
              <w:pStyle w:val="TableParagraph"/>
              <w:spacing w:before="37"/>
              <w:ind w:left="66" w:right="43"/>
              <w:rPr>
                <w:sz w:val="21"/>
              </w:rPr>
            </w:pPr>
            <w:r>
              <w:rPr>
                <w:sz w:val="21"/>
              </w:rPr>
              <w:t>灭火方法</w:t>
            </w:r>
          </w:p>
        </w:tc>
        <w:tc>
          <w:tcPr>
            <w:tcW w:w="7327" w:type="dxa"/>
            <w:gridSpan w:val="7"/>
            <w:tcBorders>
              <w:top w:val="single" w:sz="6" w:space="0" w:color="000000"/>
              <w:left w:val="single" w:sz="6" w:space="0" w:color="000000"/>
              <w:bottom w:val="single" w:sz="6" w:space="0" w:color="000000"/>
            </w:tcBorders>
          </w:tcPr>
          <w:p>
            <w:pPr>
              <w:pStyle w:val="TableParagraph"/>
              <w:spacing w:line="259" w:lineRule="exact"/>
              <w:ind w:left="114"/>
              <w:jc w:val="left"/>
              <w:rPr>
                <w:sz w:val="21"/>
              </w:rPr>
            </w:pPr>
            <w:r>
              <w:rPr>
                <w:sz w:val="21"/>
              </w:rPr>
              <w:t>尽可能将容器从火场移至空旷处。喷水保持火场容器冷却，直至灭火结束。处</w:t>
            </w:r>
          </w:p>
          <w:p>
            <w:pPr>
              <w:pStyle w:val="TableParagraph"/>
              <w:spacing w:line="266" w:lineRule="exact"/>
              <w:ind w:left="114"/>
              <w:jc w:val="left"/>
              <w:rPr>
                <w:sz w:val="21"/>
              </w:rPr>
            </w:pPr>
            <w:r>
              <w:rPr>
                <w:sz w:val="21"/>
              </w:rPr>
              <w:t>在火场中的容器若已变色或从安全泄压装置中产生声音，必须马上撤离。</w:t>
            </w:r>
          </w:p>
        </w:tc>
      </w:tr>
      <w:tr>
        <w:trPr>
          <w:trHeight w:val="1904" w:hRule="atLeast"/>
        </w:trPr>
        <w:tc>
          <w:tcPr>
            <w:tcW w:w="1440"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8"/>
              <w:jc w:val="left"/>
              <w:rPr>
                <w:sz w:val="13"/>
              </w:rPr>
            </w:pPr>
          </w:p>
          <w:p>
            <w:pPr>
              <w:pStyle w:val="TableParagraph"/>
              <w:spacing w:before="1"/>
              <w:ind w:left="66" w:right="43"/>
              <w:rPr>
                <w:sz w:val="21"/>
              </w:rPr>
            </w:pPr>
            <w:r>
              <w:rPr>
                <w:sz w:val="21"/>
              </w:rPr>
              <w:t>健康危害</w:t>
            </w:r>
          </w:p>
        </w:tc>
        <w:tc>
          <w:tcPr>
            <w:tcW w:w="7327" w:type="dxa"/>
            <w:gridSpan w:val="7"/>
            <w:tcBorders>
              <w:top w:val="single" w:sz="6" w:space="0" w:color="000000"/>
              <w:left w:val="single" w:sz="6" w:space="0" w:color="000000"/>
              <w:bottom w:val="single" w:sz="6" w:space="0" w:color="000000"/>
            </w:tcBorders>
          </w:tcPr>
          <w:p>
            <w:pPr>
              <w:pStyle w:val="TableParagraph"/>
              <w:spacing w:line="146" w:lineRule="auto" w:before="21"/>
              <w:ind w:left="114" w:right="44"/>
              <w:jc w:val="both"/>
              <w:rPr>
                <w:sz w:val="21"/>
              </w:rPr>
            </w:pPr>
            <w:r>
              <w:rPr>
                <w:spacing w:val="-3"/>
                <w:sz w:val="21"/>
              </w:rPr>
              <w:t>对中枢神经系统有麻醉作用；对视神经和视网膜有特殊选择作用，引起病变； </w:t>
            </w:r>
            <w:r>
              <w:rPr>
                <w:spacing w:val="-18"/>
                <w:sz w:val="21"/>
              </w:rPr>
              <w:t>可致代谢性酸中毒。急性中毒：短时大量吸入出现轻度眼上呼吸道刺激症状</w:t>
            </w:r>
            <w:r>
              <w:rPr>
                <w:sz w:val="21"/>
              </w:rPr>
              <w:t>（口</w:t>
            </w:r>
            <w:r>
              <w:rPr>
                <w:w w:val="100"/>
                <w:sz w:val="21"/>
              </w:rPr>
              <w:t>服有胃肠道刺激症状</w:t>
            </w:r>
            <w:r>
              <w:rPr>
                <w:spacing w:val="-104"/>
                <w:w w:val="100"/>
                <w:sz w:val="21"/>
              </w:rPr>
              <w:t>）</w:t>
            </w:r>
            <w:r>
              <w:rPr>
                <w:w w:val="100"/>
                <w:sz w:val="21"/>
              </w:rPr>
              <w:t>；经一段时间潜伏期后出现头痛、头晕、乏力、眩晕、</w:t>
            </w:r>
            <w:r>
              <w:rPr>
                <w:spacing w:val="-3"/>
                <w:sz w:val="21"/>
              </w:rPr>
              <w:t>酒醉感、意识朦胧、谵妄，甚至昏迷。视神经及视网膜病变，可有视物模糊、复视等，重者失明。代谢性酸中毒时出现二氧化碳结合力下降、呼吸加速等。</w:t>
            </w:r>
            <w:r>
              <w:rPr>
                <w:spacing w:val="-9"/>
                <w:sz w:val="21"/>
              </w:rPr>
              <w:t>慢性影响：神经衰弱综合征，植物神经功能失调，粘膜刺激，视力减退等。皮</w:t>
            </w:r>
          </w:p>
          <w:p>
            <w:pPr>
              <w:pStyle w:val="TableParagraph"/>
              <w:spacing w:line="234" w:lineRule="exact"/>
              <w:ind w:left="114"/>
              <w:jc w:val="both"/>
              <w:rPr>
                <w:sz w:val="21"/>
              </w:rPr>
            </w:pPr>
            <w:r>
              <w:rPr>
                <w:sz w:val="21"/>
              </w:rPr>
              <w:t>肤出现脱脂、皮炎等。</w:t>
            </w:r>
          </w:p>
        </w:tc>
      </w:tr>
      <w:tr>
        <w:trPr>
          <w:trHeight w:val="1092" w:hRule="atLeast"/>
        </w:trPr>
        <w:tc>
          <w:tcPr>
            <w:tcW w:w="1440" w:type="dxa"/>
            <w:tcBorders>
              <w:top w:val="single" w:sz="6" w:space="0" w:color="000000"/>
              <w:bottom w:val="single" w:sz="6" w:space="0" w:color="000000"/>
              <w:right w:val="single" w:sz="6" w:space="0" w:color="000000"/>
            </w:tcBorders>
          </w:tcPr>
          <w:p>
            <w:pPr>
              <w:pStyle w:val="TableParagraph"/>
              <w:spacing w:before="13"/>
              <w:jc w:val="left"/>
              <w:rPr>
                <w:sz w:val="14"/>
              </w:rPr>
            </w:pPr>
          </w:p>
          <w:p>
            <w:pPr>
              <w:pStyle w:val="TableParagraph"/>
              <w:ind w:left="66" w:right="43"/>
              <w:rPr>
                <w:sz w:val="21"/>
              </w:rPr>
            </w:pPr>
            <w:r>
              <w:rPr>
                <w:sz w:val="21"/>
              </w:rPr>
              <w:t>急救措施</w:t>
            </w:r>
          </w:p>
        </w:tc>
        <w:tc>
          <w:tcPr>
            <w:tcW w:w="7327" w:type="dxa"/>
            <w:gridSpan w:val="7"/>
            <w:tcBorders>
              <w:top w:val="single" w:sz="6" w:space="0" w:color="000000"/>
              <w:left w:val="single" w:sz="6" w:space="0" w:color="000000"/>
              <w:bottom w:val="single" w:sz="6" w:space="0" w:color="000000"/>
            </w:tcBorders>
          </w:tcPr>
          <w:p>
            <w:pPr>
              <w:pStyle w:val="TableParagraph"/>
              <w:spacing w:line="146" w:lineRule="auto" w:before="23"/>
              <w:ind w:left="114" w:right="-29"/>
              <w:jc w:val="both"/>
              <w:rPr>
                <w:sz w:val="21"/>
              </w:rPr>
            </w:pPr>
            <w:r>
              <w:rPr>
                <w:spacing w:val="-7"/>
                <w:sz w:val="21"/>
              </w:rPr>
              <w:t>皮肤接触：脱去被污染的衣着，用肥皂水和清水彻底冲洗皮肤。眼睛接触：提</w:t>
            </w:r>
            <w:r>
              <w:rPr>
                <w:spacing w:val="-9"/>
                <w:sz w:val="21"/>
              </w:rPr>
              <w:t>起眼睑，用流动清水或生理盐水冲洗。就医。吸入：迅速脱离现场至空气新鲜</w:t>
            </w:r>
            <w:r>
              <w:rPr>
                <w:spacing w:val="-15"/>
                <w:sz w:val="21"/>
              </w:rPr>
              <w:t>处。保持呼吸道通畅。如呼吸困难，给输氧。如呼吸停止，立即进行人工呼吸。</w:t>
            </w:r>
          </w:p>
          <w:p>
            <w:pPr>
              <w:pStyle w:val="TableParagraph"/>
              <w:spacing w:line="234" w:lineRule="exact"/>
              <w:ind w:left="114"/>
              <w:jc w:val="both"/>
              <w:rPr>
                <w:sz w:val="21"/>
              </w:rPr>
            </w:pPr>
            <w:r>
              <w:rPr>
                <w:sz w:val="21"/>
              </w:rPr>
              <w:t>就医。食入：饮足量温水，催吐，用清水或 </w:t>
            </w:r>
            <w:r>
              <w:rPr>
                <w:rFonts w:ascii="Times New Roman" w:eastAsia="Times New Roman"/>
                <w:sz w:val="21"/>
              </w:rPr>
              <w:t>1%</w:t>
            </w:r>
            <w:r>
              <w:rPr>
                <w:sz w:val="21"/>
              </w:rPr>
              <w:t>硫代硫酸钠溶液洗胃。就医。</w:t>
            </w:r>
          </w:p>
        </w:tc>
      </w:tr>
      <w:tr>
        <w:trPr>
          <w:trHeight w:val="1088" w:hRule="atLeast"/>
        </w:trPr>
        <w:tc>
          <w:tcPr>
            <w:tcW w:w="1440" w:type="dxa"/>
            <w:tcBorders>
              <w:top w:val="single" w:sz="6" w:space="0" w:color="000000"/>
              <w:bottom w:val="single" w:sz="6" w:space="0" w:color="000000"/>
              <w:right w:val="single" w:sz="6" w:space="0" w:color="000000"/>
            </w:tcBorders>
          </w:tcPr>
          <w:p>
            <w:pPr>
              <w:pStyle w:val="TableParagraph"/>
              <w:spacing w:before="11"/>
              <w:jc w:val="left"/>
              <w:rPr>
                <w:sz w:val="14"/>
              </w:rPr>
            </w:pPr>
          </w:p>
          <w:p>
            <w:pPr>
              <w:pStyle w:val="TableParagraph"/>
              <w:ind w:left="66" w:right="43"/>
              <w:rPr>
                <w:sz w:val="21"/>
              </w:rPr>
            </w:pPr>
            <w:r>
              <w:rPr>
                <w:sz w:val="21"/>
              </w:rPr>
              <w:t>防护措施</w:t>
            </w:r>
          </w:p>
        </w:tc>
        <w:tc>
          <w:tcPr>
            <w:tcW w:w="7327" w:type="dxa"/>
            <w:gridSpan w:val="7"/>
            <w:tcBorders>
              <w:top w:val="single" w:sz="6" w:space="0" w:color="000000"/>
              <w:left w:val="single" w:sz="6" w:space="0" w:color="000000"/>
              <w:bottom w:val="single" w:sz="6" w:space="0" w:color="000000"/>
            </w:tcBorders>
          </w:tcPr>
          <w:p>
            <w:pPr>
              <w:pStyle w:val="TableParagraph"/>
              <w:spacing w:line="146" w:lineRule="auto" w:before="21"/>
              <w:ind w:left="114" w:right="-29"/>
              <w:jc w:val="both"/>
              <w:rPr>
                <w:sz w:val="21"/>
              </w:rPr>
            </w:pPr>
            <w:r>
              <w:rPr>
                <w:spacing w:val="-2"/>
                <w:sz w:val="21"/>
              </w:rPr>
              <w:t>呼吸系统防护：可能接触其蒸气时，应该佩戴过滤式防毒面罩</w:t>
            </w:r>
            <w:r>
              <w:rPr>
                <w:rFonts w:ascii="Times New Roman" w:eastAsia="Times New Roman"/>
                <w:sz w:val="21"/>
              </w:rPr>
              <w:t>(</w:t>
            </w:r>
            <w:r>
              <w:rPr>
                <w:sz w:val="21"/>
              </w:rPr>
              <w:t>半面罩</w:t>
            </w:r>
            <w:r>
              <w:rPr>
                <w:rFonts w:ascii="Times New Roman" w:eastAsia="Times New Roman"/>
                <w:sz w:val="21"/>
              </w:rPr>
              <w:t>)</w:t>
            </w:r>
            <w:r>
              <w:rPr>
                <w:sz w:val="21"/>
              </w:rPr>
              <w:t>。紧急</w:t>
            </w:r>
            <w:r>
              <w:rPr>
                <w:spacing w:val="-3"/>
                <w:sz w:val="21"/>
              </w:rPr>
              <w:t>事态抢救或撤离时，建议佩戴空气呼吸器。眼睛防护：戴化学安全防护眼镜。</w:t>
            </w:r>
            <w:r>
              <w:rPr>
                <w:spacing w:val="-13"/>
                <w:sz w:val="21"/>
              </w:rPr>
              <w:t>身体防护：穿防静电工作服。手防护：戴橡胶手套。其它：工作现场禁止吸烟、</w:t>
            </w:r>
          </w:p>
          <w:p>
            <w:pPr>
              <w:pStyle w:val="TableParagraph"/>
              <w:spacing w:line="233" w:lineRule="exact"/>
              <w:ind w:left="114"/>
              <w:jc w:val="both"/>
              <w:rPr>
                <w:sz w:val="21"/>
              </w:rPr>
            </w:pPr>
            <w:r>
              <w:rPr>
                <w:sz w:val="21"/>
              </w:rPr>
              <w:t>进食和饮水。工作毕，淋浴更衣。实行就业前和定期的体检。</w:t>
            </w:r>
          </w:p>
        </w:tc>
      </w:tr>
      <w:tr>
        <w:trPr>
          <w:trHeight w:val="1631" w:hRule="atLeast"/>
        </w:trPr>
        <w:tc>
          <w:tcPr>
            <w:tcW w:w="1440" w:type="dxa"/>
            <w:tcBorders>
              <w:top w:val="single" w:sz="6" w:space="0" w:color="000000"/>
              <w:right w:val="single" w:sz="6" w:space="0" w:color="000000"/>
            </w:tcBorders>
          </w:tcPr>
          <w:p>
            <w:pPr>
              <w:pStyle w:val="TableParagraph"/>
              <w:spacing w:before="14"/>
              <w:jc w:val="left"/>
              <w:rPr>
                <w:sz w:val="26"/>
              </w:rPr>
            </w:pPr>
          </w:p>
          <w:p>
            <w:pPr>
              <w:pStyle w:val="TableParagraph"/>
              <w:spacing w:line="146" w:lineRule="auto" w:before="1"/>
              <w:ind w:left="613" w:right="168" w:hanging="420"/>
              <w:jc w:val="left"/>
              <w:rPr>
                <w:sz w:val="21"/>
              </w:rPr>
            </w:pPr>
            <w:r>
              <w:rPr>
                <w:sz w:val="21"/>
              </w:rPr>
              <w:t>泄漏应急措施</w:t>
            </w:r>
          </w:p>
        </w:tc>
        <w:tc>
          <w:tcPr>
            <w:tcW w:w="7327" w:type="dxa"/>
            <w:gridSpan w:val="7"/>
            <w:tcBorders>
              <w:top w:val="single" w:sz="6" w:space="0" w:color="000000"/>
              <w:left w:val="single" w:sz="6" w:space="0" w:color="000000"/>
            </w:tcBorders>
          </w:tcPr>
          <w:p>
            <w:pPr>
              <w:pStyle w:val="TableParagraph"/>
              <w:spacing w:line="146" w:lineRule="auto" w:before="21"/>
              <w:ind w:left="114" w:right="-29"/>
              <w:jc w:val="both"/>
              <w:rPr>
                <w:sz w:val="21"/>
              </w:rPr>
            </w:pPr>
            <w:r>
              <w:rPr>
                <w:spacing w:val="-3"/>
                <w:sz w:val="21"/>
              </w:rPr>
              <w:t>迅速撤离泄漏污染区人员至安全区，并进行隔离，严格限制出入。切断火源。</w:t>
            </w:r>
            <w:r>
              <w:rPr>
                <w:spacing w:val="-6"/>
                <w:sz w:val="21"/>
              </w:rPr>
              <w:t>建议应急处理人员戴自给正压式呼吸器，穿防毒服。不要直接接触泄漏物。尽</w:t>
            </w:r>
            <w:r>
              <w:rPr>
                <w:spacing w:val="-8"/>
                <w:sz w:val="21"/>
              </w:rPr>
              <w:t>可能切断泄漏源，防止进入下水道、排洪沟等限制性空间。小量泄漏：用砂土</w:t>
            </w:r>
            <w:r>
              <w:rPr>
                <w:spacing w:val="-14"/>
                <w:sz w:val="21"/>
              </w:rPr>
              <w:t>或其它不燃材料吸附或吸收。也可以用大量水冲洗，洗液稀释后放入废水系统。</w:t>
            </w:r>
            <w:r>
              <w:rPr>
                <w:spacing w:val="-10"/>
                <w:sz w:val="21"/>
              </w:rPr>
              <w:t>大量泄漏：构筑围堤或挖坑收容；用泡沫覆盖，降低蒸气灾害。用防爆泵转移</w:t>
            </w:r>
          </w:p>
          <w:p>
            <w:pPr>
              <w:pStyle w:val="TableParagraph"/>
              <w:spacing w:line="232" w:lineRule="exact"/>
              <w:ind w:left="114"/>
              <w:jc w:val="both"/>
              <w:rPr>
                <w:sz w:val="21"/>
              </w:rPr>
            </w:pPr>
            <w:r>
              <w:rPr>
                <w:sz w:val="21"/>
              </w:rPr>
              <w:t>至槽车或专用收集器内。回收或运至废物处理场所处置。</w:t>
            </w:r>
          </w:p>
        </w:tc>
      </w:tr>
    </w:tbl>
    <w:p>
      <w:pPr>
        <w:tabs>
          <w:tab w:pos="1154" w:val="left" w:leader="none"/>
        </w:tabs>
        <w:spacing w:before="81"/>
        <w:ind w:left="242" w:right="0" w:firstLine="0"/>
        <w:jc w:val="center"/>
        <w:rPr>
          <w:sz w:val="21"/>
        </w:rPr>
      </w:pPr>
      <w:r>
        <w:rPr>
          <w:sz w:val="21"/>
        </w:rPr>
        <w:t>表</w:t>
      </w:r>
      <w:r>
        <w:rPr>
          <w:spacing w:val="4"/>
          <w:sz w:val="21"/>
        </w:rPr>
        <w:t> </w:t>
      </w:r>
      <w:r>
        <w:rPr>
          <w:rFonts w:ascii="Times New Roman" w:eastAsia="Times New Roman"/>
          <w:sz w:val="21"/>
        </w:rPr>
        <w:t>7.1-7</w:t>
        <w:tab/>
      </w:r>
      <w:r>
        <w:rPr>
          <w:spacing w:val="-3"/>
          <w:sz w:val="21"/>
        </w:rPr>
        <w:t>甲</w:t>
      </w:r>
      <w:r>
        <w:rPr>
          <w:sz w:val="21"/>
        </w:rPr>
        <w:t>醇</w:t>
      </w:r>
      <w:r>
        <w:rPr>
          <w:spacing w:val="-3"/>
          <w:sz w:val="21"/>
        </w:rPr>
        <w:t>钠</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spacing w:after="0"/>
        <w:jc w:val="center"/>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4"/>
        <w:gridCol w:w="2867"/>
        <w:gridCol w:w="1071"/>
        <w:gridCol w:w="1040"/>
        <w:gridCol w:w="1125"/>
        <w:gridCol w:w="1225"/>
      </w:tblGrid>
      <w:tr>
        <w:trPr>
          <w:trHeight w:val="455" w:hRule="atLeast"/>
        </w:trPr>
        <w:tc>
          <w:tcPr>
            <w:tcW w:w="1524" w:type="dxa"/>
            <w:tcBorders>
              <w:bottom w:val="single" w:sz="6" w:space="0" w:color="000000"/>
              <w:right w:val="single" w:sz="6" w:space="0" w:color="000000"/>
            </w:tcBorders>
          </w:tcPr>
          <w:p>
            <w:pPr>
              <w:pStyle w:val="TableParagraph"/>
              <w:spacing w:line="435" w:lineRule="exact"/>
              <w:ind w:left="105" w:right="84"/>
              <w:rPr>
                <w:sz w:val="21"/>
              </w:rPr>
            </w:pPr>
            <w:r>
              <w:rPr>
                <w:sz w:val="21"/>
              </w:rPr>
              <w:t>中文名称</w:t>
            </w:r>
          </w:p>
        </w:tc>
        <w:tc>
          <w:tcPr>
            <w:tcW w:w="2867" w:type="dxa"/>
            <w:tcBorders>
              <w:left w:val="single" w:sz="6" w:space="0" w:color="000000"/>
              <w:bottom w:val="single" w:sz="6" w:space="0" w:color="000000"/>
              <w:right w:val="single" w:sz="6" w:space="0" w:color="000000"/>
            </w:tcBorders>
          </w:tcPr>
          <w:p>
            <w:pPr>
              <w:pStyle w:val="TableParagraph"/>
              <w:spacing w:line="435" w:lineRule="exact"/>
              <w:ind w:left="52" w:right="29"/>
              <w:rPr>
                <w:sz w:val="21"/>
              </w:rPr>
            </w:pPr>
            <w:r>
              <w:rPr>
                <w:sz w:val="21"/>
              </w:rPr>
              <w:t>甲醇钠</w:t>
            </w:r>
          </w:p>
        </w:tc>
        <w:tc>
          <w:tcPr>
            <w:tcW w:w="1071" w:type="dxa"/>
            <w:tcBorders>
              <w:left w:val="single" w:sz="6" w:space="0" w:color="000000"/>
              <w:bottom w:val="single" w:sz="6" w:space="0" w:color="000000"/>
              <w:right w:val="single" w:sz="6" w:space="0" w:color="000000"/>
            </w:tcBorders>
          </w:tcPr>
          <w:p>
            <w:pPr>
              <w:pStyle w:val="TableParagraph"/>
              <w:spacing w:line="435" w:lineRule="exact"/>
              <w:ind w:left="102" w:right="73"/>
              <w:rPr>
                <w:sz w:val="21"/>
              </w:rPr>
            </w:pPr>
            <w:r>
              <w:rPr>
                <w:sz w:val="21"/>
              </w:rPr>
              <w:t>英文名称</w:t>
            </w:r>
          </w:p>
        </w:tc>
        <w:tc>
          <w:tcPr>
            <w:tcW w:w="3390" w:type="dxa"/>
            <w:gridSpan w:val="3"/>
            <w:tcBorders>
              <w:left w:val="single" w:sz="6" w:space="0" w:color="000000"/>
              <w:bottom w:val="single" w:sz="6" w:space="0" w:color="000000"/>
            </w:tcBorders>
          </w:tcPr>
          <w:p>
            <w:pPr>
              <w:pStyle w:val="TableParagraph"/>
              <w:spacing w:before="101"/>
              <w:ind w:left="901"/>
              <w:jc w:val="left"/>
              <w:rPr>
                <w:rFonts w:ascii="Times New Roman"/>
                <w:sz w:val="21"/>
              </w:rPr>
            </w:pPr>
            <w:r>
              <w:rPr>
                <w:rFonts w:ascii="Times New Roman"/>
                <w:sz w:val="21"/>
              </w:rPr>
              <w:t>Sodium methoxide</w:t>
            </w:r>
          </w:p>
        </w:tc>
      </w:tr>
      <w:tr>
        <w:trPr>
          <w:trHeight w:val="453" w:hRule="atLeast"/>
        </w:trPr>
        <w:tc>
          <w:tcPr>
            <w:tcW w:w="1524" w:type="dxa"/>
            <w:tcBorders>
              <w:top w:val="single" w:sz="6" w:space="0" w:color="000000"/>
              <w:bottom w:val="single" w:sz="6" w:space="0" w:color="000000"/>
              <w:right w:val="single" w:sz="6" w:space="0" w:color="000000"/>
            </w:tcBorders>
          </w:tcPr>
          <w:p>
            <w:pPr>
              <w:pStyle w:val="TableParagraph"/>
              <w:spacing w:line="433" w:lineRule="exact"/>
              <w:ind w:left="105" w:right="84"/>
              <w:rPr>
                <w:sz w:val="21"/>
              </w:rPr>
            </w:pPr>
            <w:r>
              <w:rPr>
                <w:sz w:val="21"/>
              </w:rPr>
              <w:t>侵入途径</w:t>
            </w:r>
          </w:p>
        </w:tc>
        <w:tc>
          <w:tcPr>
            <w:tcW w:w="7328" w:type="dxa"/>
            <w:gridSpan w:val="5"/>
            <w:tcBorders>
              <w:top w:val="single" w:sz="6" w:space="0" w:color="000000"/>
              <w:left w:val="single" w:sz="6" w:space="0" w:color="000000"/>
              <w:bottom w:val="single" w:sz="6" w:space="0" w:color="000000"/>
            </w:tcBorders>
          </w:tcPr>
          <w:p>
            <w:pPr>
              <w:pStyle w:val="TableParagraph"/>
              <w:spacing w:line="433" w:lineRule="exact"/>
              <w:ind w:left="2597" w:right="2568"/>
              <w:rPr>
                <w:sz w:val="21"/>
              </w:rPr>
            </w:pPr>
            <w:r>
              <w:rPr>
                <w:sz w:val="21"/>
              </w:rPr>
              <w:t>吸入、食入、经皮吸收</w:t>
            </w:r>
          </w:p>
        </w:tc>
      </w:tr>
      <w:tr>
        <w:trPr>
          <w:trHeight w:val="544" w:hRule="atLeast"/>
        </w:trPr>
        <w:tc>
          <w:tcPr>
            <w:tcW w:w="1524" w:type="dxa"/>
            <w:tcBorders>
              <w:top w:val="single" w:sz="6" w:space="0" w:color="000000"/>
              <w:bottom w:val="single" w:sz="6" w:space="0" w:color="000000"/>
              <w:right w:val="single" w:sz="6" w:space="0" w:color="000000"/>
            </w:tcBorders>
          </w:tcPr>
          <w:p>
            <w:pPr>
              <w:pStyle w:val="TableParagraph"/>
              <w:spacing w:before="37"/>
              <w:ind w:left="105" w:right="84"/>
              <w:rPr>
                <w:sz w:val="21"/>
              </w:rPr>
            </w:pPr>
            <w:r>
              <w:rPr>
                <w:sz w:val="21"/>
              </w:rPr>
              <w:t>主要用途</w:t>
            </w:r>
          </w:p>
        </w:tc>
        <w:tc>
          <w:tcPr>
            <w:tcW w:w="7328" w:type="dxa"/>
            <w:gridSpan w:val="5"/>
            <w:tcBorders>
              <w:top w:val="single" w:sz="6" w:space="0" w:color="000000"/>
              <w:left w:val="single" w:sz="6" w:space="0" w:color="000000"/>
              <w:bottom w:val="single" w:sz="6" w:space="0" w:color="000000"/>
            </w:tcBorders>
          </w:tcPr>
          <w:p>
            <w:pPr>
              <w:pStyle w:val="TableParagraph"/>
              <w:spacing w:line="260" w:lineRule="exact"/>
              <w:ind w:left="112"/>
              <w:jc w:val="left"/>
              <w:rPr>
                <w:sz w:val="21"/>
              </w:rPr>
            </w:pPr>
            <w:r>
              <w:rPr>
                <w:sz w:val="21"/>
              </w:rPr>
              <w:t>主要用于医药工业，有机合成中用作缩合剂、化学试剂、食用油脂处理的催化</w:t>
            </w:r>
          </w:p>
          <w:p>
            <w:pPr>
              <w:pStyle w:val="TableParagraph"/>
              <w:spacing w:line="265" w:lineRule="exact"/>
              <w:ind w:left="112"/>
              <w:jc w:val="left"/>
              <w:rPr>
                <w:sz w:val="21"/>
              </w:rPr>
            </w:pPr>
            <w:r>
              <w:rPr>
                <w:sz w:val="21"/>
              </w:rPr>
              <w:t>剂等</w:t>
            </w:r>
          </w:p>
        </w:tc>
      </w:tr>
      <w:tr>
        <w:trPr>
          <w:trHeight w:val="455" w:hRule="atLeast"/>
        </w:trPr>
        <w:tc>
          <w:tcPr>
            <w:tcW w:w="1524" w:type="dxa"/>
            <w:tcBorders>
              <w:top w:val="single" w:sz="6" w:space="0" w:color="000000"/>
              <w:bottom w:val="single" w:sz="6" w:space="0" w:color="000000"/>
              <w:right w:val="single" w:sz="6" w:space="0" w:color="000000"/>
            </w:tcBorders>
          </w:tcPr>
          <w:p>
            <w:pPr>
              <w:pStyle w:val="TableParagraph"/>
              <w:spacing w:line="435" w:lineRule="exact"/>
              <w:ind w:left="107" w:right="84"/>
              <w:rPr>
                <w:sz w:val="21"/>
              </w:rPr>
            </w:pPr>
            <w:r>
              <w:rPr>
                <w:sz w:val="21"/>
              </w:rPr>
              <w:t>物质危险类别</w:t>
            </w:r>
          </w:p>
        </w:tc>
        <w:tc>
          <w:tcPr>
            <w:tcW w:w="2867" w:type="dxa"/>
            <w:tcBorders>
              <w:top w:val="single" w:sz="6" w:space="0" w:color="000000"/>
              <w:left w:val="single" w:sz="6" w:space="0" w:color="000000"/>
              <w:bottom w:val="single" w:sz="6" w:space="0" w:color="000000"/>
              <w:right w:val="single" w:sz="6" w:space="0" w:color="000000"/>
            </w:tcBorders>
          </w:tcPr>
          <w:p>
            <w:pPr>
              <w:pStyle w:val="TableParagraph"/>
              <w:spacing w:line="435" w:lineRule="exact"/>
              <w:ind w:left="52" w:right="29"/>
              <w:rPr>
                <w:sz w:val="21"/>
              </w:rPr>
            </w:pPr>
            <w:r>
              <w:rPr>
                <w:sz w:val="21"/>
              </w:rPr>
              <w:t>碱性腐蚀品、自燃物品</w:t>
            </w:r>
          </w:p>
        </w:tc>
        <w:tc>
          <w:tcPr>
            <w:tcW w:w="1071" w:type="dxa"/>
            <w:tcBorders>
              <w:top w:val="single" w:sz="6" w:space="0" w:color="000000"/>
              <w:left w:val="single" w:sz="6" w:space="0" w:color="000000"/>
              <w:bottom w:val="single" w:sz="6" w:space="0" w:color="000000"/>
              <w:right w:val="single" w:sz="6" w:space="0" w:color="000000"/>
            </w:tcBorders>
          </w:tcPr>
          <w:p>
            <w:pPr>
              <w:pStyle w:val="TableParagraph"/>
              <w:spacing w:line="435" w:lineRule="exact"/>
              <w:ind w:left="102" w:right="70"/>
              <w:rPr>
                <w:sz w:val="21"/>
              </w:rPr>
            </w:pPr>
            <w:r>
              <w:rPr>
                <w:sz w:val="21"/>
              </w:rPr>
              <w:t>燃烧性</w:t>
            </w:r>
          </w:p>
        </w:tc>
        <w:tc>
          <w:tcPr>
            <w:tcW w:w="3390" w:type="dxa"/>
            <w:gridSpan w:val="3"/>
            <w:tcBorders>
              <w:top w:val="single" w:sz="6" w:space="0" w:color="000000"/>
              <w:left w:val="single" w:sz="6" w:space="0" w:color="000000"/>
              <w:bottom w:val="single" w:sz="6" w:space="0" w:color="000000"/>
            </w:tcBorders>
          </w:tcPr>
          <w:p>
            <w:pPr>
              <w:pStyle w:val="TableParagraph"/>
              <w:spacing w:line="435" w:lineRule="exact"/>
              <w:ind w:left="1470" w:right="1436"/>
              <w:rPr>
                <w:sz w:val="21"/>
              </w:rPr>
            </w:pPr>
            <w:r>
              <w:rPr>
                <w:sz w:val="21"/>
              </w:rPr>
              <w:t>易燃</w:t>
            </w:r>
          </w:p>
        </w:tc>
      </w:tr>
      <w:tr>
        <w:trPr>
          <w:trHeight w:val="452" w:hRule="atLeast"/>
        </w:trPr>
        <w:tc>
          <w:tcPr>
            <w:tcW w:w="1524" w:type="dxa"/>
            <w:tcBorders>
              <w:top w:val="single" w:sz="6" w:space="0" w:color="000000"/>
              <w:bottom w:val="single" w:sz="6" w:space="0" w:color="000000"/>
              <w:right w:val="single" w:sz="6" w:space="0" w:color="000000"/>
            </w:tcBorders>
          </w:tcPr>
          <w:p>
            <w:pPr>
              <w:pStyle w:val="TableParagraph"/>
              <w:spacing w:line="433" w:lineRule="exact"/>
              <w:ind w:left="107" w:right="84"/>
              <w:rPr>
                <w:sz w:val="21"/>
              </w:rPr>
            </w:pPr>
            <w:r>
              <w:rPr>
                <w:sz w:val="21"/>
              </w:rPr>
              <w:t>禁忌物</w:t>
            </w:r>
          </w:p>
        </w:tc>
        <w:tc>
          <w:tcPr>
            <w:tcW w:w="2867" w:type="dxa"/>
            <w:tcBorders>
              <w:top w:val="single" w:sz="6" w:space="0" w:color="000000"/>
              <w:left w:val="single" w:sz="6" w:space="0" w:color="000000"/>
              <w:bottom w:val="single" w:sz="6" w:space="0" w:color="000000"/>
              <w:right w:val="single" w:sz="6" w:space="0" w:color="000000"/>
            </w:tcBorders>
          </w:tcPr>
          <w:p>
            <w:pPr>
              <w:pStyle w:val="TableParagraph"/>
              <w:spacing w:before="99"/>
              <w:ind w:left="52" w:right="29"/>
              <w:rPr>
                <w:rFonts w:ascii="Times New Roman" w:hAnsi="Times New Roman"/>
                <w:sz w:val="21"/>
              </w:rPr>
            </w:pPr>
            <w:r>
              <w:rPr>
                <w:rFonts w:ascii="Times New Roman" w:hAnsi="Times New Roman"/>
                <w:sz w:val="21"/>
              </w:rPr>
              <w:t>——</w:t>
            </w:r>
          </w:p>
        </w:tc>
        <w:tc>
          <w:tcPr>
            <w:tcW w:w="1071" w:type="dxa"/>
            <w:tcBorders>
              <w:top w:val="single" w:sz="6" w:space="0" w:color="000000"/>
              <w:left w:val="single" w:sz="6" w:space="0" w:color="000000"/>
              <w:bottom w:val="single" w:sz="6" w:space="0" w:color="000000"/>
              <w:right w:val="single" w:sz="6" w:space="0" w:color="000000"/>
            </w:tcBorders>
          </w:tcPr>
          <w:p>
            <w:pPr>
              <w:pStyle w:val="TableParagraph"/>
              <w:spacing w:line="433" w:lineRule="exact"/>
              <w:ind w:left="102" w:right="70"/>
              <w:rPr>
                <w:sz w:val="21"/>
              </w:rPr>
            </w:pPr>
            <w:r>
              <w:rPr>
                <w:sz w:val="21"/>
              </w:rPr>
              <w:t>溶解性</w:t>
            </w:r>
          </w:p>
        </w:tc>
        <w:tc>
          <w:tcPr>
            <w:tcW w:w="3390" w:type="dxa"/>
            <w:gridSpan w:val="3"/>
            <w:tcBorders>
              <w:top w:val="single" w:sz="6" w:space="0" w:color="000000"/>
              <w:left w:val="single" w:sz="6" w:space="0" w:color="000000"/>
              <w:bottom w:val="single" w:sz="6" w:space="0" w:color="000000"/>
            </w:tcBorders>
          </w:tcPr>
          <w:p>
            <w:pPr>
              <w:pStyle w:val="TableParagraph"/>
              <w:spacing w:line="433" w:lineRule="exact"/>
              <w:ind w:left="963"/>
              <w:jc w:val="left"/>
              <w:rPr>
                <w:sz w:val="21"/>
              </w:rPr>
            </w:pPr>
            <w:r>
              <w:rPr>
                <w:sz w:val="21"/>
              </w:rPr>
              <w:t>溶于甲醇、乙醇</w:t>
            </w:r>
          </w:p>
        </w:tc>
      </w:tr>
      <w:tr>
        <w:trPr>
          <w:trHeight w:val="455" w:hRule="atLeast"/>
        </w:trPr>
        <w:tc>
          <w:tcPr>
            <w:tcW w:w="1524" w:type="dxa"/>
            <w:tcBorders>
              <w:top w:val="single" w:sz="6" w:space="0" w:color="000000"/>
              <w:bottom w:val="single" w:sz="6" w:space="0" w:color="000000"/>
              <w:right w:val="single" w:sz="6" w:space="0" w:color="000000"/>
            </w:tcBorders>
          </w:tcPr>
          <w:p>
            <w:pPr>
              <w:pStyle w:val="TableParagraph"/>
              <w:spacing w:line="435" w:lineRule="exact"/>
              <w:ind w:left="112" w:right="79"/>
              <w:rPr>
                <w:sz w:val="21"/>
              </w:rPr>
            </w:pPr>
            <w:r>
              <w:rPr>
                <w:sz w:val="21"/>
              </w:rPr>
              <w:t>燃烧分解产物</w:t>
            </w:r>
          </w:p>
        </w:tc>
        <w:tc>
          <w:tcPr>
            <w:tcW w:w="2867" w:type="dxa"/>
            <w:tcBorders>
              <w:top w:val="single" w:sz="6" w:space="0" w:color="000000"/>
              <w:left w:val="single" w:sz="6" w:space="0" w:color="000000"/>
              <w:bottom w:val="single" w:sz="6" w:space="0" w:color="000000"/>
              <w:right w:val="single" w:sz="6" w:space="0" w:color="000000"/>
            </w:tcBorders>
          </w:tcPr>
          <w:p>
            <w:pPr>
              <w:pStyle w:val="TableParagraph"/>
              <w:spacing w:line="435" w:lineRule="exact"/>
              <w:ind w:left="53" w:right="29"/>
              <w:rPr>
                <w:sz w:val="21"/>
              </w:rPr>
            </w:pPr>
            <w:r>
              <w:rPr>
                <w:sz w:val="21"/>
              </w:rPr>
              <w:t>一氧化碳、二氧化碳、氧化钠</w:t>
            </w:r>
          </w:p>
        </w:tc>
        <w:tc>
          <w:tcPr>
            <w:tcW w:w="1071" w:type="dxa"/>
            <w:tcBorders>
              <w:top w:val="single" w:sz="6" w:space="0" w:color="000000"/>
              <w:left w:val="single" w:sz="6" w:space="0" w:color="000000"/>
              <w:bottom w:val="single" w:sz="6" w:space="0" w:color="000000"/>
              <w:right w:val="single" w:sz="6" w:space="0" w:color="000000"/>
            </w:tcBorders>
          </w:tcPr>
          <w:p>
            <w:pPr>
              <w:pStyle w:val="TableParagraph"/>
              <w:spacing w:line="435" w:lineRule="exact"/>
              <w:ind w:left="102" w:right="73"/>
              <w:rPr>
                <w:sz w:val="21"/>
              </w:rPr>
            </w:pPr>
            <w:r>
              <w:rPr>
                <w:rFonts w:ascii="Times New Roman" w:eastAsia="Times New Roman"/>
                <w:sz w:val="21"/>
              </w:rPr>
              <w:t>UN </w:t>
            </w:r>
            <w:r>
              <w:rPr>
                <w:sz w:val="21"/>
              </w:rPr>
              <w:t>编号</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before="101"/>
              <w:ind w:left="294" w:right="271"/>
              <w:rPr>
                <w:rFonts w:ascii="Times New Roman" w:hAnsi="Times New Roman"/>
                <w:sz w:val="21"/>
              </w:rPr>
            </w:pPr>
            <w:r>
              <w:rPr>
                <w:rFonts w:ascii="Times New Roman" w:hAnsi="Times New Roman"/>
                <w:sz w:val="21"/>
              </w:rPr>
              <w:t>——</w:t>
            </w:r>
          </w:p>
        </w:tc>
        <w:tc>
          <w:tcPr>
            <w:tcW w:w="1125" w:type="dxa"/>
            <w:tcBorders>
              <w:top w:val="single" w:sz="6" w:space="0" w:color="000000"/>
              <w:left w:val="single" w:sz="6" w:space="0" w:color="000000"/>
              <w:bottom w:val="single" w:sz="6" w:space="0" w:color="000000"/>
              <w:right w:val="single" w:sz="6" w:space="0" w:color="000000"/>
            </w:tcBorders>
          </w:tcPr>
          <w:p>
            <w:pPr>
              <w:pStyle w:val="TableParagraph"/>
              <w:spacing w:before="101"/>
              <w:ind w:left="125" w:right="105"/>
              <w:rPr>
                <w:rFonts w:ascii="Times New Roman"/>
                <w:sz w:val="21"/>
              </w:rPr>
            </w:pPr>
            <w:r>
              <w:rPr>
                <w:rFonts w:ascii="Times New Roman"/>
                <w:sz w:val="21"/>
              </w:rPr>
              <w:t>CAS NO.</w:t>
            </w:r>
          </w:p>
        </w:tc>
        <w:tc>
          <w:tcPr>
            <w:tcW w:w="1225" w:type="dxa"/>
            <w:tcBorders>
              <w:top w:val="single" w:sz="6" w:space="0" w:color="000000"/>
              <w:left w:val="single" w:sz="6" w:space="0" w:color="000000"/>
              <w:bottom w:val="single" w:sz="6" w:space="0" w:color="000000"/>
            </w:tcBorders>
          </w:tcPr>
          <w:p>
            <w:pPr>
              <w:pStyle w:val="TableParagraph"/>
              <w:spacing w:before="101"/>
              <w:ind w:left="208" w:right="184"/>
              <w:rPr>
                <w:rFonts w:ascii="Times New Roman"/>
                <w:sz w:val="21"/>
              </w:rPr>
            </w:pPr>
            <w:r>
              <w:rPr>
                <w:rFonts w:ascii="Times New Roman"/>
                <w:sz w:val="21"/>
              </w:rPr>
              <w:t>124-41-4</w:t>
            </w:r>
          </w:p>
        </w:tc>
      </w:tr>
      <w:tr>
        <w:trPr>
          <w:trHeight w:val="452" w:hRule="atLeast"/>
        </w:trPr>
        <w:tc>
          <w:tcPr>
            <w:tcW w:w="1524" w:type="dxa"/>
            <w:tcBorders>
              <w:top w:val="single" w:sz="6" w:space="0" w:color="000000"/>
              <w:bottom w:val="single" w:sz="6" w:space="0" w:color="000000"/>
              <w:right w:val="single" w:sz="6" w:space="0" w:color="000000"/>
            </w:tcBorders>
          </w:tcPr>
          <w:p>
            <w:pPr>
              <w:pStyle w:val="TableParagraph"/>
              <w:spacing w:line="433" w:lineRule="exact"/>
              <w:ind w:left="112" w:right="79"/>
              <w:rPr>
                <w:sz w:val="21"/>
              </w:rPr>
            </w:pPr>
            <w:r>
              <w:rPr>
                <w:sz w:val="21"/>
              </w:rPr>
              <w:t>危险货物编号</w:t>
            </w:r>
          </w:p>
        </w:tc>
        <w:tc>
          <w:tcPr>
            <w:tcW w:w="2867" w:type="dxa"/>
            <w:tcBorders>
              <w:top w:val="single" w:sz="6" w:space="0" w:color="000000"/>
              <w:left w:val="single" w:sz="6" w:space="0" w:color="000000"/>
              <w:bottom w:val="single" w:sz="6" w:space="0" w:color="000000"/>
              <w:right w:val="single" w:sz="6" w:space="0" w:color="000000"/>
            </w:tcBorders>
          </w:tcPr>
          <w:p>
            <w:pPr>
              <w:pStyle w:val="TableParagraph"/>
              <w:spacing w:before="99"/>
              <w:ind w:left="52" w:right="29"/>
              <w:rPr>
                <w:rFonts w:ascii="Times New Roman" w:hAnsi="Times New Roman"/>
                <w:sz w:val="21"/>
              </w:rPr>
            </w:pPr>
            <w:r>
              <w:rPr>
                <w:rFonts w:ascii="Times New Roman" w:hAnsi="Times New Roman"/>
                <w:sz w:val="21"/>
              </w:rPr>
              <w:t>——</w:t>
            </w:r>
          </w:p>
        </w:tc>
        <w:tc>
          <w:tcPr>
            <w:tcW w:w="1071" w:type="dxa"/>
            <w:tcBorders>
              <w:top w:val="single" w:sz="6" w:space="0" w:color="000000"/>
              <w:left w:val="single" w:sz="6" w:space="0" w:color="000000"/>
              <w:bottom w:val="single" w:sz="6" w:space="0" w:color="000000"/>
              <w:right w:val="single" w:sz="6" w:space="0" w:color="000000"/>
            </w:tcBorders>
          </w:tcPr>
          <w:p>
            <w:pPr>
              <w:pStyle w:val="TableParagraph"/>
              <w:spacing w:line="433" w:lineRule="exact"/>
              <w:ind w:left="102" w:right="73"/>
              <w:rPr>
                <w:sz w:val="21"/>
              </w:rPr>
            </w:pPr>
            <w:r>
              <w:rPr>
                <w:sz w:val="21"/>
              </w:rPr>
              <w:t>包装类别</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line="429" w:lineRule="exact"/>
              <w:ind w:left="23"/>
              <w:rPr>
                <w:sz w:val="21"/>
              </w:rPr>
            </w:pPr>
            <w:r>
              <w:rPr>
                <w:w w:val="100"/>
                <w:sz w:val="21"/>
              </w:rPr>
              <w:t>Ⅲ</w:t>
            </w:r>
          </w:p>
        </w:tc>
        <w:tc>
          <w:tcPr>
            <w:tcW w:w="1125" w:type="dxa"/>
            <w:tcBorders>
              <w:top w:val="single" w:sz="6" w:space="0" w:color="000000"/>
              <w:left w:val="single" w:sz="6" w:space="0" w:color="000000"/>
              <w:bottom w:val="single" w:sz="6" w:space="0" w:color="000000"/>
              <w:right w:val="single" w:sz="6" w:space="0" w:color="000000"/>
            </w:tcBorders>
          </w:tcPr>
          <w:p>
            <w:pPr>
              <w:pStyle w:val="TableParagraph"/>
              <w:spacing w:line="433" w:lineRule="exact"/>
              <w:ind w:left="125" w:right="105"/>
              <w:rPr>
                <w:sz w:val="21"/>
              </w:rPr>
            </w:pPr>
            <w:r>
              <w:rPr>
                <w:sz w:val="21"/>
              </w:rPr>
              <w:t>包装标志</w:t>
            </w:r>
          </w:p>
        </w:tc>
        <w:tc>
          <w:tcPr>
            <w:tcW w:w="1225" w:type="dxa"/>
            <w:tcBorders>
              <w:top w:val="single" w:sz="6" w:space="0" w:color="000000"/>
              <w:left w:val="single" w:sz="6" w:space="0" w:color="000000"/>
              <w:bottom w:val="single" w:sz="6" w:space="0" w:color="000000"/>
            </w:tcBorders>
          </w:tcPr>
          <w:p>
            <w:pPr>
              <w:pStyle w:val="TableParagraph"/>
              <w:spacing w:before="99"/>
              <w:ind w:left="29"/>
              <w:rPr>
                <w:rFonts w:ascii="Times New Roman"/>
                <w:sz w:val="21"/>
              </w:rPr>
            </w:pPr>
            <w:r>
              <w:rPr>
                <w:rFonts w:ascii="Times New Roman"/>
                <w:w w:val="100"/>
                <w:sz w:val="21"/>
              </w:rPr>
              <w:t>7</w:t>
            </w:r>
          </w:p>
        </w:tc>
      </w:tr>
      <w:tr>
        <w:trPr>
          <w:trHeight w:val="453" w:hRule="atLeast"/>
        </w:trPr>
        <w:tc>
          <w:tcPr>
            <w:tcW w:w="1524" w:type="dxa"/>
            <w:tcBorders>
              <w:top w:val="single" w:sz="6" w:space="0" w:color="000000"/>
              <w:bottom w:val="single" w:sz="6" w:space="0" w:color="000000"/>
              <w:right w:val="single" w:sz="6" w:space="0" w:color="000000"/>
            </w:tcBorders>
          </w:tcPr>
          <w:p>
            <w:pPr>
              <w:pStyle w:val="TableParagraph"/>
              <w:spacing w:line="434" w:lineRule="exact"/>
              <w:ind w:left="105" w:right="84"/>
              <w:rPr>
                <w:sz w:val="21"/>
              </w:rPr>
            </w:pPr>
            <w:r>
              <w:rPr>
                <w:sz w:val="21"/>
              </w:rPr>
              <w:t>危险特性</w:t>
            </w:r>
          </w:p>
        </w:tc>
        <w:tc>
          <w:tcPr>
            <w:tcW w:w="7328" w:type="dxa"/>
            <w:gridSpan w:val="5"/>
            <w:tcBorders>
              <w:top w:val="single" w:sz="6" w:space="0" w:color="000000"/>
              <w:left w:val="single" w:sz="6" w:space="0" w:color="000000"/>
              <w:bottom w:val="single" w:sz="6" w:space="0" w:color="000000"/>
            </w:tcBorders>
          </w:tcPr>
          <w:p>
            <w:pPr>
              <w:pStyle w:val="TableParagraph"/>
              <w:spacing w:line="434" w:lineRule="exact"/>
              <w:ind w:left="936"/>
              <w:jc w:val="left"/>
              <w:rPr>
                <w:sz w:val="21"/>
              </w:rPr>
            </w:pPr>
            <w:r>
              <w:rPr>
                <w:sz w:val="21"/>
              </w:rPr>
              <w:t>遇水、潮湿空气、酸类、氧化剂、高热及明火能引起燃烧。</w:t>
            </w:r>
          </w:p>
        </w:tc>
      </w:tr>
      <w:tr>
        <w:trPr>
          <w:trHeight w:val="455" w:hRule="atLeast"/>
        </w:trPr>
        <w:tc>
          <w:tcPr>
            <w:tcW w:w="1524" w:type="dxa"/>
            <w:tcBorders>
              <w:top w:val="single" w:sz="6" w:space="0" w:color="000000"/>
              <w:bottom w:val="single" w:sz="6" w:space="0" w:color="000000"/>
              <w:right w:val="single" w:sz="6" w:space="0" w:color="000000"/>
            </w:tcBorders>
          </w:tcPr>
          <w:p>
            <w:pPr>
              <w:pStyle w:val="TableParagraph"/>
              <w:spacing w:line="435" w:lineRule="exact"/>
              <w:ind w:left="105" w:right="84"/>
              <w:rPr>
                <w:sz w:val="21"/>
              </w:rPr>
            </w:pPr>
            <w:r>
              <w:rPr>
                <w:sz w:val="21"/>
              </w:rPr>
              <w:t>灭火方法</w:t>
            </w:r>
          </w:p>
        </w:tc>
        <w:tc>
          <w:tcPr>
            <w:tcW w:w="7328" w:type="dxa"/>
            <w:gridSpan w:val="5"/>
            <w:tcBorders>
              <w:top w:val="single" w:sz="6" w:space="0" w:color="000000"/>
              <w:left w:val="single" w:sz="6" w:space="0" w:color="000000"/>
              <w:bottom w:val="single" w:sz="6" w:space="0" w:color="000000"/>
            </w:tcBorders>
          </w:tcPr>
          <w:p>
            <w:pPr>
              <w:pStyle w:val="TableParagraph"/>
              <w:spacing w:line="435" w:lineRule="exact"/>
              <w:ind w:left="1985"/>
              <w:jc w:val="left"/>
              <w:rPr>
                <w:sz w:val="21"/>
              </w:rPr>
            </w:pPr>
            <w:r>
              <w:rPr>
                <w:sz w:val="21"/>
              </w:rPr>
              <w:t>泡沫、砂土、二氧化碳。禁止用水。</w:t>
            </w:r>
          </w:p>
        </w:tc>
      </w:tr>
      <w:tr>
        <w:trPr>
          <w:trHeight w:val="1088" w:hRule="atLeast"/>
        </w:trPr>
        <w:tc>
          <w:tcPr>
            <w:tcW w:w="1524" w:type="dxa"/>
            <w:tcBorders>
              <w:top w:val="single" w:sz="6" w:space="0" w:color="000000"/>
              <w:bottom w:val="single" w:sz="6" w:space="0" w:color="000000"/>
              <w:right w:val="single" w:sz="6" w:space="0" w:color="000000"/>
            </w:tcBorders>
          </w:tcPr>
          <w:p>
            <w:pPr>
              <w:pStyle w:val="TableParagraph"/>
              <w:spacing w:before="11"/>
              <w:jc w:val="left"/>
              <w:rPr>
                <w:sz w:val="14"/>
              </w:rPr>
            </w:pPr>
          </w:p>
          <w:p>
            <w:pPr>
              <w:pStyle w:val="TableParagraph"/>
              <w:ind w:left="105" w:right="84"/>
              <w:rPr>
                <w:sz w:val="21"/>
              </w:rPr>
            </w:pPr>
            <w:r>
              <w:rPr>
                <w:sz w:val="21"/>
              </w:rPr>
              <w:t>健康危害</w:t>
            </w:r>
          </w:p>
        </w:tc>
        <w:tc>
          <w:tcPr>
            <w:tcW w:w="7328" w:type="dxa"/>
            <w:gridSpan w:val="5"/>
            <w:tcBorders>
              <w:top w:val="single" w:sz="6" w:space="0" w:color="000000"/>
              <w:left w:val="single" w:sz="6" w:space="0" w:color="000000"/>
              <w:bottom w:val="single" w:sz="6" w:space="0" w:color="000000"/>
            </w:tcBorders>
          </w:tcPr>
          <w:p>
            <w:pPr>
              <w:pStyle w:val="TableParagraph"/>
              <w:spacing w:line="146" w:lineRule="auto" w:before="21"/>
              <w:ind w:left="112" w:right="78"/>
              <w:jc w:val="both"/>
              <w:rPr>
                <w:sz w:val="21"/>
              </w:rPr>
            </w:pPr>
            <w:r>
              <w:rPr>
                <w:spacing w:val="-7"/>
                <w:sz w:val="21"/>
              </w:rPr>
              <w:t>本品蒸气、雾或粉尘对呼吸道有强烈刺激和腐蚀性。吸入后，可引起昏睡、中</w:t>
            </w:r>
            <w:r>
              <w:rPr>
                <w:spacing w:val="-9"/>
                <w:sz w:val="21"/>
              </w:rPr>
              <w:t>枢抑制和麻醉。对眼有强烈刺激和腐蚀性，可致失明。皮肤接触可致灼伤。口服腐蚀消化道，引起腹痛、恶心、呕吐；大量口服可致失明和死亡。慢性影响</w:t>
            </w:r>
          </w:p>
          <w:p>
            <w:pPr>
              <w:pStyle w:val="TableParagraph"/>
              <w:spacing w:line="233" w:lineRule="exact"/>
              <w:ind w:left="112"/>
              <w:jc w:val="both"/>
              <w:rPr>
                <w:sz w:val="21"/>
              </w:rPr>
            </w:pPr>
            <w:r>
              <w:rPr>
                <w:sz w:val="21"/>
              </w:rPr>
              <w:t>有中枢神经系统抑制作用。</w:t>
            </w:r>
          </w:p>
        </w:tc>
      </w:tr>
      <w:tr>
        <w:trPr>
          <w:trHeight w:val="1088" w:hRule="atLeast"/>
        </w:trPr>
        <w:tc>
          <w:tcPr>
            <w:tcW w:w="1524" w:type="dxa"/>
            <w:tcBorders>
              <w:top w:val="single" w:sz="6" w:space="0" w:color="000000"/>
              <w:bottom w:val="single" w:sz="6" w:space="0" w:color="000000"/>
              <w:right w:val="single" w:sz="6" w:space="0" w:color="000000"/>
            </w:tcBorders>
          </w:tcPr>
          <w:p>
            <w:pPr>
              <w:pStyle w:val="TableParagraph"/>
              <w:spacing w:before="11"/>
              <w:jc w:val="left"/>
              <w:rPr>
                <w:sz w:val="14"/>
              </w:rPr>
            </w:pPr>
          </w:p>
          <w:p>
            <w:pPr>
              <w:pStyle w:val="TableParagraph"/>
              <w:ind w:left="105" w:right="84"/>
              <w:rPr>
                <w:sz w:val="21"/>
              </w:rPr>
            </w:pPr>
            <w:r>
              <w:rPr>
                <w:sz w:val="21"/>
              </w:rPr>
              <w:t>急救措施</w:t>
            </w:r>
          </w:p>
        </w:tc>
        <w:tc>
          <w:tcPr>
            <w:tcW w:w="7328" w:type="dxa"/>
            <w:gridSpan w:val="5"/>
            <w:tcBorders>
              <w:top w:val="single" w:sz="6" w:space="0" w:color="000000"/>
              <w:left w:val="single" w:sz="6" w:space="0" w:color="000000"/>
              <w:bottom w:val="single" w:sz="6" w:space="0" w:color="000000"/>
            </w:tcBorders>
          </w:tcPr>
          <w:p>
            <w:pPr>
              <w:pStyle w:val="TableParagraph"/>
              <w:spacing w:line="259" w:lineRule="exact"/>
              <w:ind w:left="112" w:right="-29"/>
              <w:jc w:val="left"/>
              <w:rPr>
                <w:sz w:val="21"/>
              </w:rPr>
            </w:pPr>
            <w:r>
              <w:rPr>
                <w:spacing w:val="-4"/>
                <w:sz w:val="21"/>
              </w:rPr>
              <w:t>皮肤接触：脱去污染的衣着，用流动清水冲洗 </w:t>
            </w:r>
            <w:r>
              <w:rPr>
                <w:rFonts w:ascii="Times New Roman" w:eastAsia="Times New Roman"/>
                <w:sz w:val="21"/>
              </w:rPr>
              <w:t>15</w:t>
            </w:r>
            <w:r>
              <w:rPr>
                <w:rFonts w:ascii="Times New Roman" w:eastAsia="Times New Roman"/>
                <w:spacing w:val="16"/>
                <w:sz w:val="21"/>
              </w:rPr>
              <w:t> </w:t>
            </w:r>
            <w:r>
              <w:rPr>
                <w:spacing w:val="-5"/>
                <w:sz w:val="21"/>
              </w:rPr>
              <w:t>分钟。若有灼伤，就医治疗。</w:t>
            </w:r>
          </w:p>
          <w:p>
            <w:pPr>
              <w:pStyle w:val="TableParagraph"/>
              <w:spacing w:line="146" w:lineRule="auto" w:before="35"/>
              <w:ind w:left="112" w:right="78"/>
              <w:jc w:val="left"/>
              <w:rPr>
                <w:sz w:val="21"/>
              </w:rPr>
            </w:pPr>
            <w:r>
              <w:rPr>
                <w:spacing w:val="-3"/>
                <w:sz w:val="21"/>
              </w:rPr>
              <w:t>眼睛接触：立即提起眼睑，用流动清水或生理盐水冲洗至少 </w:t>
            </w:r>
            <w:r>
              <w:rPr>
                <w:rFonts w:ascii="Times New Roman" w:eastAsia="Times New Roman"/>
                <w:sz w:val="21"/>
              </w:rPr>
              <w:t>15</w:t>
            </w:r>
            <w:r>
              <w:rPr>
                <w:rFonts w:ascii="Times New Roman" w:eastAsia="Times New Roman"/>
                <w:spacing w:val="52"/>
                <w:sz w:val="21"/>
              </w:rPr>
              <w:t> </w:t>
            </w:r>
            <w:r>
              <w:rPr>
                <w:spacing w:val="-3"/>
                <w:sz w:val="21"/>
              </w:rPr>
              <w:t>分钟。就医。</w:t>
            </w:r>
            <w:r>
              <w:rPr>
                <w:spacing w:val="-7"/>
                <w:sz w:val="21"/>
              </w:rPr>
              <w:t>吸入：脱离现场至空气新鲜处。呼吸困难时给输氧。呼吸停止时，立即进行人</w:t>
            </w:r>
          </w:p>
          <w:p>
            <w:pPr>
              <w:pStyle w:val="TableParagraph"/>
              <w:spacing w:line="231" w:lineRule="exact"/>
              <w:ind w:left="112"/>
              <w:jc w:val="left"/>
              <w:rPr>
                <w:sz w:val="21"/>
              </w:rPr>
            </w:pPr>
            <w:r>
              <w:rPr>
                <w:sz w:val="21"/>
              </w:rPr>
              <w:t>工呼吸。就医。食入：误服者立即漱口，给饮牛奶或蛋清。就医。</w:t>
            </w:r>
          </w:p>
        </w:tc>
      </w:tr>
      <w:tr>
        <w:trPr>
          <w:trHeight w:val="1089" w:hRule="atLeast"/>
        </w:trPr>
        <w:tc>
          <w:tcPr>
            <w:tcW w:w="1524" w:type="dxa"/>
            <w:tcBorders>
              <w:top w:val="single" w:sz="6" w:space="0" w:color="000000"/>
              <w:bottom w:val="single" w:sz="6" w:space="0" w:color="000000"/>
              <w:right w:val="single" w:sz="6" w:space="0" w:color="000000"/>
            </w:tcBorders>
          </w:tcPr>
          <w:p>
            <w:pPr>
              <w:pStyle w:val="TableParagraph"/>
              <w:spacing w:before="14"/>
              <w:jc w:val="left"/>
              <w:rPr>
                <w:sz w:val="14"/>
              </w:rPr>
            </w:pPr>
          </w:p>
          <w:p>
            <w:pPr>
              <w:pStyle w:val="TableParagraph"/>
              <w:ind w:left="105" w:right="84"/>
              <w:rPr>
                <w:sz w:val="21"/>
              </w:rPr>
            </w:pPr>
            <w:r>
              <w:rPr>
                <w:sz w:val="21"/>
              </w:rPr>
              <w:t>防护措施</w:t>
            </w:r>
          </w:p>
        </w:tc>
        <w:tc>
          <w:tcPr>
            <w:tcW w:w="7328" w:type="dxa"/>
            <w:gridSpan w:val="5"/>
            <w:tcBorders>
              <w:top w:val="single" w:sz="6" w:space="0" w:color="000000"/>
              <w:left w:val="single" w:sz="6" w:space="0" w:color="000000"/>
              <w:bottom w:val="single" w:sz="6" w:space="0" w:color="000000"/>
            </w:tcBorders>
          </w:tcPr>
          <w:p>
            <w:pPr>
              <w:pStyle w:val="TableParagraph"/>
              <w:spacing w:line="146" w:lineRule="auto" w:before="21"/>
              <w:ind w:left="112" w:right="-15"/>
              <w:jc w:val="both"/>
              <w:rPr>
                <w:sz w:val="21"/>
              </w:rPr>
            </w:pPr>
            <w:r>
              <w:rPr>
                <w:sz w:val="21"/>
              </w:rPr>
              <w:t>呼吸系统防护：可能接触其粉尘时，应该佩带防毒口罩。必要时佩带防毒面</w:t>
            </w:r>
            <w:r>
              <w:rPr>
                <w:spacing w:val="-5"/>
                <w:sz w:val="21"/>
              </w:rPr>
              <w:t>具。眼睛防护：戴化学安全防护眼镜。防护服：穿工作服</w:t>
            </w:r>
            <w:r>
              <w:rPr>
                <w:rFonts w:ascii="Times New Roman" w:eastAsia="Times New Roman"/>
                <w:spacing w:val="-4"/>
                <w:sz w:val="21"/>
              </w:rPr>
              <w:t>(</w:t>
            </w:r>
            <w:r>
              <w:rPr>
                <w:spacing w:val="-3"/>
                <w:sz w:val="21"/>
              </w:rPr>
              <w:t>防腐材料制作</w:t>
            </w:r>
            <w:r>
              <w:rPr>
                <w:rFonts w:ascii="Times New Roman" w:eastAsia="Times New Roman"/>
                <w:spacing w:val="-4"/>
                <w:sz w:val="21"/>
              </w:rPr>
              <w:t>)</w:t>
            </w:r>
            <w:r>
              <w:rPr>
                <w:spacing w:val="13"/>
                <w:sz w:val="21"/>
              </w:rPr>
              <w:t>。手</w:t>
            </w:r>
            <w:r>
              <w:rPr>
                <w:spacing w:val="-3"/>
                <w:sz w:val="21"/>
              </w:rPr>
              <w:t>防护：戴橡皮手套。 其它：工作后，淋浴更衣。单独存放被毒物污染的衣服，</w:t>
            </w:r>
          </w:p>
          <w:p>
            <w:pPr>
              <w:pStyle w:val="TableParagraph"/>
              <w:spacing w:line="233" w:lineRule="exact"/>
              <w:ind w:left="112"/>
              <w:jc w:val="both"/>
              <w:rPr>
                <w:sz w:val="21"/>
              </w:rPr>
            </w:pPr>
            <w:r>
              <w:rPr>
                <w:sz w:val="21"/>
              </w:rPr>
              <w:t>洗后再用。保持良好的卫生习惯。</w:t>
            </w:r>
          </w:p>
        </w:tc>
      </w:tr>
      <w:tr>
        <w:trPr>
          <w:trHeight w:val="1359" w:hRule="atLeast"/>
        </w:trPr>
        <w:tc>
          <w:tcPr>
            <w:tcW w:w="1524" w:type="dxa"/>
            <w:tcBorders>
              <w:top w:val="single" w:sz="6" w:space="0" w:color="000000"/>
              <w:right w:val="single" w:sz="6" w:space="0" w:color="000000"/>
            </w:tcBorders>
          </w:tcPr>
          <w:p>
            <w:pPr>
              <w:pStyle w:val="TableParagraph"/>
              <w:spacing w:before="7"/>
              <w:jc w:val="left"/>
              <w:rPr>
                <w:sz w:val="20"/>
              </w:rPr>
            </w:pPr>
          </w:p>
          <w:p>
            <w:pPr>
              <w:pStyle w:val="TableParagraph"/>
              <w:spacing w:line="146" w:lineRule="auto"/>
              <w:ind w:left="445" w:right="420"/>
              <w:jc w:val="left"/>
              <w:rPr>
                <w:sz w:val="21"/>
              </w:rPr>
            </w:pPr>
            <w:r>
              <w:rPr>
                <w:sz w:val="21"/>
              </w:rPr>
              <w:t>泄漏应急措施</w:t>
            </w:r>
          </w:p>
        </w:tc>
        <w:tc>
          <w:tcPr>
            <w:tcW w:w="7328" w:type="dxa"/>
            <w:gridSpan w:val="5"/>
            <w:tcBorders>
              <w:top w:val="single" w:sz="6" w:space="0" w:color="000000"/>
              <w:left w:val="single" w:sz="6" w:space="0" w:color="000000"/>
            </w:tcBorders>
          </w:tcPr>
          <w:p>
            <w:pPr>
              <w:pStyle w:val="TableParagraph"/>
              <w:spacing w:line="146" w:lineRule="auto" w:before="23"/>
              <w:ind w:left="112" w:right="78"/>
              <w:jc w:val="both"/>
              <w:rPr>
                <w:sz w:val="21"/>
              </w:rPr>
            </w:pPr>
            <w:r>
              <w:rPr>
                <w:spacing w:val="-7"/>
                <w:sz w:val="21"/>
              </w:rPr>
              <w:t>隔离泄漏污染区，周围设警告标志，切断火源。建议应急处理人员戴自给式呼</w:t>
            </w:r>
            <w:r>
              <w:rPr>
                <w:spacing w:val="-8"/>
                <w:sz w:val="21"/>
              </w:rPr>
              <w:t>吸器，穿化学防护服。不要直接接触泄漏物，禁止向泄漏物直接喷水，更不要让水进入包装容器内。用沙土、干燥石灰或苏打灰混合，避免扬尘，使用无火</w:t>
            </w:r>
            <w:r>
              <w:rPr>
                <w:spacing w:val="-9"/>
                <w:sz w:val="21"/>
              </w:rPr>
              <w:t>花工具收集运至废物处理场所处置。如果大量泄漏，用塑料布、帆布覆盖，与</w:t>
            </w:r>
          </w:p>
          <w:p>
            <w:pPr>
              <w:pStyle w:val="TableParagraph"/>
              <w:spacing w:line="230" w:lineRule="exact"/>
              <w:ind w:left="112"/>
              <w:jc w:val="both"/>
              <w:rPr>
                <w:sz w:val="21"/>
              </w:rPr>
            </w:pPr>
            <w:r>
              <w:rPr>
                <w:sz w:val="21"/>
              </w:rPr>
              <w:t>有关技术部门联系，确定清除方法。</w:t>
            </w:r>
          </w:p>
        </w:tc>
      </w:tr>
    </w:tbl>
    <w:p>
      <w:pPr>
        <w:pStyle w:val="BodyText"/>
        <w:spacing w:before="18"/>
        <w:rPr>
          <w:sz w:val="4"/>
        </w:rPr>
      </w:pPr>
    </w:p>
    <w:p>
      <w:pPr>
        <w:tabs>
          <w:tab w:pos="3928" w:val="left" w:leader="none"/>
        </w:tabs>
        <w:spacing w:line="423" w:lineRule="exact" w:before="0"/>
        <w:ind w:left="3017" w:right="0" w:firstLine="0"/>
        <w:jc w:val="left"/>
        <w:rPr>
          <w:sz w:val="21"/>
        </w:rPr>
      </w:pPr>
      <w:r>
        <w:rPr>
          <w:sz w:val="21"/>
        </w:rPr>
        <w:t>表</w:t>
      </w:r>
      <w:r>
        <w:rPr>
          <w:spacing w:val="4"/>
          <w:sz w:val="21"/>
        </w:rPr>
        <w:t> </w:t>
      </w:r>
      <w:r>
        <w:rPr>
          <w:rFonts w:ascii="Times New Roman" w:eastAsia="Times New Roman"/>
          <w:sz w:val="21"/>
        </w:rPr>
        <w:t>7.1-8</w:t>
        <w:tab/>
      </w:r>
      <w:r>
        <w:rPr>
          <w:spacing w:val="-3"/>
          <w:sz w:val="21"/>
        </w:rPr>
        <w:t>氢</w:t>
      </w:r>
      <w:r>
        <w:rPr>
          <w:sz w:val="21"/>
        </w:rPr>
        <w:t>氧</w:t>
      </w:r>
      <w:r>
        <w:rPr>
          <w:spacing w:val="-3"/>
          <w:sz w:val="21"/>
        </w:rPr>
        <w:t>化</w:t>
      </w:r>
      <w:r>
        <w:rPr>
          <w:sz w:val="21"/>
        </w:rPr>
        <w:t>钠</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9"/>
        <w:gridCol w:w="2874"/>
        <w:gridCol w:w="1174"/>
        <w:gridCol w:w="1049"/>
        <w:gridCol w:w="1143"/>
        <w:gridCol w:w="1090"/>
      </w:tblGrid>
      <w:tr>
        <w:trPr>
          <w:trHeight w:val="272" w:hRule="atLeast"/>
        </w:trPr>
        <w:tc>
          <w:tcPr>
            <w:tcW w:w="1519" w:type="dxa"/>
            <w:tcBorders>
              <w:bottom w:val="single" w:sz="6" w:space="0" w:color="000000"/>
              <w:right w:val="single" w:sz="6" w:space="0" w:color="000000"/>
            </w:tcBorders>
          </w:tcPr>
          <w:p>
            <w:pPr>
              <w:pStyle w:val="TableParagraph"/>
              <w:spacing w:line="253" w:lineRule="exact"/>
              <w:ind w:left="102" w:right="81"/>
              <w:rPr>
                <w:sz w:val="21"/>
              </w:rPr>
            </w:pPr>
            <w:r>
              <w:rPr>
                <w:sz w:val="21"/>
              </w:rPr>
              <w:t>中文名称</w:t>
            </w:r>
          </w:p>
        </w:tc>
        <w:tc>
          <w:tcPr>
            <w:tcW w:w="2874" w:type="dxa"/>
            <w:tcBorders>
              <w:left w:val="single" w:sz="6" w:space="0" w:color="000000"/>
              <w:bottom w:val="single" w:sz="6" w:space="0" w:color="000000"/>
              <w:right w:val="single" w:sz="6" w:space="0" w:color="000000"/>
            </w:tcBorders>
          </w:tcPr>
          <w:p>
            <w:pPr>
              <w:pStyle w:val="TableParagraph"/>
              <w:spacing w:line="253" w:lineRule="exact"/>
              <w:ind w:left="161" w:right="132"/>
              <w:rPr>
                <w:sz w:val="21"/>
              </w:rPr>
            </w:pPr>
            <w:r>
              <w:rPr>
                <w:sz w:val="21"/>
              </w:rPr>
              <w:t>氢氧化钠</w:t>
            </w:r>
          </w:p>
        </w:tc>
        <w:tc>
          <w:tcPr>
            <w:tcW w:w="1174" w:type="dxa"/>
            <w:tcBorders>
              <w:left w:val="single" w:sz="6" w:space="0" w:color="000000"/>
              <w:bottom w:val="single" w:sz="6" w:space="0" w:color="000000"/>
              <w:right w:val="single" w:sz="6" w:space="0" w:color="000000"/>
            </w:tcBorders>
          </w:tcPr>
          <w:p>
            <w:pPr>
              <w:pStyle w:val="TableParagraph"/>
              <w:spacing w:line="253" w:lineRule="exact"/>
              <w:ind w:left="153" w:right="125"/>
              <w:rPr>
                <w:sz w:val="21"/>
              </w:rPr>
            </w:pPr>
            <w:r>
              <w:rPr>
                <w:sz w:val="21"/>
              </w:rPr>
              <w:t>英文名称</w:t>
            </w:r>
          </w:p>
        </w:tc>
        <w:tc>
          <w:tcPr>
            <w:tcW w:w="3282" w:type="dxa"/>
            <w:gridSpan w:val="3"/>
            <w:tcBorders>
              <w:left w:val="single" w:sz="6" w:space="0" w:color="000000"/>
              <w:bottom w:val="single" w:sz="6" w:space="0" w:color="000000"/>
            </w:tcBorders>
          </w:tcPr>
          <w:p>
            <w:pPr>
              <w:pStyle w:val="TableParagraph"/>
              <w:spacing w:line="253" w:lineRule="exact"/>
              <w:ind w:left="277"/>
              <w:jc w:val="left"/>
              <w:rPr>
                <w:rFonts w:ascii="Times New Roman" w:eastAsia="Times New Roman"/>
                <w:sz w:val="21"/>
              </w:rPr>
            </w:pPr>
            <w:r>
              <w:rPr>
                <w:rFonts w:ascii="Times New Roman" w:eastAsia="Times New Roman"/>
                <w:sz w:val="21"/>
              </w:rPr>
              <w:t>sodiun hydroxide</w:t>
            </w:r>
            <w:r>
              <w:rPr>
                <w:sz w:val="21"/>
              </w:rPr>
              <w:t>；</w:t>
            </w:r>
            <w:r>
              <w:rPr>
                <w:rFonts w:ascii="Times New Roman" w:eastAsia="Times New Roman"/>
                <w:sz w:val="21"/>
              </w:rPr>
              <w:t>Caustic soda</w:t>
            </w:r>
          </w:p>
        </w:tc>
      </w:tr>
      <w:tr>
        <w:trPr>
          <w:trHeight w:val="273" w:hRule="atLeast"/>
        </w:trPr>
        <w:tc>
          <w:tcPr>
            <w:tcW w:w="1519" w:type="dxa"/>
            <w:tcBorders>
              <w:top w:val="single" w:sz="6" w:space="0" w:color="000000"/>
              <w:bottom w:val="single" w:sz="6" w:space="0" w:color="000000"/>
              <w:right w:val="single" w:sz="6" w:space="0" w:color="000000"/>
            </w:tcBorders>
          </w:tcPr>
          <w:p>
            <w:pPr>
              <w:pStyle w:val="TableParagraph"/>
              <w:spacing w:line="254" w:lineRule="exact"/>
              <w:ind w:left="102" w:right="81"/>
              <w:rPr>
                <w:sz w:val="21"/>
              </w:rPr>
            </w:pPr>
            <w:r>
              <w:rPr>
                <w:sz w:val="21"/>
              </w:rPr>
              <w:t>侵入途径</w:t>
            </w:r>
          </w:p>
        </w:tc>
        <w:tc>
          <w:tcPr>
            <w:tcW w:w="7330" w:type="dxa"/>
            <w:gridSpan w:val="5"/>
            <w:tcBorders>
              <w:top w:val="single" w:sz="6" w:space="0" w:color="000000"/>
              <w:left w:val="single" w:sz="6" w:space="0" w:color="000000"/>
              <w:bottom w:val="single" w:sz="6" w:space="0" w:color="000000"/>
            </w:tcBorders>
          </w:tcPr>
          <w:p>
            <w:pPr>
              <w:pStyle w:val="TableParagraph"/>
              <w:spacing w:line="254" w:lineRule="exact"/>
              <w:ind w:left="2599" w:right="2567"/>
              <w:rPr>
                <w:sz w:val="21"/>
              </w:rPr>
            </w:pPr>
            <w:r>
              <w:rPr>
                <w:sz w:val="21"/>
              </w:rPr>
              <w:t>吸入、食入、经皮吸收</w:t>
            </w:r>
          </w:p>
        </w:tc>
      </w:tr>
      <w:tr>
        <w:trPr>
          <w:trHeight w:val="544" w:hRule="atLeast"/>
        </w:trPr>
        <w:tc>
          <w:tcPr>
            <w:tcW w:w="1519" w:type="dxa"/>
            <w:tcBorders>
              <w:top w:val="single" w:sz="6" w:space="0" w:color="000000"/>
              <w:bottom w:val="single" w:sz="6" w:space="0" w:color="000000"/>
              <w:right w:val="single" w:sz="6" w:space="0" w:color="000000"/>
            </w:tcBorders>
          </w:tcPr>
          <w:p>
            <w:pPr>
              <w:pStyle w:val="TableParagraph"/>
              <w:spacing w:line="259" w:lineRule="exact"/>
              <w:ind w:left="337"/>
              <w:jc w:val="left"/>
              <w:rPr>
                <w:sz w:val="21"/>
              </w:rPr>
            </w:pPr>
            <w:r>
              <w:rPr>
                <w:spacing w:val="-1"/>
                <w:sz w:val="21"/>
              </w:rPr>
              <w:t>爆炸极限</w:t>
            </w:r>
          </w:p>
          <w:p>
            <w:pPr>
              <w:pStyle w:val="TableParagraph"/>
              <w:spacing w:line="265" w:lineRule="exact"/>
              <w:ind w:left="325"/>
              <w:jc w:val="left"/>
              <w:rPr>
                <w:sz w:val="21"/>
              </w:rPr>
            </w:pPr>
            <w:r>
              <w:rPr>
                <w:sz w:val="21"/>
              </w:rPr>
              <w:t>（</w:t>
            </w:r>
            <w:r>
              <w:rPr>
                <w:rFonts w:ascii="Times New Roman" w:eastAsia="Times New Roman"/>
                <w:sz w:val="21"/>
              </w:rPr>
              <w:t>vol%</w:t>
            </w:r>
            <w:r>
              <w:rPr>
                <w:sz w:val="21"/>
              </w:rPr>
              <w:t>）</w:t>
            </w:r>
          </w:p>
        </w:tc>
        <w:tc>
          <w:tcPr>
            <w:tcW w:w="2874" w:type="dxa"/>
            <w:tcBorders>
              <w:top w:val="single" w:sz="6" w:space="0" w:color="000000"/>
              <w:left w:val="single" w:sz="6" w:space="0" w:color="000000"/>
              <w:bottom w:val="single" w:sz="6" w:space="0" w:color="000000"/>
              <w:right w:val="single" w:sz="6" w:space="0" w:color="000000"/>
            </w:tcBorders>
          </w:tcPr>
          <w:p>
            <w:pPr>
              <w:pStyle w:val="TableParagraph"/>
              <w:spacing w:before="37"/>
              <w:ind w:left="161" w:right="135"/>
              <w:rPr>
                <w:sz w:val="21"/>
              </w:rPr>
            </w:pPr>
            <w:r>
              <w:rPr>
                <w:sz w:val="21"/>
              </w:rPr>
              <w:t>无意义</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before="37"/>
              <w:ind w:left="150" w:right="125"/>
              <w:rPr>
                <w:sz w:val="21"/>
              </w:rPr>
            </w:pPr>
            <w:r>
              <w:rPr>
                <w:sz w:val="21"/>
              </w:rPr>
              <w:t>灭火剂</w:t>
            </w:r>
          </w:p>
        </w:tc>
        <w:tc>
          <w:tcPr>
            <w:tcW w:w="3282" w:type="dxa"/>
            <w:gridSpan w:val="3"/>
            <w:tcBorders>
              <w:top w:val="single" w:sz="6" w:space="0" w:color="000000"/>
              <w:left w:val="single" w:sz="6" w:space="0" w:color="000000"/>
              <w:bottom w:val="single" w:sz="6" w:space="0" w:color="000000"/>
            </w:tcBorders>
          </w:tcPr>
          <w:p>
            <w:pPr>
              <w:pStyle w:val="TableParagraph"/>
              <w:spacing w:before="37"/>
              <w:ind w:left="53" w:right="13"/>
              <w:rPr>
                <w:sz w:val="21"/>
              </w:rPr>
            </w:pPr>
            <w:r>
              <w:rPr>
                <w:sz w:val="21"/>
              </w:rPr>
              <w:t>水、砂土</w:t>
            </w:r>
          </w:p>
        </w:tc>
      </w:tr>
      <w:tr>
        <w:trPr>
          <w:trHeight w:val="273" w:hRule="atLeast"/>
        </w:trPr>
        <w:tc>
          <w:tcPr>
            <w:tcW w:w="1519" w:type="dxa"/>
            <w:tcBorders>
              <w:top w:val="single" w:sz="6" w:space="0" w:color="000000"/>
              <w:bottom w:val="single" w:sz="6" w:space="0" w:color="000000"/>
              <w:right w:val="single" w:sz="6" w:space="0" w:color="000000"/>
            </w:tcBorders>
          </w:tcPr>
          <w:p>
            <w:pPr>
              <w:pStyle w:val="TableParagraph"/>
              <w:spacing w:line="253" w:lineRule="exact"/>
              <w:ind w:left="102" w:right="81"/>
              <w:rPr>
                <w:sz w:val="21"/>
              </w:rPr>
            </w:pPr>
            <w:r>
              <w:rPr>
                <w:sz w:val="21"/>
              </w:rPr>
              <w:t>主要用途</w:t>
            </w:r>
          </w:p>
        </w:tc>
        <w:tc>
          <w:tcPr>
            <w:tcW w:w="7330" w:type="dxa"/>
            <w:gridSpan w:val="5"/>
            <w:tcBorders>
              <w:top w:val="single" w:sz="6" w:space="0" w:color="000000"/>
              <w:left w:val="single" w:sz="6" w:space="0" w:color="000000"/>
              <w:bottom w:val="single" w:sz="6" w:space="0" w:color="000000"/>
            </w:tcBorders>
          </w:tcPr>
          <w:p>
            <w:pPr>
              <w:pStyle w:val="TableParagraph"/>
              <w:spacing w:line="253" w:lineRule="exact"/>
              <w:ind w:left="201"/>
              <w:jc w:val="left"/>
              <w:rPr>
                <w:sz w:val="21"/>
              </w:rPr>
            </w:pPr>
            <w:r>
              <w:rPr>
                <w:sz w:val="21"/>
              </w:rPr>
              <w:t>用于肥皂工业、石油精炼、造纸、人造丝、染色、制革、医药、有机合成等</w:t>
            </w:r>
          </w:p>
        </w:tc>
      </w:tr>
      <w:tr>
        <w:trPr>
          <w:trHeight w:val="273" w:hRule="atLeast"/>
        </w:trPr>
        <w:tc>
          <w:tcPr>
            <w:tcW w:w="1519" w:type="dxa"/>
            <w:tcBorders>
              <w:top w:val="single" w:sz="6" w:space="0" w:color="000000"/>
              <w:bottom w:val="single" w:sz="6" w:space="0" w:color="000000"/>
              <w:right w:val="single" w:sz="6" w:space="0" w:color="000000"/>
            </w:tcBorders>
          </w:tcPr>
          <w:p>
            <w:pPr>
              <w:pStyle w:val="TableParagraph"/>
              <w:spacing w:line="253" w:lineRule="exact"/>
              <w:ind w:left="105" w:right="81"/>
              <w:rPr>
                <w:sz w:val="21"/>
              </w:rPr>
            </w:pPr>
            <w:r>
              <w:rPr>
                <w:sz w:val="21"/>
              </w:rPr>
              <w:t>物质危险类别</w:t>
            </w:r>
          </w:p>
        </w:tc>
        <w:tc>
          <w:tcPr>
            <w:tcW w:w="287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1" w:right="132"/>
              <w:rPr>
                <w:sz w:val="21"/>
              </w:rPr>
            </w:pPr>
            <w:r>
              <w:rPr>
                <w:sz w:val="21"/>
              </w:rPr>
              <w:t>第</w:t>
            </w:r>
            <w:r>
              <w:rPr>
                <w:rFonts w:ascii="Times New Roman" w:eastAsia="Times New Roman"/>
                <w:sz w:val="21"/>
              </w:rPr>
              <w:t>8.2</w:t>
            </w:r>
            <w:r>
              <w:rPr>
                <w:sz w:val="21"/>
              </w:rPr>
              <w:t>类 碱性腐蚀品</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50" w:right="125"/>
              <w:rPr>
                <w:sz w:val="21"/>
              </w:rPr>
            </w:pPr>
            <w:r>
              <w:rPr>
                <w:sz w:val="21"/>
              </w:rPr>
              <w:t>燃烧性</w:t>
            </w:r>
          </w:p>
        </w:tc>
        <w:tc>
          <w:tcPr>
            <w:tcW w:w="3282" w:type="dxa"/>
            <w:gridSpan w:val="3"/>
            <w:tcBorders>
              <w:top w:val="single" w:sz="6" w:space="0" w:color="000000"/>
              <w:left w:val="single" w:sz="6" w:space="0" w:color="000000"/>
              <w:bottom w:val="single" w:sz="6" w:space="0" w:color="000000"/>
            </w:tcBorders>
          </w:tcPr>
          <w:p>
            <w:pPr>
              <w:pStyle w:val="TableParagraph"/>
              <w:spacing w:line="253" w:lineRule="exact"/>
              <w:ind w:left="52" w:right="15"/>
              <w:rPr>
                <w:sz w:val="21"/>
              </w:rPr>
            </w:pPr>
            <w:r>
              <w:rPr>
                <w:sz w:val="21"/>
              </w:rPr>
              <w:t>不燃</w:t>
            </w:r>
          </w:p>
        </w:tc>
      </w:tr>
      <w:tr>
        <w:trPr>
          <w:trHeight w:val="544" w:hRule="atLeast"/>
        </w:trPr>
        <w:tc>
          <w:tcPr>
            <w:tcW w:w="1519" w:type="dxa"/>
            <w:tcBorders>
              <w:top w:val="single" w:sz="6" w:space="0" w:color="000000"/>
              <w:bottom w:val="single" w:sz="6" w:space="0" w:color="000000"/>
              <w:right w:val="single" w:sz="6" w:space="0" w:color="000000"/>
            </w:tcBorders>
          </w:tcPr>
          <w:p>
            <w:pPr>
              <w:pStyle w:val="TableParagraph"/>
              <w:spacing w:before="37"/>
              <w:ind w:left="104" w:right="81"/>
              <w:rPr>
                <w:sz w:val="21"/>
              </w:rPr>
            </w:pPr>
            <w:r>
              <w:rPr>
                <w:sz w:val="21"/>
              </w:rPr>
              <w:t>禁忌物</w:t>
            </w:r>
          </w:p>
        </w:tc>
        <w:tc>
          <w:tcPr>
            <w:tcW w:w="2874"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61" w:right="138"/>
              <w:rPr>
                <w:sz w:val="21"/>
              </w:rPr>
            </w:pPr>
            <w:r>
              <w:rPr>
                <w:sz w:val="21"/>
              </w:rPr>
              <w:t>强酸、易燃或可燃物、二氧</w:t>
            </w:r>
          </w:p>
          <w:p>
            <w:pPr>
              <w:pStyle w:val="TableParagraph"/>
              <w:spacing w:line="266" w:lineRule="exact"/>
              <w:ind w:left="161" w:right="132"/>
              <w:rPr>
                <w:sz w:val="21"/>
              </w:rPr>
            </w:pPr>
            <w:r>
              <w:rPr>
                <w:sz w:val="21"/>
              </w:rPr>
              <w:t>化碳、过氧化物、水</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before="37"/>
              <w:ind w:left="150" w:right="125"/>
              <w:rPr>
                <w:sz w:val="21"/>
              </w:rPr>
            </w:pPr>
            <w:r>
              <w:rPr>
                <w:sz w:val="21"/>
              </w:rPr>
              <w:t>溶解性</w:t>
            </w:r>
          </w:p>
        </w:tc>
        <w:tc>
          <w:tcPr>
            <w:tcW w:w="3282" w:type="dxa"/>
            <w:gridSpan w:val="3"/>
            <w:tcBorders>
              <w:top w:val="single" w:sz="6" w:space="0" w:color="000000"/>
              <w:left w:val="single" w:sz="6" w:space="0" w:color="000000"/>
              <w:bottom w:val="single" w:sz="6" w:space="0" w:color="000000"/>
            </w:tcBorders>
          </w:tcPr>
          <w:p>
            <w:pPr>
              <w:pStyle w:val="TableParagraph"/>
              <w:spacing w:line="258" w:lineRule="exact"/>
              <w:ind w:left="53" w:right="15"/>
              <w:rPr>
                <w:sz w:val="21"/>
              </w:rPr>
            </w:pPr>
            <w:r>
              <w:rPr>
                <w:sz w:val="21"/>
              </w:rPr>
              <w:t>易溶于水、乙醇、甘油，不溶于丙</w:t>
            </w:r>
          </w:p>
          <w:p>
            <w:pPr>
              <w:pStyle w:val="TableParagraph"/>
              <w:spacing w:line="266" w:lineRule="exact"/>
              <w:ind w:left="52" w:right="15"/>
              <w:rPr>
                <w:sz w:val="21"/>
              </w:rPr>
            </w:pPr>
            <w:r>
              <w:rPr>
                <w:sz w:val="21"/>
              </w:rPr>
              <w:t>酮。</w:t>
            </w:r>
          </w:p>
        </w:tc>
      </w:tr>
      <w:tr>
        <w:trPr>
          <w:trHeight w:val="273" w:hRule="atLeast"/>
        </w:trPr>
        <w:tc>
          <w:tcPr>
            <w:tcW w:w="1519" w:type="dxa"/>
            <w:tcBorders>
              <w:top w:val="single" w:sz="6" w:space="0" w:color="000000"/>
              <w:bottom w:val="single" w:sz="6" w:space="0" w:color="000000"/>
              <w:right w:val="single" w:sz="6" w:space="0" w:color="000000"/>
            </w:tcBorders>
          </w:tcPr>
          <w:p>
            <w:pPr>
              <w:pStyle w:val="TableParagraph"/>
              <w:spacing w:line="253" w:lineRule="exact"/>
              <w:ind w:left="110" w:right="77"/>
              <w:rPr>
                <w:sz w:val="21"/>
              </w:rPr>
            </w:pPr>
            <w:r>
              <w:rPr>
                <w:sz w:val="21"/>
              </w:rPr>
              <w:t>燃烧分解产物</w:t>
            </w:r>
          </w:p>
        </w:tc>
        <w:tc>
          <w:tcPr>
            <w:tcW w:w="287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1" w:right="135"/>
              <w:rPr>
                <w:sz w:val="21"/>
              </w:rPr>
            </w:pPr>
            <w:r>
              <w:rPr>
                <w:sz w:val="21"/>
              </w:rPr>
              <w:t>无意义</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8" w:right="125"/>
              <w:rPr>
                <w:sz w:val="21"/>
              </w:rPr>
            </w:pPr>
            <w:r>
              <w:rPr>
                <w:rFonts w:ascii="Times New Roman" w:eastAsia="Times New Roman"/>
                <w:sz w:val="21"/>
              </w:rPr>
              <w:t>UN </w:t>
            </w:r>
            <w:r>
              <w:rPr>
                <w:sz w:val="21"/>
              </w:rPr>
              <w:t>编号</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10"/>
              <w:ind w:left="195" w:right="165"/>
              <w:rPr>
                <w:rFonts w:ascii="Times New Roman"/>
                <w:sz w:val="21"/>
              </w:rPr>
            </w:pPr>
            <w:r>
              <w:rPr>
                <w:rFonts w:ascii="Times New Roman"/>
                <w:sz w:val="21"/>
              </w:rPr>
              <w:t>1823</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10"/>
              <w:ind w:left="136" w:right="111"/>
              <w:rPr>
                <w:rFonts w:ascii="Times New Roman"/>
                <w:sz w:val="21"/>
              </w:rPr>
            </w:pPr>
            <w:r>
              <w:rPr>
                <w:rFonts w:ascii="Times New Roman"/>
                <w:sz w:val="21"/>
              </w:rPr>
              <w:t>CAS NO.</w:t>
            </w:r>
          </w:p>
        </w:tc>
        <w:tc>
          <w:tcPr>
            <w:tcW w:w="1090" w:type="dxa"/>
            <w:tcBorders>
              <w:top w:val="single" w:sz="6" w:space="0" w:color="000000"/>
              <w:left w:val="single" w:sz="6" w:space="0" w:color="000000"/>
              <w:bottom w:val="single" w:sz="6" w:space="0" w:color="000000"/>
            </w:tcBorders>
          </w:tcPr>
          <w:p>
            <w:pPr>
              <w:pStyle w:val="TableParagraph"/>
              <w:spacing w:before="10"/>
              <w:ind w:left="90" w:right="61"/>
              <w:rPr>
                <w:rFonts w:ascii="Times New Roman"/>
                <w:sz w:val="21"/>
              </w:rPr>
            </w:pPr>
            <w:r>
              <w:rPr>
                <w:rFonts w:ascii="Times New Roman"/>
                <w:sz w:val="21"/>
              </w:rPr>
              <w:t>1310-73-2</w:t>
            </w:r>
          </w:p>
        </w:tc>
      </w:tr>
      <w:tr>
        <w:trPr>
          <w:trHeight w:val="270" w:hRule="atLeast"/>
        </w:trPr>
        <w:tc>
          <w:tcPr>
            <w:tcW w:w="1519" w:type="dxa"/>
            <w:tcBorders>
              <w:top w:val="single" w:sz="6" w:space="0" w:color="000000"/>
              <w:bottom w:val="single" w:sz="6" w:space="0" w:color="000000"/>
              <w:right w:val="single" w:sz="6" w:space="0" w:color="000000"/>
            </w:tcBorders>
          </w:tcPr>
          <w:p>
            <w:pPr>
              <w:pStyle w:val="TableParagraph"/>
              <w:spacing w:line="251" w:lineRule="exact"/>
              <w:ind w:left="110" w:right="77"/>
              <w:rPr>
                <w:sz w:val="21"/>
              </w:rPr>
            </w:pPr>
            <w:r>
              <w:rPr>
                <w:sz w:val="21"/>
              </w:rPr>
              <w:t>危险货物编号</w:t>
            </w:r>
          </w:p>
        </w:tc>
        <w:tc>
          <w:tcPr>
            <w:tcW w:w="2874" w:type="dxa"/>
            <w:tcBorders>
              <w:top w:val="single" w:sz="6" w:space="0" w:color="000000"/>
              <w:left w:val="single" w:sz="6" w:space="0" w:color="000000"/>
              <w:bottom w:val="single" w:sz="6" w:space="0" w:color="000000"/>
              <w:right w:val="single" w:sz="6" w:space="0" w:color="000000"/>
            </w:tcBorders>
          </w:tcPr>
          <w:p>
            <w:pPr>
              <w:pStyle w:val="TableParagraph"/>
              <w:spacing w:before="7"/>
              <w:ind w:left="161" w:right="135"/>
              <w:rPr>
                <w:rFonts w:ascii="Times New Roman"/>
                <w:sz w:val="21"/>
              </w:rPr>
            </w:pPr>
            <w:r>
              <w:rPr>
                <w:rFonts w:ascii="Times New Roman"/>
                <w:sz w:val="21"/>
              </w:rPr>
              <w:t>82001</w:t>
            </w:r>
          </w:p>
        </w:tc>
        <w:tc>
          <w:tcPr>
            <w:tcW w:w="1174"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53" w:right="125"/>
              <w:rPr>
                <w:sz w:val="21"/>
              </w:rPr>
            </w:pPr>
            <w:r>
              <w:rPr>
                <w:sz w:val="21"/>
              </w:rPr>
              <w:t>包装类别</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25"/>
              <w:rPr>
                <w:sz w:val="21"/>
              </w:rPr>
            </w:pPr>
            <w:r>
              <w:rPr>
                <w:w w:val="100"/>
                <w:sz w:val="21"/>
              </w:rPr>
              <w:t>Ⅱ</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36" w:right="111"/>
              <w:rPr>
                <w:sz w:val="21"/>
              </w:rPr>
            </w:pPr>
            <w:r>
              <w:rPr>
                <w:sz w:val="21"/>
              </w:rPr>
              <w:t>包装标志</w:t>
            </w:r>
          </w:p>
        </w:tc>
        <w:tc>
          <w:tcPr>
            <w:tcW w:w="1090" w:type="dxa"/>
            <w:tcBorders>
              <w:top w:val="single" w:sz="6" w:space="0" w:color="000000"/>
              <w:left w:val="single" w:sz="6" w:space="0" w:color="000000"/>
              <w:bottom w:val="single" w:sz="6" w:space="0" w:color="000000"/>
            </w:tcBorders>
          </w:tcPr>
          <w:p>
            <w:pPr>
              <w:pStyle w:val="TableParagraph"/>
              <w:spacing w:line="251" w:lineRule="exact"/>
              <w:ind w:left="90" w:right="56"/>
              <w:rPr>
                <w:sz w:val="21"/>
              </w:rPr>
            </w:pPr>
            <w:r>
              <w:rPr>
                <w:sz w:val="21"/>
              </w:rPr>
              <w:t>腐蚀品</w:t>
            </w:r>
          </w:p>
        </w:tc>
      </w:tr>
      <w:tr>
        <w:trPr>
          <w:trHeight w:val="546" w:hRule="atLeast"/>
        </w:trPr>
        <w:tc>
          <w:tcPr>
            <w:tcW w:w="1519" w:type="dxa"/>
            <w:tcBorders>
              <w:top w:val="single" w:sz="6" w:space="0" w:color="000000"/>
              <w:bottom w:val="single" w:sz="6" w:space="0" w:color="000000"/>
              <w:right w:val="single" w:sz="6" w:space="0" w:color="000000"/>
            </w:tcBorders>
          </w:tcPr>
          <w:p>
            <w:pPr>
              <w:pStyle w:val="TableParagraph"/>
              <w:spacing w:before="37"/>
              <w:ind w:left="102" w:right="81"/>
              <w:rPr>
                <w:sz w:val="21"/>
              </w:rPr>
            </w:pPr>
            <w:r>
              <w:rPr>
                <w:sz w:val="21"/>
              </w:rPr>
              <w:t>危险特性</w:t>
            </w:r>
          </w:p>
        </w:tc>
        <w:tc>
          <w:tcPr>
            <w:tcW w:w="7330" w:type="dxa"/>
            <w:gridSpan w:val="5"/>
            <w:tcBorders>
              <w:top w:val="single" w:sz="6" w:space="0" w:color="000000"/>
              <w:left w:val="single" w:sz="6" w:space="0" w:color="000000"/>
              <w:bottom w:val="single" w:sz="6" w:space="0" w:color="000000"/>
            </w:tcBorders>
          </w:tcPr>
          <w:p>
            <w:pPr>
              <w:pStyle w:val="TableParagraph"/>
              <w:spacing w:line="261" w:lineRule="exact"/>
              <w:ind w:left="112"/>
              <w:jc w:val="left"/>
              <w:rPr>
                <w:sz w:val="21"/>
              </w:rPr>
            </w:pPr>
            <w:r>
              <w:rPr>
                <w:sz w:val="21"/>
              </w:rPr>
              <w:t>与酸发生中和反应并放热。遇潮时对铝、锌和锡有腐蚀性，并放出易燃易爆氢</w:t>
            </w:r>
          </w:p>
          <w:p>
            <w:pPr>
              <w:pStyle w:val="TableParagraph"/>
              <w:spacing w:line="266" w:lineRule="exact"/>
              <w:ind w:left="112" w:right="-29"/>
              <w:jc w:val="left"/>
              <w:rPr>
                <w:sz w:val="21"/>
              </w:rPr>
            </w:pPr>
            <w:r>
              <w:rPr>
                <w:spacing w:val="-5"/>
                <w:sz w:val="21"/>
              </w:rPr>
              <w:t>气。本品不会燃烧</w:t>
            </w:r>
            <w:r>
              <w:rPr>
                <w:rFonts w:ascii="Times New Roman" w:eastAsia="Times New Roman"/>
                <w:spacing w:val="9"/>
                <w:sz w:val="21"/>
              </w:rPr>
              <w:t>, </w:t>
            </w:r>
            <w:r>
              <w:rPr>
                <w:spacing w:val="-3"/>
                <w:sz w:val="21"/>
              </w:rPr>
              <w:t>遇水和水蒸气大量放热</w:t>
            </w:r>
            <w:r>
              <w:rPr>
                <w:rFonts w:ascii="Times New Roman" w:eastAsia="Times New Roman"/>
                <w:spacing w:val="9"/>
                <w:sz w:val="21"/>
              </w:rPr>
              <w:t>, </w:t>
            </w:r>
            <w:r>
              <w:rPr>
                <w:spacing w:val="-5"/>
                <w:sz w:val="21"/>
              </w:rPr>
              <w:t>形成腐蚀性溶液。具有强腐蚀性。</w:t>
            </w:r>
          </w:p>
        </w:tc>
      </w:tr>
      <w:tr>
        <w:trPr>
          <w:trHeight w:val="270" w:hRule="atLeast"/>
        </w:trPr>
        <w:tc>
          <w:tcPr>
            <w:tcW w:w="1519" w:type="dxa"/>
            <w:tcBorders>
              <w:top w:val="single" w:sz="6" w:space="0" w:color="000000"/>
              <w:bottom w:val="single" w:sz="6" w:space="0" w:color="000000"/>
              <w:right w:val="single" w:sz="6" w:space="0" w:color="000000"/>
            </w:tcBorders>
          </w:tcPr>
          <w:p>
            <w:pPr>
              <w:pStyle w:val="TableParagraph"/>
              <w:spacing w:line="251" w:lineRule="exact"/>
              <w:ind w:left="102" w:right="81"/>
              <w:rPr>
                <w:sz w:val="21"/>
              </w:rPr>
            </w:pPr>
            <w:r>
              <w:rPr>
                <w:sz w:val="21"/>
              </w:rPr>
              <w:t>灭火方法</w:t>
            </w:r>
          </w:p>
        </w:tc>
        <w:tc>
          <w:tcPr>
            <w:tcW w:w="7330" w:type="dxa"/>
            <w:gridSpan w:val="5"/>
            <w:tcBorders>
              <w:top w:val="single" w:sz="6" w:space="0" w:color="000000"/>
              <w:left w:val="single" w:sz="6" w:space="0" w:color="000000"/>
              <w:bottom w:val="single" w:sz="6" w:space="0" w:color="000000"/>
            </w:tcBorders>
          </w:tcPr>
          <w:p>
            <w:pPr>
              <w:pStyle w:val="TableParagraph"/>
              <w:spacing w:line="251" w:lineRule="exact"/>
              <w:ind w:left="112"/>
              <w:jc w:val="left"/>
              <w:rPr>
                <w:sz w:val="21"/>
              </w:rPr>
            </w:pPr>
            <w:r>
              <w:rPr>
                <w:sz w:val="21"/>
              </w:rPr>
              <w:t>用水、砂土扑救，但须防止物品遇水产生飞溅，造成灼伤。</w:t>
            </w:r>
          </w:p>
        </w:tc>
      </w:tr>
      <w:tr>
        <w:trPr>
          <w:trHeight w:val="311" w:hRule="atLeast"/>
        </w:trPr>
        <w:tc>
          <w:tcPr>
            <w:tcW w:w="1519" w:type="dxa"/>
            <w:tcBorders>
              <w:top w:val="single" w:sz="6" w:space="0" w:color="000000"/>
              <w:right w:val="single" w:sz="6" w:space="0" w:color="000000"/>
            </w:tcBorders>
          </w:tcPr>
          <w:p>
            <w:pPr>
              <w:pStyle w:val="TableParagraph"/>
              <w:spacing w:line="291" w:lineRule="exact"/>
              <w:ind w:left="102" w:right="81"/>
              <w:rPr>
                <w:sz w:val="21"/>
              </w:rPr>
            </w:pPr>
            <w:r>
              <w:rPr>
                <w:sz w:val="21"/>
              </w:rPr>
              <w:t>健康危害</w:t>
            </w:r>
          </w:p>
        </w:tc>
        <w:tc>
          <w:tcPr>
            <w:tcW w:w="7330" w:type="dxa"/>
            <w:gridSpan w:val="5"/>
            <w:tcBorders>
              <w:top w:val="single" w:sz="6" w:space="0" w:color="000000"/>
              <w:left w:val="single" w:sz="6" w:space="0" w:color="000000"/>
            </w:tcBorders>
          </w:tcPr>
          <w:p>
            <w:pPr>
              <w:pStyle w:val="TableParagraph"/>
              <w:spacing w:line="291" w:lineRule="exact"/>
              <w:ind w:left="112"/>
              <w:jc w:val="left"/>
              <w:rPr>
                <w:sz w:val="21"/>
              </w:rPr>
            </w:pPr>
            <w:r>
              <w:rPr>
                <w:sz w:val="21"/>
              </w:rPr>
              <w:t>侵入途径：吸入、食入、经皮吸收。</w:t>
            </w:r>
          </w:p>
        </w:tc>
      </w:tr>
    </w:tbl>
    <w:p>
      <w:pPr>
        <w:spacing w:after="0" w:line="291"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9"/>
        <w:gridCol w:w="7329"/>
      </w:tblGrid>
      <w:tr>
        <w:trPr>
          <w:trHeight w:val="544" w:hRule="atLeast"/>
        </w:trPr>
        <w:tc>
          <w:tcPr>
            <w:tcW w:w="1519" w:type="dxa"/>
            <w:tcBorders>
              <w:bottom w:val="single" w:sz="6" w:space="0" w:color="000000"/>
              <w:right w:val="single" w:sz="6" w:space="0" w:color="000000"/>
            </w:tcBorders>
          </w:tcPr>
          <w:p>
            <w:pPr>
              <w:pStyle w:val="TableParagraph"/>
              <w:jc w:val="left"/>
              <w:rPr>
                <w:rFonts w:ascii="Times New Roman"/>
                <w:sz w:val="20"/>
              </w:rPr>
            </w:pPr>
          </w:p>
        </w:tc>
        <w:tc>
          <w:tcPr>
            <w:tcW w:w="7329" w:type="dxa"/>
            <w:tcBorders>
              <w:left w:val="single" w:sz="6" w:space="0" w:color="000000"/>
              <w:bottom w:val="single" w:sz="6" w:space="0" w:color="000000"/>
            </w:tcBorders>
          </w:tcPr>
          <w:p>
            <w:pPr>
              <w:pStyle w:val="TableParagraph"/>
              <w:spacing w:line="261" w:lineRule="exact"/>
              <w:ind w:left="112"/>
              <w:jc w:val="left"/>
              <w:rPr>
                <w:sz w:val="21"/>
              </w:rPr>
            </w:pPr>
            <w:r>
              <w:rPr>
                <w:sz w:val="21"/>
              </w:rPr>
              <w:t>本品有强烈刺激和腐蚀性。粉尘刺激眼和呼吸道，腐蚀鼻中隔；皮肤和眼直接</w:t>
            </w:r>
          </w:p>
          <w:p>
            <w:pPr>
              <w:pStyle w:val="TableParagraph"/>
              <w:spacing w:line="263" w:lineRule="exact"/>
              <w:ind w:left="112"/>
              <w:jc w:val="left"/>
              <w:rPr>
                <w:sz w:val="21"/>
              </w:rPr>
            </w:pPr>
            <w:r>
              <w:rPr>
                <w:sz w:val="21"/>
              </w:rPr>
              <w:t>接触可引起灼伤；误服可造成消化道灼伤，粘膜糜烂、出血和休克。</w:t>
            </w:r>
          </w:p>
        </w:tc>
      </w:tr>
      <w:tr>
        <w:trPr>
          <w:trHeight w:val="1362" w:hRule="atLeast"/>
        </w:trPr>
        <w:tc>
          <w:tcPr>
            <w:tcW w:w="1519" w:type="dxa"/>
            <w:tcBorders>
              <w:top w:val="single" w:sz="6" w:space="0" w:color="000000"/>
              <w:bottom w:val="single" w:sz="6" w:space="0" w:color="000000"/>
              <w:right w:val="single" w:sz="6" w:space="0" w:color="000000"/>
            </w:tcBorders>
          </w:tcPr>
          <w:p>
            <w:pPr>
              <w:pStyle w:val="TableParagraph"/>
              <w:spacing w:before="2"/>
              <w:jc w:val="left"/>
              <w:rPr>
                <w:sz w:val="21"/>
              </w:rPr>
            </w:pPr>
          </w:p>
          <w:p>
            <w:pPr>
              <w:pStyle w:val="TableParagraph"/>
              <w:ind w:left="102" w:right="81"/>
              <w:rPr>
                <w:sz w:val="21"/>
              </w:rPr>
            </w:pPr>
            <w:r>
              <w:rPr>
                <w:sz w:val="21"/>
              </w:rPr>
              <w:t>急救措施</w:t>
            </w:r>
          </w:p>
        </w:tc>
        <w:tc>
          <w:tcPr>
            <w:tcW w:w="7329" w:type="dxa"/>
            <w:tcBorders>
              <w:top w:val="single" w:sz="6" w:space="0" w:color="000000"/>
              <w:left w:val="single" w:sz="6" w:space="0" w:color="000000"/>
              <w:bottom w:val="single" w:sz="6" w:space="0" w:color="000000"/>
            </w:tcBorders>
          </w:tcPr>
          <w:p>
            <w:pPr>
              <w:pStyle w:val="TableParagraph"/>
              <w:spacing w:line="146" w:lineRule="auto" w:before="23"/>
              <w:ind w:left="112" w:right="74"/>
              <w:jc w:val="both"/>
              <w:rPr>
                <w:sz w:val="21"/>
              </w:rPr>
            </w:pPr>
            <w:r>
              <w:rPr>
                <w:spacing w:val="-4"/>
                <w:sz w:val="21"/>
              </w:rPr>
              <w:t>皮肤接触：立即脱去污染的衣着，用大量流动清水冲洗至少</w:t>
            </w:r>
            <w:r>
              <w:rPr>
                <w:rFonts w:ascii="Times New Roman" w:eastAsia="Times New Roman"/>
                <w:sz w:val="21"/>
              </w:rPr>
              <w:t>15</w:t>
            </w:r>
            <w:r>
              <w:rPr>
                <w:spacing w:val="-5"/>
                <w:sz w:val="21"/>
              </w:rPr>
              <w:t>分钟。就医。眼</w:t>
            </w:r>
            <w:r>
              <w:rPr>
                <w:spacing w:val="-7"/>
                <w:sz w:val="21"/>
              </w:rPr>
              <w:t>睛接触：立即提起眼睑，用大量流动清水或生理盐水彻底冲洗至少</w:t>
            </w:r>
            <w:r>
              <w:rPr>
                <w:rFonts w:ascii="Times New Roman" w:eastAsia="Times New Roman"/>
                <w:sz w:val="21"/>
              </w:rPr>
              <w:t>15</w:t>
            </w:r>
            <w:r>
              <w:rPr>
                <w:spacing w:val="-5"/>
                <w:sz w:val="21"/>
              </w:rPr>
              <w:t>分钟。就</w:t>
            </w:r>
            <w:r>
              <w:rPr>
                <w:spacing w:val="-7"/>
                <w:sz w:val="21"/>
              </w:rPr>
              <w:t>医。吸入：迅速脱离现场至空气新鲜处。保持呼吸道通畅。如呼吸困难，给输</w:t>
            </w:r>
            <w:r>
              <w:rPr>
                <w:spacing w:val="-6"/>
                <w:sz w:val="21"/>
              </w:rPr>
              <w:t>氧。如呼吸停止，立即进行人工呼吸。就医。食 入：用水漱口，给饮牛奶或</w:t>
            </w:r>
          </w:p>
          <w:p>
            <w:pPr>
              <w:pStyle w:val="TableParagraph"/>
              <w:spacing w:line="233" w:lineRule="exact"/>
              <w:ind w:left="112"/>
              <w:jc w:val="both"/>
              <w:rPr>
                <w:sz w:val="21"/>
              </w:rPr>
            </w:pPr>
            <w:r>
              <w:rPr>
                <w:sz w:val="21"/>
              </w:rPr>
              <w:t>蛋清。就医。</w:t>
            </w:r>
          </w:p>
        </w:tc>
      </w:tr>
      <w:tr>
        <w:trPr>
          <w:trHeight w:val="1089" w:hRule="atLeast"/>
        </w:trPr>
        <w:tc>
          <w:tcPr>
            <w:tcW w:w="1519" w:type="dxa"/>
            <w:tcBorders>
              <w:top w:val="single" w:sz="6" w:space="0" w:color="000000"/>
              <w:bottom w:val="single" w:sz="6" w:space="0" w:color="000000"/>
              <w:right w:val="single" w:sz="6" w:space="0" w:color="000000"/>
            </w:tcBorders>
          </w:tcPr>
          <w:p>
            <w:pPr>
              <w:pStyle w:val="TableParagraph"/>
              <w:spacing w:before="13"/>
              <w:jc w:val="left"/>
              <w:rPr>
                <w:sz w:val="14"/>
              </w:rPr>
            </w:pPr>
          </w:p>
          <w:p>
            <w:pPr>
              <w:pStyle w:val="TableParagraph"/>
              <w:ind w:left="102" w:right="81"/>
              <w:rPr>
                <w:sz w:val="21"/>
              </w:rPr>
            </w:pPr>
            <w:r>
              <w:rPr>
                <w:sz w:val="21"/>
              </w:rPr>
              <w:t>防护措施</w:t>
            </w:r>
          </w:p>
        </w:tc>
        <w:tc>
          <w:tcPr>
            <w:tcW w:w="7329" w:type="dxa"/>
            <w:tcBorders>
              <w:top w:val="single" w:sz="6" w:space="0" w:color="000000"/>
              <w:left w:val="single" w:sz="6" w:space="0" w:color="000000"/>
              <w:bottom w:val="single" w:sz="6" w:space="0" w:color="000000"/>
            </w:tcBorders>
          </w:tcPr>
          <w:p>
            <w:pPr>
              <w:pStyle w:val="TableParagraph"/>
              <w:spacing w:line="146" w:lineRule="auto" w:before="21"/>
              <w:ind w:left="112" w:right="75"/>
              <w:jc w:val="both"/>
              <w:rPr>
                <w:sz w:val="21"/>
              </w:rPr>
            </w:pPr>
            <w:r>
              <w:rPr>
                <w:spacing w:val="-6"/>
                <w:sz w:val="21"/>
              </w:rPr>
              <w:t>呼吸系统防护：可能接触其粉尘时，必须佩戴头罩型电动送风过滤式防尘呼吸器。必要时，佩戴空气呼吸器。眼睛防护：呼吸系统防护中已作防护。身体防护：穿橡胶耐酸碱服。手防护：戴橡胶耐酸碱手套。其他防护：工作场所禁止</w:t>
            </w:r>
          </w:p>
          <w:p>
            <w:pPr>
              <w:pStyle w:val="TableParagraph"/>
              <w:spacing w:line="233" w:lineRule="exact"/>
              <w:ind w:left="112"/>
              <w:jc w:val="both"/>
              <w:rPr>
                <w:sz w:val="21"/>
              </w:rPr>
            </w:pPr>
            <w:r>
              <w:rPr>
                <w:spacing w:val="-3"/>
                <w:sz w:val="21"/>
              </w:rPr>
              <w:t>吸烟、进食和饮水，饭前要洗手。工作完毕，淋浴更衣。注意个人清洁卫生。</w:t>
            </w:r>
          </w:p>
        </w:tc>
      </w:tr>
      <w:tr>
        <w:trPr>
          <w:trHeight w:val="1089" w:hRule="atLeast"/>
        </w:trPr>
        <w:tc>
          <w:tcPr>
            <w:tcW w:w="1519" w:type="dxa"/>
            <w:tcBorders>
              <w:top w:val="single" w:sz="6" w:space="0" w:color="000000"/>
              <w:right w:val="single" w:sz="6" w:space="0" w:color="000000"/>
            </w:tcBorders>
          </w:tcPr>
          <w:p>
            <w:pPr>
              <w:pStyle w:val="TableParagraph"/>
              <w:spacing w:before="19"/>
              <w:jc w:val="left"/>
              <w:rPr>
                <w:sz w:val="13"/>
              </w:rPr>
            </w:pPr>
          </w:p>
          <w:p>
            <w:pPr>
              <w:pStyle w:val="TableParagraph"/>
              <w:spacing w:line="146" w:lineRule="auto" w:before="1"/>
              <w:ind w:left="443" w:right="417"/>
              <w:jc w:val="left"/>
              <w:rPr>
                <w:sz w:val="21"/>
              </w:rPr>
            </w:pPr>
            <w:r>
              <w:rPr>
                <w:sz w:val="21"/>
              </w:rPr>
              <w:t>泄漏应急措施</w:t>
            </w:r>
          </w:p>
        </w:tc>
        <w:tc>
          <w:tcPr>
            <w:tcW w:w="7329" w:type="dxa"/>
            <w:tcBorders>
              <w:top w:val="single" w:sz="6" w:space="0" w:color="000000"/>
              <w:left w:val="single" w:sz="6" w:space="0" w:color="000000"/>
            </w:tcBorders>
          </w:tcPr>
          <w:p>
            <w:pPr>
              <w:pStyle w:val="TableParagraph"/>
              <w:spacing w:line="146" w:lineRule="auto" w:before="21"/>
              <w:ind w:left="112" w:right="74"/>
              <w:jc w:val="both"/>
              <w:rPr>
                <w:sz w:val="21"/>
              </w:rPr>
            </w:pPr>
            <w:r>
              <w:rPr>
                <w:spacing w:val="-6"/>
                <w:sz w:val="21"/>
              </w:rPr>
              <w:t>隔离泄漏污染区，限制出入。建议应急处理人员戴防尘面具</w:t>
            </w:r>
            <w:r>
              <w:rPr>
                <w:sz w:val="21"/>
              </w:rPr>
              <w:t>（</w:t>
            </w:r>
            <w:r>
              <w:rPr>
                <w:spacing w:val="-3"/>
                <w:sz w:val="21"/>
              </w:rPr>
              <w:t>全面罩</w:t>
            </w:r>
            <w:r>
              <w:rPr>
                <w:spacing w:val="-7"/>
                <w:sz w:val="21"/>
              </w:rPr>
              <w:t>）</w:t>
            </w:r>
            <w:r>
              <w:rPr>
                <w:spacing w:val="-4"/>
                <w:sz w:val="21"/>
              </w:rPr>
              <w:t>，穿防</w:t>
            </w:r>
            <w:r>
              <w:rPr>
                <w:spacing w:val="-7"/>
                <w:sz w:val="21"/>
              </w:rPr>
              <w:t>酸碱工作服。不要直接接触泄漏物。小量泄漏：避免扬尘，用洁净的铲子收集</w:t>
            </w:r>
            <w:r>
              <w:rPr>
                <w:spacing w:val="-8"/>
                <w:sz w:val="21"/>
              </w:rPr>
              <w:t>于干燥、洁净、有盖的容器中。也可以用大量水冲洗，洗水稀释后放入废水系</w:t>
            </w:r>
          </w:p>
          <w:p>
            <w:pPr>
              <w:pStyle w:val="TableParagraph"/>
              <w:spacing w:line="233" w:lineRule="exact"/>
              <w:ind w:left="112"/>
              <w:jc w:val="both"/>
              <w:rPr>
                <w:sz w:val="21"/>
              </w:rPr>
            </w:pPr>
            <w:r>
              <w:rPr>
                <w:sz w:val="21"/>
              </w:rPr>
              <w:t>统。大量泄漏：收集回收或运至废物处理场所处置。</w:t>
            </w:r>
          </w:p>
        </w:tc>
      </w:tr>
    </w:tbl>
    <w:p>
      <w:pPr>
        <w:pStyle w:val="BodyText"/>
        <w:spacing w:before="18"/>
        <w:rPr>
          <w:sz w:val="3"/>
        </w:rPr>
      </w:pPr>
    </w:p>
    <w:p>
      <w:pPr>
        <w:tabs>
          <w:tab w:pos="4140" w:val="left" w:leader="none"/>
        </w:tabs>
        <w:spacing w:line="423" w:lineRule="exact" w:before="0" w:after="46"/>
        <w:ind w:left="3228" w:right="0" w:firstLine="0"/>
        <w:jc w:val="left"/>
        <w:rPr>
          <w:sz w:val="21"/>
        </w:rPr>
      </w:pPr>
      <w:r>
        <w:rPr>
          <w:sz w:val="21"/>
        </w:rPr>
        <w:t>表</w:t>
      </w:r>
      <w:r>
        <w:rPr>
          <w:spacing w:val="4"/>
          <w:sz w:val="21"/>
        </w:rPr>
        <w:t> </w:t>
      </w:r>
      <w:r>
        <w:rPr>
          <w:rFonts w:ascii="Times New Roman" w:eastAsia="Times New Roman"/>
          <w:sz w:val="21"/>
        </w:rPr>
        <w:t>7.1-9</w:t>
        <w:tab/>
      </w:r>
      <w:r>
        <w:rPr>
          <w:spacing w:val="-3"/>
          <w:sz w:val="21"/>
        </w:rPr>
        <w:t>盐</w:t>
      </w:r>
      <w:r>
        <w:rPr>
          <w:sz w:val="21"/>
        </w:rPr>
        <w:t>酸</w:t>
      </w:r>
      <w:r>
        <w:rPr>
          <w:spacing w:val="-3"/>
          <w:sz w:val="21"/>
        </w:rPr>
        <w:t>危</w:t>
      </w:r>
      <w:r>
        <w:rPr>
          <w:sz w:val="21"/>
        </w:rPr>
        <w:t>险</w:t>
      </w:r>
      <w:r>
        <w:rPr>
          <w:spacing w:val="-3"/>
          <w:sz w:val="21"/>
        </w:rPr>
        <w:t>特</w:t>
      </w:r>
      <w:r>
        <w:rPr>
          <w:sz w:val="21"/>
        </w:rPr>
        <w:t>性</w:t>
      </w:r>
      <w:r>
        <w:rPr>
          <w:spacing w:val="-3"/>
          <w:sz w:val="21"/>
        </w:rPr>
        <w:t>及</w:t>
      </w:r>
      <w:r>
        <w:rPr>
          <w:sz w:val="21"/>
        </w:rPr>
        <w:t>处理</w:t>
      </w:r>
      <w:r>
        <w:rPr>
          <w:spacing w:val="-3"/>
          <w:sz w:val="21"/>
        </w:rPr>
        <w:t>措</w:t>
      </w:r>
      <w:r>
        <w:rPr>
          <w:sz w:val="21"/>
        </w:rPr>
        <w:t>施表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1801"/>
        <w:gridCol w:w="1260"/>
        <w:gridCol w:w="4681"/>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1801" w:type="dxa"/>
            <w:tcBorders>
              <w:left w:val="single" w:sz="6" w:space="0" w:color="000000"/>
              <w:bottom w:val="single" w:sz="6" w:space="0" w:color="000000"/>
              <w:right w:val="single" w:sz="6" w:space="0" w:color="000000"/>
            </w:tcBorders>
          </w:tcPr>
          <w:p>
            <w:pPr>
              <w:pStyle w:val="TableParagraph"/>
              <w:spacing w:line="238" w:lineRule="exact" w:before="62"/>
              <w:ind w:left="186" w:right="159"/>
              <w:rPr>
                <w:rFonts w:ascii="Times New Roman"/>
                <w:sz w:val="21"/>
              </w:rPr>
            </w:pPr>
            <w:r>
              <w:rPr>
                <w:rFonts w:ascii="Times New Roman"/>
                <w:sz w:val="21"/>
              </w:rPr>
              <w:t>81013</w:t>
            </w:r>
          </w:p>
        </w:tc>
        <w:tc>
          <w:tcPr>
            <w:tcW w:w="1260" w:type="dxa"/>
            <w:tcBorders>
              <w:left w:val="single" w:sz="6" w:space="0" w:color="000000"/>
              <w:bottom w:val="single" w:sz="6" w:space="0" w:color="000000"/>
              <w:right w:val="single" w:sz="6" w:space="0" w:color="000000"/>
            </w:tcBorders>
          </w:tcPr>
          <w:p>
            <w:pPr>
              <w:pStyle w:val="TableParagraph"/>
              <w:spacing w:line="301" w:lineRule="exact"/>
              <w:ind w:left="195" w:right="168"/>
              <w:rPr>
                <w:sz w:val="21"/>
              </w:rPr>
            </w:pPr>
            <w:r>
              <w:rPr>
                <w:rFonts w:ascii="Times New Roman" w:eastAsia="Times New Roman"/>
                <w:sz w:val="21"/>
              </w:rPr>
              <w:t>CAS </w:t>
            </w:r>
            <w:r>
              <w:rPr>
                <w:sz w:val="21"/>
              </w:rPr>
              <w:t>号</w:t>
            </w:r>
          </w:p>
        </w:tc>
        <w:tc>
          <w:tcPr>
            <w:tcW w:w="4681" w:type="dxa"/>
            <w:tcBorders>
              <w:left w:val="single" w:sz="6" w:space="0" w:color="000000"/>
              <w:bottom w:val="single" w:sz="6" w:space="0" w:color="000000"/>
            </w:tcBorders>
          </w:tcPr>
          <w:p>
            <w:pPr>
              <w:pStyle w:val="TableParagraph"/>
              <w:spacing w:line="238" w:lineRule="exact" w:before="62"/>
              <w:ind w:left="1561" w:right="1531"/>
              <w:rPr>
                <w:rFonts w:ascii="Times New Roman"/>
                <w:sz w:val="21"/>
              </w:rPr>
            </w:pPr>
            <w:r>
              <w:rPr>
                <w:rFonts w:ascii="Times New Roman"/>
                <w:sz w:val="21"/>
              </w:rPr>
              <w:t>7647-01-0</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中文名称</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7" w:right="159"/>
              <w:rPr>
                <w:sz w:val="21"/>
              </w:rPr>
            </w:pPr>
            <w:r>
              <w:rPr>
                <w:sz w:val="21"/>
              </w:rPr>
              <w:t>盐酸</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95" w:right="168"/>
              <w:rPr>
                <w:sz w:val="21"/>
              </w:rPr>
            </w:pPr>
            <w:r>
              <w:rPr>
                <w:sz w:val="21"/>
              </w:rPr>
              <w:t>英文名称</w:t>
            </w:r>
          </w:p>
        </w:tc>
        <w:tc>
          <w:tcPr>
            <w:tcW w:w="4681" w:type="dxa"/>
            <w:tcBorders>
              <w:top w:val="single" w:sz="6" w:space="0" w:color="000000"/>
              <w:left w:val="single" w:sz="6" w:space="0" w:color="000000"/>
              <w:bottom w:val="single" w:sz="6" w:space="0" w:color="000000"/>
            </w:tcBorders>
          </w:tcPr>
          <w:p>
            <w:pPr>
              <w:pStyle w:val="TableParagraph"/>
              <w:spacing w:line="241" w:lineRule="exact" w:before="60"/>
              <w:ind w:left="1565" w:right="1531"/>
              <w:rPr>
                <w:rFonts w:ascii="Times New Roman"/>
                <w:sz w:val="21"/>
              </w:rPr>
            </w:pPr>
            <w:r>
              <w:rPr>
                <w:rFonts w:ascii="Times New Roman"/>
                <w:sz w:val="21"/>
              </w:rPr>
              <w:t>Hydrochloric acid</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危险标记</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106"/>
              <w:ind w:left="187" w:right="159"/>
              <w:rPr>
                <w:rFonts w:ascii="Times New Roman" w:eastAsia="Times New Roman"/>
                <w:sz w:val="21"/>
              </w:rPr>
            </w:pPr>
            <w:r>
              <w:rPr>
                <w:rFonts w:ascii="Times New Roman" w:eastAsia="Times New Roman"/>
                <w:sz w:val="21"/>
              </w:rPr>
              <w:t>20(</w:t>
            </w:r>
            <w:r>
              <w:rPr>
                <w:sz w:val="21"/>
              </w:rPr>
              <w:t>酸性腐蚀品</w:t>
            </w:r>
            <w:r>
              <w:rPr>
                <w:rFonts w:ascii="Times New Roman" w:eastAsia="Times New Roman"/>
                <w:sz w:val="21"/>
              </w:rPr>
              <w:t>)</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06"/>
              <w:ind w:left="195" w:right="168"/>
              <w:rPr>
                <w:sz w:val="21"/>
              </w:rPr>
            </w:pPr>
            <w:r>
              <w:rPr>
                <w:sz w:val="21"/>
              </w:rPr>
              <w:t>主要用途</w:t>
            </w:r>
          </w:p>
        </w:tc>
        <w:tc>
          <w:tcPr>
            <w:tcW w:w="4681" w:type="dxa"/>
            <w:tcBorders>
              <w:top w:val="single" w:sz="6" w:space="0" w:color="000000"/>
              <w:left w:val="single" w:sz="6" w:space="0" w:color="000000"/>
              <w:bottom w:val="single" w:sz="6" w:space="0" w:color="000000"/>
            </w:tcBorders>
          </w:tcPr>
          <w:p>
            <w:pPr>
              <w:pStyle w:val="TableParagraph"/>
              <w:spacing w:line="328" w:lineRule="exact"/>
              <w:ind w:left="114"/>
              <w:jc w:val="left"/>
              <w:rPr>
                <w:sz w:val="21"/>
              </w:rPr>
            </w:pPr>
            <w:r>
              <w:rPr>
                <w:sz w:val="21"/>
              </w:rPr>
              <w:t>重要的无机化工原料，广泛用于染料、医药、食</w:t>
            </w:r>
          </w:p>
          <w:p>
            <w:pPr>
              <w:pStyle w:val="TableParagraph"/>
              <w:spacing w:line="292" w:lineRule="exact"/>
              <w:ind w:left="114"/>
              <w:jc w:val="left"/>
              <w:rPr>
                <w:sz w:val="21"/>
              </w:rPr>
            </w:pPr>
            <w:r>
              <w:rPr>
                <w:sz w:val="21"/>
              </w:rPr>
              <w:t>品、印染、皮革、冶金等行业</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侵入途径</w:t>
            </w:r>
          </w:p>
        </w:tc>
        <w:tc>
          <w:tcPr>
            <w:tcW w:w="7742" w:type="dxa"/>
            <w:gridSpan w:val="3"/>
            <w:tcBorders>
              <w:top w:val="single" w:sz="6" w:space="0" w:color="000000"/>
              <w:left w:val="single" w:sz="6" w:space="0" w:color="000000"/>
              <w:bottom w:val="single" w:sz="6" w:space="0" w:color="000000"/>
            </w:tcBorders>
          </w:tcPr>
          <w:p>
            <w:pPr>
              <w:pStyle w:val="TableParagraph"/>
              <w:spacing w:line="299" w:lineRule="exact"/>
              <w:ind w:left="3332" w:right="3296"/>
              <w:rPr>
                <w:sz w:val="21"/>
              </w:rPr>
            </w:pPr>
            <w:r>
              <w:rPr>
                <w:sz w:val="21"/>
              </w:rPr>
              <w:t>吸入、食入</w:t>
            </w:r>
          </w:p>
        </w:tc>
      </w:tr>
      <w:tr>
        <w:trPr>
          <w:trHeight w:val="962" w:hRule="atLeast"/>
        </w:trPr>
        <w:tc>
          <w:tcPr>
            <w:tcW w:w="1188" w:type="dxa"/>
            <w:tcBorders>
              <w:top w:val="single" w:sz="6" w:space="0" w:color="000000"/>
              <w:bottom w:val="single" w:sz="6" w:space="0" w:color="000000"/>
              <w:right w:val="single" w:sz="6" w:space="0" w:color="000000"/>
            </w:tcBorders>
          </w:tcPr>
          <w:p>
            <w:pPr>
              <w:pStyle w:val="TableParagraph"/>
              <w:spacing w:before="13"/>
              <w:jc w:val="left"/>
              <w:rPr>
                <w:sz w:val="12"/>
              </w:rPr>
            </w:pPr>
          </w:p>
          <w:p>
            <w:pPr>
              <w:pStyle w:val="TableParagraph"/>
              <w:ind w:left="105" w:right="84"/>
              <w:rPr>
                <w:sz w:val="21"/>
              </w:rPr>
            </w:pPr>
            <w:r>
              <w:rPr>
                <w:sz w:val="21"/>
              </w:rPr>
              <w:t>健康危害</w:t>
            </w:r>
          </w:p>
        </w:tc>
        <w:tc>
          <w:tcPr>
            <w:tcW w:w="7742" w:type="dxa"/>
            <w:gridSpan w:val="3"/>
            <w:tcBorders>
              <w:top w:val="single" w:sz="6" w:space="0" w:color="000000"/>
              <w:left w:val="single" w:sz="6" w:space="0" w:color="000000"/>
              <w:bottom w:val="single" w:sz="6" w:space="0" w:color="000000"/>
            </w:tcBorders>
          </w:tcPr>
          <w:p>
            <w:pPr>
              <w:pStyle w:val="TableParagraph"/>
              <w:spacing w:line="172" w:lineRule="auto" w:before="35"/>
              <w:ind w:left="114" w:right="72"/>
              <w:jc w:val="left"/>
              <w:rPr>
                <w:sz w:val="21"/>
              </w:rPr>
            </w:pPr>
            <w:r>
              <w:rPr>
                <w:spacing w:val="-8"/>
                <w:sz w:val="21"/>
              </w:rPr>
              <w:t>接触其蒸气或烟雾，引起眼结膜炎，鼻及口腔粘膜有烧灼感，鼻衄、齿龈出血、气</w:t>
            </w:r>
            <w:r>
              <w:rPr>
                <w:spacing w:val="-9"/>
                <w:sz w:val="21"/>
              </w:rPr>
              <w:t>管炎；刺激皮肤发生皮炎，慢性支气管炎等病变。误服盐酸中毒，可引起消化道灼</w:t>
            </w:r>
          </w:p>
          <w:p>
            <w:pPr>
              <w:pStyle w:val="TableParagraph"/>
              <w:spacing w:line="266" w:lineRule="exact"/>
              <w:ind w:left="114"/>
              <w:jc w:val="left"/>
              <w:rPr>
                <w:sz w:val="21"/>
              </w:rPr>
            </w:pPr>
            <w:r>
              <w:rPr>
                <w:sz w:val="21"/>
              </w:rPr>
              <w:t>伤、溃疡形成，有可能胃穿孔、腹膜炎等。</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6" w:right="83"/>
              <w:rPr>
                <w:sz w:val="21"/>
              </w:rPr>
            </w:pPr>
            <w:r>
              <w:rPr>
                <w:sz w:val="21"/>
              </w:rPr>
              <w:t>毒性</w:t>
            </w:r>
          </w:p>
        </w:tc>
        <w:tc>
          <w:tcPr>
            <w:tcW w:w="7742" w:type="dxa"/>
            <w:gridSpan w:val="3"/>
            <w:tcBorders>
              <w:top w:val="single" w:sz="6" w:space="0" w:color="000000"/>
              <w:left w:val="single" w:sz="6" w:space="0" w:color="000000"/>
              <w:bottom w:val="single" w:sz="6" w:space="0" w:color="000000"/>
            </w:tcBorders>
          </w:tcPr>
          <w:p>
            <w:pPr>
              <w:pStyle w:val="TableParagraph"/>
              <w:spacing w:line="299"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900mg/kg(</w:t>
            </w:r>
            <w:r>
              <w:rPr>
                <w:position w:val="2"/>
                <w:sz w:val="21"/>
              </w:rPr>
              <w:t>兔经口</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3124ppm</w:t>
            </w:r>
            <w:r>
              <w:rPr>
                <w:position w:val="2"/>
                <w:sz w:val="21"/>
              </w:rPr>
              <w:t>，</w:t>
            </w:r>
            <w:r>
              <w:rPr>
                <w:rFonts w:ascii="Times New Roman" w:eastAsia="Times New Roman"/>
                <w:position w:val="2"/>
                <w:sz w:val="21"/>
              </w:rPr>
              <w:t>1 </w:t>
            </w:r>
            <w:r>
              <w:rPr>
                <w:position w:val="2"/>
                <w:sz w:val="21"/>
              </w:rPr>
              <w:t>小时</w:t>
            </w:r>
            <w:r>
              <w:rPr>
                <w:rFonts w:ascii="Times New Roman" w:eastAsia="Times New Roman"/>
                <w:position w:val="2"/>
                <w:sz w:val="21"/>
              </w:rPr>
              <w:t>(</w:t>
            </w:r>
            <w:r>
              <w:rPr>
                <w:position w:val="2"/>
                <w:sz w:val="21"/>
              </w:rPr>
              <w:t>大鼠吸入</w:t>
            </w:r>
            <w:r>
              <w:rPr>
                <w:rFonts w:ascii="Times New Roman" w:eastAsia="Times New Roman"/>
                <w:position w:val="2"/>
                <w:sz w:val="21"/>
              </w:rPr>
              <w:t>)</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危险特性</w:t>
            </w:r>
          </w:p>
        </w:tc>
        <w:tc>
          <w:tcPr>
            <w:tcW w:w="7742" w:type="dxa"/>
            <w:gridSpan w:val="3"/>
            <w:tcBorders>
              <w:top w:val="single" w:sz="6" w:space="0" w:color="000000"/>
              <w:left w:val="single" w:sz="6" w:space="0" w:color="000000"/>
              <w:bottom w:val="single" w:sz="6" w:space="0" w:color="000000"/>
            </w:tcBorders>
          </w:tcPr>
          <w:p>
            <w:pPr>
              <w:pStyle w:val="TableParagraph"/>
              <w:spacing w:line="329" w:lineRule="exact"/>
              <w:ind w:left="114"/>
              <w:jc w:val="left"/>
              <w:rPr>
                <w:sz w:val="21"/>
              </w:rPr>
            </w:pPr>
            <w:r>
              <w:rPr>
                <w:sz w:val="21"/>
              </w:rPr>
              <w:t>能与一些活性金属粉末发生反应，放出氢气。遇氰化物能产生剧毒的氰化氢气体。</w:t>
            </w:r>
          </w:p>
          <w:p>
            <w:pPr>
              <w:pStyle w:val="TableParagraph"/>
              <w:spacing w:line="291" w:lineRule="exact"/>
              <w:ind w:left="114"/>
              <w:jc w:val="left"/>
              <w:rPr>
                <w:sz w:val="21"/>
              </w:rPr>
            </w:pPr>
            <w:r>
              <w:rPr>
                <w:sz w:val="21"/>
              </w:rPr>
              <w:t>碱发生中合反应，并放出大量的热。具有强腐蚀性。</w:t>
            </w:r>
          </w:p>
        </w:tc>
      </w:tr>
      <w:tr>
        <w:trPr>
          <w:trHeight w:val="1600" w:hRule="atLeast"/>
        </w:trPr>
        <w:tc>
          <w:tcPr>
            <w:tcW w:w="1188" w:type="dxa"/>
            <w:tcBorders>
              <w:top w:val="single" w:sz="6" w:space="0" w:color="000000"/>
              <w:bottom w:val="single" w:sz="6" w:space="0" w:color="000000"/>
              <w:right w:val="single" w:sz="6" w:space="0" w:color="000000"/>
            </w:tcBorders>
          </w:tcPr>
          <w:p>
            <w:pPr>
              <w:pStyle w:val="TableParagraph"/>
              <w:spacing w:before="3"/>
              <w:jc w:val="left"/>
              <w:rPr>
                <w:sz w:val="24"/>
              </w:rPr>
            </w:pPr>
          </w:p>
          <w:p>
            <w:pPr>
              <w:pStyle w:val="TableParagraph"/>
              <w:spacing w:line="172" w:lineRule="auto" w:before="1"/>
              <w:ind w:left="383" w:right="148" w:hanging="212"/>
              <w:jc w:val="left"/>
              <w:rPr>
                <w:sz w:val="21"/>
              </w:rPr>
            </w:pPr>
            <w:r>
              <w:rPr>
                <w:sz w:val="21"/>
              </w:rPr>
              <w:t>泄漏应急处理</w:t>
            </w:r>
          </w:p>
        </w:tc>
        <w:tc>
          <w:tcPr>
            <w:tcW w:w="7742"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2"/>
              <w:jc w:val="both"/>
              <w:rPr>
                <w:sz w:val="21"/>
              </w:rPr>
            </w:pPr>
            <w:r>
              <w:rPr>
                <w:spacing w:val="-6"/>
                <w:sz w:val="21"/>
              </w:rPr>
              <w:t>疏散泄漏污染区人员至安全区，禁止无关人员进入污染区，建议应急处理人员戴好</w:t>
            </w:r>
            <w:r>
              <w:rPr>
                <w:spacing w:val="-9"/>
                <w:sz w:val="21"/>
              </w:rPr>
              <w:t>面罩，穿化学防护服。不要直接接触泄漏物，禁止向泄漏物直接喷水。更不要让水</w:t>
            </w:r>
            <w:r>
              <w:rPr>
                <w:spacing w:val="-8"/>
                <w:sz w:val="21"/>
              </w:rPr>
              <w:t>进入包装容器内。用沙土、干燥石灰或苏打灰混合，然后收集运至废物处理场所处置。也可以用大量水冲洗，经稀释的洗水放入废水系统。如大量泄漏，利用围堤收</w:t>
            </w:r>
          </w:p>
          <w:p>
            <w:pPr>
              <w:pStyle w:val="TableParagraph"/>
              <w:spacing w:line="265" w:lineRule="exact"/>
              <w:ind w:left="114"/>
              <w:jc w:val="both"/>
              <w:rPr>
                <w:sz w:val="21"/>
              </w:rPr>
            </w:pPr>
            <w:r>
              <w:rPr>
                <w:sz w:val="21"/>
              </w:rPr>
              <w:t>容，然后收集、转移、回收或无害处理后废弃。</w:t>
            </w:r>
          </w:p>
        </w:tc>
      </w:tr>
      <w:tr>
        <w:trPr>
          <w:trHeight w:val="1281" w:hRule="atLeast"/>
        </w:trPr>
        <w:tc>
          <w:tcPr>
            <w:tcW w:w="1188" w:type="dxa"/>
            <w:tcBorders>
              <w:top w:val="single" w:sz="6" w:space="0" w:color="000000"/>
              <w:bottom w:val="single" w:sz="6" w:space="0" w:color="000000"/>
              <w:right w:val="single" w:sz="6" w:space="0" w:color="000000"/>
            </w:tcBorders>
          </w:tcPr>
          <w:p>
            <w:pPr>
              <w:pStyle w:val="TableParagraph"/>
              <w:spacing w:before="2"/>
              <w:jc w:val="left"/>
              <w:rPr>
                <w:sz w:val="20"/>
              </w:rPr>
            </w:pPr>
          </w:p>
          <w:p>
            <w:pPr>
              <w:pStyle w:val="TableParagraph"/>
              <w:ind w:left="105" w:right="84"/>
              <w:rPr>
                <w:sz w:val="21"/>
              </w:rPr>
            </w:pPr>
            <w:r>
              <w:rPr>
                <w:sz w:val="21"/>
              </w:rPr>
              <w:t>防护措施</w:t>
            </w:r>
          </w:p>
        </w:tc>
        <w:tc>
          <w:tcPr>
            <w:tcW w:w="7742" w:type="dxa"/>
            <w:gridSpan w:val="3"/>
            <w:tcBorders>
              <w:top w:val="single" w:sz="6" w:space="0" w:color="000000"/>
              <w:left w:val="single" w:sz="6" w:space="0" w:color="000000"/>
              <w:bottom w:val="single" w:sz="6" w:space="0" w:color="000000"/>
            </w:tcBorders>
          </w:tcPr>
          <w:p>
            <w:pPr>
              <w:pStyle w:val="TableParagraph"/>
              <w:spacing w:line="172" w:lineRule="auto" w:before="33"/>
              <w:ind w:left="114" w:right="-44"/>
              <w:jc w:val="both"/>
              <w:rPr>
                <w:sz w:val="21"/>
              </w:rPr>
            </w:pPr>
            <w:r>
              <w:rPr>
                <w:spacing w:val="-6"/>
                <w:sz w:val="21"/>
              </w:rPr>
              <w:t>呼吸系统防护：可能接触其蒸气或烟雾时，必须佩戴防毒面具或供气式头盔。紧急</w:t>
            </w:r>
            <w:r>
              <w:rPr>
                <w:spacing w:val="-8"/>
                <w:sz w:val="21"/>
              </w:rPr>
              <w:t>事态抢救或逃生时，建议佩带自给式呼吸器。眼睛防护：戴化学安全防护眼镜。防</w:t>
            </w:r>
            <w:r>
              <w:rPr>
                <w:spacing w:val="-6"/>
                <w:sz w:val="21"/>
              </w:rPr>
              <w:t>护服：穿工作服</w:t>
            </w:r>
            <w:r>
              <w:rPr>
                <w:rFonts w:ascii="Times New Roman" w:eastAsia="Times New Roman"/>
                <w:spacing w:val="-4"/>
                <w:sz w:val="21"/>
              </w:rPr>
              <w:t>(</w:t>
            </w:r>
            <w:r>
              <w:rPr>
                <w:spacing w:val="-3"/>
                <w:sz w:val="21"/>
              </w:rPr>
              <w:t>防腐材料制作</w:t>
            </w:r>
            <w:r>
              <w:rPr>
                <w:rFonts w:ascii="Times New Roman" w:eastAsia="Times New Roman"/>
                <w:sz w:val="21"/>
              </w:rPr>
              <w:t>)</w:t>
            </w:r>
            <w:r>
              <w:rPr>
                <w:spacing w:val="-10"/>
                <w:sz w:val="21"/>
              </w:rPr>
              <w:t>。手防护：戴橡皮手套。其它：工作后，淋浴更衣。</w:t>
            </w:r>
          </w:p>
          <w:p>
            <w:pPr>
              <w:pStyle w:val="TableParagraph"/>
              <w:spacing w:line="267" w:lineRule="exact"/>
              <w:ind w:left="114"/>
              <w:jc w:val="both"/>
              <w:rPr>
                <w:sz w:val="21"/>
              </w:rPr>
            </w:pPr>
            <w:r>
              <w:rPr>
                <w:sz w:val="21"/>
              </w:rPr>
              <w:t>单独存放被毒物污染的衣服，洗后再用。保持良好的卫生习惯。</w:t>
            </w:r>
          </w:p>
        </w:tc>
      </w:tr>
      <w:tr>
        <w:trPr>
          <w:trHeight w:val="1597" w:hRule="atLeast"/>
        </w:trPr>
        <w:tc>
          <w:tcPr>
            <w:tcW w:w="1188" w:type="dxa"/>
            <w:tcBorders>
              <w:top w:val="single" w:sz="6" w:space="0" w:color="000000"/>
              <w:right w:val="single" w:sz="6" w:space="0" w:color="000000"/>
            </w:tcBorders>
          </w:tcPr>
          <w:p>
            <w:pPr>
              <w:pStyle w:val="TableParagraph"/>
              <w:spacing w:before="11"/>
              <w:jc w:val="left"/>
              <w:rPr>
                <w:sz w:val="27"/>
              </w:rPr>
            </w:pPr>
          </w:p>
          <w:p>
            <w:pPr>
              <w:pStyle w:val="TableParagraph"/>
              <w:ind w:left="105" w:right="84"/>
              <w:rPr>
                <w:sz w:val="21"/>
              </w:rPr>
            </w:pPr>
            <w:r>
              <w:rPr>
                <w:sz w:val="21"/>
              </w:rPr>
              <w:t>急救措施</w:t>
            </w:r>
          </w:p>
        </w:tc>
        <w:tc>
          <w:tcPr>
            <w:tcW w:w="7742" w:type="dxa"/>
            <w:gridSpan w:val="3"/>
            <w:tcBorders>
              <w:top w:val="single" w:sz="6" w:space="0" w:color="000000"/>
              <w:left w:val="single" w:sz="6" w:space="0" w:color="000000"/>
            </w:tcBorders>
          </w:tcPr>
          <w:p>
            <w:pPr>
              <w:pStyle w:val="TableParagraph"/>
              <w:spacing w:line="172" w:lineRule="auto" w:before="32"/>
              <w:ind w:left="114" w:right="36"/>
              <w:jc w:val="both"/>
              <w:rPr>
                <w:sz w:val="21"/>
              </w:rPr>
            </w:pPr>
            <w:r>
              <w:rPr>
                <w:spacing w:val="-4"/>
                <w:sz w:val="21"/>
              </w:rPr>
              <w:t>皮肤接触：立即用水冲洗至少 </w:t>
            </w:r>
            <w:r>
              <w:rPr>
                <w:rFonts w:ascii="Times New Roman" w:eastAsia="Times New Roman"/>
                <w:sz w:val="21"/>
              </w:rPr>
              <w:t>15 </w:t>
            </w:r>
            <w:r>
              <w:rPr>
                <w:spacing w:val="-2"/>
                <w:sz w:val="21"/>
              </w:rPr>
              <w:t>分钟。或用 </w:t>
            </w:r>
            <w:r>
              <w:rPr>
                <w:rFonts w:ascii="Times New Roman" w:eastAsia="Times New Roman"/>
                <w:sz w:val="21"/>
              </w:rPr>
              <w:t>2%</w:t>
            </w:r>
            <w:r>
              <w:rPr>
                <w:spacing w:val="-6"/>
                <w:sz w:val="21"/>
              </w:rPr>
              <w:t>碳酸氢钠溶液冲洗。若有灼伤，就</w:t>
            </w:r>
            <w:r>
              <w:rPr>
                <w:spacing w:val="-9"/>
                <w:sz w:val="21"/>
              </w:rPr>
              <w:t>医治疗。眼睛接触：立即提起眼睑，用流动清水冲洗 </w:t>
            </w:r>
            <w:r>
              <w:rPr>
                <w:rFonts w:ascii="Times New Roman" w:eastAsia="Times New Roman"/>
                <w:sz w:val="21"/>
              </w:rPr>
              <w:t>10 </w:t>
            </w:r>
            <w:r>
              <w:rPr>
                <w:spacing w:val="1"/>
                <w:sz w:val="21"/>
              </w:rPr>
              <w:t>分钟或用 </w:t>
            </w:r>
            <w:r>
              <w:rPr>
                <w:rFonts w:ascii="Times New Roman" w:eastAsia="Times New Roman"/>
                <w:sz w:val="21"/>
              </w:rPr>
              <w:t>2%</w:t>
            </w:r>
            <w:r>
              <w:rPr>
                <w:spacing w:val="-3"/>
                <w:sz w:val="21"/>
              </w:rPr>
              <w:t>碳酸氢钠溶液</w:t>
            </w:r>
            <w:r>
              <w:rPr>
                <w:spacing w:val="-2"/>
                <w:sz w:val="21"/>
              </w:rPr>
              <w:t>冲洗。吸入：迅速脱离现场至空气新鲜处。呼吸困难时给输氧。给予 </w:t>
            </w:r>
            <w:r>
              <w:rPr>
                <w:rFonts w:ascii="Times New Roman" w:eastAsia="Times New Roman"/>
                <w:sz w:val="21"/>
              </w:rPr>
              <w:t>2-4%</w:t>
            </w:r>
            <w:r>
              <w:rPr>
                <w:sz w:val="21"/>
              </w:rPr>
              <w:t>碳酸氢</w:t>
            </w:r>
            <w:r>
              <w:rPr>
                <w:spacing w:val="-3"/>
                <w:sz w:val="21"/>
              </w:rPr>
              <w:t>钠溶液雾化吸入。就医。食入：误服者立即漱口，给牛奶、蛋清、植物油等口服，</w:t>
            </w:r>
          </w:p>
          <w:p>
            <w:pPr>
              <w:pStyle w:val="TableParagraph"/>
              <w:spacing w:line="263" w:lineRule="exact"/>
              <w:ind w:left="114"/>
              <w:jc w:val="both"/>
              <w:rPr>
                <w:sz w:val="21"/>
              </w:rPr>
            </w:pPr>
            <w:r>
              <w:rPr>
                <w:sz w:val="21"/>
              </w:rPr>
              <w:t>不可催吐。立即就医。灭火方法：雾状水、砂土。</w:t>
            </w:r>
          </w:p>
        </w:tc>
      </w:tr>
    </w:tbl>
    <w:p>
      <w:pPr>
        <w:tabs>
          <w:tab w:pos="4190" w:val="left" w:leader="none"/>
        </w:tabs>
        <w:spacing w:before="59" w:after="46"/>
        <w:ind w:left="3175" w:right="0" w:firstLine="0"/>
        <w:jc w:val="left"/>
        <w:rPr>
          <w:sz w:val="21"/>
        </w:rPr>
      </w:pPr>
      <w:r>
        <w:rPr>
          <w:sz w:val="21"/>
        </w:rPr>
        <w:t>表</w:t>
      </w:r>
      <w:r>
        <w:rPr>
          <w:spacing w:val="5"/>
          <w:sz w:val="21"/>
        </w:rPr>
        <w:t> </w:t>
      </w:r>
      <w:r>
        <w:rPr>
          <w:rFonts w:ascii="Times New Roman" w:eastAsia="Times New Roman"/>
          <w:sz w:val="21"/>
        </w:rPr>
        <w:t>7.1-10</w:t>
        <w:tab/>
      </w:r>
      <w:r>
        <w:rPr>
          <w:sz w:val="21"/>
        </w:rPr>
        <w:t>甲</w:t>
      </w:r>
      <w:r>
        <w:rPr>
          <w:spacing w:val="-3"/>
          <w:sz w:val="21"/>
        </w:rPr>
        <w:t>苯</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701"/>
        <w:gridCol w:w="1081"/>
        <w:gridCol w:w="3961"/>
      </w:tblGrid>
      <w:tr>
        <w:trPr>
          <w:trHeight w:val="320" w:hRule="atLeast"/>
        </w:trPr>
        <w:tc>
          <w:tcPr>
            <w:tcW w:w="1188" w:type="dxa"/>
            <w:tcBorders>
              <w:right w:val="single" w:sz="6" w:space="0" w:color="000000"/>
            </w:tcBorders>
          </w:tcPr>
          <w:p>
            <w:pPr>
              <w:pStyle w:val="TableParagraph"/>
              <w:spacing w:line="300" w:lineRule="exact"/>
              <w:ind w:left="172"/>
              <w:jc w:val="left"/>
              <w:rPr>
                <w:sz w:val="21"/>
              </w:rPr>
            </w:pPr>
            <w:r>
              <w:rPr>
                <w:sz w:val="21"/>
              </w:rPr>
              <w:t>国标编号</w:t>
            </w:r>
          </w:p>
        </w:tc>
        <w:tc>
          <w:tcPr>
            <w:tcW w:w="2701" w:type="dxa"/>
            <w:tcBorders>
              <w:left w:val="single" w:sz="6" w:space="0" w:color="000000"/>
              <w:right w:val="single" w:sz="6" w:space="0" w:color="000000"/>
            </w:tcBorders>
          </w:tcPr>
          <w:p>
            <w:pPr>
              <w:pStyle w:val="TableParagraph"/>
              <w:spacing w:line="238" w:lineRule="exact" w:before="62"/>
              <w:ind w:left="795" w:right="764"/>
              <w:rPr>
                <w:rFonts w:ascii="Times New Roman"/>
                <w:sz w:val="21"/>
              </w:rPr>
            </w:pPr>
            <w:r>
              <w:rPr>
                <w:rFonts w:ascii="Times New Roman"/>
                <w:sz w:val="21"/>
              </w:rPr>
              <w:t>32052</w:t>
            </w:r>
          </w:p>
        </w:tc>
        <w:tc>
          <w:tcPr>
            <w:tcW w:w="1081" w:type="dxa"/>
            <w:tcBorders>
              <w:left w:val="single" w:sz="6" w:space="0" w:color="000000"/>
              <w:right w:val="single" w:sz="6" w:space="0" w:color="000000"/>
            </w:tcBorders>
          </w:tcPr>
          <w:p>
            <w:pPr>
              <w:pStyle w:val="TableParagraph"/>
              <w:spacing w:line="300" w:lineRule="exact"/>
              <w:ind w:left="210"/>
              <w:jc w:val="left"/>
              <w:rPr>
                <w:sz w:val="21"/>
              </w:rPr>
            </w:pPr>
            <w:r>
              <w:rPr>
                <w:rFonts w:ascii="Times New Roman" w:eastAsia="Times New Roman"/>
                <w:sz w:val="21"/>
              </w:rPr>
              <w:t>CAS </w:t>
            </w:r>
            <w:r>
              <w:rPr>
                <w:sz w:val="21"/>
              </w:rPr>
              <w:t>号</w:t>
            </w:r>
          </w:p>
        </w:tc>
        <w:tc>
          <w:tcPr>
            <w:tcW w:w="3961" w:type="dxa"/>
            <w:tcBorders>
              <w:left w:val="single" w:sz="6" w:space="0" w:color="000000"/>
            </w:tcBorders>
          </w:tcPr>
          <w:p>
            <w:pPr>
              <w:pStyle w:val="TableParagraph"/>
              <w:spacing w:line="238" w:lineRule="exact" w:before="62"/>
              <w:ind w:left="1325" w:right="1297"/>
              <w:rPr>
                <w:rFonts w:ascii="Times New Roman"/>
                <w:sz w:val="21"/>
              </w:rPr>
            </w:pPr>
            <w:r>
              <w:rPr>
                <w:rFonts w:ascii="Times New Roman"/>
                <w:sz w:val="21"/>
              </w:rPr>
              <w:t>108-88-3</w:t>
            </w:r>
          </w:p>
        </w:tc>
      </w:tr>
    </w:tbl>
    <w:p>
      <w:pPr>
        <w:spacing w:after="0" w:line="238" w:lineRule="exact"/>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701"/>
        <w:gridCol w:w="1081"/>
        <w:gridCol w:w="3961"/>
      </w:tblGrid>
      <w:tr>
        <w:trPr>
          <w:trHeight w:val="321"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中文名称</w:t>
            </w:r>
          </w:p>
        </w:tc>
        <w:tc>
          <w:tcPr>
            <w:tcW w:w="2701" w:type="dxa"/>
            <w:tcBorders>
              <w:left w:val="single" w:sz="6" w:space="0" w:color="000000"/>
              <w:bottom w:val="single" w:sz="6" w:space="0" w:color="000000"/>
              <w:right w:val="single" w:sz="6" w:space="0" w:color="000000"/>
            </w:tcBorders>
          </w:tcPr>
          <w:p>
            <w:pPr>
              <w:pStyle w:val="TableParagraph"/>
              <w:spacing w:line="301" w:lineRule="exact"/>
              <w:ind w:left="795" w:right="764"/>
              <w:rPr>
                <w:sz w:val="21"/>
              </w:rPr>
            </w:pPr>
            <w:r>
              <w:rPr>
                <w:sz w:val="21"/>
              </w:rPr>
              <w:t>甲苯</w:t>
            </w:r>
          </w:p>
        </w:tc>
        <w:tc>
          <w:tcPr>
            <w:tcW w:w="1081" w:type="dxa"/>
            <w:tcBorders>
              <w:left w:val="single" w:sz="6" w:space="0" w:color="000000"/>
              <w:bottom w:val="single" w:sz="6" w:space="0" w:color="000000"/>
              <w:right w:val="single" w:sz="6" w:space="0" w:color="000000"/>
            </w:tcBorders>
          </w:tcPr>
          <w:p>
            <w:pPr>
              <w:pStyle w:val="TableParagraph"/>
              <w:spacing w:line="301" w:lineRule="exact"/>
              <w:ind w:left="107" w:right="78"/>
              <w:rPr>
                <w:sz w:val="21"/>
              </w:rPr>
            </w:pPr>
            <w:r>
              <w:rPr>
                <w:sz w:val="21"/>
              </w:rPr>
              <w:t>英文名称</w:t>
            </w:r>
          </w:p>
        </w:tc>
        <w:tc>
          <w:tcPr>
            <w:tcW w:w="3961" w:type="dxa"/>
            <w:tcBorders>
              <w:left w:val="single" w:sz="6" w:space="0" w:color="000000"/>
              <w:bottom w:val="single" w:sz="6" w:space="0" w:color="000000"/>
            </w:tcBorders>
          </w:tcPr>
          <w:p>
            <w:pPr>
              <w:pStyle w:val="TableParagraph"/>
              <w:spacing w:line="238" w:lineRule="exact" w:before="63"/>
              <w:ind w:left="1330" w:right="1297"/>
              <w:rPr>
                <w:rFonts w:ascii="Times New Roman"/>
                <w:sz w:val="21"/>
              </w:rPr>
            </w:pPr>
            <w:r>
              <w:rPr>
                <w:rFonts w:ascii="Times New Roman"/>
                <w:sz w:val="21"/>
              </w:rPr>
              <w:t>methylbenzene</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危险标记</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06"/>
              <w:ind w:left="795" w:right="766"/>
              <w:rPr>
                <w:rFonts w:ascii="Times New Roman" w:eastAsia="Times New Roman"/>
                <w:sz w:val="21"/>
              </w:rPr>
            </w:pPr>
            <w:r>
              <w:rPr>
                <w:rFonts w:ascii="Times New Roman" w:eastAsia="Times New Roman"/>
                <w:sz w:val="21"/>
              </w:rPr>
              <w:t>7(</w:t>
            </w:r>
            <w:r>
              <w:rPr>
                <w:sz w:val="21"/>
              </w:rPr>
              <w:t>易燃液体</w:t>
            </w:r>
            <w:r>
              <w:rPr>
                <w:rFonts w:ascii="Times New Roman" w:eastAsia="Times New Roman"/>
                <w:sz w:val="21"/>
              </w:rPr>
              <w:t>)</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106"/>
              <w:ind w:left="107" w:right="78"/>
              <w:rPr>
                <w:sz w:val="21"/>
              </w:rPr>
            </w:pPr>
            <w:r>
              <w:rPr>
                <w:sz w:val="21"/>
              </w:rPr>
              <w:t>主要用途</w:t>
            </w:r>
          </w:p>
        </w:tc>
        <w:tc>
          <w:tcPr>
            <w:tcW w:w="3961" w:type="dxa"/>
            <w:tcBorders>
              <w:top w:val="single" w:sz="6" w:space="0" w:color="000000"/>
              <w:left w:val="single" w:sz="6" w:space="0" w:color="000000"/>
              <w:bottom w:val="single" w:sz="6" w:space="0" w:color="000000"/>
            </w:tcBorders>
          </w:tcPr>
          <w:p>
            <w:pPr>
              <w:pStyle w:val="TableParagraph"/>
              <w:spacing w:line="328" w:lineRule="exact"/>
              <w:ind w:left="113"/>
              <w:jc w:val="left"/>
              <w:rPr>
                <w:sz w:val="21"/>
              </w:rPr>
            </w:pPr>
            <w:r>
              <w:rPr>
                <w:spacing w:val="8"/>
                <w:sz w:val="21"/>
              </w:rPr>
              <w:t>用于掺合汽油组成及作为生产甲苯衍生</w:t>
            </w:r>
          </w:p>
          <w:p>
            <w:pPr>
              <w:pStyle w:val="TableParagraph"/>
              <w:spacing w:line="292" w:lineRule="exact"/>
              <w:ind w:left="113"/>
              <w:jc w:val="left"/>
              <w:rPr>
                <w:sz w:val="21"/>
              </w:rPr>
            </w:pPr>
            <w:r>
              <w:rPr>
                <w:spacing w:val="-7"/>
                <w:sz w:val="21"/>
              </w:rPr>
              <w:t>物、炸药、染料中间体、药物的主要原料</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侵入途径</w:t>
            </w:r>
          </w:p>
        </w:tc>
        <w:tc>
          <w:tcPr>
            <w:tcW w:w="7743" w:type="dxa"/>
            <w:gridSpan w:val="3"/>
            <w:tcBorders>
              <w:top w:val="single" w:sz="6" w:space="0" w:color="000000"/>
              <w:left w:val="single" w:sz="6" w:space="0" w:color="000000"/>
              <w:bottom w:val="single" w:sz="6" w:space="0" w:color="000000"/>
            </w:tcBorders>
          </w:tcPr>
          <w:p>
            <w:pPr>
              <w:pStyle w:val="TableParagraph"/>
              <w:spacing w:line="299" w:lineRule="exact"/>
              <w:ind w:left="2701" w:right="2664"/>
              <w:rPr>
                <w:sz w:val="21"/>
              </w:rPr>
            </w:pPr>
            <w:r>
              <w:rPr>
                <w:sz w:val="21"/>
              </w:rPr>
              <w:t>吸入、食入、经皮吸收。</w:t>
            </w:r>
          </w:p>
        </w:tc>
      </w:tr>
      <w:tr>
        <w:trPr>
          <w:trHeight w:val="1600" w:hRule="atLeast"/>
        </w:trPr>
        <w:tc>
          <w:tcPr>
            <w:tcW w:w="1188" w:type="dxa"/>
            <w:tcBorders>
              <w:top w:val="single" w:sz="6" w:space="0" w:color="000000"/>
              <w:bottom w:val="single" w:sz="6" w:space="0" w:color="000000"/>
              <w:right w:val="single" w:sz="6" w:space="0" w:color="000000"/>
            </w:tcBorders>
          </w:tcPr>
          <w:p>
            <w:pPr>
              <w:pStyle w:val="TableParagraph"/>
              <w:spacing w:before="14"/>
              <w:jc w:val="left"/>
              <w:rPr>
                <w:sz w:val="27"/>
              </w:rPr>
            </w:pPr>
          </w:p>
          <w:p>
            <w:pPr>
              <w:pStyle w:val="TableParagraph"/>
              <w:ind w:left="105" w:right="84"/>
              <w:rPr>
                <w:sz w:val="21"/>
              </w:rPr>
            </w:pPr>
            <w:r>
              <w:rPr>
                <w:sz w:val="21"/>
              </w:rPr>
              <w:t>健康危害</w:t>
            </w:r>
          </w:p>
        </w:tc>
        <w:tc>
          <w:tcPr>
            <w:tcW w:w="7743" w:type="dxa"/>
            <w:gridSpan w:val="3"/>
            <w:tcBorders>
              <w:top w:val="single" w:sz="6" w:space="0" w:color="000000"/>
              <w:left w:val="single" w:sz="6" w:space="0" w:color="000000"/>
              <w:bottom w:val="single" w:sz="6" w:space="0" w:color="000000"/>
            </w:tcBorders>
          </w:tcPr>
          <w:p>
            <w:pPr>
              <w:pStyle w:val="TableParagraph"/>
              <w:spacing w:line="172" w:lineRule="auto" w:before="35"/>
              <w:ind w:left="114" w:right="-44"/>
              <w:jc w:val="both"/>
              <w:rPr>
                <w:sz w:val="21"/>
              </w:rPr>
            </w:pPr>
            <w:r>
              <w:rPr>
                <w:spacing w:val="-7"/>
                <w:sz w:val="21"/>
              </w:rPr>
              <w:t>对皮肤、粘膜有刺激性，对中枢神经系统有麻醉作用。急性中毒：短时间内吸入较</w:t>
            </w:r>
            <w:r>
              <w:rPr>
                <w:spacing w:val="-12"/>
                <w:sz w:val="21"/>
              </w:rPr>
              <w:t>高浓度本品可出现眼及上呼吸道明显的刺激症状、眼结膜及咽部充血、头晕、头痛、</w:t>
            </w:r>
            <w:r>
              <w:rPr>
                <w:spacing w:val="-8"/>
                <w:sz w:val="21"/>
              </w:rPr>
              <w:t>恶心、呕吐、胸闷、四肢无力、步态蹒跚、意识模糊。重症者可有躁动、抽搐、昏迷。慢性中毒：长期接触可发生神经衰弱综合征，肝肿大，女工月经异常等。皮肤</w:t>
            </w:r>
          </w:p>
          <w:p>
            <w:pPr>
              <w:pStyle w:val="TableParagraph"/>
              <w:spacing w:line="263" w:lineRule="exact"/>
              <w:ind w:left="114"/>
              <w:jc w:val="both"/>
              <w:rPr>
                <w:sz w:val="21"/>
              </w:rPr>
            </w:pPr>
            <w:r>
              <w:rPr>
                <w:sz w:val="21"/>
              </w:rPr>
              <w:t>干燥、皲裂、皮炎。</w:t>
            </w:r>
          </w:p>
        </w:tc>
      </w:tr>
      <w:tr>
        <w:trPr>
          <w:trHeight w:val="962" w:hRule="atLeast"/>
        </w:trPr>
        <w:tc>
          <w:tcPr>
            <w:tcW w:w="1188" w:type="dxa"/>
            <w:tcBorders>
              <w:top w:val="single" w:sz="6" w:space="0" w:color="000000"/>
              <w:bottom w:val="single" w:sz="6" w:space="0" w:color="000000"/>
              <w:right w:val="single" w:sz="6" w:space="0" w:color="000000"/>
            </w:tcBorders>
          </w:tcPr>
          <w:p>
            <w:pPr>
              <w:pStyle w:val="TableParagraph"/>
              <w:spacing w:before="13"/>
              <w:jc w:val="left"/>
              <w:rPr>
                <w:sz w:val="12"/>
              </w:rPr>
            </w:pPr>
          </w:p>
          <w:p>
            <w:pPr>
              <w:pStyle w:val="TableParagraph"/>
              <w:ind w:left="106" w:right="83"/>
              <w:rPr>
                <w:sz w:val="21"/>
              </w:rPr>
            </w:pPr>
            <w:r>
              <w:rPr>
                <w:sz w:val="21"/>
              </w:rPr>
              <w:t>毒性</w:t>
            </w:r>
          </w:p>
        </w:tc>
        <w:tc>
          <w:tcPr>
            <w:tcW w:w="7743" w:type="dxa"/>
            <w:gridSpan w:val="3"/>
            <w:tcBorders>
              <w:top w:val="single" w:sz="6" w:space="0" w:color="000000"/>
              <w:left w:val="single" w:sz="6" w:space="0" w:color="000000"/>
              <w:bottom w:val="single" w:sz="6" w:space="0" w:color="000000"/>
            </w:tcBorders>
          </w:tcPr>
          <w:p>
            <w:pPr>
              <w:pStyle w:val="TableParagraph"/>
              <w:spacing w:line="170" w:lineRule="auto" w:before="43"/>
              <w:ind w:left="114" w:right="-29"/>
              <w:jc w:val="left"/>
              <w:rPr>
                <w:sz w:val="21"/>
              </w:rPr>
            </w:pPr>
            <w:r>
              <w:rPr>
                <w:spacing w:val="-3"/>
                <w:position w:val="2"/>
                <w:sz w:val="21"/>
              </w:rPr>
              <w:t>急性毒性：</w:t>
            </w:r>
            <w:r>
              <w:rPr>
                <w:rFonts w:ascii="Times New Roman" w:hAnsi="Times New Roman" w:eastAsia="Times New Roman"/>
                <w:spacing w:val="-3"/>
                <w:position w:val="2"/>
                <w:sz w:val="21"/>
              </w:rPr>
              <w:t>LD</w:t>
            </w:r>
            <w:r>
              <w:rPr>
                <w:rFonts w:ascii="Times New Roman" w:hAnsi="Times New Roman" w:eastAsia="Times New Roman"/>
                <w:spacing w:val="-3"/>
                <w:sz w:val="14"/>
              </w:rPr>
              <w:t>50</w:t>
            </w:r>
            <w:r>
              <w:rPr>
                <w:rFonts w:ascii="Times New Roman" w:hAnsi="Times New Roman" w:eastAsia="Times New Roman"/>
                <w:spacing w:val="-3"/>
                <w:position w:val="2"/>
                <w:sz w:val="21"/>
              </w:rPr>
              <w:t>5000mg/kg(</w:t>
            </w:r>
            <w:r>
              <w:rPr>
                <w:spacing w:val="-1"/>
                <w:position w:val="2"/>
                <w:sz w:val="21"/>
              </w:rPr>
              <w:t>大鼠经口</w:t>
            </w:r>
            <w:r>
              <w:rPr>
                <w:rFonts w:ascii="Times New Roman" w:hAnsi="Times New Roman" w:eastAsia="Times New Roman"/>
                <w:spacing w:val="-3"/>
                <w:position w:val="2"/>
                <w:sz w:val="21"/>
              </w:rPr>
              <w:t>)</w:t>
            </w:r>
            <w:r>
              <w:rPr>
                <w:spacing w:val="-3"/>
                <w:position w:val="2"/>
                <w:sz w:val="21"/>
              </w:rPr>
              <w:t>；</w:t>
            </w:r>
            <w:r>
              <w:rPr>
                <w:rFonts w:ascii="Times New Roman" w:hAnsi="Times New Roman" w:eastAsia="Times New Roman"/>
                <w:spacing w:val="-3"/>
                <w:position w:val="2"/>
                <w:sz w:val="21"/>
              </w:rPr>
              <w:t>LC</w:t>
            </w:r>
            <w:r>
              <w:rPr>
                <w:rFonts w:ascii="Times New Roman" w:hAnsi="Times New Roman" w:eastAsia="Times New Roman"/>
                <w:spacing w:val="-3"/>
                <w:sz w:val="14"/>
              </w:rPr>
              <w:t>50</w:t>
            </w:r>
            <w:r>
              <w:rPr>
                <w:rFonts w:ascii="Times New Roman" w:hAnsi="Times New Roman" w:eastAsia="Times New Roman"/>
                <w:spacing w:val="-3"/>
                <w:position w:val="2"/>
                <w:sz w:val="21"/>
              </w:rPr>
              <w:t>12124mg/kg(</w:t>
            </w:r>
            <w:r>
              <w:rPr>
                <w:spacing w:val="-2"/>
                <w:position w:val="2"/>
                <w:sz w:val="21"/>
              </w:rPr>
              <w:t>兔经皮</w:t>
            </w:r>
            <w:r>
              <w:rPr>
                <w:rFonts w:ascii="Times New Roman" w:hAnsi="Times New Roman" w:eastAsia="Times New Roman"/>
                <w:spacing w:val="-18"/>
                <w:position w:val="2"/>
                <w:sz w:val="21"/>
              </w:rPr>
              <w:t>)</w:t>
            </w:r>
            <w:r>
              <w:rPr>
                <w:spacing w:val="1"/>
                <w:position w:val="2"/>
                <w:sz w:val="21"/>
              </w:rPr>
              <w:t>；人吸入 </w:t>
            </w:r>
            <w:r>
              <w:rPr>
                <w:rFonts w:ascii="Times New Roman" w:hAnsi="Times New Roman" w:eastAsia="Times New Roman"/>
                <w:position w:val="2"/>
                <w:sz w:val="21"/>
              </w:rPr>
              <w:t>71.4g/m</w:t>
            </w:r>
            <w:r>
              <w:rPr>
                <w:rFonts w:ascii="Times New Roman" w:hAnsi="Times New Roman" w:eastAsia="Times New Roman"/>
                <w:position w:val="2"/>
                <w:sz w:val="21"/>
                <w:vertAlign w:val="superscript"/>
              </w:rPr>
              <w:t>3</w:t>
            </w:r>
            <w:r>
              <w:rPr>
                <w:position w:val="2"/>
                <w:sz w:val="21"/>
                <w:vertAlign w:val="baseline"/>
              </w:rPr>
              <w:t>， </w:t>
            </w:r>
            <w:r>
              <w:rPr>
                <w:spacing w:val="1"/>
                <w:sz w:val="21"/>
                <w:vertAlign w:val="baseline"/>
              </w:rPr>
              <w:t>短时致死；人吸入 </w:t>
            </w:r>
            <w:r>
              <w:rPr>
                <w:rFonts w:ascii="Times New Roman" w:hAnsi="Times New Roman" w:eastAsia="Times New Roman"/>
                <w:spacing w:val="-4"/>
                <w:sz w:val="21"/>
                <w:vertAlign w:val="baseline"/>
              </w:rPr>
              <w:t>3g/m</w:t>
            </w:r>
            <w:r>
              <w:rPr>
                <w:rFonts w:ascii="Times New Roman" w:hAnsi="Times New Roman" w:eastAsia="Times New Roman"/>
                <w:spacing w:val="-4"/>
                <w:position w:val="7"/>
                <w:sz w:val="14"/>
                <w:vertAlign w:val="baseline"/>
              </w:rPr>
              <w:t>3</w:t>
            </w:r>
            <w:r>
              <w:rPr>
                <w:rFonts w:ascii="Times New Roman" w:hAnsi="Times New Roman" w:eastAsia="Times New Roman"/>
                <w:spacing w:val="-4"/>
                <w:sz w:val="21"/>
                <w:vertAlign w:val="baseline"/>
              </w:rPr>
              <w:t>×1</w:t>
            </w:r>
            <w:r>
              <w:rPr>
                <w:rFonts w:ascii="Times New Roman" w:hAnsi="Times New Roman" w:eastAsia="Times New Roman"/>
                <w:spacing w:val="-30"/>
                <w:sz w:val="21"/>
                <w:vertAlign w:val="baseline"/>
              </w:rPr>
              <w:t> </w:t>
            </w:r>
            <w:r>
              <w:rPr>
                <w:sz w:val="21"/>
                <w:vertAlign w:val="baseline"/>
              </w:rPr>
              <w:t>～</w:t>
            </w:r>
            <w:r>
              <w:rPr>
                <w:rFonts w:ascii="Times New Roman" w:hAnsi="Times New Roman" w:eastAsia="Times New Roman"/>
                <w:sz w:val="21"/>
                <w:vertAlign w:val="baseline"/>
              </w:rPr>
              <w:t>8</w:t>
            </w:r>
            <w:r>
              <w:rPr>
                <w:rFonts w:ascii="Times New Roman" w:hAnsi="Times New Roman" w:eastAsia="Times New Roman"/>
                <w:spacing w:val="29"/>
                <w:sz w:val="21"/>
                <w:vertAlign w:val="baseline"/>
              </w:rPr>
              <w:t> </w:t>
            </w:r>
            <w:r>
              <w:rPr>
                <w:sz w:val="21"/>
                <w:vertAlign w:val="baseline"/>
              </w:rPr>
              <w:t>小时，急性中毒；人吸入 </w:t>
            </w:r>
            <w:r>
              <w:rPr>
                <w:rFonts w:ascii="Times New Roman" w:hAnsi="Times New Roman" w:eastAsia="Times New Roman"/>
                <w:spacing w:val="-3"/>
                <w:sz w:val="21"/>
                <w:vertAlign w:val="baseline"/>
              </w:rPr>
              <w:t>0.2</w:t>
            </w:r>
            <w:r>
              <w:rPr>
                <w:spacing w:val="-3"/>
                <w:sz w:val="21"/>
                <w:vertAlign w:val="baseline"/>
              </w:rPr>
              <w:t>～</w:t>
            </w:r>
            <w:r>
              <w:rPr>
                <w:rFonts w:ascii="Times New Roman" w:hAnsi="Times New Roman" w:eastAsia="Times New Roman"/>
                <w:spacing w:val="-3"/>
                <w:sz w:val="21"/>
                <w:vertAlign w:val="baseline"/>
              </w:rPr>
              <w:t>0.3g/m</w:t>
            </w:r>
            <w:r>
              <w:rPr>
                <w:rFonts w:ascii="Times New Roman" w:hAnsi="Times New Roman" w:eastAsia="Times New Roman"/>
                <w:spacing w:val="-3"/>
                <w:position w:val="7"/>
                <w:sz w:val="14"/>
                <w:vertAlign w:val="baseline"/>
              </w:rPr>
              <w:t>3</w:t>
            </w:r>
            <w:r>
              <w:rPr>
                <w:rFonts w:ascii="Times New Roman" w:hAnsi="Times New Roman" w:eastAsia="Times New Roman"/>
                <w:spacing w:val="-3"/>
                <w:sz w:val="21"/>
                <w:vertAlign w:val="baseline"/>
              </w:rPr>
              <w:t>×8</w:t>
            </w:r>
            <w:r>
              <w:rPr>
                <w:rFonts w:ascii="Times New Roman" w:hAnsi="Times New Roman" w:eastAsia="Times New Roman"/>
                <w:spacing w:val="2"/>
                <w:sz w:val="21"/>
                <w:vertAlign w:val="baseline"/>
              </w:rPr>
              <w:t> </w:t>
            </w:r>
            <w:r>
              <w:rPr>
                <w:spacing w:val="-2"/>
                <w:sz w:val="21"/>
                <w:vertAlign w:val="baseline"/>
              </w:rPr>
              <w:t>小时，中</w:t>
            </w:r>
          </w:p>
          <w:p>
            <w:pPr>
              <w:pStyle w:val="TableParagraph"/>
              <w:spacing w:line="267" w:lineRule="exact"/>
              <w:ind w:left="114"/>
              <w:jc w:val="left"/>
              <w:rPr>
                <w:sz w:val="21"/>
              </w:rPr>
            </w:pPr>
            <w:r>
              <w:rPr>
                <w:sz w:val="21"/>
              </w:rPr>
              <w:t>毒症状出现。</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jc w:val="left"/>
              <w:rPr>
                <w:sz w:val="9"/>
              </w:rPr>
            </w:pPr>
          </w:p>
          <w:p>
            <w:pPr>
              <w:pStyle w:val="TableParagraph"/>
              <w:spacing w:line="172" w:lineRule="auto"/>
              <w:ind w:left="383" w:right="357"/>
              <w:jc w:val="left"/>
              <w:rPr>
                <w:sz w:val="21"/>
              </w:rPr>
            </w:pPr>
            <w:r>
              <w:rPr>
                <w:sz w:val="21"/>
              </w:rPr>
              <w:t>危险特性</w:t>
            </w:r>
          </w:p>
        </w:tc>
        <w:tc>
          <w:tcPr>
            <w:tcW w:w="7743"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3"/>
              <w:jc w:val="left"/>
              <w:rPr>
                <w:sz w:val="21"/>
              </w:rPr>
            </w:pPr>
            <w:r>
              <w:rPr>
                <w:spacing w:val="-7"/>
                <w:sz w:val="21"/>
              </w:rPr>
              <w:t>易燃，其蒸气与空气可形成爆炸性混合物。遇明火、高热极易燃烧爆炸。与氧化剂</w:t>
            </w:r>
            <w:r>
              <w:rPr>
                <w:spacing w:val="-9"/>
                <w:sz w:val="21"/>
              </w:rPr>
              <w:t>能发生强烈反应。流速过快，容易产生和积聚静电。其蒸气比空气重，能在较低处</w:t>
            </w:r>
          </w:p>
          <w:p>
            <w:pPr>
              <w:pStyle w:val="TableParagraph"/>
              <w:spacing w:line="266" w:lineRule="exact"/>
              <w:ind w:left="114"/>
              <w:jc w:val="left"/>
              <w:rPr>
                <w:sz w:val="21"/>
              </w:rPr>
            </w:pPr>
            <w:r>
              <w:rPr>
                <w:sz w:val="21"/>
              </w:rPr>
              <w:t>扩散到相当远的地方，遇明火会引着回燃。</w:t>
            </w:r>
          </w:p>
        </w:tc>
      </w:tr>
      <w:tr>
        <w:trPr>
          <w:trHeight w:val="287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8"/>
              <w:jc w:val="left"/>
              <w:rPr>
                <w:sz w:val="14"/>
              </w:rPr>
            </w:pPr>
          </w:p>
          <w:p>
            <w:pPr>
              <w:pStyle w:val="TableParagraph"/>
              <w:spacing w:line="172" w:lineRule="auto"/>
              <w:ind w:left="277" w:right="252"/>
              <w:jc w:val="left"/>
              <w:rPr>
                <w:sz w:val="21"/>
              </w:rPr>
            </w:pPr>
            <w:r>
              <w:rPr>
                <w:sz w:val="21"/>
              </w:rPr>
              <w:t>泄漏应急处理</w:t>
            </w:r>
          </w:p>
        </w:tc>
        <w:tc>
          <w:tcPr>
            <w:tcW w:w="7743"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3"/>
              <w:jc w:val="both"/>
              <w:rPr>
                <w:sz w:val="21"/>
              </w:rPr>
            </w:pPr>
            <w:r>
              <w:rPr>
                <w:spacing w:val="-7"/>
                <w:sz w:val="21"/>
              </w:rPr>
              <w:t>迅速撤离泄漏污染区人员至安全区，并进行隔离，严格限制出入。切断火源。建议</w:t>
            </w:r>
            <w:r>
              <w:rPr>
                <w:spacing w:val="-8"/>
                <w:sz w:val="21"/>
              </w:rPr>
              <w:t>应急处理人员戴自给正压式呼吸器，穿消防防护服。尽可能切断泄漏源，防止进入</w:t>
            </w:r>
            <w:r>
              <w:rPr>
                <w:spacing w:val="-9"/>
                <w:sz w:val="21"/>
              </w:rPr>
              <w:t>下水道、排洪沟等限制性空间。小量泄漏：用活性炭或其它惰性材料吸收。也可以</w:t>
            </w:r>
            <w:r>
              <w:rPr>
                <w:spacing w:val="-8"/>
                <w:sz w:val="21"/>
              </w:rPr>
              <w:t>用不燃性分散剂制成的乳液刷洗，洗液稀释后放入废水系统。大量泄漏：构筑围堤</w:t>
            </w:r>
            <w:r>
              <w:rPr>
                <w:spacing w:val="-10"/>
                <w:sz w:val="21"/>
              </w:rPr>
              <w:t>或挖坑收容；用泡沫覆盖，降低蒸气灾害。用防爆泵转达移至专用收集器内，回收</w:t>
            </w:r>
            <w:r>
              <w:rPr>
                <w:spacing w:val="-8"/>
                <w:sz w:val="21"/>
              </w:rPr>
              <w:t>或运至废物处理场所处置。如有大量甲苯洒在地面上，应立即用砂土、泥块阴断液</w:t>
            </w:r>
            <w:r>
              <w:rPr>
                <w:spacing w:val="-9"/>
                <w:sz w:val="21"/>
              </w:rPr>
              <w:t>体的蔓延；如倾倒在水里，应立即筑坝切断受污染水体的流动，或用围栏阴断甲苯的蔓延扩散；如甲洒在土壤里，应立即收集被污染土壤，迅速转移到安全地带任其</w:t>
            </w:r>
          </w:p>
          <w:p>
            <w:pPr>
              <w:pStyle w:val="TableParagraph"/>
              <w:spacing w:line="263" w:lineRule="exact"/>
              <w:ind w:left="114"/>
              <w:jc w:val="both"/>
              <w:rPr>
                <w:sz w:val="21"/>
              </w:rPr>
            </w:pPr>
            <w:r>
              <w:rPr>
                <w:sz w:val="21"/>
              </w:rPr>
              <w:t>挥发。事故现场加强通风，蒸发残液，排除蒸气。</w:t>
            </w:r>
          </w:p>
        </w:tc>
      </w:tr>
      <w:tr>
        <w:trPr>
          <w:trHeight w:val="1281" w:hRule="atLeast"/>
        </w:trPr>
        <w:tc>
          <w:tcPr>
            <w:tcW w:w="1188" w:type="dxa"/>
            <w:tcBorders>
              <w:top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05" w:right="84"/>
              <w:rPr>
                <w:sz w:val="21"/>
              </w:rPr>
            </w:pPr>
            <w:r>
              <w:rPr>
                <w:sz w:val="21"/>
              </w:rPr>
              <w:t>防护措施</w:t>
            </w:r>
          </w:p>
        </w:tc>
        <w:tc>
          <w:tcPr>
            <w:tcW w:w="7743"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3"/>
              <w:jc w:val="both"/>
              <w:rPr>
                <w:sz w:val="21"/>
              </w:rPr>
            </w:pPr>
            <w:r>
              <w:rPr>
                <w:spacing w:val="-2"/>
                <w:sz w:val="21"/>
              </w:rPr>
              <w:t>呼吸系统防护：空气中浓度超标时，应该佩戴自吸过滤式防毒面罩</w:t>
            </w:r>
            <w:r>
              <w:rPr>
                <w:rFonts w:ascii="Times New Roman" w:eastAsia="Times New Roman"/>
                <w:sz w:val="21"/>
              </w:rPr>
              <w:t>(</w:t>
            </w:r>
            <w:r>
              <w:rPr>
                <w:sz w:val="21"/>
              </w:rPr>
              <w:t>半面罩</w:t>
            </w:r>
            <w:r>
              <w:rPr>
                <w:rFonts w:ascii="Times New Roman" w:eastAsia="Times New Roman"/>
                <w:sz w:val="21"/>
              </w:rPr>
              <w:t>)</w:t>
            </w:r>
            <w:r>
              <w:rPr>
                <w:sz w:val="21"/>
              </w:rPr>
              <w:t>。紧急</w:t>
            </w:r>
            <w:r>
              <w:rPr>
                <w:spacing w:val="-7"/>
                <w:sz w:val="21"/>
              </w:rPr>
              <w:t>事态抢救或撤离时，应该佩戴空气呼吸器或氧气呼吸器。眼睛防护：戴化学安全防</w:t>
            </w:r>
            <w:r>
              <w:rPr>
                <w:spacing w:val="-10"/>
                <w:sz w:val="21"/>
              </w:rPr>
              <w:t>护眼镜。身体防护：穿防毒渗透工作服。手防护：戴乳胶手套。其它：工作现场禁</w:t>
            </w:r>
          </w:p>
          <w:p>
            <w:pPr>
              <w:pStyle w:val="TableParagraph"/>
              <w:spacing w:line="267" w:lineRule="exact"/>
              <w:ind w:left="114"/>
              <w:jc w:val="both"/>
              <w:rPr>
                <w:sz w:val="21"/>
              </w:rPr>
            </w:pPr>
            <w:r>
              <w:rPr>
                <w:sz w:val="21"/>
              </w:rPr>
              <w:t>止吸烟、进食和饮水。工作毕，淋浴更衣。保持良好的卫生习惯。</w:t>
            </w:r>
          </w:p>
        </w:tc>
      </w:tr>
      <w:tr>
        <w:trPr>
          <w:trHeight w:val="191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3"/>
              <w:jc w:val="left"/>
              <w:rPr>
                <w:sz w:val="15"/>
              </w:rPr>
            </w:pPr>
          </w:p>
          <w:p>
            <w:pPr>
              <w:pStyle w:val="TableParagraph"/>
              <w:ind w:left="105" w:right="84"/>
              <w:rPr>
                <w:sz w:val="21"/>
              </w:rPr>
            </w:pPr>
            <w:r>
              <w:rPr>
                <w:sz w:val="21"/>
              </w:rPr>
              <w:t>急救措施</w:t>
            </w:r>
          </w:p>
        </w:tc>
        <w:tc>
          <w:tcPr>
            <w:tcW w:w="7743"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44"/>
              <w:jc w:val="both"/>
              <w:rPr>
                <w:sz w:val="21"/>
              </w:rPr>
            </w:pPr>
            <w:r>
              <w:rPr>
                <w:spacing w:val="-7"/>
                <w:sz w:val="21"/>
              </w:rPr>
              <w:t>皮肤接触：脱去被污染的衣着，用肥皂水和清水彻底冲洗皮肤。眼睛接触：提起眼</w:t>
            </w:r>
            <w:r>
              <w:rPr>
                <w:spacing w:val="-8"/>
                <w:sz w:val="21"/>
              </w:rPr>
              <w:t>睑，用流动清水或生理盐水冲洗。就医。吸入：迅速脱离现场至空气新鲜处。保持</w:t>
            </w:r>
            <w:r>
              <w:rPr>
                <w:spacing w:val="-15"/>
                <w:sz w:val="21"/>
              </w:rPr>
              <w:t>呼吸道通畅。如呼吸困难，给输氧。如呼吸停止，立即进行人工呼吸。就医。食入： </w:t>
            </w:r>
            <w:r>
              <w:rPr>
                <w:spacing w:val="-8"/>
                <w:sz w:val="21"/>
              </w:rPr>
              <w:t>饮足量温水，催吐，就医。灭火方法：喷水保持火场容器冷却。尽可能将容器从火</w:t>
            </w:r>
            <w:r>
              <w:rPr>
                <w:spacing w:val="-9"/>
                <w:sz w:val="21"/>
              </w:rPr>
              <w:t>场移至空旷处。处在火场中的容器若已变色或从安全泄压装置中产生声音，必须马</w:t>
            </w:r>
          </w:p>
          <w:p>
            <w:pPr>
              <w:pStyle w:val="TableParagraph"/>
              <w:spacing w:line="265" w:lineRule="exact"/>
              <w:ind w:left="114"/>
              <w:jc w:val="both"/>
              <w:rPr>
                <w:sz w:val="21"/>
              </w:rPr>
            </w:pPr>
            <w:r>
              <w:rPr>
                <w:sz w:val="21"/>
              </w:rPr>
              <w:t>上撤离。灭火剂：泡沫、干粉、二氧化碳、砂土。用水灭火无效。</w:t>
            </w:r>
          </w:p>
        </w:tc>
      </w:tr>
      <w:tr>
        <w:trPr>
          <w:trHeight w:val="272" w:hRule="atLeast"/>
        </w:trPr>
        <w:tc>
          <w:tcPr>
            <w:tcW w:w="1188" w:type="dxa"/>
            <w:tcBorders>
              <w:top w:val="single" w:sz="6" w:space="0" w:color="000000"/>
              <w:bottom w:val="single" w:sz="6" w:space="0" w:color="000000"/>
              <w:right w:val="single" w:sz="6" w:space="0" w:color="000000"/>
            </w:tcBorders>
          </w:tcPr>
          <w:p>
            <w:pPr>
              <w:pStyle w:val="TableParagraph"/>
              <w:spacing w:line="253" w:lineRule="exact"/>
              <w:ind w:left="106" w:right="83"/>
              <w:rPr>
                <w:sz w:val="21"/>
              </w:rPr>
            </w:pPr>
            <w:r>
              <w:rPr>
                <w:sz w:val="21"/>
              </w:rPr>
              <w:t>储运</w:t>
            </w:r>
          </w:p>
        </w:tc>
        <w:tc>
          <w:tcPr>
            <w:tcW w:w="7743" w:type="dxa"/>
            <w:gridSpan w:val="3"/>
            <w:tcBorders>
              <w:top w:val="single" w:sz="6" w:space="0" w:color="000000"/>
              <w:left w:val="single" w:sz="6" w:space="0" w:color="000000"/>
              <w:bottom w:val="single" w:sz="6" w:space="0" w:color="000000"/>
            </w:tcBorders>
          </w:tcPr>
          <w:p>
            <w:pPr>
              <w:pStyle w:val="TableParagraph"/>
              <w:spacing w:line="253" w:lineRule="exact"/>
              <w:ind w:left="114"/>
              <w:jc w:val="left"/>
              <w:rPr>
                <w:sz w:val="21"/>
              </w:rPr>
            </w:pPr>
            <w:r>
              <w:rPr>
                <w:sz w:val="21"/>
              </w:rPr>
              <w:t>小开口钢桶；螺纹口玻璃瓶、铁盖压口玻璃瓶、塑料瓶或金属桶（罐）外木板箱。</w:t>
            </w:r>
          </w:p>
        </w:tc>
      </w:tr>
      <w:tr>
        <w:trPr>
          <w:trHeight w:val="270" w:hRule="atLeast"/>
        </w:trPr>
        <w:tc>
          <w:tcPr>
            <w:tcW w:w="1188" w:type="dxa"/>
            <w:tcBorders>
              <w:top w:val="single" w:sz="6" w:space="0" w:color="000000"/>
              <w:right w:val="single" w:sz="6" w:space="0" w:color="000000"/>
            </w:tcBorders>
          </w:tcPr>
          <w:p>
            <w:pPr>
              <w:pStyle w:val="TableParagraph"/>
              <w:spacing w:line="250" w:lineRule="exact"/>
              <w:ind w:left="105" w:right="84"/>
              <w:rPr>
                <w:sz w:val="21"/>
              </w:rPr>
            </w:pPr>
            <w:r>
              <w:rPr>
                <w:sz w:val="21"/>
              </w:rPr>
              <w:t>主要用途</w:t>
            </w:r>
          </w:p>
        </w:tc>
        <w:tc>
          <w:tcPr>
            <w:tcW w:w="7743" w:type="dxa"/>
            <w:gridSpan w:val="3"/>
            <w:tcBorders>
              <w:top w:val="single" w:sz="6" w:space="0" w:color="000000"/>
              <w:left w:val="single" w:sz="6" w:space="0" w:color="000000"/>
            </w:tcBorders>
          </w:tcPr>
          <w:p>
            <w:pPr>
              <w:pStyle w:val="TableParagraph"/>
              <w:spacing w:line="250" w:lineRule="exact"/>
              <w:ind w:left="114"/>
              <w:jc w:val="left"/>
              <w:rPr>
                <w:sz w:val="21"/>
              </w:rPr>
            </w:pPr>
            <w:r>
              <w:rPr>
                <w:sz w:val="21"/>
              </w:rPr>
              <w:t>用于掺合汽油组成及作为生产甲苯衍生物、炸药、染料中间体、药物的主要原料</w:t>
            </w:r>
          </w:p>
        </w:tc>
      </w:tr>
    </w:tbl>
    <w:p>
      <w:pPr>
        <w:pStyle w:val="BodyText"/>
        <w:spacing w:before="18"/>
        <w:rPr>
          <w:sz w:val="4"/>
        </w:rPr>
      </w:pPr>
    </w:p>
    <w:p>
      <w:pPr>
        <w:tabs>
          <w:tab w:pos="4082" w:val="left" w:leader="none"/>
        </w:tabs>
        <w:spacing w:line="423" w:lineRule="exact" w:before="0"/>
        <w:ind w:left="3074" w:right="0" w:firstLine="0"/>
        <w:jc w:val="left"/>
        <w:rPr>
          <w:sz w:val="21"/>
        </w:rPr>
      </w:pPr>
      <w:r>
        <w:rPr>
          <w:sz w:val="21"/>
        </w:rPr>
        <w:t>表</w:t>
      </w:r>
      <w:r>
        <w:rPr>
          <w:spacing w:val="5"/>
          <w:sz w:val="21"/>
        </w:rPr>
        <w:t> </w:t>
      </w:r>
      <w:r>
        <w:rPr>
          <w:rFonts w:ascii="Times New Roman" w:eastAsia="Times New Roman"/>
          <w:spacing w:val="-2"/>
          <w:sz w:val="21"/>
        </w:rPr>
        <w:t>7.1-11</w:t>
        <w:tab/>
      </w:r>
      <w:r>
        <w:rPr>
          <w:sz w:val="21"/>
        </w:rPr>
        <w:t>双</w:t>
      </w:r>
      <w:r>
        <w:rPr>
          <w:spacing w:val="-3"/>
          <w:sz w:val="21"/>
        </w:rPr>
        <w:t>氰</w:t>
      </w:r>
      <w:r>
        <w:rPr>
          <w:sz w:val="21"/>
        </w:rPr>
        <w:t>胺</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341"/>
        <w:gridCol w:w="1261"/>
        <w:gridCol w:w="4220"/>
      </w:tblGrid>
      <w:tr>
        <w:trPr>
          <w:trHeight w:val="397" w:hRule="atLeast"/>
        </w:trPr>
        <w:tc>
          <w:tcPr>
            <w:tcW w:w="1188" w:type="dxa"/>
            <w:tcBorders>
              <w:bottom w:val="single" w:sz="6" w:space="0" w:color="000000"/>
              <w:right w:val="single" w:sz="6" w:space="0" w:color="000000"/>
            </w:tcBorders>
          </w:tcPr>
          <w:p>
            <w:pPr>
              <w:pStyle w:val="TableParagraph"/>
              <w:spacing w:line="378" w:lineRule="exact"/>
              <w:ind w:left="105" w:right="84"/>
              <w:rPr>
                <w:sz w:val="21"/>
              </w:rPr>
            </w:pPr>
            <w:r>
              <w:rPr>
                <w:sz w:val="21"/>
              </w:rPr>
              <w:t>国标编号</w:t>
            </w:r>
          </w:p>
        </w:tc>
        <w:tc>
          <w:tcPr>
            <w:tcW w:w="2341" w:type="dxa"/>
            <w:tcBorders>
              <w:left w:val="single" w:sz="6" w:space="0" w:color="000000"/>
              <w:bottom w:val="single" w:sz="6" w:space="0" w:color="000000"/>
              <w:right w:val="single" w:sz="6" w:space="0" w:color="000000"/>
            </w:tcBorders>
          </w:tcPr>
          <w:p>
            <w:pPr>
              <w:pStyle w:val="TableParagraph"/>
              <w:spacing w:before="98"/>
              <w:ind w:left="838" w:right="812"/>
              <w:rPr>
                <w:rFonts w:ascii="Times New Roman"/>
                <w:sz w:val="21"/>
              </w:rPr>
            </w:pPr>
            <w:r>
              <w:rPr>
                <w:rFonts w:ascii="Times New Roman"/>
                <w:sz w:val="21"/>
              </w:rPr>
              <w:t>----</w:t>
            </w:r>
          </w:p>
        </w:tc>
        <w:tc>
          <w:tcPr>
            <w:tcW w:w="1261" w:type="dxa"/>
            <w:tcBorders>
              <w:left w:val="single" w:sz="6" w:space="0" w:color="000000"/>
              <w:bottom w:val="single" w:sz="6" w:space="0" w:color="000000"/>
              <w:right w:val="single" w:sz="6" w:space="0" w:color="000000"/>
            </w:tcBorders>
          </w:tcPr>
          <w:p>
            <w:pPr>
              <w:pStyle w:val="TableParagraph"/>
              <w:spacing w:line="378" w:lineRule="exact"/>
              <w:ind w:left="196" w:right="169"/>
              <w:rPr>
                <w:sz w:val="21"/>
              </w:rPr>
            </w:pPr>
            <w:r>
              <w:rPr>
                <w:rFonts w:ascii="Times New Roman" w:eastAsia="Times New Roman"/>
                <w:sz w:val="21"/>
              </w:rPr>
              <w:t>CAS </w:t>
            </w:r>
            <w:r>
              <w:rPr>
                <w:sz w:val="21"/>
              </w:rPr>
              <w:t>号</w:t>
            </w:r>
          </w:p>
        </w:tc>
        <w:tc>
          <w:tcPr>
            <w:tcW w:w="4220" w:type="dxa"/>
            <w:tcBorders>
              <w:left w:val="single" w:sz="6" w:space="0" w:color="000000"/>
              <w:bottom w:val="single" w:sz="6" w:space="0" w:color="000000"/>
            </w:tcBorders>
          </w:tcPr>
          <w:p>
            <w:pPr>
              <w:pStyle w:val="TableParagraph"/>
              <w:spacing w:before="98"/>
              <w:ind w:left="1425" w:right="1396"/>
              <w:rPr>
                <w:rFonts w:ascii="Times New Roman"/>
                <w:sz w:val="21"/>
              </w:rPr>
            </w:pPr>
            <w:r>
              <w:rPr>
                <w:rFonts w:ascii="Times New Roman"/>
                <w:sz w:val="21"/>
              </w:rPr>
              <w:t>461-58-5</w:t>
            </w:r>
          </w:p>
        </w:tc>
      </w:tr>
      <w:tr>
        <w:trPr>
          <w:trHeight w:val="395" w:hRule="atLeast"/>
        </w:trPr>
        <w:tc>
          <w:tcPr>
            <w:tcW w:w="1188" w:type="dxa"/>
            <w:tcBorders>
              <w:top w:val="single" w:sz="6" w:space="0" w:color="000000"/>
              <w:bottom w:val="single" w:sz="6" w:space="0" w:color="000000"/>
              <w:right w:val="single" w:sz="6" w:space="0" w:color="000000"/>
            </w:tcBorders>
          </w:tcPr>
          <w:p>
            <w:pPr>
              <w:pStyle w:val="TableParagraph"/>
              <w:spacing w:line="375" w:lineRule="exact"/>
              <w:ind w:left="105" w:right="84"/>
              <w:rPr>
                <w:sz w:val="21"/>
              </w:rPr>
            </w:pPr>
            <w:r>
              <w:rPr>
                <w:sz w:val="21"/>
              </w:rPr>
              <w:t>中文名称</w:t>
            </w:r>
          </w:p>
        </w:tc>
        <w:tc>
          <w:tcPr>
            <w:tcW w:w="23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843" w:right="812"/>
              <w:rPr>
                <w:sz w:val="21"/>
              </w:rPr>
            </w:pPr>
            <w:r>
              <w:rPr>
                <w:sz w:val="21"/>
              </w:rPr>
              <w:t>双氰胺</w:t>
            </w:r>
          </w:p>
        </w:tc>
        <w:tc>
          <w:tcPr>
            <w:tcW w:w="12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96" w:right="170"/>
              <w:rPr>
                <w:sz w:val="21"/>
              </w:rPr>
            </w:pPr>
            <w:r>
              <w:rPr>
                <w:sz w:val="21"/>
              </w:rPr>
              <w:t>英文名称</w:t>
            </w:r>
          </w:p>
        </w:tc>
        <w:tc>
          <w:tcPr>
            <w:tcW w:w="4220" w:type="dxa"/>
            <w:tcBorders>
              <w:top w:val="single" w:sz="6" w:space="0" w:color="000000"/>
              <w:left w:val="single" w:sz="6" w:space="0" w:color="000000"/>
              <w:bottom w:val="single" w:sz="6" w:space="0" w:color="000000"/>
            </w:tcBorders>
          </w:tcPr>
          <w:p>
            <w:pPr>
              <w:pStyle w:val="TableParagraph"/>
              <w:spacing w:before="99"/>
              <w:ind w:left="1431" w:right="1396"/>
              <w:rPr>
                <w:rFonts w:ascii="Times New Roman"/>
                <w:sz w:val="21"/>
              </w:rPr>
            </w:pPr>
            <w:r>
              <w:rPr>
                <w:rFonts w:ascii="Times New Roman"/>
                <w:sz w:val="21"/>
              </w:rPr>
              <w:t>cyanoguanidine</w:t>
            </w:r>
          </w:p>
        </w:tc>
      </w:tr>
      <w:tr>
        <w:trPr>
          <w:trHeight w:val="640" w:hRule="atLeast"/>
        </w:trPr>
        <w:tc>
          <w:tcPr>
            <w:tcW w:w="1188" w:type="dxa"/>
            <w:tcBorders>
              <w:top w:val="single" w:sz="6" w:space="0" w:color="000000"/>
              <w:right w:val="single" w:sz="6" w:space="0" w:color="000000"/>
            </w:tcBorders>
          </w:tcPr>
          <w:p>
            <w:pPr>
              <w:pStyle w:val="TableParagraph"/>
              <w:spacing w:before="107"/>
              <w:ind w:left="105" w:right="84"/>
              <w:rPr>
                <w:sz w:val="21"/>
              </w:rPr>
            </w:pPr>
            <w:r>
              <w:rPr>
                <w:sz w:val="21"/>
              </w:rPr>
              <w:t>危险标记</w:t>
            </w:r>
          </w:p>
        </w:tc>
        <w:tc>
          <w:tcPr>
            <w:tcW w:w="2341" w:type="dxa"/>
            <w:tcBorders>
              <w:top w:val="single" w:sz="6" w:space="0" w:color="000000"/>
              <w:left w:val="single" w:sz="6" w:space="0" w:color="000000"/>
              <w:right w:val="single" w:sz="6" w:space="0" w:color="000000"/>
            </w:tcBorders>
          </w:tcPr>
          <w:p>
            <w:pPr>
              <w:pStyle w:val="TableParagraph"/>
              <w:spacing w:before="9"/>
              <w:jc w:val="left"/>
              <w:rPr>
                <w:sz w:val="10"/>
              </w:rPr>
            </w:pPr>
          </w:p>
          <w:p>
            <w:pPr>
              <w:pStyle w:val="TableParagraph"/>
              <w:ind w:left="838" w:right="812"/>
              <w:rPr>
                <w:rFonts w:ascii="Times New Roman"/>
                <w:sz w:val="21"/>
              </w:rPr>
            </w:pPr>
            <w:r>
              <w:rPr>
                <w:rFonts w:ascii="Times New Roman"/>
                <w:sz w:val="21"/>
              </w:rPr>
              <w:t>----</w:t>
            </w:r>
          </w:p>
        </w:tc>
        <w:tc>
          <w:tcPr>
            <w:tcW w:w="1261" w:type="dxa"/>
            <w:tcBorders>
              <w:top w:val="single" w:sz="6" w:space="0" w:color="000000"/>
              <w:left w:val="single" w:sz="6" w:space="0" w:color="000000"/>
              <w:right w:val="single" w:sz="6" w:space="0" w:color="000000"/>
            </w:tcBorders>
          </w:tcPr>
          <w:p>
            <w:pPr>
              <w:pStyle w:val="TableParagraph"/>
              <w:spacing w:before="107"/>
              <w:ind w:left="196" w:right="170"/>
              <w:rPr>
                <w:sz w:val="21"/>
              </w:rPr>
            </w:pPr>
            <w:r>
              <w:rPr>
                <w:sz w:val="21"/>
              </w:rPr>
              <w:t>主要用途</w:t>
            </w:r>
          </w:p>
        </w:tc>
        <w:tc>
          <w:tcPr>
            <w:tcW w:w="4220" w:type="dxa"/>
            <w:tcBorders>
              <w:top w:val="single" w:sz="6" w:space="0" w:color="000000"/>
              <w:left w:val="single" w:sz="6" w:space="0" w:color="000000"/>
            </w:tcBorders>
          </w:tcPr>
          <w:p>
            <w:pPr>
              <w:pStyle w:val="TableParagraph"/>
              <w:spacing w:line="331" w:lineRule="exact"/>
              <w:ind w:left="118"/>
              <w:jc w:val="left"/>
              <w:rPr>
                <w:sz w:val="21"/>
              </w:rPr>
            </w:pPr>
            <w:r>
              <w:rPr>
                <w:sz w:val="21"/>
              </w:rPr>
              <w:t>用作肥料、硝酸纤维素稳定剂、橡胶硫化促</w:t>
            </w:r>
          </w:p>
          <w:p>
            <w:pPr>
              <w:pStyle w:val="TableParagraph"/>
              <w:spacing w:line="290" w:lineRule="exact"/>
              <w:ind w:left="113" w:right="-29"/>
              <w:jc w:val="left"/>
              <w:rPr>
                <w:sz w:val="21"/>
              </w:rPr>
            </w:pPr>
            <w:r>
              <w:rPr>
                <w:spacing w:val="-12"/>
                <w:sz w:val="21"/>
              </w:rPr>
              <w:t>进剂，也用于制造塑料、人造树脂、人造漆、</w:t>
            </w:r>
          </w:p>
        </w:tc>
      </w:tr>
    </w:tbl>
    <w:p>
      <w:pPr>
        <w:spacing w:after="0" w:line="290"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341"/>
        <w:gridCol w:w="1261"/>
        <w:gridCol w:w="4220"/>
      </w:tblGrid>
      <w:tr>
        <w:trPr>
          <w:trHeight w:val="397"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2341"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261"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4220" w:type="dxa"/>
            <w:tcBorders>
              <w:left w:val="single" w:sz="6" w:space="0" w:color="000000"/>
              <w:bottom w:val="single" w:sz="6" w:space="0" w:color="000000"/>
            </w:tcBorders>
          </w:tcPr>
          <w:p>
            <w:pPr>
              <w:pStyle w:val="TableParagraph"/>
              <w:spacing w:line="378" w:lineRule="exact"/>
              <w:ind w:left="145"/>
              <w:jc w:val="left"/>
              <w:rPr>
                <w:sz w:val="21"/>
              </w:rPr>
            </w:pPr>
            <w:r>
              <w:rPr>
                <w:sz w:val="21"/>
              </w:rPr>
              <w:t>氰化合物</w:t>
            </w:r>
            <w:r>
              <w:rPr>
                <w:rFonts w:ascii="Times New Roman" w:eastAsia="Times New Roman"/>
                <w:sz w:val="21"/>
              </w:rPr>
              <w:t>, </w:t>
            </w:r>
            <w:r>
              <w:rPr>
                <w:sz w:val="21"/>
              </w:rPr>
              <w:t>还是制造黑色素、炸药等的原料</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5" w:right="84"/>
              <w:rPr>
                <w:sz w:val="21"/>
              </w:rPr>
            </w:pPr>
            <w:r>
              <w:rPr>
                <w:sz w:val="21"/>
              </w:rPr>
              <w:t>侵入途径</w:t>
            </w:r>
          </w:p>
        </w:tc>
        <w:tc>
          <w:tcPr>
            <w:tcW w:w="7822" w:type="dxa"/>
            <w:gridSpan w:val="3"/>
            <w:tcBorders>
              <w:top w:val="single" w:sz="6" w:space="0" w:color="000000"/>
              <w:left w:val="single" w:sz="6" w:space="0" w:color="000000"/>
              <w:bottom w:val="single" w:sz="6" w:space="0" w:color="000000"/>
            </w:tcBorders>
          </w:tcPr>
          <w:p>
            <w:pPr>
              <w:pStyle w:val="TableParagraph"/>
              <w:spacing w:line="378" w:lineRule="exact"/>
              <w:ind w:left="2741" w:right="2707"/>
              <w:rPr>
                <w:sz w:val="21"/>
              </w:rPr>
            </w:pPr>
            <w:r>
              <w:rPr>
                <w:sz w:val="21"/>
              </w:rPr>
              <w:t>吸入、食入、经皮吸收。</w:t>
            </w:r>
          </w:p>
        </w:tc>
      </w:tr>
      <w:tr>
        <w:trPr>
          <w:trHeight w:val="395" w:hRule="atLeast"/>
        </w:trPr>
        <w:tc>
          <w:tcPr>
            <w:tcW w:w="1188" w:type="dxa"/>
            <w:tcBorders>
              <w:top w:val="single" w:sz="6" w:space="0" w:color="000000"/>
              <w:bottom w:val="single" w:sz="6" w:space="0" w:color="000000"/>
              <w:right w:val="single" w:sz="6" w:space="0" w:color="000000"/>
            </w:tcBorders>
          </w:tcPr>
          <w:p>
            <w:pPr>
              <w:pStyle w:val="TableParagraph"/>
              <w:spacing w:line="375" w:lineRule="exact"/>
              <w:ind w:left="105" w:right="84"/>
              <w:rPr>
                <w:sz w:val="21"/>
              </w:rPr>
            </w:pPr>
            <w:r>
              <w:rPr>
                <w:sz w:val="21"/>
              </w:rPr>
              <w:t>健康危害</w:t>
            </w:r>
          </w:p>
        </w:tc>
        <w:tc>
          <w:tcPr>
            <w:tcW w:w="7822" w:type="dxa"/>
            <w:gridSpan w:val="3"/>
            <w:tcBorders>
              <w:top w:val="single" w:sz="6" w:space="0" w:color="000000"/>
              <w:left w:val="single" w:sz="6" w:space="0" w:color="000000"/>
              <w:bottom w:val="single" w:sz="6" w:space="0" w:color="000000"/>
            </w:tcBorders>
          </w:tcPr>
          <w:p>
            <w:pPr>
              <w:pStyle w:val="TableParagraph"/>
              <w:spacing w:line="375" w:lineRule="exact"/>
              <w:ind w:left="114"/>
              <w:jc w:val="left"/>
              <w:rPr>
                <w:sz w:val="21"/>
              </w:rPr>
            </w:pPr>
            <w:r>
              <w:rPr>
                <w:sz w:val="21"/>
              </w:rPr>
              <w:t>吸入、摄入或经皮肤吸收后对身体有害。但急性中毒的危险性极小。</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6" w:right="83"/>
              <w:rPr>
                <w:sz w:val="21"/>
              </w:rPr>
            </w:pPr>
            <w:r>
              <w:rPr>
                <w:sz w:val="21"/>
              </w:rPr>
              <w:t>毒性</w:t>
            </w:r>
          </w:p>
        </w:tc>
        <w:tc>
          <w:tcPr>
            <w:tcW w:w="7822" w:type="dxa"/>
            <w:gridSpan w:val="3"/>
            <w:tcBorders>
              <w:top w:val="single" w:sz="6" w:space="0" w:color="000000"/>
              <w:left w:val="single" w:sz="6" w:space="0" w:color="000000"/>
              <w:bottom w:val="single" w:sz="6" w:space="0" w:color="000000"/>
            </w:tcBorders>
          </w:tcPr>
          <w:p>
            <w:pPr>
              <w:pStyle w:val="TableParagraph"/>
              <w:spacing w:line="378" w:lineRule="exact"/>
              <w:ind w:left="114"/>
              <w:jc w:val="left"/>
              <w:rPr>
                <w:rFonts w:ascii="Times New Roman" w:eastAsia="Times New Roman"/>
                <w:sz w:val="21"/>
              </w:rPr>
            </w:pPr>
            <w:r>
              <w:rPr>
                <w:sz w:val="21"/>
              </w:rPr>
              <w:t>急性毒性：</w:t>
            </w:r>
            <w:r>
              <w:rPr>
                <w:rFonts w:ascii="Times New Roman" w:eastAsia="Times New Roman"/>
                <w:sz w:val="21"/>
              </w:rPr>
              <w:t>LD50</w:t>
            </w:r>
            <w:r>
              <w:rPr>
                <w:sz w:val="21"/>
              </w:rPr>
              <w:t>：</w:t>
            </w:r>
            <w:r>
              <w:rPr>
                <w:rFonts w:ascii="Times New Roman" w:eastAsia="Times New Roman"/>
                <w:sz w:val="21"/>
              </w:rPr>
              <w:t>&gt;4000 mg/kg(</w:t>
            </w:r>
            <w:r>
              <w:rPr>
                <w:sz w:val="21"/>
              </w:rPr>
              <w:t>小鼠经口</w:t>
            </w:r>
            <w:r>
              <w:rPr>
                <w:rFonts w:ascii="Times New Roman" w:eastAsia="Times New Roman"/>
                <w:sz w:val="21"/>
              </w:rPr>
              <w:t>)</w:t>
            </w:r>
            <w:r>
              <w:rPr>
                <w:sz w:val="21"/>
              </w:rPr>
              <w:t>；</w:t>
            </w:r>
            <w:r>
              <w:rPr>
                <w:rFonts w:ascii="Times New Roman" w:eastAsia="Times New Roman"/>
                <w:sz w:val="21"/>
              </w:rPr>
              <w:t>&gt;3000 mg/kg(</w:t>
            </w:r>
            <w:r>
              <w:rPr>
                <w:sz w:val="21"/>
              </w:rPr>
              <w:t>兔经口</w:t>
            </w:r>
            <w:r>
              <w:rPr>
                <w:rFonts w:ascii="Times New Roman" w:eastAsia="Times New Roman"/>
                <w:sz w:val="21"/>
              </w:rPr>
              <w:t>)</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危险特性</w:t>
            </w:r>
          </w:p>
        </w:tc>
        <w:tc>
          <w:tcPr>
            <w:tcW w:w="7822" w:type="dxa"/>
            <w:gridSpan w:val="3"/>
            <w:tcBorders>
              <w:top w:val="single" w:sz="6" w:space="0" w:color="000000"/>
              <w:left w:val="single" w:sz="6" w:space="0" w:color="000000"/>
              <w:bottom w:val="single" w:sz="6" w:space="0" w:color="000000"/>
            </w:tcBorders>
          </w:tcPr>
          <w:p>
            <w:pPr>
              <w:pStyle w:val="TableParagraph"/>
              <w:spacing w:line="329" w:lineRule="exact"/>
              <w:ind w:left="114"/>
              <w:jc w:val="left"/>
              <w:rPr>
                <w:sz w:val="21"/>
              </w:rPr>
            </w:pPr>
            <w:r>
              <w:rPr>
                <w:sz w:val="21"/>
              </w:rPr>
              <w:t>遇硝酸铵、氯酸钾及其盐类能发生强烈的反应</w:t>
            </w:r>
            <w:r>
              <w:rPr>
                <w:rFonts w:ascii="Times New Roman" w:eastAsia="Times New Roman"/>
                <w:sz w:val="21"/>
              </w:rPr>
              <w:t>, </w:t>
            </w:r>
            <w:r>
              <w:rPr>
                <w:sz w:val="21"/>
              </w:rPr>
              <w:t>引起爆炸。受高热分解，产生氰化</w:t>
            </w:r>
          </w:p>
          <w:p>
            <w:pPr>
              <w:pStyle w:val="TableParagraph"/>
              <w:spacing w:line="291" w:lineRule="exact"/>
              <w:ind w:left="114"/>
              <w:jc w:val="left"/>
              <w:rPr>
                <w:sz w:val="21"/>
              </w:rPr>
            </w:pPr>
            <w:r>
              <w:rPr>
                <w:sz w:val="21"/>
              </w:rPr>
              <w:t>物和氮氧化物剧毒烟气。</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spacing w:before="2"/>
              <w:jc w:val="left"/>
              <w:rPr>
                <w:sz w:val="9"/>
              </w:rPr>
            </w:pPr>
          </w:p>
          <w:p>
            <w:pPr>
              <w:pStyle w:val="TableParagraph"/>
              <w:spacing w:line="172" w:lineRule="auto"/>
              <w:ind w:left="383" w:right="148" w:hanging="212"/>
              <w:jc w:val="left"/>
              <w:rPr>
                <w:sz w:val="21"/>
              </w:rPr>
            </w:pPr>
            <w:r>
              <w:rPr>
                <w:sz w:val="21"/>
              </w:rPr>
              <w:t>泄漏应急处理</w:t>
            </w:r>
          </w:p>
        </w:tc>
        <w:tc>
          <w:tcPr>
            <w:tcW w:w="7822"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13"/>
              <w:jc w:val="left"/>
              <w:rPr>
                <w:sz w:val="21"/>
              </w:rPr>
            </w:pPr>
            <w:r>
              <w:rPr>
                <w:spacing w:val="-3"/>
                <w:w w:val="100"/>
                <w:sz w:val="21"/>
              </w:rPr>
              <w:t>隔离泄漏污染区，限制出入。切断火源。建议应急处理人员戴防尘面具</w:t>
            </w:r>
            <w:r>
              <w:rPr>
                <w:w w:val="100"/>
                <w:sz w:val="21"/>
              </w:rPr>
              <w:t>（</w:t>
            </w:r>
            <w:r>
              <w:rPr>
                <w:spacing w:val="-3"/>
                <w:w w:val="100"/>
                <w:sz w:val="21"/>
              </w:rPr>
              <w:t>全面罩</w:t>
            </w:r>
            <w:r>
              <w:rPr>
                <w:spacing w:val="-108"/>
                <w:w w:val="100"/>
                <w:sz w:val="21"/>
              </w:rPr>
              <w:t>）</w:t>
            </w:r>
            <w:r>
              <w:rPr>
                <w:w w:val="100"/>
                <w:sz w:val="21"/>
              </w:rPr>
              <w:t>，</w:t>
            </w:r>
            <w:r>
              <w:rPr>
                <w:sz w:val="21"/>
              </w:rPr>
              <w:t>穿防毒服。用大量水冲洗，洗水稀释后放入废水系统。若大量泄漏，收集回收或运</w:t>
            </w:r>
          </w:p>
          <w:p>
            <w:pPr>
              <w:pStyle w:val="TableParagraph"/>
              <w:spacing w:line="266" w:lineRule="exact"/>
              <w:ind w:left="114"/>
              <w:jc w:val="left"/>
              <w:rPr>
                <w:sz w:val="21"/>
              </w:rPr>
            </w:pPr>
            <w:r>
              <w:rPr>
                <w:sz w:val="21"/>
              </w:rPr>
              <w:t>至废物处理场所处置。</w:t>
            </w:r>
          </w:p>
        </w:tc>
      </w:tr>
      <w:tr>
        <w:trPr>
          <w:trHeight w:val="1281" w:hRule="atLeast"/>
        </w:trPr>
        <w:tc>
          <w:tcPr>
            <w:tcW w:w="1188" w:type="dxa"/>
            <w:tcBorders>
              <w:top w:val="single" w:sz="6" w:space="0" w:color="000000"/>
              <w:bottom w:val="single" w:sz="6" w:space="0" w:color="000000"/>
              <w:right w:val="single" w:sz="6" w:space="0" w:color="000000"/>
            </w:tcBorders>
          </w:tcPr>
          <w:p>
            <w:pPr>
              <w:pStyle w:val="TableParagraph"/>
              <w:spacing w:before="2"/>
              <w:jc w:val="left"/>
              <w:rPr>
                <w:sz w:val="20"/>
              </w:rPr>
            </w:pPr>
          </w:p>
          <w:p>
            <w:pPr>
              <w:pStyle w:val="TableParagraph"/>
              <w:ind w:left="105" w:right="84"/>
              <w:rPr>
                <w:sz w:val="21"/>
              </w:rPr>
            </w:pPr>
            <w:r>
              <w:rPr>
                <w:sz w:val="21"/>
              </w:rPr>
              <w:t>防护措施</w:t>
            </w:r>
          </w:p>
        </w:tc>
        <w:tc>
          <w:tcPr>
            <w:tcW w:w="7822" w:type="dxa"/>
            <w:gridSpan w:val="3"/>
            <w:tcBorders>
              <w:top w:val="single" w:sz="6" w:space="0" w:color="000000"/>
              <w:left w:val="single" w:sz="6" w:space="0" w:color="000000"/>
              <w:bottom w:val="single" w:sz="6" w:space="0" w:color="000000"/>
            </w:tcBorders>
          </w:tcPr>
          <w:p>
            <w:pPr>
              <w:pStyle w:val="TableParagraph"/>
              <w:spacing w:line="172" w:lineRule="auto" w:before="33"/>
              <w:ind w:left="114" w:right="-29"/>
              <w:jc w:val="both"/>
              <w:rPr>
                <w:sz w:val="21"/>
              </w:rPr>
            </w:pPr>
            <w:r>
              <w:rPr>
                <w:sz w:val="21"/>
              </w:rPr>
              <w:t>呼吸系统防护：空气中粉尘浓度超标时，必须佩戴自吸过滤式防尘口罩。紧急事态</w:t>
            </w:r>
            <w:r>
              <w:rPr>
                <w:spacing w:val="-8"/>
                <w:sz w:val="21"/>
              </w:rPr>
              <w:t>抢救或撤离时，应该佩戴空气呼吸器。眼睛防护：戴化学安全防护眼镜。身体防护： 穿防毒渗透工作服。手防护：戴乳胶手套。其它：工作完毕，淋浴更衣。单独存放</w:t>
            </w:r>
          </w:p>
          <w:p>
            <w:pPr>
              <w:pStyle w:val="TableParagraph"/>
              <w:spacing w:line="267" w:lineRule="exact"/>
              <w:ind w:left="114"/>
              <w:jc w:val="both"/>
              <w:rPr>
                <w:sz w:val="21"/>
              </w:rPr>
            </w:pPr>
            <w:r>
              <w:rPr>
                <w:sz w:val="21"/>
              </w:rPr>
              <w:t>被毒物污染的衣服，洗后备用。注意个人清洁卫生。</w:t>
            </w:r>
          </w:p>
        </w:tc>
      </w:tr>
      <w:tr>
        <w:trPr>
          <w:trHeight w:val="1916"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5"/>
              </w:rPr>
            </w:pPr>
          </w:p>
          <w:p>
            <w:pPr>
              <w:pStyle w:val="TableParagraph"/>
              <w:spacing w:before="1"/>
              <w:ind w:left="105" w:right="84"/>
              <w:rPr>
                <w:sz w:val="21"/>
              </w:rPr>
            </w:pPr>
            <w:r>
              <w:rPr>
                <w:sz w:val="21"/>
              </w:rPr>
              <w:t>急救措施</w:t>
            </w:r>
          </w:p>
        </w:tc>
        <w:tc>
          <w:tcPr>
            <w:tcW w:w="7822" w:type="dxa"/>
            <w:gridSpan w:val="3"/>
            <w:tcBorders>
              <w:top w:val="single" w:sz="6" w:space="0" w:color="000000"/>
              <w:left w:val="single" w:sz="6" w:space="0" w:color="000000"/>
            </w:tcBorders>
          </w:tcPr>
          <w:p>
            <w:pPr>
              <w:pStyle w:val="TableParagraph"/>
              <w:spacing w:line="172" w:lineRule="auto" w:before="32"/>
              <w:ind w:left="114" w:right="-29"/>
              <w:jc w:val="both"/>
              <w:rPr>
                <w:sz w:val="21"/>
              </w:rPr>
            </w:pPr>
            <w:r>
              <w:rPr>
                <w:sz w:val="21"/>
              </w:rPr>
              <w:t>皮肤接触：脱去被污染的衣着，用肥皂水和清水彻底冲洗皮肤。眼睛接触：提起眼睑，用流动清水或生理盐水冲洗。就医。吸入：迅速脱离现场至空气新鲜处。保持</w:t>
            </w:r>
            <w:r>
              <w:rPr>
                <w:spacing w:val="-9"/>
                <w:sz w:val="21"/>
              </w:rPr>
              <w:t>呼吸道通畅。如呼吸困难，给输氧。如呼吸停止，立即进行人工呼吸。就医。食入： 饮足量温水，催吐，就医。灭火方法：消防人员必须佩戴过滤式防毒面具</w:t>
            </w:r>
            <w:r>
              <w:rPr>
                <w:rFonts w:ascii="Times New Roman" w:eastAsia="Times New Roman"/>
                <w:sz w:val="21"/>
              </w:rPr>
              <w:t>(</w:t>
            </w:r>
            <w:r>
              <w:rPr>
                <w:sz w:val="21"/>
              </w:rPr>
              <w:t>全面罩</w:t>
            </w:r>
            <w:r>
              <w:rPr>
                <w:rFonts w:ascii="Times New Roman" w:eastAsia="Times New Roman"/>
                <w:sz w:val="21"/>
              </w:rPr>
              <w:t>) </w:t>
            </w:r>
            <w:r>
              <w:rPr>
                <w:sz w:val="21"/>
              </w:rPr>
              <w:t>或隔离式呼吸器、穿全身防火防毒服，在上风向灭火。灭火剂：雾状水、泡沫、干</w:t>
            </w:r>
          </w:p>
          <w:p>
            <w:pPr>
              <w:pStyle w:val="TableParagraph"/>
              <w:spacing w:line="261" w:lineRule="exact"/>
              <w:ind w:left="114"/>
              <w:jc w:val="both"/>
              <w:rPr>
                <w:sz w:val="21"/>
              </w:rPr>
            </w:pPr>
            <w:r>
              <w:rPr>
                <w:sz w:val="21"/>
              </w:rPr>
              <w:t>粉、二氧化碳、砂土。</w:t>
            </w:r>
          </w:p>
        </w:tc>
      </w:tr>
    </w:tbl>
    <w:p>
      <w:pPr>
        <w:pStyle w:val="BodyText"/>
        <w:spacing w:before="19"/>
        <w:rPr>
          <w:sz w:val="4"/>
        </w:rPr>
      </w:pPr>
    </w:p>
    <w:p>
      <w:pPr>
        <w:tabs>
          <w:tab w:pos="4084" w:val="left" w:leader="none"/>
        </w:tabs>
        <w:spacing w:line="423" w:lineRule="exact" w:before="0"/>
        <w:ind w:left="3069" w:right="0" w:firstLine="0"/>
        <w:jc w:val="left"/>
        <w:rPr>
          <w:sz w:val="21"/>
        </w:rPr>
      </w:pPr>
      <w:r>
        <w:rPr>
          <w:sz w:val="21"/>
        </w:rPr>
        <w:t>表</w:t>
      </w:r>
      <w:r>
        <w:rPr>
          <w:spacing w:val="5"/>
          <w:sz w:val="21"/>
        </w:rPr>
        <w:t> </w:t>
      </w:r>
      <w:r>
        <w:rPr>
          <w:rFonts w:ascii="Times New Roman" w:eastAsia="Times New Roman"/>
          <w:sz w:val="21"/>
        </w:rPr>
        <w:t>7.1-12</w:t>
        <w:tab/>
      </w:r>
      <w:r>
        <w:rPr>
          <w:sz w:val="21"/>
        </w:rPr>
        <w:t>二</w:t>
      </w:r>
      <w:r>
        <w:rPr>
          <w:spacing w:val="-3"/>
          <w:sz w:val="21"/>
        </w:rPr>
        <w:t>甲</w:t>
      </w:r>
      <w:r>
        <w:rPr>
          <w:sz w:val="21"/>
        </w:rPr>
        <w:t>苯</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6"/>
        <w:gridCol w:w="1213"/>
        <w:gridCol w:w="1678"/>
        <w:gridCol w:w="1762"/>
        <w:gridCol w:w="1162"/>
        <w:gridCol w:w="2059"/>
      </w:tblGrid>
      <w:tr>
        <w:trPr>
          <w:trHeight w:val="272" w:hRule="atLeast"/>
        </w:trPr>
        <w:tc>
          <w:tcPr>
            <w:tcW w:w="1056" w:type="dxa"/>
            <w:tcBorders>
              <w:bottom w:val="single" w:sz="6" w:space="0" w:color="000000"/>
              <w:right w:val="single" w:sz="6" w:space="0" w:color="000000"/>
            </w:tcBorders>
          </w:tcPr>
          <w:p>
            <w:pPr>
              <w:pStyle w:val="TableParagraph"/>
              <w:spacing w:line="253" w:lineRule="exact"/>
              <w:ind w:left="86" w:right="65"/>
              <w:rPr>
                <w:sz w:val="21"/>
              </w:rPr>
            </w:pPr>
            <w:r>
              <w:rPr>
                <w:sz w:val="21"/>
              </w:rPr>
              <w:t>品名</w:t>
            </w:r>
          </w:p>
        </w:tc>
        <w:tc>
          <w:tcPr>
            <w:tcW w:w="1213" w:type="dxa"/>
            <w:tcBorders>
              <w:left w:val="single" w:sz="6" w:space="0" w:color="000000"/>
              <w:bottom w:val="single" w:sz="6" w:space="0" w:color="000000"/>
              <w:right w:val="single" w:sz="6" w:space="0" w:color="000000"/>
            </w:tcBorders>
          </w:tcPr>
          <w:p>
            <w:pPr>
              <w:pStyle w:val="TableParagraph"/>
              <w:spacing w:line="253" w:lineRule="exact"/>
              <w:ind w:left="172" w:right="142"/>
              <w:rPr>
                <w:sz w:val="21"/>
              </w:rPr>
            </w:pPr>
            <w:r>
              <w:rPr>
                <w:sz w:val="21"/>
              </w:rPr>
              <w:t>二甲苯</w:t>
            </w:r>
          </w:p>
        </w:tc>
        <w:tc>
          <w:tcPr>
            <w:tcW w:w="1678" w:type="dxa"/>
            <w:tcBorders>
              <w:left w:val="single" w:sz="6" w:space="0" w:color="000000"/>
              <w:bottom w:val="single" w:sz="6" w:space="0" w:color="000000"/>
              <w:right w:val="single" w:sz="6" w:space="0" w:color="000000"/>
            </w:tcBorders>
          </w:tcPr>
          <w:p>
            <w:pPr>
              <w:pStyle w:val="TableParagraph"/>
              <w:spacing w:line="253" w:lineRule="exact"/>
              <w:ind w:left="499" w:right="470"/>
              <w:rPr>
                <w:sz w:val="21"/>
              </w:rPr>
            </w:pPr>
            <w:r>
              <w:rPr>
                <w:sz w:val="21"/>
              </w:rPr>
              <w:t>别名</w:t>
            </w:r>
          </w:p>
        </w:tc>
        <w:tc>
          <w:tcPr>
            <w:tcW w:w="1762" w:type="dxa"/>
            <w:tcBorders>
              <w:left w:val="single" w:sz="6" w:space="0" w:color="000000"/>
              <w:bottom w:val="single" w:sz="6" w:space="0" w:color="000000"/>
              <w:right w:val="single" w:sz="6" w:space="0" w:color="000000"/>
            </w:tcBorders>
          </w:tcPr>
          <w:p>
            <w:pPr>
              <w:pStyle w:val="TableParagraph"/>
              <w:spacing w:line="253" w:lineRule="exact"/>
              <w:ind w:left="467"/>
              <w:jc w:val="left"/>
              <w:rPr>
                <w:sz w:val="21"/>
              </w:rPr>
            </w:pPr>
            <w:r>
              <w:rPr>
                <w:sz w:val="21"/>
              </w:rPr>
              <w:t>对二甲苯</w:t>
            </w:r>
          </w:p>
        </w:tc>
        <w:tc>
          <w:tcPr>
            <w:tcW w:w="1162" w:type="dxa"/>
            <w:tcBorders>
              <w:left w:val="single" w:sz="6" w:space="0" w:color="000000"/>
              <w:bottom w:val="single" w:sz="6" w:space="0" w:color="000000"/>
              <w:right w:val="single" w:sz="6" w:space="0" w:color="000000"/>
            </w:tcBorders>
          </w:tcPr>
          <w:p>
            <w:pPr>
              <w:pStyle w:val="TableParagraph"/>
              <w:spacing w:line="253" w:lineRule="exact"/>
              <w:ind w:left="270"/>
              <w:jc w:val="left"/>
              <w:rPr>
                <w:sz w:val="21"/>
              </w:rPr>
            </w:pPr>
            <w:r>
              <w:rPr>
                <w:sz w:val="21"/>
              </w:rPr>
              <w:t>英文名</w:t>
            </w:r>
          </w:p>
        </w:tc>
        <w:tc>
          <w:tcPr>
            <w:tcW w:w="2059" w:type="dxa"/>
            <w:tcBorders>
              <w:left w:val="single" w:sz="6" w:space="0" w:color="000000"/>
              <w:bottom w:val="single" w:sz="6" w:space="0" w:color="000000"/>
            </w:tcBorders>
          </w:tcPr>
          <w:p>
            <w:pPr>
              <w:pStyle w:val="TableParagraph"/>
              <w:spacing w:line="253" w:lineRule="exact"/>
              <w:ind w:left="510"/>
              <w:jc w:val="left"/>
              <w:rPr>
                <w:rFonts w:ascii="Times New Roman" w:eastAsia="Times New Roman"/>
                <w:sz w:val="21"/>
              </w:rPr>
            </w:pPr>
            <w:r>
              <w:rPr>
                <w:rFonts w:ascii="Times New Roman" w:eastAsia="Times New Roman"/>
                <w:sz w:val="21"/>
              </w:rPr>
              <w:t>1</w:t>
            </w:r>
            <w:r>
              <w:rPr>
                <w:sz w:val="21"/>
              </w:rPr>
              <w:t>，</w:t>
            </w:r>
            <w:r>
              <w:rPr>
                <w:rFonts w:ascii="Times New Roman" w:eastAsia="Times New Roman"/>
                <w:sz w:val="21"/>
              </w:rPr>
              <w:t>4-xylene</w:t>
            </w:r>
          </w:p>
        </w:tc>
      </w:tr>
      <w:tr>
        <w:trPr>
          <w:trHeight w:val="817" w:hRule="atLeast"/>
        </w:trPr>
        <w:tc>
          <w:tcPr>
            <w:tcW w:w="1056" w:type="dxa"/>
            <w:tcBorders>
              <w:top w:val="single" w:sz="6" w:space="0" w:color="000000"/>
              <w:bottom w:val="single" w:sz="6" w:space="0" w:color="000000"/>
              <w:right w:val="single" w:sz="6" w:space="0" w:color="000000"/>
            </w:tcBorders>
          </w:tcPr>
          <w:p>
            <w:pPr>
              <w:pStyle w:val="TableParagraph"/>
              <w:spacing w:line="146" w:lineRule="auto" w:before="158"/>
              <w:ind w:left="210" w:right="81" w:hanging="104"/>
              <w:jc w:val="left"/>
              <w:rPr>
                <w:sz w:val="21"/>
              </w:rPr>
            </w:pPr>
            <w:r>
              <w:rPr>
                <w:sz w:val="21"/>
              </w:rPr>
              <w:t>稳定性和危险性</w:t>
            </w:r>
          </w:p>
        </w:tc>
        <w:tc>
          <w:tcPr>
            <w:tcW w:w="7874" w:type="dxa"/>
            <w:gridSpan w:val="5"/>
            <w:tcBorders>
              <w:top w:val="single" w:sz="6" w:space="0" w:color="000000"/>
              <w:left w:val="single" w:sz="6" w:space="0" w:color="000000"/>
              <w:bottom w:val="single" w:sz="6" w:space="0" w:color="000000"/>
            </w:tcBorders>
          </w:tcPr>
          <w:p>
            <w:pPr>
              <w:pStyle w:val="TableParagraph"/>
              <w:spacing w:line="146" w:lineRule="auto" w:before="23"/>
              <w:ind w:left="114" w:right="-29"/>
              <w:jc w:val="left"/>
              <w:rPr>
                <w:sz w:val="21"/>
              </w:rPr>
            </w:pPr>
            <w:r>
              <w:rPr>
                <w:sz w:val="21"/>
              </w:rPr>
              <w:t>稳定，易燃液体。 危险特性：易燃，其蒸气与空气可形成爆炸性混合物。遇明火、</w:t>
            </w:r>
            <w:r>
              <w:rPr>
                <w:spacing w:val="-5"/>
                <w:sz w:val="21"/>
              </w:rPr>
              <w:t>高热能引起燃烧爆炸。与氧化剂能发生强烈反应。流速过快，容易产生和积聚静电。</w:t>
            </w:r>
          </w:p>
          <w:p>
            <w:pPr>
              <w:pStyle w:val="TableParagraph"/>
              <w:spacing w:line="231" w:lineRule="exact"/>
              <w:ind w:left="114"/>
              <w:jc w:val="left"/>
              <w:rPr>
                <w:sz w:val="21"/>
              </w:rPr>
            </w:pPr>
            <w:r>
              <w:rPr>
                <w:sz w:val="21"/>
              </w:rPr>
              <w:t>其蒸气比空气重，能在较低处扩散至相当远的地方，遇明火会引着回燃。</w:t>
            </w:r>
          </w:p>
        </w:tc>
      </w:tr>
      <w:tr>
        <w:trPr>
          <w:trHeight w:val="1633" w:hRule="atLeast"/>
        </w:trPr>
        <w:tc>
          <w:tcPr>
            <w:tcW w:w="1056" w:type="dxa"/>
            <w:tcBorders>
              <w:top w:val="single" w:sz="6" w:space="0" w:color="000000"/>
              <w:bottom w:val="single" w:sz="6" w:space="0" w:color="000000"/>
              <w:right w:val="single" w:sz="6" w:space="0" w:color="000000"/>
            </w:tcBorders>
          </w:tcPr>
          <w:p>
            <w:pPr>
              <w:pStyle w:val="TableParagraph"/>
              <w:spacing w:before="9"/>
              <w:jc w:val="left"/>
              <w:rPr>
                <w:sz w:val="27"/>
              </w:rPr>
            </w:pPr>
          </w:p>
          <w:p>
            <w:pPr>
              <w:pStyle w:val="TableParagraph"/>
              <w:ind w:left="88" w:right="65"/>
              <w:rPr>
                <w:sz w:val="21"/>
              </w:rPr>
            </w:pPr>
            <w:r>
              <w:rPr>
                <w:sz w:val="21"/>
              </w:rPr>
              <w:t>健康危害</w:t>
            </w:r>
          </w:p>
        </w:tc>
        <w:tc>
          <w:tcPr>
            <w:tcW w:w="7874" w:type="dxa"/>
            <w:gridSpan w:val="5"/>
            <w:tcBorders>
              <w:top w:val="single" w:sz="6" w:space="0" w:color="000000"/>
              <w:left w:val="single" w:sz="6" w:space="0" w:color="000000"/>
              <w:bottom w:val="single" w:sz="6" w:space="0" w:color="000000"/>
            </w:tcBorders>
          </w:tcPr>
          <w:p>
            <w:pPr>
              <w:pStyle w:val="TableParagraph"/>
              <w:spacing w:line="146" w:lineRule="auto" w:before="21"/>
              <w:ind w:left="114" w:right="-29"/>
              <w:jc w:val="left"/>
              <w:rPr>
                <w:sz w:val="21"/>
              </w:rPr>
            </w:pPr>
            <w:r>
              <w:rPr>
                <w:spacing w:val="-5"/>
                <w:sz w:val="21"/>
              </w:rPr>
              <w:t>侵入途径：吸入、食入、经皮吸收。健康危害：二甲苯对眼及上呼吸道有刺激作用， 高浓度时对中枢神经系统有麻醉作用。急性中毒：短期内吸入较高浓度核武器中可出现眼及上呼吸道明显的刺激症状、眼结膜及咽充血、头晕、恶心、呕吐、胸闷、四肢无力、意识模糊、步态蹒跚。重者可有躁动、抽搐或昏迷，有的有癔病样发作。慢性影响：长期接触有神经衰弱综合征，女工有月经异常，工人常发生皮肤干燥、</w:t>
            </w:r>
          </w:p>
          <w:p>
            <w:pPr>
              <w:pStyle w:val="TableParagraph"/>
              <w:spacing w:line="235" w:lineRule="exact"/>
              <w:ind w:left="114"/>
              <w:jc w:val="left"/>
              <w:rPr>
                <w:sz w:val="21"/>
              </w:rPr>
            </w:pPr>
            <w:r>
              <w:rPr>
                <w:sz w:val="21"/>
              </w:rPr>
              <w:t>皲裂、皮炎。</w:t>
            </w:r>
          </w:p>
        </w:tc>
      </w:tr>
      <w:tr>
        <w:trPr>
          <w:trHeight w:val="1192" w:hRule="atLeast"/>
        </w:trPr>
        <w:tc>
          <w:tcPr>
            <w:tcW w:w="1056" w:type="dxa"/>
            <w:tcBorders>
              <w:top w:val="single" w:sz="6" w:space="0" w:color="000000"/>
              <w:bottom w:val="single" w:sz="6" w:space="0" w:color="000000"/>
              <w:right w:val="single" w:sz="6" w:space="0" w:color="000000"/>
            </w:tcBorders>
          </w:tcPr>
          <w:p>
            <w:pPr>
              <w:pStyle w:val="TableParagraph"/>
              <w:spacing w:before="6"/>
              <w:jc w:val="left"/>
              <w:rPr>
                <w:sz w:val="16"/>
              </w:rPr>
            </w:pPr>
          </w:p>
          <w:p>
            <w:pPr>
              <w:pStyle w:val="TableParagraph"/>
              <w:spacing w:line="146" w:lineRule="auto"/>
              <w:ind w:left="316" w:right="187" w:hanging="106"/>
              <w:jc w:val="left"/>
              <w:rPr>
                <w:sz w:val="21"/>
              </w:rPr>
            </w:pPr>
            <w:r>
              <w:rPr>
                <w:sz w:val="21"/>
              </w:rPr>
              <w:t>毒理学资料</w:t>
            </w:r>
          </w:p>
        </w:tc>
        <w:tc>
          <w:tcPr>
            <w:tcW w:w="7874" w:type="dxa"/>
            <w:gridSpan w:val="5"/>
            <w:tcBorders>
              <w:top w:val="single" w:sz="6" w:space="0" w:color="000000"/>
              <w:left w:val="single" w:sz="6" w:space="0" w:color="000000"/>
              <w:bottom w:val="single" w:sz="6" w:space="0" w:color="000000"/>
            </w:tcBorders>
          </w:tcPr>
          <w:p>
            <w:pPr>
              <w:pStyle w:val="TableParagraph"/>
              <w:spacing w:line="146" w:lineRule="auto" w:before="81"/>
              <w:ind w:left="114" w:right="72"/>
              <w:jc w:val="both"/>
              <w:rPr>
                <w:sz w:val="21"/>
              </w:rPr>
            </w:pPr>
            <w:r>
              <w:rPr>
                <w:spacing w:val="-10"/>
                <w:position w:val="2"/>
                <w:sz w:val="21"/>
              </w:rPr>
              <w:t>毒性：属低毒类。急性毒性：</w:t>
            </w:r>
            <w:r>
              <w:rPr>
                <w:rFonts w:ascii="Times New Roman" w:eastAsia="Times New Roman"/>
                <w:spacing w:val="-4"/>
                <w:position w:val="2"/>
                <w:sz w:val="21"/>
              </w:rPr>
              <w:t>LD</w:t>
            </w:r>
            <w:r>
              <w:rPr>
                <w:rFonts w:ascii="Times New Roman" w:eastAsia="Times New Roman"/>
                <w:spacing w:val="-4"/>
                <w:sz w:val="14"/>
              </w:rPr>
              <w:t>50</w:t>
            </w:r>
            <w:r>
              <w:rPr>
                <w:rFonts w:ascii="Times New Roman" w:eastAsia="Times New Roman"/>
                <w:spacing w:val="-4"/>
                <w:position w:val="2"/>
                <w:sz w:val="21"/>
              </w:rPr>
              <w:t>5000mg/kg(</w:t>
            </w:r>
            <w:r>
              <w:rPr>
                <w:spacing w:val="-1"/>
                <w:position w:val="2"/>
                <w:sz w:val="21"/>
              </w:rPr>
              <w:t>大鼠经口</w:t>
            </w:r>
            <w:r>
              <w:rPr>
                <w:rFonts w:ascii="Times New Roman" w:eastAsia="Times New Roman"/>
                <w:spacing w:val="-5"/>
                <w:position w:val="2"/>
                <w:sz w:val="21"/>
              </w:rPr>
              <w:t>)</w:t>
            </w:r>
            <w:r>
              <w:rPr>
                <w:spacing w:val="-5"/>
                <w:position w:val="2"/>
                <w:sz w:val="21"/>
              </w:rPr>
              <w:t>；</w:t>
            </w:r>
            <w:r>
              <w:rPr>
                <w:rFonts w:ascii="Times New Roman" w:eastAsia="Times New Roman"/>
                <w:spacing w:val="-5"/>
                <w:position w:val="2"/>
                <w:sz w:val="21"/>
              </w:rPr>
              <w:t>LC</w:t>
            </w:r>
            <w:r>
              <w:rPr>
                <w:rFonts w:ascii="Times New Roman" w:eastAsia="Times New Roman"/>
                <w:spacing w:val="-5"/>
                <w:sz w:val="14"/>
              </w:rPr>
              <w:t>50</w:t>
            </w:r>
            <w:r>
              <w:rPr>
                <w:rFonts w:ascii="Times New Roman" w:eastAsia="Times New Roman"/>
                <w:spacing w:val="-5"/>
                <w:position w:val="2"/>
                <w:sz w:val="21"/>
              </w:rPr>
              <w:t>19747mg/kg</w:t>
            </w:r>
            <w:r>
              <w:rPr>
                <w:spacing w:val="-5"/>
                <w:position w:val="2"/>
                <w:sz w:val="21"/>
              </w:rPr>
              <w:t>，</w:t>
            </w:r>
            <w:r>
              <w:rPr>
                <w:rFonts w:ascii="Times New Roman" w:eastAsia="Times New Roman"/>
                <w:spacing w:val="-5"/>
                <w:position w:val="2"/>
                <w:sz w:val="21"/>
              </w:rPr>
              <w:t>4 </w:t>
            </w:r>
            <w:r>
              <w:rPr>
                <w:position w:val="2"/>
                <w:sz w:val="21"/>
              </w:rPr>
              <w:t>小时</w:t>
            </w:r>
            <w:r>
              <w:rPr>
                <w:rFonts w:ascii="Times New Roman" w:eastAsia="Times New Roman"/>
                <w:position w:val="2"/>
                <w:sz w:val="21"/>
              </w:rPr>
              <w:t>(</w:t>
            </w:r>
            <w:r>
              <w:rPr>
                <w:position w:val="2"/>
                <w:sz w:val="21"/>
              </w:rPr>
              <w:t>大</w:t>
            </w:r>
            <w:r>
              <w:rPr>
                <w:sz w:val="21"/>
              </w:rPr>
              <w:t>鼠吸入</w:t>
            </w:r>
            <w:r>
              <w:rPr>
                <w:rFonts w:ascii="Times New Roman" w:eastAsia="Times New Roman"/>
                <w:sz w:val="21"/>
              </w:rPr>
              <w:t>)</w:t>
            </w:r>
            <w:r>
              <w:rPr>
                <w:spacing w:val="-3"/>
                <w:sz w:val="21"/>
              </w:rPr>
              <w:t>；刺激性：人经眼：</w:t>
            </w:r>
            <w:r>
              <w:rPr>
                <w:rFonts w:ascii="Times New Roman" w:eastAsia="Times New Roman"/>
                <w:sz w:val="21"/>
              </w:rPr>
              <w:t>200ppm</w:t>
            </w:r>
            <w:r>
              <w:rPr>
                <w:spacing w:val="-3"/>
                <w:sz w:val="21"/>
              </w:rPr>
              <w:t>，引起刺激。家兔经皮：</w:t>
            </w:r>
            <w:r>
              <w:rPr>
                <w:rFonts w:ascii="Times New Roman" w:eastAsia="Times New Roman"/>
                <w:sz w:val="21"/>
              </w:rPr>
              <w:t>500mg(24 </w:t>
            </w:r>
            <w:r>
              <w:rPr>
                <w:sz w:val="21"/>
              </w:rPr>
              <w:t>小时</w:t>
            </w:r>
            <w:r>
              <w:rPr>
                <w:rFonts w:ascii="Times New Roman" w:eastAsia="Times New Roman"/>
                <w:sz w:val="21"/>
              </w:rPr>
              <w:t>)</w:t>
            </w:r>
            <w:r>
              <w:rPr>
                <w:sz w:val="21"/>
              </w:rPr>
              <w:t>，中度</w:t>
            </w:r>
            <w:r>
              <w:rPr>
                <w:spacing w:val="-2"/>
                <w:sz w:val="21"/>
              </w:rPr>
              <w:t>刺激。亚急性和慢性毒性：大鼠、家兔吸入 </w:t>
            </w:r>
            <w:r>
              <w:rPr>
                <w:rFonts w:ascii="Times New Roman" w:eastAsia="Times New Roman"/>
                <w:sz w:val="21"/>
              </w:rPr>
              <w:t>5000mg/m</w:t>
            </w:r>
            <w:r>
              <w:rPr>
                <w:rFonts w:ascii="Times New Roman" w:eastAsia="Times New Roman"/>
                <w:position w:val="7"/>
                <w:sz w:val="14"/>
              </w:rPr>
              <w:t>3</w:t>
            </w:r>
            <w:r>
              <w:rPr>
                <w:sz w:val="21"/>
              </w:rPr>
              <w:t>，</w:t>
            </w:r>
            <w:r>
              <w:rPr>
                <w:rFonts w:ascii="Times New Roman" w:eastAsia="Times New Roman"/>
                <w:sz w:val="21"/>
              </w:rPr>
              <w:t>8 </w:t>
            </w:r>
            <w:r>
              <w:rPr>
                <w:spacing w:val="-2"/>
                <w:sz w:val="21"/>
              </w:rPr>
              <w:t>小时</w:t>
            </w:r>
            <w:r>
              <w:rPr>
                <w:rFonts w:ascii="Times New Roman" w:eastAsia="Times New Roman"/>
                <w:sz w:val="21"/>
              </w:rPr>
              <w:t>/</w:t>
            </w:r>
            <w:r>
              <w:rPr>
                <w:sz w:val="21"/>
              </w:rPr>
              <w:t>天，</w:t>
            </w:r>
            <w:r>
              <w:rPr>
                <w:rFonts w:ascii="Times New Roman" w:eastAsia="Times New Roman"/>
                <w:sz w:val="21"/>
              </w:rPr>
              <w:t>55 </w:t>
            </w:r>
            <w:r>
              <w:rPr>
                <w:spacing w:val="-2"/>
                <w:sz w:val="21"/>
              </w:rPr>
              <w:t>天，导致眼</w:t>
            </w:r>
            <w:r>
              <w:rPr>
                <w:spacing w:val="-29"/>
                <w:w w:val="100"/>
                <w:sz w:val="21"/>
              </w:rPr>
              <w:t>刺激，衰竭，共济失调，</w:t>
            </w:r>
            <w:r>
              <w:rPr>
                <w:rFonts w:ascii="Times New Roman" w:eastAsia="Times New Roman"/>
                <w:w w:val="100"/>
                <w:sz w:val="21"/>
              </w:rPr>
              <w:t>R</w:t>
            </w:r>
            <w:r>
              <w:rPr>
                <w:rFonts w:ascii="Times New Roman" w:eastAsia="Times New Roman"/>
                <w:spacing w:val="-2"/>
                <w:w w:val="100"/>
                <w:sz w:val="21"/>
              </w:rPr>
              <w:t>B</w:t>
            </w:r>
            <w:r>
              <w:rPr>
                <w:rFonts w:ascii="Times New Roman" w:eastAsia="Times New Roman"/>
                <w:w w:val="100"/>
                <w:sz w:val="21"/>
              </w:rPr>
              <w:t>C</w:t>
            </w:r>
            <w:r>
              <w:rPr>
                <w:rFonts w:ascii="Times New Roman" w:eastAsia="Times New Roman"/>
                <w:sz w:val="21"/>
              </w:rPr>
              <w:t> </w:t>
            </w:r>
            <w:r>
              <w:rPr>
                <w:w w:val="100"/>
                <w:sz w:val="21"/>
              </w:rPr>
              <w:t>和</w:t>
            </w:r>
            <w:r>
              <w:rPr>
                <w:sz w:val="21"/>
              </w:rPr>
              <w:t> </w:t>
            </w:r>
            <w:r>
              <w:rPr>
                <w:rFonts w:ascii="Times New Roman" w:eastAsia="Times New Roman"/>
                <w:w w:val="100"/>
                <w:sz w:val="21"/>
              </w:rPr>
              <w:t>W</w:t>
            </w:r>
            <w:r>
              <w:rPr>
                <w:rFonts w:ascii="Times New Roman" w:eastAsia="Times New Roman"/>
                <w:spacing w:val="-2"/>
                <w:w w:val="100"/>
                <w:sz w:val="21"/>
              </w:rPr>
              <w:t>B</w:t>
            </w:r>
            <w:r>
              <w:rPr>
                <w:rFonts w:ascii="Times New Roman" w:eastAsia="Times New Roman"/>
                <w:w w:val="100"/>
                <w:sz w:val="21"/>
              </w:rPr>
              <w:t>C</w:t>
            </w:r>
            <w:r>
              <w:rPr>
                <w:rFonts w:ascii="Times New Roman" w:eastAsia="Times New Roman"/>
                <w:sz w:val="21"/>
              </w:rPr>
              <w:t> </w:t>
            </w:r>
            <w:r>
              <w:rPr>
                <w:spacing w:val="-12"/>
                <w:w w:val="100"/>
                <w:sz w:val="21"/>
              </w:rPr>
              <w:t>数稍下降，骨髓增生并有</w:t>
            </w:r>
            <w:r>
              <w:rPr>
                <w:spacing w:val="-12"/>
                <w:sz w:val="21"/>
              </w:rPr>
              <w:t> </w:t>
            </w:r>
            <w:r>
              <w:rPr>
                <w:rFonts w:ascii="Times New Roman" w:eastAsia="Times New Roman"/>
                <w:w w:val="100"/>
                <w:sz w:val="21"/>
              </w:rPr>
              <w:t>3</w:t>
            </w:r>
            <w:r>
              <w:rPr>
                <w:rFonts w:ascii="Times New Roman" w:eastAsia="Times New Roman"/>
                <w:spacing w:val="-4"/>
                <w:w w:val="100"/>
                <w:sz w:val="21"/>
              </w:rPr>
              <w:t>%</w:t>
            </w:r>
            <w:r>
              <w:rPr>
                <w:w w:val="100"/>
                <w:sz w:val="21"/>
              </w:rPr>
              <w:t>～</w:t>
            </w:r>
            <w:r>
              <w:rPr>
                <w:rFonts w:ascii="Times New Roman" w:eastAsia="Times New Roman"/>
                <w:w w:val="100"/>
                <w:sz w:val="21"/>
              </w:rPr>
              <w:t>4</w:t>
            </w:r>
            <w:r>
              <w:rPr>
                <w:rFonts w:ascii="Times New Roman" w:eastAsia="Times New Roman"/>
                <w:spacing w:val="-4"/>
                <w:w w:val="100"/>
                <w:sz w:val="21"/>
              </w:rPr>
              <w:t>%</w:t>
            </w:r>
            <w:r>
              <w:rPr>
                <w:spacing w:val="-3"/>
                <w:w w:val="100"/>
                <w:sz w:val="21"/>
              </w:rPr>
              <w:t>的巨核细胞。</w:t>
            </w:r>
          </w:p>
        </w:tc>
      </w:tr>
      <w:tr>
        <w:trPr>
          <w:trHeight w:val="536" w:hRule="atLeast"/>
        </w:trPr>
        <w:tc>
          <w:tcPr>
            <w:tcW w:w="1056" w:type="dxa"/>
            <w:vMerge w:val="restart"/>
            <w:tcBorders>
              <w:top w:val="single" w:sz="6" w:space="0" w:color="000000"/>
              <w:right w:val="single" w:sz="6" w:space="0" w:color="000000"/>
            </w:tcBorders>
          </w:tcPr>
          <w:p>
            <w:pPr>
              <w:pStyle w:val="TableParagraph"/>
              <w:spacing w:before="15"/>
              <w:jc w:val="left"/>
              <w:rPr>
                <w:sz w:val="28"/>
              </w:rPr>
            </w:pPr>
          </w:p>
          <w:p>
            <w:pPr>
              <w:pStyle w:val="TableParagraph"/>
              <w:spacing w:line="146" w:lineRule="auto"/>
              <w:ind w:left="316" w:right="292"/>
              <w:jc w:val="both"/>
              <w:rPr>
                <w:sz w:val="21"/>
              </w:rPr>
            </w:pPr>
            <w:r>
              <w:rPr>
                <w:sz w:val="21"/>
              </w:rPr>
              <w:t>安全防护措施</w:t>
            </w:r>
          </w:p>
        </w:tc>
        <w:tc>
          <w:tcPr>
            <w:tcW w:w="1213"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14"/>
              <w:jc w:val="left"/>
              <w:rPr>
                <w:sz w:val="21"/>
              </w:rPr>
            </w:pPr>
            <w:r>
              <w:rPr>
                <w:sz w:val="21"/>
              </w:rPr>
              <w:t>呼 吸 防 护</w:t>
            </w:r>
          </w:p>
          <w:p>
            <w:pPr>
              <w:pStyle w:val="TableParagraph"/>
              <w:spacing w:line="258" w:lineRule="exact"/>
              <w:ind w:left="114"/>
              <w:jc w:val="left"/>
              <w:rPr>
                <w:sz w:val="21"/>
              </w:rPr>
            </w:pPr>
            <w:r>
              <w:rPr>
                <w:sz w:val="21"/>
              </w:rPr>
              <w:t>系统</w:t>
            </w:r>
          </w:p>
        </w:tc>
        <w:tc>
          <w:tcPr>
            <w:tcW w:w="6661" w:type="dxa"/>
            <w:gridSpan w:val="4"/>
            <w:tcBorders>
              <w:top w:val="single" w:sz="6" w:space="0" w:color="000000"/>
              <w:left w:val="single" w:sz="6" w:space="0" w:color="000000"/>
              <w:bottom w:val="single" w:sz="6" w:space="0" w:color="000000"/>
            </w:tcBorders>
          </w:tcPr>
          <w:p>
            <w:pPr>
              <w:pStyle w:val="TableParagraph"/>
              <w:spacing w:line="258" w:lineRule="exact"/>
              <w:ind w:left="114"/>
              <w:jc w:val="left"/>
              <w:rPr>
                <w:sz w:val="21"/>
              </w:rPr>
            </w:pPr>
            <w:r>
              <w:rPr>
                <w:sz w:val="21"/>
              </w:rPr>
              <w:t>空气中浓度较高时，佩戴过滤式防毒面具</w:t>
            </w:r>
            <w:r>
              <w:rPr>
                <w:rFonts w:ascii="Times New Roman" w:eastAsia="Times New Roman"/>
                <w:sz w:val="21"/>
              </w:rPr>
              <w:t>(</w:t>
            </w:r>
            <w:r>
              <w:rPr>
                <w:sz w:val="21"/>
              </w:rPr>
              <w:t>半面罩</w:t>
            </w:r>
            <w:r>
              <w:rPr>
                <w:rFonts w:ascii="Times New Roman" w:eastAsia="Times New Roman"/>
                <w:sz w:val="21"/>
              </w:rPr>
              <w:t>)</w:t>
            </w:r>
            <w:r>
              <w:rPr>
                <w:sz w:val="21"/>
              </w:rPr>
              <w:t>。紧急事态抢救或撤</w:t>
            </w:r>
          </w:p>
          <w:p>
            <w:pPr>
              <w:pStyle w:val="TableParagraph"/>
              <w:spacing w:line="258" w:lineRule="exact"/>
              <w:ind w:left="114"/>
              <w:jc w:val="left"/>
              <w:rPr>
                <w:sz w:val="21"/>
              </w:rPr>
            </w:pPr>
            <w:r>
              <w:rPr>
                <w:sz w:val="21"/>
              </w:rPr>
              <w:t>离时，建议佩戴空气呼吸器。</w:t>
            </w:r>
          </w:p>
        </w:tc>
      </w:tr>
      <w:tr>
        <w:trPr>
          <w:trHeight w:val="267" w:hRule="atLeast"/>
        </w:trPr>
        <w:tc>
          <w:tcPr>
            <w:tcW w:w="1056" w:type="dxa"/>
            <w:vMerge/>
            <w:tcBorders>
              <w:top w:val="nil"/>
              <w:right w:val="single" w:sz="6" w:space="0" w:color="000000"/>
            </w:tcBorders>
          </w:tcPr>
          <w:p>
            <w:pPr>
              <w:rPr>
                <w:sz w:val="2"/>
                <w:szCs w:val="2"/>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spacing w:line="248" w:lineRule="exact"/>
              <w:ind w:left="172" w:right="145"/>
              <w:rPr>
                <w:sz w:val="21"/>
              </w:rPr>
            </w:pPr>
            <w:r>
              <w:rPr>
                <w:sz w:val="21"/>
              </w:rPr>
              <w:t>眼睛防护</w:t>
            </w:r>
          </w:p>
        </w:tc>
        <w:tc>
          <w:tcPr>
            <w:tcW w:w="6661" w:type="dxa"/>
            <w:gridSpan w:val="4"/>
            <w:tcBorders>
              <w:top w:val="single" w:sz="6" w:space="0" w:color="000000"/>
              <w:left w:val="single" w:sz="6" w:space="0" w:color="000000"/>
              <w:bottom w:val="single" w:sz="6" w:space="0" w:color="000000"/>
            </w:tcBorders>
          </w:tcPr>
          <w:p>
            <w:pPr>
              <w:pStyle w:val="TableParagraph"/>
              <w:spacing w:line="248" w:lineRule="exact"/>
              <w:ind w:left="2267" w:right="2230"/>
              <w:rPr>
                <w:sz w:val="21"/>
              </w:rPr>
            </w:pPr>
            <w:r>
              <w:rPr>
                <w:sz w:val="21"/>
              </w:rPr>
              <w:t>戴化学安全防护眼镜。</w:t>
            </w:r>
          </w:p>
        </w:tc>
      </w:tr>
      <w:tr>
        <w:trPr>
          <w:trHeight w:val="265" w:hRule="atLeast"/>
        </w:trPr>
        <w:tc>
          <w:tcPr>
            <w:tcW w:w="1056" w:type="dxa"/>
            <w:vMerge/>
            <w:tcBorders>
              <w:top w:val="nil"/>
              <w:right w:val="single" w:sz="6" w:space="0" w:color="000000"/>
            </w:tcBorders>
          </w:tcPr>
          <w:p>
            <w:pPr>
              <w:rPr>
                <w:sz w:val="2"/>
                <w:szCs w:val="2"/>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172" w:right="145"/>
              <w:rPr>
                <w:sz w:val="21"/>
              </w:rPr>
            </w:pPr>
            <w:r>
              <w:rPr>
                <w:sz w:val="21"/>
              </w:rPr>
              <w:t>身体防护</w:t>
            </w:r>
          </w:p>
        </w:tc>
        <w:tc>
          <w:tcPr>
            <w:tcW w:w="6661" w:type="dxa"/>
            <w:gridSpan w:val="4"/>
            <w:tcBorders>
              <w:top w:val="single" w:sz="6" w:space="0" w:color="000000"/>
              <w:left w:val="single" w:sz="6" w:space="0" w:color="000000"/>
              <w:bottom w:val="single" w:sz="6" w:space="0" w:color="000000"/>
            </w:tcBorders>
          </w:tcPr>
          <w:p>
            <w:pPr>
              <w:pStyle w:val="TableParagraph"/>
              <w:spacing w:line="245" w:lineRule="exact"/>
              <w:ind w:left="2267" w:right="2230"/>
              <w:rPr>
                <w:sz w:val="21"/>
              </w:rPr>
            </w:pPr>
            <w:r>
              <w:rPr>
                <w:sz w:val="21"/>
              </w:rPr>
              <w:t>穿防毒物渗透工作服。</w:t>
            </w:r>
          </w:p>
        </w:tc>
      </w:tr>
      <w:tr>
        <w:trPr>
          <w:trHeight w:val="267" w:hRule="atLeast"/>
        </w:trPr>
        <w:tc>
          <w:tcPr>
            <w:tcW w:w="1056" w:type="dxa"/>
            <w:vMerge/>
            <w:tcBorders>
              <w:top w:val="nil"/>
              <w:right w:val="single" w:sz="6" w:space="0" w:color="000000"/>
            </w:tcBorders>
          </w:tcPr>
          <w:p>
            <w:pPr>
              <w:rPr>
                <w:sz w:val="2"/>
                <w:szCs w:val="2"/>
              </w:rPr>
            </w:pPr>
          </w:p>
        </w:tc>
        <w:tc>
          <w:tcPr>
            <w:tcW w:w="1213" w:type="dxa"/>
            <w:tcBorders>
              <w:top w:val="single" w:sz="6" w:space="0" w:color="000000"/>
              <w:left w:val="single" w:sz="6" w:space="0" w:color="000000"/>
              <w:bottom w:val="single" w:sz="6" w:space="0" w:color="000000"/>
              <w:right w:val="single" w:sz="6" w:space="0" w:color="000000"/>
            </w:tcBorders>
          </w:tcPr>
          <w:p>
            <w:pPr>
              <w:pStyle w:val="TableParagraph"/>
              <w:spacing w:line="248" w:lineRule="exact"/>
              <w:ind w:left="172" w:right="142"/>
              <w:rPr>
                <w:sz w:val="21"/>
              </w:rPr>
            </w:pPr>
            <w:r>
              <w:rPr>
                <w:sz w:val="21"/>
              </w:rPr>
              <w:t>手防护</w:t>
            </w:r>
          </w:p>
        </w:tc>
        <w:tc>
          <w:tcPr>
            <w:tcW w:w="6661" w:type="dxa"/>
            <w:gridSpan w:val="4"/>
            <w:tcBorders>
              <w:top w:val="single" w:sz="6" w:space="0" w:color="000000"/>
              <w:left w:val="single" w:sz="6" w:space="0" w:color="000000"/>
              <w:bottom w:val="single" w:sz="6" w:space="0" w:color="000000"/>
            </w:tcBorders>
          </w:tcPr>
          <w:p>
            <w:pPr>
              <w:pStyle w:val="TableParagraph"/>
              <w:spacing w:line="248" w:lineRule="exact"/>
              <w:ind w:left="2267" w:right="2230"/>
              <w:rPr>
                <w:sz w:val="21"/>
              </w:rPr>
            </w:pPr>
            <w:r>
              <w:rPr>
                <w:sz w:val="21"/>
              </w:rPr>
              <w:t>戴橡胶手套。</w:t>
            </w:r>
          </w:p>
        </w:tc>
      </w:tr>
      <w:tr>
        <w:trPr>
          <w:trHeight w:val="536" w:hRule="atLeast"/>
        </w:trPr>
        <w:tc>
          <w:tcPr>
            <w:tcW w:w="1056" w:type="dxa"/>
            <w:vMerge/>
            <w:tcBorders>
              <w:top w:val="nil"/>
              <w:right w:val="single" w:sz="6" w:space="0" w:color="000000"/>
            </w:tcBorders>
          </w:tcPr>
          <w:p>
            <w:pPr>
              <w:rPr>
                <w:sz w:val="2"/>
                <w:szCs w:val="2"/>
              </w:rPr>
            </w:pPr>
          </w:p>
        </w:tc>
        <w:tc>
          <w:tcPr>
            <w:tcW w:w="1213" w:type="dxa"/>
            <w:tcBorders>
              <w:top w:val="single" w:sz="6" w:space="0" w:color="000000"/>
              <w:left w:val="single" w:sz="6" w:space="0" w:color="000000"/>
              <w:right w:val="single" w:sz="6" w:space="0" w:color="000000"/>
            </w:tcBorders>
          </w:tcPr>
          <w:p>
            <w:pPr>
              <w:pStyle w:val="TableParagraph"/>
              <w:spacing w:before="29"/>
              <w:ind w:left="172" w:right="142"/>
              <w:rPr>
                <w:sz w:val="21"/>
              </w:rPr>
            </w:pPr>
            <w:r>
              <w:rPr>
                <w:sz w:val="21"/>
              </w:rPr>
              <w:t>其他</w:t>
            </w:r>
          </w:p>
        </w:tc>
        <w:tc>
          <w:tcPr>
            <w:tcW w:w="6661" w:type="dxa"/>
            <w:gridSpan w:val="4"/>
            <w:tcBorders>
              <w:top w:val="single" w:sz="6" w:space="0" w:color="000000"/>
              <w:left w:val="single" w:sz="6" w:space="0" w:color="000000"/>
            </w:tcBorders>
          </w:tcPr>
          <w:p>
            <w:pPr>
              <w:pStyle w:val="TableParagraph"/>
              <w:spacing w:line="252" w:lineRule="exact"/>
              <w:ind w:left="114"/>
              <w:jc w:val="left"/>
              <w:rPr>
                <w:sz w:val="21"/>
              </w:rPr>
            </w:pPr>
            <w:r>
              <w:rPr>
                <w:sz w:val="21"/>
              </w:rPr>
              <w:t>工作现场禁止吸烟、进食和饮水。工作毕，淋浴更衣。保持良好的卫生</w:t>
            </w:r>
          </w:p>
          <w:p>
            <w:pPr>
              <w:pStyle w:val="TableParagraph"/>
              <w:spacing w:line="264" w:lineRule="exact"/>
              <w:ind w:left="114"/>
              <w:jc w:val="left"/>
              <w:rPr>
                <w:sz w:val="21"/>
              </w:rPr>
            </w:pPr>
            <w:r>
              <w:rPr>
                <w:sz w:val="21"/>
              </w:rPr>
              <w:t>习惯。</w:t>
            </w:r>
          </w:p>
        </w:tc>
      </w:tr>
    </w:tbl>
    <w:p>
      <w:pPr>
        <w:spacing w:after="0" w:line="264"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6"/>
        <w:gridCol w:w="1213"/>
        <w:gridCol w:w="6661"/>
      </w:tblGrid>
      <w:tr>
        <w:trPr>
          <w:trHeight w:val="1361" w:hRule="atLeast"/>
        </w:trPr>
        <w:tc>
          <w:tcPr>
            <w:tcW w:w="1056" w:type="dxa"/>
            <w:tcBorders>
              <w:bottom w:val="nil"/>
              <w:right w:val="single" w:sz="6" w:space="0" w:color="000000"/>
            </w:tcBorders>
          </w:tcPr>
          <w:p>
            <w:pPr>
              <w:pStyle w:val="TableParagraph"/>
              <w:jc w:val="left"/>
              <w:rPr>
                <w:rFonts w:ascii="Times New Roman"/>
                <w:sz w:val="20"/>
              </w:rPr>
            </w:pPr>
          </w:p>
        </w:tc>
        <w:tc>
          <w:tcPr>
            <w:tcW w:w="1213" w:type="dxa"/>
            <w:tcBorders>
              <w:left w:val="single" w:sz="6" w:space="0" w:color="000000"/>
              <w:bottom w:val="nil"/>
              <w:right w:val="single" w:sz="6" w:space="0" w:color="000000"/>
            </w:tcBorders>
          </w:tcPr>
          <w:p>
            <w:pPr>
              <w:pStyle w:val="TableParagraph"/>
              <w:spacing w:before="9"/>
              <w:jc w:val="left"/>
              <w:rPr>
                <w:sz w:val="27"/>
              </w:rPr>
            </w:pPr>
          </w:p>
          <w:p>
            <w:pPr>
              <w:pStyle w:val="TableParagraph"/>
              <w:ind w:right="161"/>
              <w:jc w:val="right"/>
              <w:rPr>
                <w:sz w:val="21"/>
              </w:rPr>
            </w:pPr>
            <w:r>
              <w:rPr>
                <w:sz w:val="21"/>
              </w:rPr>
              <w:t>急救措施</w:t>
            </w:r>
          </w:p>
        </w:tc>
        <w:tc>
          <w:tcPr>
            <w:tcW w:w="6661" w:type="dxa"/>
            <w:tcBorders>
              <w:left w:val="single" w:sz="6" w:space="0" w:color="000000"/>
              <w:bottom w:val="nil"/>
            </w:tcBorders>
          </w:tcPr>
          <w:p>
            <w:pPr>
              <w:pStyle w:val="TableParagraph"/>
              <w:spacing w:line="146" w:lineRule="auto" w:before="24"/>
              <w:ind w:left="114" w:right="-29"/>
              <w:jc w:val="both"/>
              <w:rPr>
                <w:sz w:val="21"/>
              </w:rPr>
            </w:pPr>
            <w:r>
              <w:rPr>
                <w:spacing w:val="-9"/>
                <w:sz w:val="21"/>
              </w:rPr>
              <w:t>皮肤接触：脱去被污染的衣着，用肥皂水和清水彻底冲洗皮肤。眼睛接</w:t>
            </w:r>
            <w:r>
              <w:rPr>
                <w:spacing w:val="-10"/>
                <w:sz w:val="21"/>
              </w:rPr>
              <w:t>触：提起眼睑，用流动清水或生理盐水冲洗。就医。吸入：迅速脱离现</w:t>
            </w:r>
            <w:r>
              <w:rPr>
                <w:spacing w:val="-16"/>
                <w:sz w:val="21"/>
              </w:rPr>
              <w:t>场至空气新鲜处。保持呼吸道通畅。如呼吸困难，给输氧。如呼吸停止， </w:t>
            </w:r>
            <w:r>
              <w:rPr>
                <w:spacing w:val="-7"/>
                <w:sz w:val="21"/>
              </w:rPr>
              <w:t>立即进行人工呼吸。就医。食入：饮足量水，催吐。就医。灭火方法：</w:t>
            </w:r>
          </w:p>
          <w:p>
            <w:pPr>
              <w:pStyle w:val="TableParagraph"/>
              <w:spacing w:line="231" w:lineRule="exact"/>
              <w:ind w:left="114"/>
              <w:jc w:val="both"/>
              <w:rPr>
                <w:sz w:val="21"/>
              </w:rPr>
            </w:pPr>
            <w:r>
              <w:rPr>
                <w:sz w:val="21"/>
              </w:rPr>
              <w:t>喷水冷却容器，可能的话将容器从火场移至空旷处。灭火剂：泡沫、二</w:t>
            </w:r>
          </w:p>
        </w:tc>
      </w:tr>
      <w:tr>
        <w:trPr>
          <w:trHeight w:val="272" w:hRule="atLeast"/>
        </w:trPr>
        <w:tc>
          <w:tcPr>
            <w:tcW w:w="1056" w:type="dxa"/>
            <w:tcBorders>
              <w:top w:val="nil"/>
              <w:bottom w:val="nil"/>
              <w:right w:val="single" w:sz="6" w:space="0" w:color="000000"/>
            </w:tcBorders>
          </w:tcPr>
          <w:p>
            <w:pPr>
              <w:pStyle w:val="TableParagraph"/>
              <w:jc w:val="left"/>
              <w:rPr>
                <w:rFonts w:ascii="Times New Roman"/>
                <w:sz w:val="20"/>
              </w:rPr>
            </w:pPr>
          </w:p>
        </w:tc>
        <w:tc>
          <w:tcPr>
            <w:tcW w:w="1213"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6661" w:type="dxa"/>
            <w:tcBorders>
              <w:top w:val="nil"/>
              <w:left w:val="single" w:sz="6" w:space="0" w:color="000000"/>
              <w:bottom w:val="single" w:sz="6" w:space="0" w:color="000000"/>
            </w:tcBorders>
          </w:tcPr>
          <w:p>
            <w:pPr>
              <w:pStyle w:val="TableParagraph"/>
              <w:spacing w:line="252" w:lineRule="exact"/>
              <w:ind w:left="114"/>
              <w:jc w:val="left"/>
              <w:rPr>
                <w:sz w:val="21"/>
              </w:rPr>
            </w:pPr>
            <w:r>
              <w:rPr>
                <w:sz w:val="21"/>
              </w:rPr>
              <w:t>氧化碳、干粉、砂土。</w:t>
            </w:r>
          </w:p>
        </w:tc>
      </w:tr>
      <w:tr>
        <w:trPr>
          <w:trHeight w:val="1090" w:hRule="atLeast"/>
        </w:trPr>
        <w:tc>
          <w:tcPr>
            <w:tcW w:w="1056" w:type="dxa"/>
            <w:tcBorders>
              <w:top w:val="nil"/>
              <w:bottom w:val="nil"/>
              <w:right w:val="single" w:sz="6" w:space="0" w:color="000000"/>
            </w:tcBorders>
          </w:tcPr>
          <w:p>
            <w:pPr>
              <w:pStyle w:val="TableParagraph"/>
              <w:spacing w:line="146" w:lineRule="auto" w:before="151"/>
              <w:ind w:left="316" w:right="292"/>
              <w:jc w:val="left"/>
              <w:rPr>
                <w:sz w:val="21"/>
              </w:rPr>
            </w:pPr>
            <w:r>
              <w:rPr>
                <w:sz w:val="21"/>
              </w:rPr>
              <w:t>应急措施</w:t>
            </w:r>
          </w:p>
        </w:tc>
        <w:tc>
          <w:tcPr>
            <w:tcW w:w="1213"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6661" w:type="dxa"/>
            <w:tcBorders>
              <w:top w:val="single" w:sz="6" w:space="0" w:color="000000"/>
              <w:left w:val="single" w:sz="6" w:space="0" w:color="000000"/>
              <w:bottom w:val="nil"/>
            </w:tcBorders>
          </w:tcPr>
          <w:p>
            <w:pPr>
              <w:pStyle w:val="TableParagraph"/>
              <w:spacing w:line="146" w:lineRule="auto" w:before="23"/>
              <w:ind w:left="114" w:right="72"/>
              <w:jc w:val="both"/>
              <w:rPr>
                <w:sz w:val="21"/>
              </w:rPr>
            </w:pPr>
            <w:r>
              <w:rPr>
                <w:spacing w:val="-7"/>
                <w:sz w:val="21"/>
              </w:rPr>
              <w:t>迅速撤离泄漏污染区人员至安全区，并进行隔离，严格限制出入。切断</w:t>
            </w:r>
            <w:r>
              <w:rPr>
                <w:spacing w:val="-9"/>
                <w:sz w:val="21"/>
              </w:rPr>
              <w:t>火源。建议应急处理人员戴自给正压式呼吸器，穿消防防护服。尽可能</w:t>
            </w:r>
            <w:r>
              <w:rPr>
                <w:spacing w:val="-10"/>
                <w:sz w:val="21"/>
              </w:rPr>
              <w:t>切断泄漏源，防止进入下水道、排洪沟等限制性空间。小量泄漏：用活</w:t>
            </w:r>
          </w:p>
          <w:p>
            <w:pPr>
              <w:pStyle w:val="TableParagraph"/>
              <w:spacing w:line="232" w:lineRule="exact"/>
              <w:ind w:left="114"/>
              <w:jc w:val="both"/>
              <w:rPr>
                <w:sz w:val="21"/>
              </w:rPr>
            </w:pPr>
            <w:r>
              <w:rPr>
                <w:spacing w:val="-7"/>
                <w:sz w:val="21"/>
              </w:rPr>
              <w:t>性炭或其它惰性材料吸收。也可以用不燃性分散剂制成的乳液刷洗，洗</w:t>
            </w:r>
          </w:p>
        </w:tc>
      </w:tr>
      <w:tr>
        <w:trPr>
          <w:trHeight w:val="543" w:hRule="atLeast"/>
        </w:trPr>
        <w:tc>
          <w:tcPr>
            <w:tcW w:w="1056" w:type="dxa"/>
            <w:tcBorders>
              <w:top w:val="nil"/>
              <w:bottom w:val="nil"/>
              <w:right w:val="single" w:sz="6" w:space="0" w:color="000000"/>
            </w:tcBorders>
          </w:tcPr>
          <w:p>
            <w:pPr>
              <w:pStyle w:val="TableParagraph"/>
              <w:jc w:val="left"/>
              <w:rPr>
                <w:rFonts w:ascii="Times New Roman"/>
                <w:sz w:val="20"/>
              </w:rPr>
            </w:pPr>
          </w:p>
        </w:tc>
        <w:tc>
          <w:tcPr>
            <w:tcW w:w="1213" w:type="dxa"/>
            <w:tcBorders>
              <w:top w:val="nil"/>
              <w:left w:val="single" w:sz="6" w:space="0" w:color="000000"/>
              <w:bottom w:val="nil"/>
              <w:right w:val="single" w:sz="6" w:space="0" w:color="000000"/>
            </w:tcBorders>
          </w:tcPr>
          <w:p>
            <w:pPr>
              <w:pStyle w:val="TableParagraph"/>
              <w:spacing w:line="347" w:lineRule="exact"/>
              <w:ind w:right="161"/>
              <w:jc w:val="right"/>
              <w:rPr>
                <w:sz w:val="21"/>
              </w:rPr>
            </w:pPr>
            <w:r>
              <w:rPr>
                <w:sz w:val="21"/>
              </w:rPr>
              <w:t>泄漏措施</w:t>
            </w:r>
          </w:p>
        </w:tc>
        <w:tc>
          <w:tcPr>
            <w:tcW w:w="6661" w:type="dxa"/>
            <w:tcBorders>
              <w:top w:val="nil"/>
              <w:left w:val="single" w:sz="6" w:space="0" w:color="000000"/>
              <w:bottom w:val="nil"/>
            </w:tcBorders>
          </w:tcPr>
          <w:p>
            <w:pPr>
              <w:pStyle w:val="TableParagraph"/>
              <w:spacing w:line="260" w:lineRule="exact"/>
              <w:ind w:left="114" w:right="-44"/>
              <w:jc w:val="left"/>
              <w:rPr>
                <w:sz w:val="21"/>
              </w:rPr>
            </w:pPr>
            <w:r>
              <w:rPr>
                <w:spacing w:val="-15"/>
                <w:sz w:val="21"/>
              </w:rPr>
              <w:t>液稀释后放入废水系统。大量泄漏：构筑围堤或挖坑收容；用泡沫覆盖，</w:t>
            </w:r>
          </w:p>
          <w:p>
            <w:pPr>
              <w:pStyle w:val="TableParagraph"/>
              <w:spacing w:line="264" w:lineRule="exact"/>
              <w:ind w:left="114"/>
              <w:jc w:val="left"/>
              <w:rPr>
                <w:sz w:val="21"/>
              </w:rPr>
            </w:pPr>
            <w:r>
              <w:rPr>
                <w:sz w:val="21"/>
              </w:rPr>
              <w:t>抑制蒸发。用防爆泵转移至槽车或专用收集器内，回收或运至废物处理</w:t>
            </w:r>
          </w:p>
        </w:tc>
      </w:tr>
      <w:tr>
        <w:trPr>
          <w:trHeight w:val="272" w:hRule="atLeast"/>
        </w:trPr>
        <w:tc>
          <w:tcPr>
            <w:tcW w:w="1056" w:type="dxa"/>
            <w:tcBorders>
              <w:top w:val="nil"/>
              <w:bottom w:val="nil"/>
              <w:right w:val="single" w:sz="6" w:space="0" w:color="000000"/>
            </w:tcBorders>
          </w:tcPr>
          <w:p>
            <w:pPr>
              <w:pStyle w:val="TableParagraph"/>
              <w:jc w:val="left"/>
              <w:rPr>
                <w:rFonts w:ascii="Times New Roman"/>
                <w:sz w:val="20"/>
              </w:rPr>
            </w:pPr>
          </w:p>
        </w:tc>
        <w:tc>
          <w:tcPr>
            <w:tcW w:w="1213"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6661" w:type="dxa"/>
            <w:tcBorders>
              <w:top w:val="nil"/>
              <w:left w:val="single" w:sz="6" w:space="0" w:color="000000"/>
              <w:bottom w:val="nil"/>
            </w:tcBorders>
          </w:tcPr>
          <w:p>
            <w:pPr>
              <w:pStyle w:val="TableParagraph"/>
              <w:spacing w:line="253" w:lineRule="exact"/>
              <w:ind w:left="114"/>
              <w:jc w:val="left"/>
              <w:rPr>
                <w:sz w:val="21"/>
              </w:rPr>
            </w:pPr>
            <w:r>
              <w:rPr>
                <w:sz w:val="21"/>
              </w:rPr>
              <w:t>场所处置。迅速将被二甲苯污染的土壤收集起来，转移到安全地带。对</w:t>
            </w:r>
          </w:p>
        </w:tc>
      </w:tr>
      <w:tr>
        <w:trPr>
          <w:trHeight w:val="545" w:hRule="atLeast"/>
        </w:trPr>
        <w:tc>
          <w:tcPr>
            <w:tcW w:w="1056" w:type="dxa"/>
            <w:tcBorders>
              <w:top w:val="nil"/>
              <w:bottom w:val="single" w:sz="6" w:space="0" w:color="000000"/>
              <w:right w:val="single" w:sz="6" w:space="0" w:color="000000"/>
            </w:tcBorders>
          </w:tcPr>
          <w:p>
            <w:pPr>
              <w:pStyle w:val="TableParagraph"/>
              <w:jc w:val="left"/>
              <w:rPr>
                <w:rFonts w:ascii="Times New Roman"/>
                <w:sz w:val="20"/>
              </w:rPr>
            </w:pPr>
          </w:p>
        </w:tc>
        <w:tc>
          <w:tcPr>
            <w:tcW w:w="1213"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6661" w:type="dxa"/>
            <w:tcBorders>
              <w:top w:val="nil"/>
              <w:left w:val="single" w:sz="6" w:space="0" w:color="000000"/>
              <w:bottom w:val="single" w:sz="6" w:space="0" w:color="000000"/>
            </w:tcBorders>
          </w:tcPr>
          <w:p>
            <w:pPr>
              <w:pStyle w:val="TableParagraph"/>
              <w:spacing w:line="260" w:lineRule="exact"/>
              <w:ind w:left="114"/>
              <w:jc w:val="left"/>
              <w:rPr>
                <w:sz w:val="21"/>
              </w:rPr>
            </w:pPr>
            <w:r>
              <w:rPr>
                <w:sz w:val="21"/>
              </w:rPr>
              <w:t>污染地带沿地面加强通风，蒸发残液，排除蒸气。迅速筑坝，切断受污</w:t>
            </w:r>
          </w:p>
          <w:p>
            <w:pPr>
              <w:pStyle w:val="TableParagraph"/>
              <w:spacing w:line="266" w:lineRule="exact"/>
              <w:ind w:left="114"/>
              <w:jc w:val="left"/>
              <w:rPr>
                <w:sz w:val="21"/>
              </w:rPr>
            </w:pPr>
            <w:r>
              <w:rPr>
                <w:sz w:val="21"/>
              </w:rPr>
              <w:t>染水体的流动，并用围栏等限制水面二甲苯的扩散。</w:t>
            </w:r>
          </w:p>
        </w:tc>
      </w:tr>
      <w:tr>
        <w:trPr>
          <w:trHeight w:val="272" w:hRule="atLeast"/>
        </w:trPr>
        <w:tc>
          <w:tcPr>
            <w:tcW w:w="2269" w:type="dxa"/>
            <w:gridSpan w:val="2"/>
            <w:tcBorders>
              <w:top w:val="single" w:sz="6" w:space="0" w:color="000000"/>
              <w:right w:val="single" w:sz="6" w:space="0" w:color="000000"/>
            </w:tcBorders>
          </w:tcPr>
          <w:p>
            <w:pPr>
              <w:pStyle w:val="TableParagraph"/>
              <w:spacing w:line="253" w:lineRule="exact"/>
              <w:ind w:left="712"/>
              <w:jc w:val="left"/>
              <w:rPr>
                <w:sz w:val="21"/>
              </w:rPr>
            </w:pPr>
            <w:r>
              <w:rPr>
                <w:sz w:val="21"/>
              </w:rPr>
              <w:t>主要用途</w:t>
            </w:r>
          </w:p>
        </w:tc>
        <w:tc>
          <w:tcPr>
            <w:tcW w:w="6661" w:type="dxa"/>
            <w:tcBorders>
              <w:top w:val="single" w:sz="6" w:space="0" w:color="000000"/>
              <w:left w:val="single" w:sz="6" w:space="0" w:color="000000"/>
            </w:tcBorders>
          </w:tcPr>
          <w:p>
            <w:pPr>
              <w:pStyle w:val="TableParagraph"/>
              <w:spacing w:line="253" w:lineRule="exact"/>
              <w:ind w:left="815"/>
              <w:jc w:val="left"/>
              <w:rPr>
                <w:sz w:val="21"/>
              </w:rPr>
            </w:pPr>
            <w:r>
              <w:rPr>
                <w:sz w:val="21"/>
              </w:rPr>
              <w:t>作为合成聚酯纤维、树脂、涂料、染料和农药等的原料</w:t>
            </w:r>
          </w:p>
        </w:tc>
      </w:tr>
    </w:tbl>
    <w:p>
      <w:pPr>
        <w:pStyle w:val="BodyText"/>
        <w:spacing w:before="16"/>
        <w:rPr>
          <w:sz w:val="4"/>
        </w:rPr>
      </w:pPr>
    </w:p>
    <w:p>
      <w:pPr>
        <w:tabs>
          <w:tab w:pos="4190" w:val="left" w:leader="none"/>
        </w:tabs>
        <w:spacing w:line="423" w:lineRule="exact" w:before="0"/>
        <w:ind w:left="3175" w:right="0" w:firstLine="0"/>
        <w:jc w:val="left"/>
        <w:rPr>
          <w:sz w:val="21"/>
        </w:rPr>
      </w:pPr>
      <w:r>
        <w:rPr>
          <w:sz w:val="21"/>
        </w:rPr>
        <w:t>表</w:t>
      </w:r>
      <w:r>
        <w:rPr>
          <w:spacing w:val="5"/>
          <w:sz w:val="21"/>
        </w:rPr>
        <w:t> </w:t>
      </w:r>
      <w:r>
        <w:rPr>
          <w:rFonts w:ascii="Times New Roman" w:eastAsia="Times New Roman"/>
          <w:sz w:val="21"/>
        </w:rPr>
        <w:t>7.1-13</w:t>
        <w:tab/>
      </w:r>
      <w:r>
        <w:rPr>
          <w:sz w:val="21"/>
        </w:rPr>
        <w:t>哌</w:t>
      </w:r>
      <w:r>
        <w:rPr>
          <w:spacing w:val="-3"/>
          <w:sz w:val="21"/>
        </w:rPr>
        <w:t>啶</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881"/>
        <w:gridCol w:w="1441"/>
        <w:gridCol w:w="3421"/>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0" w:right="84"/>
              <w:rPr>
                <w:sz w:val="21"/>
              </w:rPr>
            </w:pPr>
            <w:r>
              <w:rPr>
                <w:sz w:val="21"/>
              </w:rPr>
              <w:t>国标编号</w:t>
            </w:r>
          </w:p>
        </w:tc>
        <w:tc>
          <w:tcPr>
            <w:tcW w:w="2881" w:type="dxa"/>
            <w:tcBorders>
              <w:left w:val="single" w:sz="6" w:space="0" w:color="000000"/>
              <w:bottom w:val="single" w:sz="6" w:space="0" w:color="000000"/>
              <w:right w:val="single" w:sz="6" w:space="0" w:color="000000"/>
            </w:tcBorders>
          </w:tcPr>
          <w:p>
            <w:pPr>
              <w:pStyle w:val="TableParagraph"/>
              <w:spacing w:line="238" w:lineRule="exact" w:before="62"/>
              <w:ind w:left="785" w:right="761"/>
              <w:rPr>
                <w:rFonts w:ascii="Times New Roman"/>
                <w:sz w:val="21"/>
              </w:rPr>
            </w:pPr>
            <w:r>
              <w:rPr>
                <w:rFonts w:ascii="Times New Roman"/>
                <w:sz w:val="21"/>
              </w:rPr>
              <w:t>32106</w:t>
            </w:r>
          </w:p>
        </w:tc>
        <w:tc>
          <w:tcPr>
            <w:tcW w:w="1441" w:type="dxa"/>
            <w:tcBorders>
              <w:left w:val="single" w:sz="6" w:space="0" w:color="000000"/>
              <w:bottom w:val="single" w:sz="6" w:space="0" w:color="000000"/>
              <w:right w:val="single" w:sz="6" w:space="0" w:color="000000"/>
            </w:tcBorders>
          </w:tcPr>
          <w:p>
            <w:pPr>
              <w:pStyle w:val="TableParagraph"/>
              <w:spacing w:line="301" w:lineRule="exact"/>
              <w:ind w:left="285" w:right="261"/>
              <w:rPr>
                <w:sz w:val="21"/>
              </w:rPr>
            </w:pPr>
            <w:r>
              <w:rPr>
                <w:rFonts w:ascii="Times New Roman" w:eastAsia="Times New Roman"/>
                <w:sz w:val="21"/>
              </w:rPr>
              <w:t>CAS </w:t>
            </w:r>
            <w:r>
              <w:rPr>
                <w:sz w:val="21"/>
              </w:rPr>
              <w:t>号</w:t>
            </w:r>
          </w:p>
        </w:tc>
        <w:tc>
          <w:tcPr>
            <w:tcW w:w="3421" w:type="dxa"/>
            <w:tcBorders>
              <w:left w:val="single" w:sz="6" w:space="0" w:color="000000"/>
              <w:bottom w:val="single" w:sz="6" w:space="0" w:color="000000"/>
            </w:tcBorders>
          </w:tcPr>
          <w:p>
            <w:pPr>
              <w:pStyle w:val="TableParagraph"/>
              <w:spacing w:line="238" w:lineRule="exact" w:before="62"/>
              <w:ind w:right="1304"/>
              <w:jc w:val="right"/>
              <w:rPr>
                <w:rFonts w:ascii="Times New Roman"/>
                <w:sz w:val="21"/>
              </w:rPr>
            </w:pPr>
            <w:r>
              <w:rPr>
                <w:rFonts w:ascii="Times New Roman"/>
                <w:sz w:val="21"/>
              </w:rPr>
              <w:t>110-89-4</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0" w:right="84"/>
              <w:rPr>
                <w:sz w:val="21"/>
              </w:rPr>
            </w:pPr>
            <w:r>
              <w:rPr>
                <w:sz w:val="21"/>
              </w:rPr>
              <w:t>中文名称</w:t>
            </w:r>
          </w:p>
        </w:tc>
        <w:tc>
          <w:tcPr>
            <w:tcW w:w="2881"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785" w:right="761"/>
              <w:rPr>
                <w:sz w:val="21"/>
              </w:rPr>
            </w:pPr>
            <w:r>
              <w:rPr>
                <w:sz w:val="21"/>
              </w:rPr>
              <w:t>哌啶</w:t>
            </w:r>
          </w:p>
        </w:tc>
        <w:tc>
          <w:tcPr>
            <w:tcW w:w="1441"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285" w:right="261"/>
              <w:rPr>
                <w:sz w:val="21"/>
              </w:rPr>
            </w:pPr>
            <w:r>
              <w:rPr>
                <w:sz w:val="21"/>
              </w:rPr>
              <w:t>英文名称</w:t>
            </w:r>
          </w:p>
        </w:tc>
        <w:tc>
          <w:tcPr>
            <w:tcW w:w="3421" w:type="dxa"/>
            <w:tcBorders>
              <w:top w:val="single" w:sz="6" w:space="0" w:color="000000"/>
              <w:left w:val="single" w:sz="6" w:space="0" w:color="000000"/>
              <w:bottom w:val="single" w:sz="6" w:space="0" w:color="000000"/>
            </w:tcBorders>
          </w:tcPr>
          <w:p>
            <w:pPr>
              <w:pStyle w:val="TableParagraph"/>
              <w:spacing w:line="241" w:lineRule="exact" w:before="60"/>
              <w:ind w:right="1256"/>
              <w:jc w:val="right"/>
              <w:rPr>
                <w:rFonts w:ascii="Times New Roman"/>
                <w:sz w:val="21"/>
              </w:rPr>
            </w:pPr>
            <w:r>
              <w:rPr>
                <w:rFonts w:ascii="Times New Roman"/>
                <w:sz w:val="21"/>
              </w:rPr>
              <w:t>piperidine</w:t>
            </w:r>
          </w:p>
        </w:tc>
      </w:tr>
      <w:tr>
        <w:trPr>
          <w:trHeight w:val="637" w:hRule="atLeast"/>
        </w:trPr>
        <w:tc>
          <w:tcPr>
            <w:tcW w:w="1188" w:type="dxa"/>
            <w:tcBorders>
              <w:top w:val="single" w:sz="6" w:space="0" w:color="000000"/>
              <w:bottom w:val="single" w:sz="6" w:space="0" w:color="000000"/>
              <w:right w:val="single" w:sz="6" w:space="0" w:color="000000"/>
            </w:tcBorders>
          </w:tcPr>
          <w:p>
            <w:pPr>
              <w:pStyle w:val="TableParagraph"/>
              <w:spacing w:before="104"/>
              <w:ind w:left="100" w:right="84"/>
              <w:rPr>
                <w:sz w:val="21"/>
              </w:rPr>
            </w:pPr>
            <w:r>
              <w:rPr>
                <w:sz w:val="21"/>
              </w:rPr>
              <w:t>危险标记</w:t>
            </w:r>
          </w:p>
        </w:tc>
        <w:tc>
          <w:tcPr>
            <w:tcW w:w="2881" w:type="dxa"/>
            <w:tcBorders>
              <w:top w:val="single" w:sz="6" w:space="0" w:color="000000"/>
              <w:left w:val="single" w:sz="6" w:space="0" w:color="000000"/>
              <w:bottom w:val="single" w:sz="6" w:space="0" w:color="000000"/>
              <w:right w:val="single" w:sz="6" w:space="0" w:color="000000"/>
            </w:tcBorders>
          </w:tcPr>
          <w:p>
            <w:pPr>
              <w:pStyle w:val="TableParagraph"/>
              <w:spacing w:before="104"/>
              <w:ind w:left="785" w:right="758"/>
              <w:rPr>
                <w:rFonts w:ascii="Times New Roman" w:eastAsia="Times New Roman"/>
                <w:sz w:val="21"/>
              </w:rPr>
            </w:pPr>
            <w:r>
              <w:rPr>
                <w:rFonts w:ascii="Times New Roman" w:eastAsia="Times New Roman"/>
                <w:sz w:val="21"/>
              </w:rPr>
              <w:t>7(</w:t>
            </w:r>
            <w:r>
              <w:rPr>
                <w:sz w:val="21"/>
              </w:rPr>
              <w:t>易燃液体</w:t>
            </w:r>
            <w:r>
              <w:rPr>
                <w:rFonts w:ascii="Times New Roman" w:eastAsia="Times New Roman"/>
                <w:sz w:val="21"/>
              </w:rPr>
              <w:t>)</w:t>
            </w:r>
          </w:p>
        </w:tc>
        <w:tc>
          <w:tcPr>
            <w:tcW w:w="1441" w:type="dxa"/>
            <w:tcBorders>
              <w:top w:val="single" w:sz="6" w:space="0" w:color="000000"/>
              <w:left w:val="single" w:sz="6" w:space="0" w:color="000000"/>
              <w:bottom w:val="single" w:sz="6" w:space="0" w:color="000000"/>
              <w:right w:val="single" w:sz="6" w:space="0" w:color="000000"/>
            </w:tcBorders>
          </w:tcPr>
          <w:p>
            <w:pPr>
              <w:pStyle w:val="TableParagraph"/>
              <w:spacing w:before="104"/>
              <w:ind w:left="285" w:right="261"/>
              <w:rPr>
                <w:sz w:val="21"/>
              </w:rPr>
            </w:pPr>
            <w:r>
              <w:rPr>
                <w:sz w:val="21"/>
              </w:rPr>
              <w:t>主要用途</w:t>
            </w:r>
          </w:p>
        </w:tc>
        <w:tc>
          <w:tcPr>
            <w:tcW w:w="3421" w:type="dxa"/>
            <w:tcBorders>
              <w:top w:val="single" w:sz="6" w:space="0" w:color="000000"/>
              <w:left w:val="single" w:sz="6" w:space="0" w:color="000000"/>
              <w:bottom w:val="single" w:sz="6" w:space="0" w:color="000000"/>
            </w:tcBorders>
          </w:tcPr>
          <w:p>
            <w:pPr>
              <w:pStyle w:val="TableParagraph"/>
              <w:spacing w:line="328" w:lineRule="exact"/>
              <w:ind w:left="119" w:right="88"/>
              <w:rPr>
                <w:sz w:val="21"/>
              </w:rPr>
            </w:pPr>
            <w:r>
              <w:rPr>
                <w:sz w:val="21"/>
              </w:rPr>
              <w:t>用作溶剂、有机合成中间体、环氧</w:t>
            </w:r>
          </w:p>
          <w:p>
            <w:pPr>
              <w:pStyle w:val="TableParagraph"/>
              <w:spacing w:line="290" w:lineRule="exact"/>
              <w:ind w:left="119" w:right="88"/>
              <w:rPr>
                <w:sz w:val="21"/>
              </w:rPr>
            </w:pPr>
            <w:r>
              <w:rPr>
                <w:sz w:val="21"/>
              </w:rPr>
              <w:t>树脂交联剂、缩合催化剂</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0" w:right="84"/>
              <w:rPr>
                <w:sz w:val="21"/>
              </w:rPr>
            </w:pPr>
            <w:r>
              <w:rPr>
                <w:sz w:val="21"/>
              </w:rPr>
              <w:t>侵入途径</w:t>
            </w:r>
          </w:p>
        </w:tc>
        <w:tc>
          <w:tcPr>
            <w:tcW w:w="7743" w:type="dxa"/>
            <w:gridSpan w:val="3"/>
            <w:tcBorders>
              <w:top w:val="single" w:sz="6" w:space="0" w:color="000000"/>
              <w:left w:val="single" w:sz="6" w:space="0" w:color="000000"/>
              <w:bottom w:val="single" w:sz="6" w:space="0" w:color="000000"/>
            </w:tcBorders>
          </w:tcPr>
          <w:p>
            <w:pPr>
              <w:pStyle w:val="TableParagraph"/>
              <w:spacing w:line="301" w:lineRule="exact"/>
              <w:ind w:left="2698" w:right="2666"/>
              <w:rPr>
                <w:sz w:val="21"/>
              </w:rPr>
            </w:pPr>
            <w:r>
              <w:rPr>
                <w:sz w:val="21"/>
              </w:rPr>
              <w:t>吸入、食入、经皮吸收。</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7"/>
              <w:ind w:left="100" w:right="84"/>
              <w:rPr>
                <w:sz w:val="21"/>
              </w:rPr>
            </w:pPr>
            <w:r>
              <w:rPr>
                <w:sz w:val="21"/>
              </w:rPr>
              <w:t>健康危害</w:t>
            </w:r>
          </w:p>
        </w:tc>
        <w:tc>
          <w:tcPr>
            <w:tcW w:w="7743" w:type="dxa"/>
            <w:gridSpan w:val="3"/>
            <w:tcBorders>
              <w:top w:val="single" w:sz="6" w:space="0" w:color="000000"/>
              <w:left w:val="single" w:sz="6" w:space="0" w:color="000000"/>
              <w:bottom w:val="single" w:sz="6" w:space="0" w:color="000000"/>
            </w:tcBorders>
          </w:tcPr>
          <w:p>
            <w:pPr>
              <w:pStyle w:val="TableParagraph"/>
              <w:spacing w:line="330" w:lineRule="exact"/>
              <w:ind w:left="112"/>
              <w:jc w:val="left"/>
              <w:rPr>
                <w:sz w:val="21"/>
              </w:rPr>
            </w:pPr>
            <w:r>
              <w:rPr>
                <w:sz w:val="21"/>
              </w:rPr>
              <w:t>对眼睛和皮肤有强烈刺激性并是升压剂。小剂量可刺激交感和副交感神经节，大剂</w:t>
            </w:r>
          </w:p>
          <w:p>
            <w:pPr>
              <w:pStyle w:val="TableParagraph"/>
              <w:spacing w:line="291" w:lineRule="exact"/>
              <w:ind w:left="112" w:right="-29"/>
              <w:jc w:val="left"/>
              <w:rPr>
                <w:sz w:val="21"/>
              </w:rPr>
            </w:pPr>
            <w:r>
              <w:rPr>
                <w:spacing w:val="-13"/>
                <w:sz w:val="21"/>
              </w:rPr>
              <w:t>量反而有抑制作用，误服后可引起虚弱、恶心、流涎、呼吸困难、肌肉瘫痪和窒息。</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2" w:right="84"/>
              <w:rPr>
                <w:sz w:val="21"/>
              </w:rPr>
            </w:pPr>
            <w:r>
              <w:rPr>
                <w:sz w:val="21"/>
              </w:rPr>
              <w:t>毒性</w:t>
            </w:r>
          </w:p>
        </w:tc>
        <w:tc>
          <w:tcPr>
            <w:tcW w:w="7743" w:type="dxa"/>
            <w:gridSpan w:val="3"/>
            <w:tcBorders>
              <w:top w:val="single" w:sz="6" w:space="0" w:color="000000"/>
              <w:left w:val="single" w:sz="6" w:space="0" w:color="000000"/>
              <w:bottom w:val="single" w:sz="6" w:space="0" w:color="000000"/>
            </w:tcBorders>
          </w:tcPr>
          <w:p>
            <w:pPr>
              <w:pStyle w:val="TableParagraph"/>
              <w:spacing w:line="329" w:lineRule="exact"/>
              <w:ind w:left="112"/>
              <w:jc w:val="left"/>
              <w:rPr>
                <w:sz w:val="21"/>
              </w:rPr>
            </w:pPr>
            <w:r>
              <w:rPr>
                <w:spacing w:val="-2"/>
                <w:position w:val="2"/>
                <w:sz w:val="21"/>
              </w:rPr>
              <w:t>急性毒性：</w:t>
            </w:r>
            <w:r>
              <w:rPr>
                <w:rFonts w:ascii="Times New Roman" w:eastAsia="Times New Roman"/>
                <w:spacing w:val="-5"/>
                <w:position w:val="2"/>
                <w:sz w:val="21"/>
              </w:rPr>
              <w:t>LD</w:t>
            </w:r>
            <w:r>
              <w:rPr>
                <w:rFonts w:ascii="Times New Roman" w:eastAsia="Times New Roman"/>
                <w:spacing w:val="-5"/>
                <w:sz w:val="14"/>
              </w:rPr>
              <w:t>50</w:t>
            </w:r>
            <w:r>
              <w:rPr>
                <w:rFonts w:ascii="Times New Roman" w:eastAsia="Times New Roman"/>
                <w:spacing w:val="-5"/>
                <w:position w:val="2"/>
                <w:sz w:val="21"/>
              </w:rPr>
              <w:t>50mg/kg(</w:t>
            </w:r>
            <w:r>
              <w:rPr>
                <w:position w:val="2"/>
                <w:sz w:val="21"/>
              </w:rPr>
              <w:t>大鼠经口</w:t>
            </w:r>
            <w:r>
              <w:rPr>
                <w:rFonts w:ascii="Times New Roman" w:eastAsia="Times New Roman"/>
                <w:spacing w:val="-5"/>
                <w:position w:val="2"/>
                <w:sz w:val="21"/>
              </w:rPr>
              <w:t>)</w:t>
            </w:r>
            <w:r>
              <w:rPr>
                <w:spacing w:val="-5"/>
                <w:position w:val="2"/>
                <w:sz w:val="21"/>
              </w:rPr>
              <w:t>；</w:t>
            </w:r>
            <w:r>
              <w:rPr>
                <w:rFonts w:ascii="Times New Roman" w:eastAsia="Times New Roman"/>
                <w:spacing w:val="-5"/>
                <w:position w:val="2"/>
                <w:sz w:val="21"/>
              </w:rPr>
              <w:t>320mg/kg(</w:t>
            </w:r>
            <w:r>
              <w:rPr>
                <w:spacing w:val="-3"/>
                <w:position w:val="2"/>
                <w:sz w:val="21"/>
              </w:rPr>
              <w:t>兔经皮</w:t>
            </w:r>
            <w:r>
              <w:rPr>
                <w:rFonts w:ascii="Times New Roman" w:eastAsia="Times New Roman"/>
                <w:spacing w:val="-6"/>
                <w:position w:val="2"/>
                <w:sz w:val="21"/>
              </w:rPr>
              <w:t>)</w:t>
            </w:r>
            <w:r>
              <w:rPr>
                <w:spacing w:val="-6"/>
                <w:position w:val="2"/>
                <w:sz w:val="21"/>
              </w:rPr>
              <w:t>；</w:t>
            </w:r>
            <w:r>
              <w:rPr>
                <w:rFonts w:ascii="Times New Roman" w:eastAsia="Times New Roman"/>
                <w:spacing w:val="-6"/>
                <w:position w:val="2"/>
                <w:sz w:val="21"/>
              </w:rPr>
              <w:t>LC</w:t>
            </w:r>
            <w:r>
              <w:rPr>
                <w:rFonts w:ascii="Times New Roman" w:eastAsia="Times New Roman"/>
                <w:spacing w:val="-6"/>
                <w:sz w:val="14"/>
              </w:rPr>
              <w:t>50</w:t>
            </w:r>
            <w:r>
              <w:rPr>
                <w:rFonts w:ascii="Times New Roman" w:eastAsia="Times New Roman"/>
                <w:spacing w:val="-6"/>
                <w:position w:val="2"/>
                <w:sz w:val="21"/>
              </w:rPr>
              <w:t>6000mg/m</w:t>
            </w:r>
            <w:r>
              <w:rPr>
                <w:rFonts w:ascii="Times New Roman" w:eastAsia="Times New Roman"/>
                <w:spacing w:val="-6"/>
                <w:position w:val="2"/>
                <w:sz w:val="21"/>
                <w:vertAlign w:val="superscript"/>
              </w:rPr>
              <w:t>3</w:t>
            </w:r>
            <w:r>
              <w:rPr>
                <w:spacing w:val="-6"/>
                <w:position w:val="2"/>
                <w:sz w:val="21"/>
                <w:vertAlign w:val="baseline"/>
              </w:rPr>
              <w:t>，</w:t>
            </w:r>
            <w:r>
              <w:rPr>
                <w:rFonts w:ascii="Times New Roman" w:eastAsia="Times New Roman"/>
                <w:spacing w:val="-6"/>
                <w:position w:val="2"/>
                <w:sz w:val="21"/>
                <w:vertAlign w:val="baseline"/>
              </w:rPr>
              <w:t>2 </w:t>
            </w:r>
            <w:r>
              <w:rPr>
                <w:position w:val="2"/>
                <w:sz w:val="21"/>
                <w:vertAlign w:val="baseline"/>
              </w:rPr>
              <w:t>小时</w:t>
            </w:r>
            <w:r>
              <w:rPr>
                <w:rFonts w:ascii="Times New Roman" w:eastAsia="Times New Roman"/>
                <w:position w:val="2"/>
                <w:sz w:val="21"/>
                <w:vertAlign w:val="baseline"/>
              </w:rPr>
              <w:t>(</w:t>
            </w:r>
            <w:r>
              <w:rPr>
                <w:position w:val="2"/>
                <w:sz w:val="21"/>
                <w:vertAlign w:val="baseline"/>
              </w:rPr>
              <w:t>小</w:t>
            </w:r>
          </w:p>
          <w:p>
            <w:pPr>
              <w:pStyle w:val="TableParagraph"/>
              <w:spacing w:line="291" w:lineRule="exact"/>
              <w:ind w:left="112"/>
              <w:jc w:val="left"/>
              <w:rPr>
                <w:rFonts w:ascii="Times New Roman" w:eastAsia="Times New Roman"/>
                <w:sz w:val="21"/>
              </w:rPr>
            </w:pPr>
            <w:r>
              <w:rPr>
                <w:sz w:val="21"/>
              </w:rPr>
              <w:t>鼠吸入</w:t>
            </w:r>
            <w:r>
              <w:rPr>
                <w:rFonts w:ascii="Times New Roman" w:eastAsia="Times New Roman"/>
                <w:sz w:val="21"/>
              </w:rPr>
              <w:t>)</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0" w:right="84"/>
              <w:rPr>
                <w:sz w:val="21"/>
              </w:rPr>
            </w:pPr>
            <w:r>
              <w:rPr>
                <w:sz w:val="21"/>
              </w:rPr>
              <w:t>危险特性</w:t>
            </w:r>
          </w:p>
        </w:tc>
        <w:tc>
          <w:tcPr>
            <w:tcW w:w="7743" w:type="dxa"/>
            <w:gridSpan w:val="3"/>
            <w:tcBorders>
              <w:top w:val="single" w:sz="6" w:space="0" w:color="000000"/>
              <w:left w:val="single" w:sz="6" w:space="0" w:color="000000"/>
              <w:bottom w:val="single" w:sz="6" w:space="0" w:color="000000"/>
            </w:tcBorders>
          </w:tcPr>
          <w:p>
            <w:pPr>
              <w:pStyle w:val="TableParagraph"/>
              <w:spacing w:line="328" w:lineRule="exact"/>
              <w:ind w:left="112"/>
              <w:jc w:val="left"/>
              <w:rPr>
                <w:sz w:val="21"/>
              </w:rPr>
            </w:pPr>
            <w:r>
              <w:rPr>
                <w:sz w:val="21"/>
              </w:rPr>
              <w:t>易燃，遇明火、燃烧时会放出有毒气体。受热分解放出有毒的氧化氮烟气。与氧化</w:t>
            </w:r>
          </w:p>
          <w:p>
            <w:pPr>
              <w:pStyle w:val="TableParagraph"/>
              <w:spacing w:line="292" w:lineRule="exact"/>
              <w:ind w:left="112"/>
              <w:jc w:val="left"/>
              <w:rPr>
                <w:sz w:val="21"/>
              </w:rPr>
            </w:pPr>
            <w:r>
              <w:rPr>
                <w:sz w:val="21"/>
              </w:rPr>
              <w:t>剂能发生强烈反应。</w:t>
            </w:r>
          </w:p>
        </w:tc>
      </w:tr>
      <w:tr>
        <w:trPr>
          <w:trHeight w:val="192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6"/>
              <w:jc w:val="left"/>
              <w:rPr>
                <w:sz w:val="11"/>
              </w:rPr>
            </w:pPr>
          </w:p>
          <w:p>
            <w:pPr>
              <w:pStyle w:val="TableParagraph"/>
              <w:spacing w:line="172" w:lineRule="auto"/>
              <w:ind w:left="380" w:right="151" w:hanging="212"/>
              <w:jc w:val="left"/>
              <w:rPr>
                <w:sz w:val="21"/>
              </w:rPr>
            </w:pPr>
            <w:r>
              <w:rPr>
                <w:sz w:val="21"/>
              </w:rPr>
              <w:t>泄漏应急处理</w:t>
            </w:r>
          </w:p>
        </w:tc>
        <w:tc>
          <w:tcPr>
            <w:tcW w:w="7743" w:type="dxa"/>
            <w:gridSpan w:val="3"/>
            <w:tcBorders>
              <w:top w:val="single" w:sz="6" w:space="0" w:color="000000"/>
              <w:left w:val="single" w:sz="6" w:space="0" w:color="000000"/>
              <w:bottom w:val="single" w:sz="6" w:space="0" w:color="000000"/>
            </w:tcBorders>
          </w:tcPr>
          <w:p>
            <w:pPr>
              <w:pStyle w:val="TableParagraph"/>
              <w:spacing w:line="172" w:lineRule="auto" w:before="32"/>
              <w:ind w:left="112" w:right="76"/>
              <w:jc w:val="both"/>
              <w:rPr>
                <w:sz w:val="21"/>
              </w:rPr>
            </w:pPr>
            <w:r>
              <w:rPr>
                <w:spacing w:val="-7"/>
                <w:sz w:val="21"/>
              </w:rPr>
              <w:t>迅速撤离泄漏污染区人员至安全区，并进行隔离，严格限制出入。切断火源。建议</w:t>
            </w:r>
            <w:r>
              <w:rPr>
                <w:spacing w:val="-8"/>
                <w:sz w:val="21"/>
              </w:rPr>
              <w:t>应急处理人员戴自给正压式呼吸器，穿防毒服。不要直接接触泄漏的。尽可能切断</w:t>
            </w:r>
            <w:r>
              <w:rPr>
                <w:spacing w:val="-9"/>
                <w:sz w:val="21"/>
              </w:rPr>
              <w:t>泄漏源，防止进入下水道、排洪沟等限制性空间。小量泄漏：用砂土或其它不燃材</w:t>
            </w:r>
            <w:r>
              <w:rPr>
                <w:spacing w:val="-10"/>
                <w:sz w:val="21"/>
              </w:rPr>
              <w:t>料吸附或吸收。也可以用大量水冲洗，洗水稀释后放入废水系统。大量泄漏：构筑</w:t>
            </w:r>
            <w:r>
              <w:rPr>
                <w:spacing w:val="-8"/>
                <w:sz w:val="21"/>
              </w:rPr>
              <w:t>围堤或挖坑收容；用泡沫覆盖，降低蒸气灾害。用防爆泵转移至槽车或专用收集器</w:t>
            </w:r>
          </w:p>
          <w:p>
            <w:pPr>
              <w:pStyle w:val="TableParagraph"/>
              <w:spacing w:line="265" w:lineRule="exact"/>
              <w:ind w:left="112"/>
              <w:jc w:val="both"/>
              <w:rPr>
                <w:sz w:val="21"/>
              </w:rPr>
            </w:pPr>
            <w:r>
              <w:rPr>
                <w:sz w:val="21"/>
              </w:rPr>
              <w:t>内，回收或运至废物处理场所处置。</w:t>
            </w:r>
          </w:p>
        </w:tc>
      </w:tr>
      <w:tr>
        <w:trPr>
          <w:trHeight w:val="1281" w:hRule="atLeast"/>
        </w:trPr>
        <w:tc>
          <w:tcPr>
            <w:tcW w:w="1188" w:type="dxa"/>
            <w:tcBorders>
              <w:top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00" w:right="84"/>
              <w:rPr>
                <w:sz w:val="21"/>
              </w:rPr>
            </w:pPr>
            <w:r>
              <w:rPr>
                <w:sz w:val="21"/>
              </w:rPr>
              <w:t>防护措施</w:t>
            </w:r>
          </w:p>
        </w:tc>
        <w:tc>
          <w:tcPr>
            <w:tcW w:w="7743" w:type="dxa"/>
            <w:gridSpan w:val="3"/>
            <w:tcBorders>
              <w:top w:val="single" w:sz="6" w:space="0" w:color="000000"/>
              <w:left w:val="single" w:sz="6" w:space="0" w:color="000000"/>
              <w:bottom w:val="single" w:sz="6" w:space="0" w:color="000000"/>
            </w:tcBorders>
          </w:tcPr>
          <w:p>
            <w:pPr>
              <w:pStyle w:val="TableParagraph"/>
              <w:spacing w:line="172" w:lineRule="auto" w:before="32"/>
              <w:ind w:left="112" w:right="75"/>
              <w:jc w:val="both"/>
              <w:rPr>
                <w:sz w:val="21"/>
              </w:rPr>
            </w:pPr>
            <w:r>
              <w:rPr>
                <w:spacing w:val="-2"/>
                <w:sz w:val="21"/>
              </w:rPr>
              <w:t>呼吸系统防护：可能接触其蒸气时，佩戴自吸过滤式防毒面具</w:t>
            </w:r>
            <w:r>
              <w:rPr>
                <w:rFonts w:ascii="Times New Roman" w:eastAsia="Times New Roman"/>
                <w:sz w:val="21"/>
              </w:rPr>
              <w:t>(</w:t>
            </w:r>
            <w:r>
              <w:rPr>
                <w:sz w:val="21"/>
              </w:rPr>
              <w:t>全面罩</w:t>
            </w:r>
            <w:r>
              <w:rPr>
                <w:rFonts w:ascii="Times New Roman" w:eastAsia="Times New Roman"/>
                <w:sz w:val="21"/>
              </w:rPr>
              <w:t>)</w:t>
            </w:r>
            <w:r>
              <w:rPr>
                <w:sz w:val="21"/>
              </w:rPr>
              <w:t>。紧急事态</w:t>
            </w:r>
            <w:r>
              <w:rPr>
                <w:spacing w:val="-7"/>
                <w:sz w:val="21"/>
              </w:rPr>
              <w:t>抢救或撤离时，建议佩戴氧气呼吸器。眼睛防护：呼吸系统防护中已作防护。身体</w:t>
            </w:r>
            <w:r>
              <w:rPr>
                <w:spacing w:val="-9"/>
                <w:sz w:val="21"/>
              </w:rPr>
              <w:t>防护：穿胶布防毒衣。手防护：戴防苯耐油手套。其它：工作现场严禁吸烟。工作</w:t>
            </w:r>
          </w:p>
          <w:p>
            <w:pPr>
              <w:pStyle w:val="TableParagraph"/>
              <w:spacing w:line="267" w:lineRule="exact"/>
              <w:ind w:left="112"/>
              <w:jc w:val="both"/>
              <w:rPr>
                <w:sz w:val="21"/>
              </w:rPr>
            </w:pPr>
            <w:r>
              <w:rPr>
                <w:sz w:val="21"/>
              </w:rPr>
              <w:t>毕，淋浴更衣。注意个人清洁卫生。</w:t>
            </w:r>
          </w:p>
        </w:tc>
      </w:tr>
      <w:tr>
        <w:trPr>
          <w:trHeight w:val="1917"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5"/>
              </w:rPr>
            </w:pPr>
          </w:p>
          <w:p>
            <w:pPr>
              <w:pStyle w:val="TableParagraph"/>
              <w:spacing w:before="1"/>
              <w:ind w:left="100" w:right="84"/>
              <w:rPr>
                <w:sz w:val="21"/>
              </w:rPr>
            </w:pPr>
            <w:r>
              <w:rPr>
                <w:sz w:val="21"/>
              </w:rPr>
              <w:t>急救措施</w:t>
            </w:r>
          </w:p>
        </w:tc>
        <w:tc>
          <w:tcPr>
            <w:tcW w:w="7743" w:type="dxa"/>
            <w:gridSpan w:val="3"/>
            <w:tcBorders>
              <w:top w:val="single" w:sz="6" w:space="0" w:color="000000"/>
              <w:left w:val="single" w:sz="6" w:space="0" w:color="000000"/>
            </w:tcBorders>
          </w:tcPr>
          <w:p>
            <w:pPr>
              <w:pStyle w:val="TableParagraph"/>
              <w:spacing w:line="172" w:lineRule="auto" w:before="32"/>
              <w:ind w:left="112" w:right="-29"/>
              <w:jc w:val="both"/>
              <w:rPr>
                <w:sz w:val="21"/>
              </w:rPr>
            </w:pPr>
            <w:r>
              <w:rPr>
                <w:spacing w:val="-3"/>
                <w:sz w:val="21"/>
              </w:rPr>
              <w:t>皮肤接触：脱去被污染的衣着，用肥皂水和清水彻底冲洗皮肤。就医。眼睛接触： 立即提起眼睑，用大量流动清水或生理盐水彻底冲洗至少 </w:t>
            </w:r>
            <w:r>
              <w:rPr>
                <w:rFonts w:ascii="Times New Roman" w:eastAsia="Times New Roman"/>
                <w:sz w:val="21"/>
              </w:rPr>
              <w:t>15 </w:t>
            </w:r>
            <w:r>
              <w:rPr>
                <w:spacing w:val="-3"/>
                <w:sz w:val="21"/>
              </w:rPr>
              <w:t>分钟。就医。吸入： </w:t>
            </w:r>
            <w:r>
              <w:rPr>
                <w:spacing w:val="-11"/>
                <w:sz w:val="21"/>
              </w:rPr>
              <w:t>迅速脱离现场至空气新鲜处。保持呼吸道通畅。如呼吸困难，给输氧。如呼吸停止， </w:t>
            </w:r>
            <w:r>
              <w:rPr>
                <w:spacing w:val="-8"/>
                <w:sz w:val="21"/>
              </w:rPr>
              <w:t>即进行人工呼吸。就医。食入：饮足量温水，催吐，就医。灭火方法：喷水冷却容</w:t>
            </w:r>
            <w:r>
              <w:rPr>
                <w:spacing w:val="-9"/>
                <w:sz w:val="21"/>
              </w:rPr>
              <w:t>器，可能的话将容器从火场移至空旷处。泡沫、干粉、二氧化碳、砂土。用水灭火</w:t>
            </w:r>
          </w:p>
          <w:p>
            <w:pPr>
              <w:pStyle w:val="TableParagraph"/>
              <w:spacing w:line="262" w:lineRule="exact"/>
              <w:ind w:left="112"/>
              <w:jc w:val="both"/>
              <w:rPr>
                <w:sz w:val="21"/>
              </w:rPr>
            </w:pPr>
            <w:r>
              <w:rPr>
                <w:sz w:val="21"/>
              </w:rPr>
              <w:t>无效。</w:t>
            </w:r>
          </w:p>
        </w:tc>
      </w:tr>
    </w:tbl>
    <w:p>
      <w:pPr>
        <w:spacing w:after="0" w:line="262" w:lineRule="exact"/>
        <w:jc w:val="both"/>
        <w:rPr>
          <w:sz w:val="21"/>
        </w:rPr>
        <w:sectPr>
          <w:pgSz w:w="11910" w:h="16840"/>
          <w:pgMar w:header="877" w:footer="973" w:top="1340" w:bottom="1160" w:left="1220" w:right="1040"/>
        </w:sectPr>
      </w:pPr>
    </w:p>
    <w:p>
      <w:pPr>
        <w:tabs>
          <w:tab w:pos="1260" w:val="left" w:leader="none"/>
        </w:tabs>
        <w:spacing w:before="6"/>
        <w:ind w:left="242" w:right="0" w:firstLine="0"/>
        <w:jc w:val="center"/>
        <w:rPr>
          <w:sz w:val="21"/>
        </w:rPr>
      </w:pPr>
      <w:r>
        <w:rPr>
          <w:sz w:val="21"/>
        </w:rPr>
        <w:t>表</w:t>
      </w:r>
      <w:r>
        <w:rPr>
          <w:spacing w:val="5"/>
          <w:sz w:val="21"/>
        </w:rPr>
        <w:t> </w:t>
      </w:r>
      <w:r>
        <w:rPr>
          <w:rFonts w:ascii="Times New Roman" w:eastAsia="Times New Roman"/>
          <w:sz w:val="21"/>
        </w:rPr>
        <w:t>7.1-14</w:t>
        <w:tab/>
        <w:t>1,3-</w:t>
      </w:r>
      <w:r>
        <w:rPr>
          <w:sz w:val="21"/>
        </w:rPr>
        <w:t>溴氯</w:t>
      </w:r>
      <w:r>
        <w:rPr>
          <w:spacing w:val="-3"/>
          <w:sz w:val="21"/>
        </w:rPr>
        <w:t>丙</w:t>
      </w:r>
      <w:r>
        <w:rPr>
          <w:sz w:val="21"/>
        </w:rPr>
        <w:t>烷</w:t>
      </w:r>
      <w:r>
        <w:rPr>
          <w:spacing w:val="-3"/>
          <w:sz w:val="21"/>
        </w:rPr>
        <w:t>危</w:t>
      </w:r>
      <w:r>
        <w:rPr>
          <w:sz w:val="21"/>
        </w:rPr>
        <w:t>险特</w:t>
      </w:r>
      <w:r>
        <w:rPr>
          <w:spacing w:val="-3"/>
          <w:sz w:val="21"/>
        </w:rPr>
        <w:t>性</w:t>
      </w:r>
      <w:r>
        <w:rPr>
          <w:sz w:val="21"/>
        </w:rPr>
        <w:t>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41" w:lineRule="exact" w:before="60"/>
              <w:ind w:left="208" w:right="184"/>
              <w:rPr>
                <w:rFonts w:ascii="Times New Roman"/>
                <w:sz w:val="21"/>
              </w:rPr>
            </w:pPr>
            <w:r>
              <w:rPr>
                <w:rFonts w:ascii="Times New Roman"/>
                <w:sz w:val="21"/>
              </w:rPr>
              <w:t>----</w:t>
            </w:r>
          </w:p>
        </w:tc>
        <w:tc>
          <w:tcPr>
            <w:tcW w:w="1440" w:type="dxa"/>
            <w:tcBorders>
              <w:left w:val="single" w:sz="6" w:space="0" w:color="000000"/>
              <w:bottom w:val="single" w:sz="6" w:space="0" w:color="000000"/>
              <w:right w:val="single" w:sz="6" w:space="0" w:color="000000"/>
            </w:tcBorders>
          </w:tcPr>
          <w:p>
            <w:pPr>
              <w:pStyle w:val="TableParagraph"/>
              <w:spacing w:line="30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41" w:lineRule="exact" w:before="60"/>
              <w:ind w:left="63" w:right="82"/>
              <w:rPr>
                <w:rFonts w:ascii="Times New Roman"/>
                <w:sz w:val="21"/>
              </w:rPr>
            </w:pPr>
            <w:r>
              <w:rPr>
                <w:rFonts w:ascii="Times New Roman"/>
                <w:sz w:val="21"/>
              </w:rPr>
              <w:t>109-70-6</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99" w:lineRule="exact"/>
              <w:ind w:left="212" w:right="184"/>
              <w:rPr>
                <w:sz w:val="21"/>
              </w:rPr>
            </w:pPr>
            <w:r>
              <w:rPr>
                <w:rFonts w:ascii="Times New Roman" w:eastAsia="Times New Roman"/>
                <w:sz w:val="21"/>
              </w:rPr>
              <w:t>1,3-</w:t>
            </w:r>
            <w:r>
              <w:rPr>
                <w:sz w:val="21"/>
              </w:rPr>
              <w:t>溴氯丙烷</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9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8" w:lineRule="exact" w:before="60"/>
              <w:ind w:left="115" w:right="82"/>
              <w:rPr>
                <w:rFonts w:ascii="Times New Roman"/>
                <w:sz w:val="21"/>
              </w:rPr>
            </w:pPr>
            <w:r>
              <w:rPr>
                <w:rFonts w:ascii="Times New Roman"/>
                <w:sz w:val="21"/>
              </w:rPr>
              <w:t>1-chloro-3-bromopropane</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0"/>
              </w:rPr>
            </w:pPr>
          </w:p>
          <w:p>
            <w:pPr>
              <w:pStyle w:val="TableParagraph"/>
              <w:ind w:left="208" w:right="184"/>
              <w:rPr>
                <w:rFonts w:ascii="Times New Roman"/>
                <w:sz w:val="21"/>
              </w:rPr>
            </w:pPr>
            <w:r>
              <w:rPr>
                <w:rFonts w:ascii="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06"/>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30" w:lineRule="exact"/>
              <w:ind w:left="114"/>
              <w:jc w:val="left"/>
              <w:rPr>
                <w:sz w:val="21"/>
              </w:rPr>
            </w:pPr>
            <w:r>
              <w:rPr>
                <w:sz w:val="21"/>
              </w:rPr>
              <w:t>用于制造三氟拉嗪盐酸盐及</w:t>
            </w:r>
          </w:p>
          <w:p>
            <w:pPr>
              <w:pStyle w:val="TableParagraph"/>
              <w:spacing w:line="290" w:lineRule="exact"/>
              <w:ind w:left="114"/>
              <w:jc w:val="left"/>
              <w:rPr>
                <w:sz w:val="21"/>
              </w:rPr>
            </w:pPr>
            <w:r>
              <w:rPr>
                <w:sz w:val="21"/>
              </w:rPr>
              <w:t>有机合成。</w:t>
            </w:r>
          </w:p>
        </w:tc>
      </w:tr>
      <w:tr>
        <w:trPr>
          <w:trHeight w:val="320"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956" w:right="921"/>
              <w:rPr>
                <w:sz w:val="21"/>
              </w:rPr>
            </w:pPr>
            <w:r>
              <w:rPr>
                <w:sz w:val="21"/>
              </w:rPr>
              <w:t>吸入、食入、经皮吸收。</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28" w:lineRule="exact"/>
              <w:ind w:left="114"/>
              <w:jc w:val="left"/>
              <w:rPr>
                <w:sz w:val="21"/>
              </w:rPr>
            </w:pPr>
            <w:r>
              <w:rPr>
                <w:sz w:val="21"/>
              </w:rPr>
              <w:t>误服、与皮肤接触或吸入蒸气对身体有害。对眼睛、皮肤和粘膜有强烈的刺激性，</w:t>
            </w:r>
          </w:p>
          <w:p>
            <w:pPr>
              <w:pStyle w:val="TableParagraph"/>
              <w:spacing w:line="292" w:lineRule="exact"/>
              <w:ind w:left="114"/>
              <w:jc w:val="left"/>
              <w:rPr>
                <w:sz w:val="21"/>
              </w:rPr>
            </w:pPr>
            <w:r>
              <w:rPr>
                <w:sz w:val="21"/>
              </w:rPr>
              <w:t>可引起化脓性结膜炎。长期接触后，可引起头痛、头晕、恶心及麻醉作用。</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27" w:lineRule="exact"/>
              <w:ind w:left="114"/>
              <w:jc w:val="left"/>
              <w:rPr>
                <w:sz w:val="21"/>
              </w:rPr>
            </w:pPr>
            <w:r>
              <w:rPr>
                <w:spacing w:val="-15"/>
                <w:w w:val="100"/>
                <w:position w:val="2"/>
                <w:sz w:val="21"/>
              </w:rPr>
              <w:t>急性毒性：</w:t>
            </w:r>
            <w:r>
              <w:rPr>
                <w:rFonts w:ascii="Times New Roman" w:eastAsia="Times New Roman"/>
                <w:spacing w:val="-5"/>
                <w:w w:val="100"/>
                <w:position w:val="2"/>
                <w:sz w:val="21"/>
              </w:rPr>
              <w:t>L</w:t>
            </w:r>
            <w:r>
              <w:rPr>
                <w:rFonts w:ascii="Times New Roman" w:eastAsia="Times New Roman"/>
                <w:spacing w:val="1"/>
                <w:w w:val="100"/>
                <w:position w:val="2"/>
                <w:sz w:val="21"/>
              </w:rPr>
              <w:t>D</w:t>
            </w:r>
            <w:r>
              <w:rPr>
                <w:rFonts w:ascii="Times New Roman" w:eastAsia="Times New Roman"/>
                <w:w w:val="99"/>
                <w:sz w:val="14"/>
              </w:rPr>
              <w:t>50</w:t>
            </w:r>
            <w:r>
              <w:rPr>
                <w:spacing w:val="-68"/>
                <w:w w:val="100"/>
                <w:position w:val="2"/>
                <w:sz w:val="21"/>
              </w:rPr>
              <w:t>：</w:t>
            </w:r>
            <w:r>
              <w:rPr>
                <w:rFonts w:ascii="Times New Roman" w:eastAsia="Times New Roman"/>
                <w:w w:val="100"/>
                <w:position w:val="2"/>
                <w:sz w:val="21"/>
              </w:rPr>
              <w:t>9</w:t>
            </w:r>
            <w:r>
              <w:rPr>
                <w:rFonts w:ascii="Times New Roman" w:eastAsia="Times New Roman"/>
                <w:spacing w:val="-3"/>
                <w:w w:val="100"/>
                <w:position w:val="2"/>
                <w:sz w:val="21"/>
              </w:rPr>
              <w:t>3</w:t>
            </w:r>
            <w:r>
              <w:rPr>
                <w:rFonts w:ascii="Times New Roman" w:eastAsia="Times New Roman"/>
                <w:w w:val="100"/>
                <w:position w:val="2"/>
                <w:sz w:val="21"/>
              </w:rPr>
              <w:t>0</w:t>
            </w:r>
            <w:r>
              <w:rPr>
                <w:rFonts w:ascii="Times New Roman" w:eastAsia="Times New Roman"/>
                <w:position w:val="2"/>
                <w:sz w:val="21"/>
              </w:rPr>
              <w:t> </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rFonts w:ascii="Times New Roman" w:eastAsia="Times New Roman"/>
                <w:spacing w:val="-1"/>
                <w:w w:val="100"/>
                <w:position w:val="2"/>
                <w:sz w:val="21"/>
              </w:rPr>
              <w:t>(</w:t>
            </w:r>
            <w:r>
              <w:rPr>
                <w:spacing w:val="-1"/>
                <w:w w:val="100"/>
                <w:position w:val="2"/>
                <w:sz w:val="21"/>
              </w:rPr>
              <w:t>大鼠经口</w:t>
            </w:r>
            <w:r>
              <w:rPr>
                <w:rFonts w:ascii="Times New Roman" w:eastAsia="Times New Roman"/>
                <w:spacing w:val="-1"/>
                <w:w w:val="100"/>
                <w:position w:val="2"/>
                <w:sz w:val="21"/>
              </w:rPr>
              <w:t>)</w:t>
            </w:r>
            <w:r>
              <w:rPr>
                <w:spacing w:val="-68"/>
                <w:w w:val="100"/>
                <w:position w:val="2"/>
                <w:sz w:val="21"/>
              </w:rPr>
              <w:t>；</w:t>
            </w:r>
            <w:r>
              <w:rPr>
                <w:rFonts w:ascii="Times New Roman" w:eastAsia="Times New Roman"/>
                <w:spacing w:val="-3"/>
                <w:w w:val="100"/>
                <w:position w:val="2"/>
                <w:sz w:val="21"/>
              </w:rPr>
              <w:t>1</w:t>
            </w:r>
            <w:r>
              <w:rPr>
                <w:rFonts w:ascii="Times New Roman" w:eastAsia="Times New Roman"/>
                <w:w w:val="100"/>
                <w:position w:val="2"/>
                <w:sz w:val="21"/>
              </w:rPr>
              <w:t>290</w:t>
            </w:r>
            <w:r>
              <w:rPr>
                <w:rFonts w:ascii="Times New Roman" w:eastAsia="Times New Roman"/>
                <w:position w:val="2"/>
                <w:sz w:val="21"/>
              </w:rPr>
              <w:t> </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rFonts w:ascii="Times New Roman" w:eastAsia="Times New Roman"/>
                <w:spacing w:val="-1"/>
                <w:w w:val="100"/>
                <w:position w:val="2"/>
                <w:sz w:val="21"/>
              </w:rPr>
              <w:t>(</w:t>
            </w:r>
            <w:r>
              <w:rPr>
                <w:spacing w:val="-2"/>
                <w:w w:val="100"/>
                <w:position w:val="2"/>
                <w:sz w:val="21"/>
              </w:rPr>
              <w:t>小鼠经口</w:t>
            </w:r>
            <w:r>
              <w:rPr>
                <w:rFonts w:ascii="Times New Roman" w:eastAsia="Times New Roman"/>
                <w:spacing w:val="-4"/>
                <w:w w:val="100"/>
                <w:position w:val="2"/>
                <w:sz w:val="21"/>
              </w:rPr>
              <w:t>)</w:t>
            </w:r>
            <w:r>
              <w:rPr>
                <w:spacing w:val="-67"/>
                <w:w w:val="100"/>
                <w:position w:val="2"/>
                <w:sz w:val="21"/>
              </w:rPr>
              <w:t>；</w:t>
            </w:r>
            <w:r>
              <w:rPr>
                <w:rFonts w:ascii="Times New Roman" w:eastAsia="Times New Roman"/>
                <w:spacing w:val="-5"/>
                <w:w w:val="100"/>
                <w:position w:val="2"/>
                <w:sz w:val="21"/>
              </w:rPr>
              <w:t>L</w:t>
            </w:r>
            <w:r>
              <w:rPr>
                <w:rFonts w:ascii="Times New Roman" w:eastAsia="Times New Roman"/>
                <w:w w:val="100"/>
                <w:position w:val="2"/>
                <w:sz w:val="21"/>
              </w:rPr>
              <w:t>C</w:t>
            </w:r>
            <w:r>
              <w:rPr>
                <w:rFonts w:ascii="Times New Roman" w:eastAsia="Times New Roman"/>
                <w:w w:val="99"/>
                <w:sz w:val="14"/>
              </w:rPr>
              <w:t>50</w:t>
            </w:r>
            <w:r>
              <w:rPr>
                <w:spacing w:val="-68"/>
                <w:w w:val="100"/>
                <w:position w:val="2"/>
                <w:sz w:val="21"/>
              </w:rPr>
              <w:t>：</w:t>
            </w:r>
            <w:r>
              <w:rPr>
                <w:rFonts w:ascii="Times New Roman" w:eastAsia="Times New Roman"/>
                <w:w w:val="100"/>
                <w:position w:val="2"/>
                <w:sz w:val="21"/>
              </w:rPr>
              <w:t>5668</w:t>
            </w:r>
            <w:r>
              <w:rPr>
                <w:rFonts w:ascii="Times New Roman" w:eastAsia="Times New Roman"/>
                <w:position w:val="2"/>
                <w:sz w:val="21"/>
              </w:rPr>
              <w:t> </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/m</w:t>
            </w:r>
            <w:r>
              <w:rPr>
                <w:rFonts w:ascii="Times New Roman" w:eastAsia="Times New Roman"/>
                <w:w w:val="100"/>
                <w:position w:val="2"/>
                <w:sz w:val="21"/>
              </w:rPr>
              <w:t>3</w:t>
            </w:r>
            <w:r>
              <w:rPr>
                <w:rFonts w:ascii="Times New Roman" w:eastAsia="Times New Roman"/>
                <w:spacing w:val="-1"/>
                <w:w w:val="100"/>
                <w:position w:val="2"/>
                <w:sz w:val="21"/>
              </w:rPr>
              <w:t>(</w:t>
            </w:r>
            <w:r>
              <w:rPr>
                <w:w w:val="100"/>
                <w:position w:val="2"/>
                <w:sz w:val="21"/>
              </w:rPr>
              <w:t>大</w:t>
            </w:r>
          </w:p>
          <w:p>
            <w:pPr>
              <w:pStyle w:val="TableParagraph"/>
              <w:spacing w:line="293" w:lineRule="exact"/>
              <w:ind w:left="114"/>
              <w:jc w:val="left"/>
              <w:rPr>
                <w:rFonts w:ascii="Times New Roman" w:eastAsia="Times New Roman"/>
                <w:sz w:val="21"/>
              </w:rPr>
            </w:pPr>
            <w:r>
              <w:rPr>
                <w:sz w:val="21"/>
              </w:rPr>
              <w:t>鼠吸入</w:t>
            </w:r>
            <w:r>
              <w:rPr>
                <w:rFonts w:ascii="Times New Roman" w:eastAsia="Times New Roman"/>
                <w:sz w:val="21"/>
              </w:rPr>
              <w:t>)</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28" w:lineRule="exact"/>
              <w:ind w:left="114"/>
              <w:jc w:val="left"/>
              <w:rPr>
                <w:sz w:val="21"/>
              </w:rPr>
            </w:pPr>
            <w:r>
              <w:rPr>
                <w:sz w:val="21"/>
              </w:rPr>
              <w:t>遇明火、高热可燃。与氧化剂可发生反应。接触酸或酸气能产生有毒气体。受高热</w:t>
            </w:r>
          </w:p>
          <w:p>
            <w:pPr>
              <w:pStyle w:val="TableParagraph"/>
              <w:spacing w:line="292" w:lineRule="exact"/>
              <w:ind w:left="114"/>
              <w:jc w:val="left"/>
              <w:rPr>
                <w:sz w:val="21"/>
              </w:rPr>
            </w:pPr>
            <w:r>
              <w:rPr>
                <w:sz w:val="21"/>
              </w:rPr>
              <w:t>分解放出有毒的气体。</w:t>
            </w:r>
          </w:p>
        </w:tc>
      </w:tr>
      <w:tr>
        <w:trPr>
          <w:trHeight w:val="1600" w:hRule="atLeast"/>
        </w:trPr>
        <w:tc>
          <w:tcPr>
            <w:tcW w:w="1188" w:type="dxa"/>
            <w:tcBorders>
              <w:top w:val="single" w:sz="6" w:space="0" w:color="000000"/>
              <w:bottom w:val="single" w:sz="6" w:space="0" w:color="000000"/>
              <w:right w:val="single" w:sz="6" w:space="0" w:color="000000"/>
            </w:tcBorders>
          </w:tcPr>
          <w:p>
            <w:pPr>
              <w:pStyle w:val="TableParagraph"/>
              <w:spacing w:before="3"/>
              <w:jc w:val="left"/>
              <w:rPr>
                <w:sz w:val="24"/>
              </w:rPr>
            </w:pPr>
          </w:p>
          <w:p>
            <w:pPr>
              <w:pStyle w:val="TableParagraph"/>
              <w:spacing w:line="172" w:lineRule="auto" w:before="1"/>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6"/>
              <w:jc w:val="both"/>
              <w:rPr>
                <w:sz w:val="21"/>
              </w:rPr>
            </w:pPr>
            <w:r>
              <w:rPr>
                <w:sz w:val="21"/>
              </w:rPr>
              <w:t>迅速撤离泄漏污染区人员至安全区，并进行隔离，严格限制出入。切断火源。建议应急处理人员戴自给式呼吸器，穿一般作业工作服。不要直接接触泄漏物。尽可能切断泄漏源。防止流入下水道、排洪沟等限制性空间。小量泄漏：用砂土、蛭石或其它惰性材料吸收。大量泄漏：构筑围堤或挖坑收容。用泵转移至槽车或专用收集</w:t>
            </w:r>
          </w:p>
          <w:p>
            <w:pPr>
              <w:pStyle w:val="TableParagraph"/>
              <w:spacing w:line="265" w:lineRule="exact"/>
              <w:ind w:left="114"/>
              <w:jc w:val="both"/>
              <w:rPr>
                <w:sz w:val="21"/>
              </w:rPr>
            </w:pPr>
            <w:r>
              <w:rPr>
                <w:sz w:val="21"/>
              </w:rPr>
              <w:t>器内，回收或运至废物处理场所处置。</w:t>
            </w:r>
          </w:p>
        </w:tc>
      </w:tr>
      <w:tr>
        <w:trPr>
          <w:trHeight w:val="1278" w:hRule="atLeast"/>
        </w:trPr>
        <w:tc>
          <w:tcPr>
            <w:tcW w:w="1188" w:type="dxa"/>
            <w:tcBorders>
              <w:top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29"/>
              <w:jc w:val="both"/>
              <w:rPr>
                <w:sz w:val="21"/>
              </w:rPr>
            </w:pPr>
            <w:r>
              <w:rPr>
                <w:spacing w:val="-7"/>
                <w:sz w:val="21"/>
              </w:rPr>
              <w:t>呼吸系统防护：空气中浓度超标时，必须佩戴自吸过滤式防毒面具</w:t>
            </w:r>
            <w:r>
              <w:rPr>
                <w:spacing w:val="-3"/>
                <w:sz w:val="21"/>
              </w:rPr>
              <w:t>（</w:t>
            </w:r>
            <w:r>
              <w:rPr>
                <w:spacing w:val="-2"/>
                <w:sz w:val="21"/>
              </w:rPr>
              <w:t>全面罩</w:t>
            </w:r>
            <w:r>
              <w:rPr>
                <w:spacing w:val="-108"/>
                <w:sz w:val="21"/>
              </w:rPr>
              <w:t>）</w:t>
            </w:r>
            <w:r>
              <w:rPr>
                <w:spacing w:val="-6"/>
                <w:sz w:val="21"/>
              </w:rPr>
              <w:t>。紧急事态抢救或撤离时，应该佩戴空气呼吸器。眼睛防护：呼吸系统防护中已作防护身</w:t>
            </w:r>
            <w:r>
              <w:rPr>
                <w:spacing w:val="-11"/>
                <w:sz w:val="21"/>
              </w:rPr>
              <w:t>体防护：穿胶布防毒衣。手防护：戴橡胶手套。其它：工作现场严禁吸烟。工作毕，</w:t>
            </w:r>
          </w:p>
          <w:p>
            <w:pPr>
              <w:pStyle w:val="TableParagraph"/>
              <w:spacing w:line="265" w:lineRule="exact"/>
              <w:ind w:left="114"/>
              <w:jc w:val="both"/>
              <w:rPr>
                <w:sz w:val="21"/>
              </w:rPr>
            </w:pPr>
            <w:r>
              <w:rPr>
                <w:sz w:val="21"/>
              </w:rPr>
              <w:t>淋浴更衣。注意个人清洁卫生。</w:t>
            </w:r>
          </w:p>
        </w:tc>
      </w:tr>
      <w:tr>
        <w:trPr>
          <w:trHeight w:val="255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6"/>
              <w:jc w:val="left"/>
              <w:rPr>
                <w:sz w:val="10"/>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172" w:lineRule="auto" w:before="32"/>
              <w:ind w:left="114" w:right="72"/>
              <w:jc w:val="both"/>
              <w:rPr>
                <w:sz w:val="21"/>
              </w:rPr>
            </w:pPr>
            <w:r>
              <w:rPr>
                <w:sz w:val="21"/>
              </w:rPr>
              <w:t>皮肤接触：脱去被污染的衣着，用肥皂水和清水彻底冲洗皮肤。就医。眼睛接触： </w:t>
            </w:r>
            <w:r>
              <w:rPr>
                <w:spacing w:val="-4"/>
                <w:sz w:val="21"/>
              </w:rPr>
              <w:t>立即提起眼睑，用大量流动清水或生理盐水彻底冲洗至少 </w:t>
            </w:r>
            <w:r>
              <w:rPr>
                <w:rFonts w:ascii="Times New Roman" w:eastAsia="Times New Roman"/>
                <w:sz w:val="21"/>
              </w:rPr>
              <w:t>15 </w:t>
            </w:r>
            <w:r>
              <w:rPr>
                <w:spacing w:val="-9"/>
                <w:sz w:val="21"/>
              </w:rPr>
              <w:t>分钟。就医。吸入：迅速脱离现场至空气新鲜处。保持呼吸道通畅。如呼吸困难，给输氧。如呼吸停止， 立即进行人工呼吸。就医。食入：用水漱口，给饮牛奶或蛋清。就医。灭火方法： </w:t>
            </w:r>
            <w:r>
              <w:rPr>
                <w:spacing w:val="-5"/>
                <w:sz w:val="21"/>
              </w:rPr>
              <w:t>消防人员必须佩戴过滤式防毒面具</w:t>
            </w:r>
            <w:r>
              <w:rPr>
                <w:rFonts w:ascii="Times New Roman" w:eastAsia="Times New Roman"/>
                <w:sz w:val="21"/>
              </w:rPr>
              <w:t>(</w:t>
            </w:r>
            <w:r>
              <w:rPr>
                <w:spacing w:val="-2"/>
                <w:sz w:val="21"/>
              </w:rPr>
              <w:t>全面罩</w:t>
            </w:r>
            <w:r>
              <w:rPr>
                <w:rFonts w:ascii="Times New Roman" w:eastAsia="Times New Roman"/>
                <w:spacing w:val="-4"/>
                <w:sz w:val="21"/>
              </w:rPr>
              <w:t>)</w:t>
            </w:r>
            <w:r>
              <w:rPr>
                <w:spacing w:val="-12"/>
                <w:sz w:val="21"/>
              </w:rPr>
              <w:t>或隔离式呼吸器、穿全身防火防毒服，在上风向灭火。尽可能将容器从火场移至空旷处。喷水保持火场容器冷却，直至灭火结束。处在火场中的容器若已变色或从安全泄压装置中产生声音，必须马上撤离。</w:t>
            </w:r>
          </w:p>
          <w:p>
            <w:pPr>
              <w:pStyle w:val="TableParagraph"/>
              <w:spacing w:line="263" w:lineRule="exact"/>
              <w:ind w:left="114"/>
              <w:jc w:val="both"/>
              <w:rPr>
                <w:sz w:val="21"/>
              </w:rPr>
            </w:pPr>
            <w:r>
              <w:rPr>
                <w:sz w:val="21"/>
              </w:rPr>
              <w:t>灭火剂：雾状水、泡沫、干粉、二氧化碳、砂土。</w:t>
            </w:r>
          </w:p>
        </w:tc>
      </w:tr>
    </w:tbl>
    <w:p>
      <w:pPr>
        <w:tabs>
          <w:tab w:pos="1257" w:val="left" w:leader="none"/>
        </w:tabs>
        <w:spacing w:before="81"/>
        <w:ind w:left="242" w:right="0" w:firstLine="0"/>
        <w:jc w:val="center"/>
        <w:rPr>
          <w:sz w:val="21"/>
        </w:rPr>
      </w:pPr>
      <w:r>
        <w:rPr>
          <w:sz w:val="21"/>
        </w:rPr>
        <w:t>表</w:t>
      </w:r>
      <w:r>
        <w:rPr>
          <w:spacing w:val="5"/>
          <w:sz w:val="21"/>
        </w:rPr>
        <w:t> </w:t>
      </w:r>
      <w:r>
        <w:rPr>
          <w:rFonts w:ascii="Times New Roman" w:eastAsia="Times New Roman"/>
          <w:sz w:val="21"/>
        </w:rPr>
        <w:t>7.1-15</w:t>
        <w:tab/>
      </w:r>
      <w:r>
        <w:rPr>
          <w:sz w:val="21"/>
        </w:rPr>
        <w:t>镁</w:t>
      </w:r>
      <w:r>
        <w:rPr>
          <w:spacing w:val="-3"/>
          <w:sz w:val="21"/>
        </w:rPr>
        <w:t>粉</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43012</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13" w:right="82"/>
              <w:rPr>
                <w:rFonts w:ascii="Times New Roman"/>
                <w:sz w:val="21"/>
              </w:rPr>
            </w:pPr>
            <w:r>
              <w:rPr>
                <w:rFonts w:ascii="Times New Roman"/>
                <w:sz w:val="21"/>
              </w:rPr>
              <w:t>7439-95-4</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4"/>
              <w:rPr>
                <w:sz w:val="21"/>
              </w:rPr>
            </w:pPr>
            <w:r>
              <w:rPr>
                <w:sz w:val="21"/>
              </w:rPr>
              <w:t>镁粉</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5" w:right="82"/>
              <w:rPr>
                <w:rFonts w:ascii="Times New Roman"/>
                <w:sz w:val="21"/>
              </w:rPr>
            </w:pPr>
            <w:r>
              <w:rPr>
                <w:rFonts w:ascii="Times New Roman"/>
                <w:sz w:val="21"/>
              </w:rPr>
              <w:t>magnesium powder</w:t>
            </w:r>
          </w:p>
        </w:tc>
      </w:tr>
      <w:tr>
        <w:trPr>
          <w:trHeight w:val="901"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212" w:right="184"/>
              <w:rPr>
                <w:rFonts w:ascii="Times New Roman" w:eastAsia="Times New Roman"/>
                <w:sz w:val="21"/>
              </w:rPr>
            </w:pPr>
            <w:r>
              <w:rPr>
                <w:rFonts w:ascii="Times New Roman" w:eastAsia="Times New Roman"/>
                <w:sz w:val="21"/>
              </w:rPr>
              <w:t>10(</w:t>
            </w:r>
            <w:r>
              <w:rPr>
                <w:sz w:val="21"/>
              </w:rPr>
              <w:t>遇湿易燃物品</w:t>
            </w:r>
            <w:r>
              <w:rPr>
                <w:rFonts w:ascii="Times New Roman" w:eastAsia="Times New Roman"/>
                <w:sz w:val="21"/>
              </w:rPr>
              <w:t>),9(</w:t>
            </w:r>
            <w:r>
              <w:rPr>
                <w:sz w:val="21"/>
              </w:rPr>
              <w:t>自燃物品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160" w:lineRule="auto" w:before="34"/>
              <w:ind w:left="134" w:right="98"/>
              <w:jc w:val="left"/>
              <w:rPr>
                <w:sz w:val="21"/>
              </w:rPr>
            </w:pPr>
            <w:r>
              <w:rPr>
                <w:spacing w:val="-3"/>
                <w:sz w:val="21"/>
              </w:rPr>
              <w:t>用作还原剂，制闪光粉、铅合金，冶金中作去硫剂，此</w:t>
            </w:r>
          </w:p>
          <w:p>
            <w:pPr>
              <w:pStyle w:val="TableParagraph"/>
              <w:spacing w:line="251" w:lineRule="exact"/>
              <w:ind w:left="134"/>
              <w:jc w:val="left"/>
              <w:rPr>
                <w:sz w:val="21"/>
              </w:rPr>
            </w:pPr>
            <w:r>
              <w:rPr>
                <w:spacing w:val="-3"/>
                <w:sz w:val="21"/>
              </w:rPr>
              <w:t>外用于有机合成、照明剂等</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114"/>
              <w:jc w:val="left"/>
              <w:rPr>
                <w:sz w:val="21"/>
              </w:rPr>
            </w:pPr>
            <w:r>
              <w:rPr>
                <w:sz w:val="21"/>
              </w:rPr>
              <w:t>对眼、上呼吸道和皮肤有刺激性。吸入可引起咳嗽、胸痛等。口服对身体有害。</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7" w:right="921"/>
              <w:rPr>
                <w:sz w:val="21"/>
              </w:rPr>
            </w:pPr>
            <w:r>
              <w:rPr>
                <w:sz w:val="21"/>
              </w:rPr>
              <w:t>无毒</w:t>
            </w:r>
          </w:p>
        </w:tc>
      </w:tr>
      <w:tr>
        <w:trPr>
          <w:trHeight w:val="1199" w:hRule="atLeast"/>
        </w:trPr>
        <w:tc>
          <w:tcPr>
            <w:tcW w:w="1188" w:type="dxa"/>
            <w:tcBorders>
              <w:top w:val="single" w:sz="6" w:space="0" w:color="000000"/>
              <w:right w:val="single" w:sz="6" w:space="0" w:color="000000"/>
            </w:tcBorders>
          </w:tcPr>
          <w:p>
            <w:pPr>
              <w:pStyle w:val="TableParagraph"/>
              <w:spacing w:before="20"/>
              <w:jc w:val="left"/>
              <w:rPr>
                <w:sz w:val="17"/>
              </w:rPr>
            </w:pPr>
          </w:p>
          <w:p>
            <w:pPr>
              <w:pStyle w:val="TableParagraph"/>
              <w:ind w:left="105" w:right="84"/>
              <w:rPr>
                <w:sz w:val="21"/>
              </w:rPr>
            </w:pPr>
            <w:r>
              <w:rPr>
                <w:sz w:val="21"/>
              </w:rPr>
              <w:t>危险特性</w:t>
            </w:r>
          </w:p>
        </w:tc>
        <w:tc>
          <w:tcPr>
            <w:tcW w:w="7821" w:type="dxa"/>
            <w:gridSpan w:val="3"/>
            <w:tcBorders>
              <w:top w:val="single" w:sz="6" w:space="0" w:color="000000"/>
              <w:left w:val="single" w:sz="6" w:space="0" w:color="000000"/>
            </w:tcBorders>
          </w:tcPr>
          <w:p>
            <w:pPr>
              <w:pStyle w:val="TableParagraph"/>
              <w:spacing w:line="160" w:lineRule="auto" w:before="34"/>
              <w:ind w:left="114" w:right="-44"/>
              <w:jc w:val="both"/>
              <w:rPr>
                <w:sz w:val="21"/>
              </w:rPr>
            </w:pPr>
            <w:r>
              <w:rPr>
                <w:sz w:val="21"/>
              </w:rPr>
              <w:t>易燃，燃烧时产生强烈的白光并放出高热。是遇水或潮气猛烈反应放出氢气，大量</w:t>
            </w:r>
            <w:r>
              <w:rPr>
                <w:spacing w:val="-10"/>
                <w:sz w:val="21"/>
              </w:rPr>
              <w:t>放热，引起燃烧或爆炸。遇氯、溴、碘、硫、磷、砷、和氧化剂剧烈反应，有燃烧、爆炸危险。粉体与空气可形成爆炸性混合物，当达到一定浓度时，遇火星会发生爆</w:t>
            </w:r>
          </w:p>
          <w:p>
            <w:pPr>
              <w:pStyle w:val="TableParagraph"/>
              <w:spacing w:line="251" w:lineRule="exact"/>
              <w:ind w:left="114"/>
              <w:jc w:val="both"/>
              <w:rPr>
                <w:sz w:val="21"/>
              </w:rPr>
            </w:pPr>
            <w:r>
              <w:rPr>
                <w:sz w:val="21"/>
              </w:rPr>
              <w:t>炸。</w:t>
            </w:r>
          </w:p>
        </w:tc>
      </w:tr>
    </w:tbl>
    <w:p>
      <w:pPr>
        <w:spacing w:after="0" w:line="251" w:lineRule="exact"/>
        <w:jc w:val="both"/>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201" w:hRule="atLeast"/>
        </w:trPr>
        <w:tc>
          <w:tcPr>
            <w:tcW w:w="1188" w:type="dxa"/>
            <w:tcBorders>
              <w:bottom w:val="single" w:sz="6" w:space="0" w:color="000000"/>
              <w:right w:val="single" w:sz="6" w:space="0" w:color="000000"/>
            </w:tcBorders>
          </w:tcPr>
          <w:p>
            <w:pPr>
              <w:pStyle w:val="TableParagraph"/>
              <w:spacing w:before="15"/>
              <w:jc w:val="left"/>
              <w:rPr>
                <w:sz w:val="15"/>
              </w:rPr>
            </w:pPr>
          </w:p>
          <w:p>
            <w:pPr>
              <w:pStyle w:val="TableParagraph"/>
              <w:spacing w:line="160" w:lineRule="auto" w:before="1"/>
              <w:ind w:left="383" w:right="148" w:hanging="212"/>
              <w:jc w:val="left"/>
              <w:rPr>
                <w:sz w:val="21"/>
              </w:rPr>
            </w:pPr>
            <w:r>
              <w:rPr>
                <w:sz w:val="21"/>
              </w:rPr>
              <w:t>泄漏应急处理</w:t>
            </w:r>
          </w:p>
        </w:tc>
        <w:tc>
          <w:tcPr>
            <w:tcW w:w="7821" w:type="dxa"/>
            <w:tcBorders>
              <w:left w:val="single" w:sz="6" w:space="0" w:color="000000"/>
              <w:bottom w:val="single" w:sz="6" w:space="0" w:color="000000"/>
            </w:tcBorders>
          </w:tcPr>
          <w:p>
            <w:pPr>
              <w:pStyle w:val="TableParagraph"/>
              <w:spacing w:line="160" w:lineRule="auto" w:before="34"/>
              <w:ind w:left="114" w:right="-44"/>
              <w:jc w:val="both"/>
              <w:rPr>
                <w:sz w:val="21"/>
              </w:rPr>
            </w:pPr>
            <w:r>
              <w:rPr>
                <w:spacing w:val="-9"/>
                <w:sz w:val="21"/>
              </w:rPr>
              <w:t>隔离泄漏污染区，限制出入。切断火源。建议应急处理人员戴自吸过滤式防尘口罩， 穿消防防护服。不要直接接触泄漏物。小量泄漏：避免扬尘，用洁净的铲子收集于干燥、洁净、有盖的容器中。转移回收。大量泄漏：用塑料布、帆布覆盖，减少飞</w:t>
            </w:r>
          </w:p>
          <w:p>
            <w:pPr>
              <w:pStyle w:val="TableParagraph"/>
              <w:spacing w:line="253" w:lineRule="exact"/>
              <w:ind w:left="114"/>
              <w:jc w:val="both"/>
              <w:rPr>
                <w:sz w:val="21"/>
              </w:rPr>
            </w:pPr>
            <w:r>
              <w:rPr>
                <w:sz w:val="21"/>
              </w:rPr>
              <w:t>散。在专家指导下清除。</w:t>
            </w:r>
          </w:p>
        </w:tc>
      </w:tr>
      <w:tr>
        <w:trPr>
          <w:trHeight w:val="1199" w:hRule="atLeast"/>
        </w:trPr>
        <w:tc>
          <w:tcPr>
            <w:tcW w:w="1188" w:type="dxa"/>
            <w:tcBorders>
              <w:top w:val="single" w:sz="6" w:space="0" w:color="000000"/>
              <w:bottom w:val="single" w:sz="6" w:space="0" w:color="000000"/>
              <w:right w:val="single" w:sz="6" w:space="0" w:color="000000"/>
            </w:tcBorders>
          </w:tcPr>
          <w:p>
            <w:pPr>
              <w:pStyle w:val="TableParagraph"/>
              <w:spacing w:before="17"/>
              <w:jc w:val="left"/>
              <w:rPr>
                <w:sz w:val="17"/>
              </w:rPr>
            </w:pPr>
          </w:p>
          <w:p>
            <w:pPr>
              <w:pStyle w:val="TableParagraph"/>
              <w:ind w:left="105" w:right="84"/>
              <w:rPr>
                <w:sz w:val="21"/>
              </w:rPr>
            </w:pPr>
            <w:r>
              <w:rPr>
                <w:sz w:val="21"/>
              </w:rPr>
              <w:t>防护措施</w:t>
            </w:r>
          </w:p>
        </w:tc>
        <w:tc>
          <w:tcPr>
            <w:tcW w:w="7821" w:type="dxa"/>
            <w:tcBorders>
              <w:top w:val="single" w:sz="6" w:space="0" w:color="000000"/>
              <w:left w:val="single" w:sz="6" w:space="0" w:color="000000"/>
              <w:bottom w:val="single" w:sz="6" w:space="0" w:color="000000"/>
            </w:tcBorders>
          </w:tcPr>
          <w:p>
            <w:pPr>
              <w:pStyle w:val="TableParagraph"/>
              <w:spacing w:line="160" w:lineRule="auto" w:before="31"/>
              <w:ind w:left="114" w:right="76"/>
              <w:jc w:val="both"/>
              <w:rPr>
                <w:sz w:val="21"/>
              </w:rPr>
            </w:pPr>
            <w:r>
              <w:rPr>
                <w:sz w:val="21"/>
              </w:rPr>
              <w:t>呼吸系统防护：空气中粉尘浓度超标时，应该佩戴自吸过滤式防尘口罩。必要时， 建议佩戴空气呼吸器。眼睛防护：戴化学安全防护眼镜。身体防护：穿防静电工作服。手防护：戴一般作业防护手套。其它：工作现场严禁吸烟。保持良好的卫生习</w:t>
            </w:r>
          </w:p>
          <w:p>
            <w:pPr>
              <w:pStyle w:val="TableParagraph"/>
              <w:spacing w:line="253" w:lineRule="exact"/>
              <w:ind w:left="114"/>
              <w:jc w:val="both"/>
              <w:rPr>
                <w:sz w:val="21"/>
              </w:rPr>
            </w:pPr>
            <w:r>
              <w:rPr>
                <w:sz w:val="21"/>
              </w:rPr>
              <w:t>惯。</w:t>
            </w:r>
          </w:p>
        </w:tc>
      </w:tr>
      <w:tr>
        <w:trPr>
          <w:trHeight w:val="17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2"/>
              </w:rPr>
            </w:pPr>
          </w:p>
          <w:p>
            <w:pPr>
              <w:pStyle w:val="TableParagraph"/>
              <w:ind w:left="105" w:right="84"/>
              <w:rPr>
                <w:sz w:val="21"/>
              </w:rPr>
            </w:pPr>
            <w:r>
              <w:rPr>
                <w:sz w:val="21"/>
              </w:rPr>
              <w:t>急救措施</w:t>
            </w:r>
          </w:p>
        </w:tc>
        <w:tc>
          <w:tcPr>
            <w:tcW w:w="7821" w:type="dxa"/>
            <w:tcBorders>
              <w:top w:val="single" w:sz="6" w:space="0" w:color="000000"/>
              <w:left w:val="single" w:sz="6" w:space="0" w:color="000000"/>
            </w:tcBorders>
          </w:tcPr>
          <w:p>
            <w:pPr>
              <w:pStyle w:val="TableParagraph"/>
              <w:spacing w:line="160" w:lineRule="auto" w:before="31"/>
              <w:ind w:left="114" w:right="-44"/>
              <w:jc w:val="both"/>
              <w:rPr>
                <w:sz w:val="21"/>
              </w:rPr>
            </w:pPr>
            <w:r>
              <w:rPr>
                <w:sz w:val="21"/>
              </w:rPr>
              <w:t>皮肤接触：脱去被污染的衣着，用肥皂水和清水彻底冲洗皮肤。眼睛接触：提起眼睑，用流动清水或生理盐水冲洗。就医。吸入：迅速脱离现场至空气新鲜处。保持</w:t>
            </w:r>
            <w:r>
              <w:rPr>
                <w:spacing w:val="-9"/>
                <w:sz w:val="21"/>
              </w:rPr>
              <w:t>呼吸道通畅。如呼吸困难，给输氧。如呼吸停止，立即进行人工呼吸。就医。食入： 饮足量温水，催吐，就医。灭火方法：严禁用水、泡沫、二氧化碳扑救。最好的灭火方法是用干燥石墨粉和干砂闷熄火苗，隔绝空气。施救时对眼睛皮肤须加保护，</w:t>
            </w:r>
          </w:p>
          <w:p>
            <w:pPr>
              <w:pStyle w:val="TableParagraph"/>
              <w:spacing w:line="257" w:lineRule="exact"/>
              <w:ind w:left="114"/>
              <w:jc w:val="both"/>
              <w:rPr>
                <w:sz w:val="21"/>
              </w:rPr>
            </w:pPr>
            <w:r>
              <w:rPr>
                <w:sz w:val="21"/>
              </w:rPr>
              <w:t>以免飞来炽粒烧伤身体、镁光灼伤视力。</w:t>
            </w:r>
          </w:p>
        </w:tc>
      </w:tr>
    </w:tbl>
    <w:p>
      <w:pPr>
        <w:pStyle w:val="BodyText"/>
        <w:spacing w:before="18"/>
        <w:rPr>
          <w:sz w:val="4"/>
        </w:rPr>
      </w:pPr>
    </w:p>
    <w:p>
      <w:pPr>
        <w:tabs>
          <w:tab w:pos="3981" w:val="left" w:leader="none"/>
        </w:tabs>
        <w:spacing w:line="423" w:lineRule="exact" w:before="0"/>
        <w:ind w:left="2966" w:right="0" w:firstLine="0"/>
        <w:jc w:val="left"/>
        <w:rPr>
          <w:sz w:val="21"/>
        </w:rPr>
      </w:pPr>
      <w:r>
        <w:rPr>
          <w:sz w:val="21"/>
        </w:rPr>
        <w:t>表</w:t>
      </w:r>
      <w:r>
        <w:rPr>
          <w:spacing w:val="5"/>
          <w:sz w:val="21"/>
        </w:rPr>
        <w:t> </w:t>
      </w:r>
      <w:r>
        <w:rPr>
          <w:rFonts w:ascii="Times New Roman" w:eastAsia="Times New Roman"/>
          <w:sz w:val="21"/>
        </w:rPr>
        <w:t>7.1-16</w:t>
        <w:tab/>
      </w:r>
      <w:r>
        <w:rPr>
          <w:sz w:val="21"/>
        </w:rPr>
        <w:t>四</w:t>
      </w:r>
      <w:r>
        <w:rPr>
          <w:spacing w:val="-3"/>
          <w:sz w:val="21"/>
        </w:rPr>
        <w:t>氢</w:t>
      </w:r>
      <w:r>
        <w:rPr>
          <w:sz w:val="21"/>
        </w:rPr>
        <w:t>呋</w:t>
      </w:r>
      <w:r>
        <w:rPr>
          <w:spacing w:val="-3"/>
          <w:sz w:val="21"/>
        </w:rPr>
        <w:t>喃</w:t>
      </w:r>
      <w:r>
        <w:rPr>
          <w:sz w:val="21"/>
        </w:rPr>
        <w:t>危</w:t>
      </w:r>
      <w:r>
        <w:rPr>
          <w:spacing w:val="-3"/>
          <w:sz w:val="21"/>
        </w:rPr>
        <w:t>险</w:t>
      </w:r>
      <w:r>
        <w:rPr>
          <w:sz w:val="21"/>
        </w:rPr>
        <w:t>特性</w:t>
      </w:r>
      <w:r>
        <w:rPr>
          <w:spacing w:val="-3"/>
          <w:sz w:val="21"/>
        </w:rPr>
        <w:t>及</w:t>
      </w:r>
      <w:r>
        <w:rPr>
          <w:sz w:val="21"/>
        </w:rPr>
        <w:t>处</w:t>
      </w:r>
      <w:r>
        <w:rPr>
          <w:spacing w:val="-3"/>
          <w:sz w:val="21"/>
        </w:rPr>
        <w:t>理</w:t>
      </w:r>
      <w:r>
        <w:rPr>
          <w:sz w:val="21"/>
        </w:rPr>
        <w:t>措</w:t>
      </w:r>
      <w:r>
        <w:rPr>
          <w:spacing w:val="-3"/>
          <w:sz w:val="21"/>
        </w:rPr>
        <w:t>施</w:t>
      </w:r>
      <w:r>
        <w:rPr>
          <w:sz w:val="21"/>
        </w:rPr>
        <w:t>表</w:t>
      </w:r>
    </w:p>
    <w:p>
      <w:pPr>
        <w:pStyle w:val="BodyText"/>
        <w:spacing w:before="20"/>
        <w:rPr>
          <w:sz w:val="2"/>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97" w:hRule="atLeast"/>
        </w:trPr>
        <w:tc>
          <w:tcPr>
            <w:tcW w:w="1188" w:type="dxa"/>
            <w:tcBorders>
              <w:bottom w:val="single" w:sz="6" w:space="0" w:color="000000"/>
              <w:right w:val="single" w:sz="6" w:space="0" w:color="000000"/>
            </w:tcBorders>
          </w:tcPr>
          <w:p>
            <w:pPr>
              <w:pStyle w:val="TableParagraph"/>
              <w:spacing w:line="378"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before="101"/>
              <w:ind w:left="212" w:right="184"/>
              <w:rPr>
                <w:rFonts w:ascii="Times New Roman"/>
                <w:sz w:val="21"/>
              </w:rPr>
            </w:pPr>
            <w:r>
              <w:rPr>
                <w:rFonts w:ascii="Times New Roman"/>
                <w:sz w:val="21"/>
              </w:rPr>
              <w:t>31042</w:t>
            </w:r>
          </w:p>
        </w:tc>
        <w:tc>
          <w:tcPr>
            <w:tcW w:w="1440" w:type="dxa"/>
            <w:tcBorders>
              <w:left w:val="single" w:sz="6" w:space="0" w:color="000000"/>
              <w:bottom w:val="single" w:sz="6" w:space="0" w:color="000000"/>
              <w:right w:val="single" w:sz="6" w:space="0" w:color="000000"/>
            </w:tcBorders>
          </w:tcPr>
          <w:p>
            <w:pPr>
              <w:pStyle w:val="TableParagraph"/>
              <w:spacing w:line="378"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before="101"/>
              <w:ind w:left="113" w:right="82"/>
              <w:rPr>
                <w:rFonts w:ascii="Times New Roman"/>
                <w:sz w:val="21"/>
              </w:rPr>
            </w:pPr>
            <w:r>
              <w:rPr>
                <w:rFonts w:ascii="Times New Roman"/>
                <w:sz w:val="21"/>
              </w:rPr>
              <w:t>109-99-9</w:t>
            </w:r>
          </w:p>
        </w:tc>
      </w:tr>
      <w:tr>
        <w:trPr>
          <w:trHeight w:val="397"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12" w:right="181"/>
              <w:rPr>
                <w:sz w:val="21"/>
              </w:rPr>
            </w:pPr>
            <w:r>
              <w:rPr>
                <w:sz w:val="21"/>
              </w:rPr>
              <w:t>四氢呋喃</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before="101"/>
              <w:ind w:left="115" w:right="79"/>
              <w:rPr>
                <w:rFonts w:ascii="Times New Roman"/>
                <w:sz w:val="21"/>
              </w:rPr>
            </w:pPr>
            <w:r>
              <w:rPr>
                <w:rFonts w:ascii="Times New Roman"/>
                <w:sz w:val="21"/>
              </w:rPr>
              <w:t>tetrahydrofuran</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06"/>
              <w:ind w:left="211" w:right="184"/>
              <w:rPr>
                <w:rFonts w:ascii="Times New Roman" w:eastAsia="Times New Roman"/>
                <w:sz w:val="21"/>
              </w:rPr>
            </w:pPr>
            <w:r>
              <w:rPr>
                <w:rFonts w:ascii="Times New Roman" w:eastAsia="Times New Roman"/>
                <w:sz w:val="21"/>
              </w:rPr>
              <w:t>7(</w:t>
            </w:r>
            <w:r>
              <w:rPr>
                <w:sz w:val="21"/>
              </w:rPr>
              <w:t>低闪点易燃液体</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06"/>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29" w:lineRule="exact"/>
              <w:ind w:left="114" w:right="-44"/>
              <w:jc w:val="left"/>
              <w:rPr>
                <w:sz w:val="21"/>
              </w:rPr>
            </w:pPr>
            <w:r>
              <w:rPr>
                <w:spacing w:val="-10"/>
                <w:sz w:val="21"/>
              </w:rPr>
              <w:t>用作溶剂、化学合成中间体、</w:t>
            </w:r>
          </w:p>
          <w:p>
            <w:pPr>
              <w:pStyle w:val="TableParagraph"/>
              <w:spacing w:line="291" w:lineRule="exact"/>
              <w:ind w:left="114"/>
              <w:jc w:val="left"/>
              <w:rPr>
                <w:sz w:val="21"/>
              </w:rPr>
            </w:pPr>
            <w:r>
              <w:rPr>
                <w:sz w:val="21"/>
              </w:rPr>
              <w:t>分析试剂</w:t>
            </w:r>
          </w:p>
        </w:tc>
      </w:tr>
      <w:tr>
        <w:trPr>
          <w:trHeight w:val="398" w:hRule="atLeast"/>
        </w:trPr>
        <w:tc>
          <w:tcPr>
            <w:tcW w:w="1188" w:type="dxa"/>
            <w:tcBorders>
              <w:top w:val="single" w:sz="6" w:space="0" w:color="000000"/>
              <w:bottom w:val="single" w:sz="6" w:space="0" w:color="000000"/>
              <w:right w:val="single" w:sz="6" w:space="0" w:color="000000"/>
            </w:tcBorders>
          </w:tcPr>
          <w:p>
            <w:pPr>
              <w:pStyle w:val="TableParagraph"/>
              <w:spacing w:line="378"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378" w:lineRule="exact"/>
              <w:ind w:left="956" w:right="921"/>
              <w:rPr>
                <w:sz w:val="21"/>
              </w:rPr>
            </w:pPr>
            <w:r>
              <w:rPr>
                <w:sz w:val="21"/>
              </w:rPr>
              <w:t>吸入、食入、经皮吸收。</w:t>
            </w:r>
          </w:p>
        </w:tc>
      </w:tr>
      <w:tr>
        <w:trPr>
          <w:trHeight w:val="743" w:hRule="atLeast"/>
        </w:trPr>
        <w:tc>
          <w:tcPr>
            <w:tcW w:w="1188" w:type="dxa"/>
            <w:tcBorders>
              <w:top w:val="single" w:sz="6" w:space="0" w:color="000000"/>
              <w:bottom w:val="single" w:sz="6" w:space="0" w:color="000000"/>
              <w:right w:val="single" w:sz="6" w:space="0" w:color="000000"/>
            </w:tcBorders>
          </w:tcPr>
          <w:p>
            <w:pPr>
              <w:pStyle w:val="TableParagraph"/>
              <w:spacing w:before="157"/>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81" w:lineRule="exact"/>
              <w:ind w:left="114"/>
              <w:jc w:val="left"/>
              <w:rPr>
                <w:sz w:val="21"/>
              </w:rPr>
            </w:pPr>
            <w:r>
              <w:rPr>
                <w:sz w:val="21"/>
              </w:rPr>
              <w:t>本品具有刺激和麻醉作用。吸入后引起上呼吸道刺激、恶心、头晕、头痛和中枢神</w:t>
            </w:r>
          </w:p>
          <w:p>
            <w:pPr>
              <w:pStyle w:val="TableParagraph"/>
              <w:spacing w:line="343" w:lineRule="exact"/>
              <w:ind w:left="114"/>
              <w:jc w:val="left"/>
              <w:rPr>
                <w:sz w:val="21"/>
              </w:rPr>
            </w:pPr>
            <w:r>
              <w:rPr>
                <w:sz w:val="21"/>
              </w:rPr>
              <w:t>经系统抑制。能引起肝、肾损害。液体或高浓度蒸气对眼有刺激性。</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29" w:lineRule="exact"/>
              <w:ind w:left="114"/>
              <w:jc w:val="left"/>
              <w:rPr>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2816mg/kg(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61740mg/m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3 </w:t>
            </w:r>
            <w:r>
              <w:rPr>
                <w:position w:val="2"/>
                <w:sz w:val="21"/>
                <w:vertAlign w:val="baseline"/>
              </w:rPr>
              <w:t>小时</w:t>
            </w:r>
            <w:r>
              <w:rPr>
                <w:rFonts w:ascii="Times New Roman" w:eastAsia="Times New Roman"/>
                <w:position w:val="2"/>
                <w:sz w:val="21"/>
                <w:vertAlign w:val="baseline"/>
              </w:rPr>
              <w:t>(</w:t>
            </w:r>
            <w:r>
              <w:rPr>
                <w:position w:val="2"/>
                <w:sz w:val="21"/>
                <w:vertAlign w:val="baseline"/>
              </w:rPr>
              <w:t>大鼠吸入</w:t>
            </w:r>
            <w:r>
              <w:rPr>
                <w:rFonts w:ascii="Times New Roman" w:eastAsia="Times New Roman"/>
                <w:position w:val="2"/>
                <w:sz w:val="21"/>
                <w:vertAlign w:val="baseline"/>
              </w:rPr>
              <w:t>)</w:t>
            </w:r>
            <w:r>
              <w:rPr>
                <w:position w:val="2"/>
                <w:sz w:val="21"/>
                <w:vertAlign w:val="baseline"/>
              </w:rPr>
              <w:t>；人经</w:t>
            </w:r>
          </w:p>
          <w:p>
            <w:pPr>
              <w:pStyle w:val="TableParagraph"/>
              <w:spacing w:line="292" w:lineRule="exact"/>
              <w:ind w:left="114"/>
              <w:jc w:val="left"/>
              <w:rPr>
                <w:sz w:val="21"/>
              </w:rPr>
            </w:pPr>
            <w:r>
              <w:rPr>
                <w:sz w:val="21"/>
              </w:rPr>
              <w:t>口 </w:t>
            </w:r>
            <w:r>
              <w:rPr>
                <w:rFonts w:ascii="Times New Roman" w:eastAsia="Times New Roman"/>
                <w:sz w:val="21"/>
              </w:rPr>
              <w:t>50mg/kg </w:t>
            </w:r>
            <w:r>
              <w:rPr>
                <w:sz w:val="21"/>
              </w:rPr>
              <w:t>最小致死浓度。</w:t>
            </w:r>
          </w:p>
        </w:tc>
      </w:tr>
      <w:tr>
        <w:trPr>
          <w:trHeight w:val="1386" w:hRule="atLeast"/>
        </w:trPr>
        <w:tc>
          <w:tcPr>
            <w:tcW w:w="1188" w:type="dxa"/>
            <w:tcBorders>
              <w:top w:val="single" w:sz="6" w:space="0" w:color="000000"/>
              <w:bottom w:val="single" w:sz="6" w:space="0" w:color="000000"/>
              <w:right w:val="single" w:sz="6" w:space="0" w:color="000000"/>
            </w:tcBorders>
          </w:tcPr>
          <w:p>
            <w:pPr>
              <w:pStyle w:val="TableParagraph"/>
              <w:spacing w:before="12"/>
              <w:jc w:val="left"/>
              <w:rPr>
                <w:sz w:val="22"/>
              </w:rPr>
            </w:pPr>
          </w:p>
          <w:p>
            <w:pPr>
              <w:pStyle w:val="TableParagraph"/>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85"/>
              <w:ind w:left="114" w:right="-44"/>
              <w:jc w:val="both"/>
              <w:rPr>
                <w:sz w:val="21"/>
              </w:rPr>
            </w:pPr>
            <w:r>
              <w:rPr>
                <w:sz w:val="21"/>
              </w:rPr>
              <w:t>其蒸气与空气可形成爆炸性混合物。遇明火、高热及强氧化剂易引起燃烧。接触空</w:t>
            </w:r>
            <w:r>
              <w:rPr>
                <w:spacing w:val="-6"/>
                <w:sz w:val="21"/>
              </w:rPr>
              <w:t>气或在光照条件下可生成具有潜在爆炸危险性的过氧化物。与酸类接触能发生反应。与氢氧化钾、氢氧化钠反应剧烈。其蒸气比空气重，能在较低处扩散到相当远的地</w:t>
            </w:r>
          </w:p>
          <w:p>
            <w:pPr>
              <w:pStyle w:val="TableParagraph"/>
              <w:spacing w:line="319" w:lineRule="exact"/>
              <w:ind w:left="114"/>
              <w:jc w:val="both"/>
              <w:rPr>
                <w:sz w:val="21"/>
              </w:rPr>
            </w:pPr>
            <w:r>
              <w:rPr>
                <w:sz w:val="21"/>
              </w:rPr>
              <w:t>方，遇明火会引着回燃。</w:t>
            </w:r>
          </w:p>
        </w:tc>
      </w:tr>
      <w:tr>
        <w:trPr>
          <w:trHeight w:val="223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19"/>
              </w:rPr>
            </w:pPr>
          </w:p>
          <w:p>
            <w:pPr>
              <w:pStyle w:val="TableParagraph"/>
              <w:spacing w:line="172" w:lineRule="auto"/>
              <w:ind w:left="277" w:right="25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5"/>
              <w:jc w:val="both"/>
              <w:rPr>
                <w:sz w:val="21"/>
              </w:rPr>
            </w:pPr>
            <w:r>
              <w:rPr>
                <w:sz w:val="21"/>
              </w:rPr>
              <w:t>迅速撤离泄漏污染区人员至安全区，并进行隔离，严格限制出入。切断火源。建议应急处理人员戴自给正压式呼吸器，穿消防防护服。尽可能切断泄漏源。防止进入下水道、排洪沟等限制性空间。小量泄漏：用砂土或其它不燃材料吸附或吸收。也可以用大量水冲洗，洗水稀释后放入废水系统。大量泄漏：构筑围堤或挖坑收容； 用泡沫覆盖，降低蒸气灾害。喷雾状水冷却和稀释蒸气、保护现场人员、把泄漏物稀释成不燃物。用防爆泵转移至槽车或专用收集器内，回收或运至废物处理场所处</w:t>
            </w:r>
          </w:p>
          <w:p>
            <w:pPr>
              <w:pStyle w:val="TableParagraph"/>
              <w:spacing w:line="263" w:lineRule="exact"/>
              <w:ind w:left="114"/>
              <w:jc w:val="both"/>
              <w:rPr>
                <w:sz w:val="21"/>
              </w:rPr>
            </w:pPr>
            <w:r>
              <w:rPr>
                <w:sz w:val="21"/>
              </w:rPr>
              <w:t>置。废弃物处置方法：建议把废料浓缩，再在一定的安全距离之外敞口燃烧。</w:t>
            </w:r>
          </w:p>
        </w:tc>
      </w:tr>
      <w:tr>
        <w:trPr>
          <w:trHeight w:val="1278" w:hRule="atLeast"/>
        </w:trPr>
        <w:tc>
          <w:tcPr>
            <w:tcW w:w="1188" w:type="dxa"/>
            <w:tcBorders>
              <w:top w:val="single" w:sz="6" w:space="0" w:color="000000"/>
              <w:right w:val="single" w:sz="6" w:space="0" w:color="000000"/>
            </w:tcBorders>
          </w:tcPr>
          <w:p>
            <w:pPr>
              <w:pStyle w:val="TableParagraph"/>
              <w:spacing w:before="1"/>
              <w:jc w:val="left"/>
              <w:rPr>
                <w:sz w:val="20"/>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tcBorders>
          </w:tcPr>
          <w:p>
            <w:pPr>
              <w:pStyle w:val="TableParagraph"/>
              <w:spacing w:line="172" w:lineRule="auto" w:before="32"/>
              <w:ind w:left="114" w:right="72"/>
              <w:jc w:val="both"/>
              <w:rPr>
                <w:sz w:val="21"/>
              </w:rPr>
            </w:pPr>
            <w:r>
              <w:rPr>
                <w:spacing w:val="-8"/>
                <w:sz w:val="21"/>
              </w:rPr>
              <w:t>呼吸系统防护：可能接触其蒸气时，应该佩戴过滤式防毒面具</w:t>
            </w:r>
            <w:r>
              <w:rPr>
                <w:rFonts w:ascii="Times New Roman" w:eastAsia="Times New Roman"/>
                <w:spacing w:val="-4"/>
                <w:sz w:val="21"/>
              </w:rPr>
              <w:t>(</w:t>
            </w:r>
            <w:r>
              <w:rPr>
                <w:spacing w:val="-2"/>
                <w:sz w:val="21"/>
              </w:rPr>
              <w:t>半面罩</w:t>
            </w:r>
            <w:r>
              <w:rPr>
                <w:rFonts w:ascii="Times New Roman" w:eastAsia="Times New Roman"/>
                <w:sz w:val="21"/>
              </w:rPr>
              <w:t>)</w:t>
            </w:r>
            <w:r>
              <w:rPr>
                <w:spacing w:val="-11"/>
                <w:sz w:val="21"/>
              </w:rPr>
              <w:t>。必要时，建议佩戴自给式呼吸器。眼睛防护：一般不需要特殊防护，高浓度接触时可戴安全防护眼镜。身体防护：穿防静电工作服。手防护：戴防苯耐油手套。其它：工作现场</w:t>
            </w:r>
          </w:p>
          <w:p>
            <w:pPr>
              <w:pStyle w:val="TableParagraph"/>
              <w:spacing w:line="264" w:lineRule="exact"/>
              <w:ind w:left="114"/>
              <w:jc w:val="both"/>
              <w:rPr>
                <w:sz w:val="21"/>
              </w:rPr>
            </w:pPr>
            <w:r>
              <w:rPr>
                <w:sz w:val="21"/>
              </w:rPr>
              <w:t>严禁吸烟。工作毕，淋浴更衣。注意个人清洁卫生。</w:t>
            </w:r>
          </w:p>
        </w:tc>
      </w:tr>
    </w:tbl>
    <w:p>
      <w:pPr>
        <w:spacing w:after="0" w:line="264" w:lineRule="exact"/>
        <w:jc w:val="both"/>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919" w:hRule="atLeast"/>
        </w:trPr>
        <w:tc>
          <w:tcPr>
            <w:tcW w:w="1188" w:type="dxa"/>
            <w:tcBorders>
              <w:right w:val="single" w:sz="6" w:space="0" w:color="000000"/>
            </w:tcBorders>
          </w:tcPr>
          <w:p>
            <w:pPr>
              <w:pStyle w:val="TableParagraph"/>
              <w:jc w:val="left"/>
              <w:rPr>
                <w:sz w:val="20"/>
              </w:rPr>
            </w:pPr>
          </w:p>
          <w:p>
            <w:pPr>
              <w:pStyle w:val="TableParagraph"/>
              <w:spacing w:before="5"/>
              <w:jc w:val="left"/>
              <w:rPr>
                <w:sz w:val="15"/>
              </w:rPr>
            </w:pPr>
          </w:p>
          <w:p>
            <w:pPr>
              <w:pStyle w:val="TableParagraph"/>
              <w:ind w:left="172"/>
              <w:jc w:val="left"/>
              <w:rPr>
                <w:sz w:val="21"/>
              </w:rPr>
            </w:pPr>
            <w:r>
              <w:rPr>
                <w:sz w:val="21"/>
              </w:rPr>
              <w:t>急救措施</w:t>
            </w:r>
          </w:p>
        </w:tc>
        <w:tc>
          <w:tcPr>
            <w:tcW w:w="7821" w:type="dxa"/>
            <w:tcBorders>
              <w:left w:val="single" w:sz="6" w:space="0" w:color="000000"/>
            </w:tcBorders>
          </w:tcPr>
          <w:p>
            <w:pPr>
              <w:pStyle w:val="TableParagraph"/>
              <w:spacing w:line="172" w:lineRule="auto" w:before="35"/>
              <w:ind w:left="114" w:right="-44"/>
              <w:jc w:val="both"/>
              <w:rPr>
                <w:sz w:val="21"/>
              </w:rPr>
            </w:pPr>
            <w:r>
              <w:rPr>
                <w:sz w:val="21"/>
              </w:rPr>
              <w:t>皮肤接触：脱去被污染的衣着，用肥皂水和清水彻底冲洗皮肤。眼睛接触：提起眼睑，用流动清水或生理盐水冲洗。就医。吸入：迅速脱离现场至空气新鲜处。保持</w:t>
            </w:r>
            <w:r>
              <w:rPr>
                <w:spacing w:val="-12"/>
                <w:sz w:val="21"/>
              </w:rPr>
              <w:t>呼吸道通畅。如呼吸困难，给输氧。如呼吸停止，立即进行人工呼吸。就医。 食入： 饮足量温水，催吐，就医。灭火方法：喷水冷却容器，可能的话将容器从火场移至</w:t>
            </w:r>
            <w:r>
              <w:rPr>
                <w:spacing w:val="-10"/>
                <w:sz w:val="21"/>
              </w:rPr>
              <w:t>空旷处。处在火场中的容器若已变色或从安全泄压装置中产生声音，必须马上撤离。</w:t>
            </w:r>
          </w:p>
          <w:p>
            <w:pPr>
              <w:pStyle w:val="TableParagraph"/>
              <w:spacing w:line="261" w:lineRule="exact"/>
              <w:ind w:left="114"/>
              <w:jc w:val="both"/>
              <w:rPr>
                <w:sz w:val="21"/>
              </w:rPr>
            </w:pPr>
            <w:r>
              <w:rPr>
                <w:sz w:val="21"/>
              </w:rPr>
              <w:t>灭火剂：泡沫、干粉、二氧化碳、砂土。用水灭火无效。</w:t>
            </w:r>
          </w:p>
        </w:tc>
      </w:tr>
    </w:tbl>
    <w:p>
      <w:pPr>
        <w:pStyle w:val="BodyText"/>
        <w:spacing w:before="18"/>
        <w:rPr>
          <w:sz w:val="3"/>
        </w:rPr>
      </w:pPr>
    </w:p>
    <w:p>
      <w:pPr>
        <w:tabs>
          <w:tab w:pos="4084" w:val="left" w:leader="none"/>
        </w:tabs>
        <w:spacing w:line="423" w:lineRule="exact" w:before="0" w:after="46"/>
        <w:ind w:left="3069" w:right="0" w:firstLine="0"/>
        <w:jc w:val="left"/>
        <w:rPr>
          <w:sz w:val="21"/>
        </w:rPr>
      </w:pPr>
      <w:r>
        <w:rPr>
          <w:sz w:val="21"/>
        </w:rPr>
        <w:t>表</w:t>
      </w:r>
      <w:r>
        <w:rPr>
          <w:spacing w:val="5"/>
          <w:sz w:val="21"/>
        </w:rPr>
        <w:t> </w:t>
      </w:r>
      <w:r>
        <w:rPr>
          <w:rFonts w:ascii="Times New Roman" w:eastAsia="Times New Roman"/>
          <w:sz w:val="21"/>
        </w:rPr>
        <w:t>7.1-17</w:t>
        <w:tab/>
      </w:r>
      <w:r>
        <w:rPr>
          <w:sz w:val="21"/>
        </w:rPr>
        <w:t>溴</w:t>
      </w:r>
      <w:r>
        <w:rPr>
          <w:spacing w:val="-3"/>
          <w:sz w:val="21"/>
        </w:rPr>
        <w:t>乙</w:t>
      </w:r>
      <w:r>
        <w:rPr>
          <w:sz w:val="21"/>
        </w:rPr>
        <w:t>烷</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8" w:lineRule="exact" w:before="62"/>
              <w:ind w:left="212" w:right="184"/>
              <w:rPr>
                <w:rFonts w:ascii="Times New Roman"/>
                <w:sz w:val="21"/>
              </w:rPr>
            </w:pPr>
            <w:r>
              <w:rPr>
                <w:rFonts w:ascii="Times New Roman"/>
                <w:sz w:val="21"/>
              </w:rPr>
              <w:t>61564</w:t>
            </w:r>
          </w:p>
        </w:tc>
        <w:tc>
          <w:tcPr>
            <w:tcW w:w="1440" w:type="dxa"/>
            <w:tcBorders>
              <w:left w:val="single" w:sz="6" w:space="0" w:color="000000"/>
              <w:bottom w:val="single" w:sz="6" w:space="0" w:color="000000"/>
              <w:right w:val="single" w:sz="6" w:space="0" w:color="000000"/>
            </w:tcBorders>
          </w:tcPr>
          <w:p>
            <w:pPr>
              <w:pStyle w:val="TableParagraph"/>
              <w:spacing w:line="30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8" w:lineRule="exact" w:before="62"/>
              <w:ind w:left="113" w:right="82"/>
              <w:rPr>
                <w:rFonts w:ascii="Times New Roman"/>
                <w:sz w:val="21"/>
              </w:rPr>
            </w:pPr>
            <w:r>
              <w:rPr>
                <w:rFonts w:ascii="Times New Roman"/>
                <w:sz w:val="21"/>
              </w:rPr>
              <w:t>74-96-4</w:t>
            </w:r>
          </w:p>
        </w:tc>
      </w:tr>
      <w:tr>
        <w:trPr>
          <w:trHeight w:val="320"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212" w:right="184"/>
              <w:rPr>
                <w:sz w:val="21"/>
              </w:rPr>
            </w:pPr>
            <w:r>
              <w:rPr>
                <w:sz w:val="21"/>
              </w:rPr>
              <w:t>溴乙烷</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8" w:lineRule="exact" w:before="63"/>
              <w:ind w:left="115" w:right="81"/>
              <w:rPr>
                <w:rFonts w:ascii="Times New Roman"/>
                <w:sz w:val="21"/>
              </w:rPr>
            </w:pPr>
            <w:r>
              <w:rPr>
                <w:rFonts w:ascii="Times New Roman"/>
                <w:sz w:val="21"/>
              </w:rPr>
              <w:t>bromoethane</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7"/>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07"/>
              <w:ind w:left="212" w:right="181"/>
              <w:rPr>
                <w:rFonts w:ascii="Times New Roman" w:eastAsia="Times New Roman"/>
                <w:sz w:val="21"/>
              </w:rPr>
            </w:pPr>
            <w:r>
              <w:rPr>
                <w:rFonts w:ascii="Times New Roman" w:eastAsia="Times New Roman"/>
                <w:sz w:val="21"/>
              </w:rPr>
              <w:t>14(</w:t>
            </w:r>
            <w:r>
              <w:rPr>
                <w:sz w:val="21"/>
              </w:rPr>
              <w:t>有毒品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07"/>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29" w:lineRule="exact"/>
              <w:ind w:left="115" w:right="82"/>
              <w:rPr>
                <w:sz w:val="21"/>
              </w:rPr>
            </w:pPr>
            <w:r>
              <w:rPr>
                <w:sz w:val="21"/>
              </w:rPr>
              <w:t>用于有机合成，合成医药、</w:t>
            </w:r>
          </w:p>
          <w:p>
            <w:pPr>
              <w:pStyle w:val="TableParagraph"/>
              <w:spacing w:line="292" w:lineRule="exact"/>
              <w:ind w:left="115" w:right="78"/>
              <w:rPr>
                <w:sz w:val="21"/>
              </w:rPr>
            </w:pPr>
            <w:r>
              <w:rPr>
                <w:sz w:val="21"/>
              </w:rPr>
              <w:t>致冷剂等，也作溶剂</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99" w:lineRule="exact"/>
              <w:ind w:left="956" w:right="921"/>
              <w:rPr>
                <w:sz w:val="21"/>
              </w:rPr>
            </w:pPr>
            <w:r>
              <w:rPr>
                <w:sz w:val="21"/>
              </w:rPr>
              <w:t>吸入、食入、经皮吸收。</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30" w:lineRule="exact"/>
              <w:ind w:left="114"/>
              <w:jc w:val="left"/>
              <w:rPr>
                <w:sz w:val="21"/>
              </w:rPr>
            </w:pPr>
            <w:r>
              <w:rPr>
                <w:sz w:val="21"/>
              </w:rPr>
              <w:t>本品具有麻醉作用。对眼和呼吸道刺激较轻，对肝、肾、心肌有损害。本品可由呼</w:t>
            </w:r>
          </w:p>
          <w:p>
            <w:pPr>
              <w:pStyle w:val="TableParagraph"/>
              <w:spacing w:line="290" w:lineRule="exact"/>
              <w:ind w:left="114"/>
              <w:jc w:val="left"/>
              <w:rPr>
                <w:sz w:val="21"/>
              </w:rPr>
            </w:pPr>
            <w:r>
              <w:rPr>
                <w:sz w:val="21"/>
              </w:rPr>
              <w:t>吸道和皮肤进入人体。</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30" w:lineRule="exact"/>
              <w:ind w:left="114"/>
              <w:jc w:val="left"/>
              <w:rPr>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1350mg/kg(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72386mg/m3</w:t>
            </w:r>
            <w:r>
              <w:rPr>
                <w:position w:val="2"/>
                <w:sz w:val="21"/>
              </w:rPr>
              <w:t>，</w:t>
            </w:r>
            <w:r>
              <w:rPr>
                <w:rFonts w:ascii="Times New Roman" w:eastAsia="Times New Roman"/>
                <w:position w:val="2"/>
                <w:sz w:val="21"/>
              </w:rPr>
              <w:t>1 </w:t>
            </w:r>
            <w:r>
              <w:rPr>
                <w:position w:val="2"/>
                <w:sz w:val="21"/>
              </w:rPr>
              <w:t>小时</w:t>
            </w:r>
            <w:r>
              <w:rPr>
                <w:rFonts w:ascii="Times New Roman" w:eastAsia="Times New Roman"/>
                <w:position w:val="2"/>
                <w:sz w:val="21"/>
              </w:rPr>
              <w:t>(</w:t>
            </w:r>
            <w:r>
              <w:rPr>
                <w:position w:val="2"/>
                <w:sz w:val="21"/>
              </w:rPr>
              <w:t>小鼠吸入</w:t>
            </w:r>
            <w:r>
              <w:rPr>
                <w:rFonts w:ascii="Times New Roman" w:eastAsia="Times New Roman"/>
                <w:position w:val="2"/>
                <w:sz w:val="21"/>
              </w:rPr>
              <w:t>)</w:t>
            </w:r>
            <w:r>
              <w:rPr>
                <w:position w:val="2"/>
                <w:sz w:val="21"/>
              </w:rPr>
              <w:t>；兔吸</w:t>
            </w:r>
          </w:p>
          <w:p>
            <w:pPr>
              <w:pStyle w:val="TableParagraph"/>
              <w:spacing w:line="290" w:lineRule="exact"/>
              <w:ind w:left="114"/>
              <w:jc w:val="left"/>
              <w:rPr>
                <w:sz w:val="21"/>
              </w:rPr>
            </w:pPr>
            <w:r>
              <w:rPr>
                <w:sz w:val="21"/>
              </w:rPr>
              <w:t>入 </w:t>
            </w:r>
            <w:r>
              <w:rPr>
                <w:rFonts w:ascii="Times New Roman" w:hAnsi="Times New Roman" w:eastAsia="Times New Roman"/>
                <w:sz w:val="21"/>
              </w:rPr>
              <w:t>80</w:t>
            </w:r>
            <w:r>
              <w:rPr>
                <w:sz w:val="21"/>
              </w:rPr>
              <w:t>～</w:t>
            </w:r>
            <w:r>
              <w:rPr>
                <w:rFonts w:ascii="Times New Roman" w:hAnsi="Times New Roman" w:eastAsia="Times New Roman"/>
                <w:sz w:val="21"/>
              </w:rPr>
              <w:t>115mg/L×25 </w:t>
            </w:r>
            <w:r>
              <w:rPr>
                <w:sz w:val="21"/>
              </w:rPr>
              <w:t>～</w:t>
            </w:r>
            <w:r>
              <w:rPr>
                <w:rFonts w:ascii="Times New Roman" w:hAnsi="Times New Roman" w:eastAsia="Times New Roman"/>
                <w:sz w:val="21"/>
              </w:rPr>
              <w:t>30 </w:t>
            </w:r>
            <w:r>
              <w:rPr>
                <w:sz w:val="21"/>
              </w:rPr>
              <w:t>分钟，立即死亡；狗吸入 </w:t>
            </w:r>
            <w:r>
              <w:rPr>
                <w:rFonts w:ascii="Times New Roman" w:hAnsi="Times New Roman" w:eastAsia="Times New Roman"/>
                <w:sz w:val="21"/>
              </w:rPr>
              <w:t>80</w:t>
            </w:r>
            <w:r>
              <w:rPr>
                <w:sz w:val="21"/>
              </w:rPr>
              <w:t>～</w:t>
            </w:r>
            <w:r>
              <w:rPr>
                <w:rFonts w:ascii="Times New Roman" w:hAnsi="Times New Roman" w:eastAsia="Times New Roman"/>
                <w:sz w:val="21"/>
              </w:rPr>
              <w:t>200mg/m</w:t>
            </w:r>
            <w:r>
              <w:rPr>
                <w:rFonts w:ascii="Times New Roman" w:hAnsi="Times New Roman" w:eastAsia="Times New Roman"/>
                <w:position w:val="7"/>
                <w:sz w:val="14"/>
              </w:rPr>
              <w:t>3</w:t>
            </w:r>
            <w:r>
              <w:rPr>
                <w:rFonts w:ascii="Times New Roman" w:hAnsi="Times New Roman" w:eastAsia="Times New Roman"/>
                <w:sz w:val="21"/>
              </w:rPr>
              <w:t>×1 </w:t>
            </w:r>
            <w:r>
              <w:rPr>
                <w:sz w:val="21"/>
              </w:rPr>
              <w:t>小时，致死。</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spacing w:before="12"/>
              <w:jc w:val="left"/>
              <w:rPr>
                <w:sz w:val="12"/>
              </w:rPr>
            </w:pPr>
          </w:p>
          <w:p>
            <w:pPr>
              <w:pStyle w:val="TableParagraph"/>
              <w:spacing w:before="1"/>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5"/>
              <w:jc w:val="left"/>
              <w:rPr>
                <w:sz w:val="21"/>
              </w:rPr>
            </w:pPr>
            <w:r>
              <w:rPr>
                <w:sz w:val="21"/>
              </w:rPr>
              <w:t>其蒸气与空气可形成爆炸性混合物。遇明火、高热能引起燃烧爆炸。受高热分解产生有毒的溴化物气体。受光照或火焰下易分解生成溴化氢和碳酰溴。与强氧化剂接</w:t>
            </w:r>
          </w:p>
          <w:p>
            <w:pPr>
              <w:pStyle w:val="TableParagraph"/>
              <w:spacing w:line="266" w:lineRule="exact"/>
              <w:ind w:left="114"/>
              <w:jc w:val="left"/>
              <w:rPr>
                <w:sz w:val="21"/>
              </w:rPr>
            </w:pPr>
            <w:r>
              <w:rPr>
                <w:sz w:val="21"/>
              </w:rPr>
              <w:t>触可发生化学反应。</w:t>
            </w:r>
          </w:p>
        </w:tc>
      </w:tr>
      <w:tr>
        <w:trPr>
          <w:trHeight w:val="1922"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6"/>
              <w:jc w:val="left"/>
              <w:rPr>
                <w:sz w:val="11"/>
              </w:rPr>
            </w:pPr>
          </w:p>
          <w:p>
            <w:pPr>
              <w:pStyle w:val="TableParagraph"/>
              <w:spacing w:line="172"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5"/>
              <w:ind w:left="114" w:right="76"/>
              <w:jc w:val="both"/>
              <w:rPr>
                <w:sz w:val="21"/>
              </w:rPr>
            </w:pPr>
            <w:r>
              <w:rPr>
                <w:sz w:val="21"/>
              </w:rPr>
              <w:t>迅速撤离泄漏污染区人员至安全区，并进行隔离，严格限制出入。切断火源。建议应急处理人员戴自给正压式呼吸器，穿防毒服。不要直接接触泄漏物。尽可能切断泄漏源，防止进入下水道、排洪沟等限制性空间。小量泄漏：用活性碳或其它惰性材料吸收。大量泄漏：构筑围堤或挖坑收容。用泡沫覆盖，降低蒸气灾害。用泵转移至槽车或专用收集器内，回收或运至废物处理场所处置。废弃物处置方法：用控</w:t>
            </w:r>
          </w:p>
          <w:p>
            <w:pPr>
              <w:pStyle w:val="TableParagraph"/>
              <w:spacing w:line="264" w:lineRule="exact"/>
              <w:ind w:left="114"/>
              <w:jc w:val="both"/>
              <w:rPr>
                <w:sz w:val="21"/>
              </w:rPr>
            </w:pPr>
            <w:r>
              <w:rPr>
                <w:sz w:val="21"/>
              </w:rPr>
              <w:t>制焚烧法，焚烧系统要按装洗涤器和灰分处理装置。</w:t>
            </w:r>
          </w:p>
        </w:tc>
      </w:tr>
      <w:tr>
        <w:trPr>
          <w:trHeight w:val="1278" w:hRule="atLeast"/>
        </w:trPr>
        <w:tc>
          <w:tcPr>
            <w:tcW w:w="1188" w:type="dxa"/>
            <w:tcBorders>
              <w:top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29"/>
              <w:jc w:val="both"/>
              <w:rPr>
                <w:sz w:val="21"/>
              </w:rPr>
            </w:pPr>
            <w:r>
              <w:rPr>
                <w:spacing w:val="-10"/>
                <w:sz w:val="21"/>
              </w:rPr>
              <w:t>呼吸系统防护：空气中浓度超标时，应选择佩带自吸过滤式防毒面具</w:t>
            </w:r>
            <w:r>
              <w:rPr>
                <w:rFonts w:ascii="Times New Roman" w:eastAsia="Times New Roman"/>
                <w:sz w:val="21"/>
              </w:rPr>
              <w:t>(</w:t>
            </w:r>
            <w:r>
              <w:rPr>
                <w:spacing w:val="-2"/>
                <w:sz w:val="21"/>
              </w:rPr>
              <w:t>半面罩</w:t>
            </w:r>
            <w:r>
              <w:rPr>
                <w:rFonts w:ascii="Times New Roman" w:eastAsia="Times New Roman"/>
                <w:spacing w:val="-4"/>
                <w:sz w:val="21"/>
              </w:rPr>
              <w:t>)</w:t>
            </w:r>
            <w:r>
              <w:rPr>
                <w:spacing w:val="-12"/>
                <w:sz w:val="21"/>
              </w:rPr>
              <w:t>。眼睛防护：一般不需要特殊防护，高浓度接触时可戴安全防护眼镜。身体防护：穿防毒物渗透工作服。手防护：戴防化学品手套。其它：工作现场禁止吸烟、进食和饮水。</w:t>
            </w:r>
          </w:p>
          <w:p>
            <w:pPr>
              <w:pStyle w:val="TableParagraph"/>
              <w:spacing w:line="264" w:lineRule="exact"/>
              <w:ind w:left="114"/>
              <w:jc w:val="both"/>
              <w:rPr>
                <w:sz w:val="21"/>
              </w:rPr>
            </w:pPr>
            <w:r>
              <w:rPr>
                <w:sz w:val="21"/>
              </w:rPr>
              <w:t>工作毕，沐浴更衣。单独存放被毒物污染的衣服。洗后备用。注意个人清洁卫生。</w:t>
            </w:r>
          </w:p>
        </w:tc>
      </w:tr>
      <w:tr>
        <w:trPr>
          <w:trHeight w:val="1600" w:hRule="atLeast"/>
        </w:trPr>
        <w:tc>
          <w:tcPr>
            <w:tcW w:w="1188" w:type="dxa"/>
            <w:tcBorders>
              <w:top w:val="single" w:sz="6" w:space="0" w:color="000000"/>
              <w:right w:val="single" w:sz="6" w:space="0" w:color="000000"/>
            </w:tcBorders>
          </w:tcPr>
          <w:p>
            <w:pPr>
              <w:pStyle w:val="TableParagraph"/>
              <w:spacing w:before="14"/>
              <w:jc w:val="left"/>
              <w:rPr>
                <w:sz w:val="27"/>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172" w:lineRule="auto" w:before="35"/>
              <w:ind w:left="114" w:right="-44"/>
              <w:jc w:val="both"/>
              <w:rPr>
                <w:sz w:val="21"/>
              </w:rPr>
            </w:pPr>
            <w:r>
              <w:rPr>
                <w:sz w:val="21"/>
              </w:rPr>
              <w:t>皮肤接触：脱去被污染的衣着，用肥皂水和清水彻底冲洗皮肤。就医。眼睛接触： </w:t>
            </w:r>
            <w:r>
              <w:rPr>
                <w:spacing w:val="-8"/>
                <w:sz w:val="21"/>
              </w:rPr>
              <w:t>提起眼睑，用流动清水或生理盐水冲洗，就医。吸入：迅速脱离现场至空气新鲜处。</w:t>
            </w:r>
            <w:r>
              <w:rPr>
                <w:spacing w:val="-17"/>
                <w:sz w:val="21"/>
              </w:rPr>
              <w:t>保持呼吸道通畅。如呼吸困难，给输氧。如呼吸停止，立即进行人工呼吸。就医。 食入：饮足量温水，催吐，就医。灭火方法：消防人员须佩戴防毒面具、穿全身消防</w:t>
            </w:r>
          </w:p>
          <w:p>
            <w:pPr>
              <w:pStyle w:val="TableParagraph"/>
              <w:spacing w:line="263" w:lineRule="exact"/>
              <w:ind w:left="114"/>
              <w:jc w:val="both"/>
              <w:rPr>
                <w:sz w:val="21"/>
              </w:rPr>
            </w:pPr>
            <w:r>
              <w:rPr>
                <w:sz w:val="21"/>
              </w:rPr>
              <w:t>服。灭火剂：泡沫、干粉、二氧化碳、砂土。</w:t>
            </w:r>
          </w:p>
        </w:tc>
      </w:tr>
    </w:tbl>
    <w:p>
      <w:pPr>
        <w:tabs>
          <w:tab w:pos="4084" w:val="left" w:leader="none"/>
        </w:tabs>
        <w:spacing w:before="59" w:after="45"/>
        <w:ind w:left="3069" w:right="0" w:firstLine="0"/>
        <w:jc w:val="left"/>
        <w:rPr>
          <w:sz w:val="21"/>
        </w:rPr>
      </w:pPr>
      <w:r>
        <w:rPr>
          <w:sz w:val="21"/>
        </w:rPr>
        <w:t>表</w:t>
      </w:r>
      <w:r>
        <w:rPr>
          <w:spacing w:val="5"/>
          <w:sz w:val="21"/>
        </w:rPr>
        <w:t> </w:t>
      </w:r>
      <w:r>
        <w:rPr>
          <w:rFonts w:ascii="Times New Roman" w:eastAsia="Times New Roman"/>
          <w:sz w:val="21"/>
        </w:rPr>
        <w:t>7.1-18</w:t>
        <w:tab/>
      </w:r>
      <w:r>
        <w:rPr>
          <w:spacing w:val="-1"/>
          <w:sz w:val="21"/>
        </w:rPr>
        <w:t>氯</w:t>
      </w:r>
      <w:r>
        <w:rPr>
          <w:spacing w:val="-3"/>
          <w:sz w:val="21"/>
        </w:rPr>
        <w:t>化</w:t>
      </w:r>
      <w:r>
        <w:rPr>
          <w:sz w:val="21"/>
        </w:rPr>
        <w:t>铵</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8" w:lineRule="exact" w:before="62"/>
              <w:ind w:left="208" w:right="184"/>
              <w:rPr>
                <w:rFonts w:ascii="Times New Roman"/>
                <w:sz w:val="21"/>
              </w:rPr>
            </w:pPr>
            <w:r>
              <w:rPr>
                <w:rFonts w:ascii="Times New Roman"/>
                <w:sz w:val="21"/>
              </w:rPr>
              <w:t>----</w:t>
            </w:r>
          </w:p>
        </w:tc>
        <w:tc>
          <w:tcPr>
            <w:tcW w:w="1440" w:type="dxa"/>
            <w:tcBorders>
              <w:left w:val="single" w:sz="6" w:space="0" w:color="000000"/>
              <w:bottom w:val="single" w:sz="6" w:space="0" w:color="000000"/>
              <w:right w:val="single" w:sz="6" w:space="0" w:color="000000"/>
            </w:tcBorders>
          </w:tcPr>
          <w:p>
            <w:pPr>
              <w:pStyle w:val="TableParagraph"/>
              <w:spacing w:line="30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8" w:lineRule="exact" w:before="62"/>
              <w:ind w:left="68" w:right="82"/>
              <w:rPr>
                <w:rFonts w:ascii="Times New Roman"/>
                <w:sz w:val="21"/>
              </w:rPr>
            </w:pPr>
            <w:r>
              <w:rPr>
                <w:rFonts w:ascii="Times New Roman"/>
                <w:sz w:val="21"/>
              </w:rPr>
              <w:t>12125-02-9</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212" w:right="184"/>
              <w:rPr>
                <w:sz w:val="21"/>
              </w:rPr>
            </w:pPr>
            <w:r>
              <w:rPr>
                <w:sz w:val="21"/>
              </w:rPr>
              <w:t>氯化铵</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41" w:lineRule="exact" w:before="60"/>
              <w:ind w:left="114" w:right="82"/>
              <w:rPr>
                <w:rFonts w:ascii="Times New Roman"/>
                <w:sz w:val="21"/>
              </w:rPr>
            </w:pPr>
            <w:r>
              <w:rPr>
                <w:rFonts w:ascii="Times New Roman"/>
                <w:sz w:val="21"/>
              </w:rPr>
              <w:t>ammonium chloride</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spacing w:before="10"/>
              <w:jc w:val="left"/>
              <w:rPr>
                <w:sz w:val="12"/>
              </w:rPr>
            </w:pPr>
          </w:p>
          <w:p>
            <w:pPr>
              <w:pStyle w:val="TableParagraph"/>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7"/>
              </w:rPr>
            </w:pPr>
          </w:p>
          <w:p>
            <w:pPr>
              <w:pStyle w:val="TableParagraph"/>
              <w:ind w:left="208" w:right="184"/>
              <w:rPr>
                <w:rFonts w:ascii="Times New Roman"/>
                <w:sz w:val="21"/>
              </w:rPr>
            </w:pPr>
            <w:r>
              <w:rPr>
                <w:rFonts w:ascii="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2"/>
              </w:rPr>
            </w:pPr>
          </w:p>
          <w:p>
            <w:pPr>
              <w:pStyle w:val="TableParagraph"/>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172" w:lineRule="auto" w:before="32"/>
              <w:ind w:left="114" w:right="77"/>
              <w:jc w:val="left"/>
              <w:rPr>
                <w:sz w:val="21"/>
              </w:rPr>
            </w:pPr>
            <w:r>
              <w:rPr>
                <w:sz w:val="21"/>
              </w:rPr>
              <w:t>用于医药、干电池、织物印染、肥料、鞣革、电镀、洗</w:t>
            </w:r>
          </w:p>
          <w:p>
            <w:pPr>
              <w:pStyle w:val="TableParagraph"/>
              <w:spacing w:line="266" w:lineRule="exact"/>
              <w:ind w:left="114"/>
              <w:jc w:val="left"/>
              <w:rPr>
                <w:sz w:val="21"/>
              </w:rPr>
            </w:pPr>
            <w:r>
              <w:rPr>
                <w:sz w:val="21"/>
              </w:rPr>
              <w:t>涤剂等。</w:t>
            </w:r>
          </w:p>
        </w:tc>
      </w:tr>
      <w:tr>
        <w:trPr>
          <w:trHeight w:val="320" w:hRule="atLeast"/>
        </w:trPr>
        <w:tc>
          <w:tcPr>
            <w:tcW w:w="1188" w:type="dxa"/>
            <w:tcBorders>
              <w:top w:val="single" w:sz="6" w:space="0" w:color="000000"/>
              <w:right w:val="single" w:sz="6" w:space="0" w:color="000000"/>
            </w:tcBorders>
          </w:tcPr>
          <w:p>
            <w:pPr>
              <w:pStyle w:val="TableParagraph"/>
              <w:spacing w:line="301" w:lineRule="exact"/>
              <w:ind w:left="105" w:right="84"/>
              <w:rPr>
                <w:sz w:val="21"/>
              </w:rPr>
            </w:pPr>
            <w:r>
              <w:rPr>
                <w:sz w:val="21"/>
              </w:rPr>
              <w:t>侵入途径</w:t>
            </w:r>
          </w:p>
        </w:tc>
        <w:tc>
          <w:tcPr>
            <w:tcW w:w="7821" w:type="dxa"/>
            <w:gridSpan w:val="3"/>
            <w:tcBorders>
              <w:top w:val="single" w:sz="6" w:space="0" w:color="000000"/>
              <w:left w:val="single" w:sz="6" w:space="0" w:color="000000"/>
            </w:tcBorders>
          </w:tcPr>
          <w:p>
            <w:pPr>
              <w:pStyle w:val="TableParagraph"/>
              <w:spacing w:line="301" w:lineRule="exact"/>
              <w:ind w:left="956" w:right="921"/>
              <w:rPr>
                <w:sz w:val="21"/>
              </w:rPr>
            </w:pPr>
            <w:r>
              <w:rPr>
                <w:sz w:val="21"/>
              </w:rPr>
              <w:t>吸入、食入、经皮吸收。</w:t>
            </w:r>
          </w:p>
        </w:tc>
      </w:tr>
    </w:tbl>
    <w:p>
      <w:pPr>
        <w:spacing w:after="0" w:line="301"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600" w:hRule="atLeast"/>
        </w:trPr>
        <w:tc>
          <w:tcPr>
            <w:tcW w:w="1188" w:type="dxa"/>
            <w:tcBorders>
              <w:bottom w:val="single" w:sz="6" w:space="0" w:color="000000"/>
              <w:right w:val="single" w:sz="6" w:space="0" w:color="000000"/>
            </w:tcBorders>
          </w:tcPr>
          <w:p>
            <w:pPr>
              <w:pStyle w:val="TableParagraph"/>
              <w:spacing w:before="14"/>
              <w:jc w:val="left"/>
              <w:rPr>
                <w:sz w:val="27"/>
              </w:rPr>
            </w:pPr>
          </w:p>
          <w:p>
            <w:pPr>
              <w:pStyle w:val="TableParagraph"/>
              <w:ind w:left="105" w:right="84"/>
              <w:rPr>
                <w:sz w:val="21"/>
              </w:rPr>
            </w:pPr>
            <w:r>
              <w:rPr>
                <w:sz w:val="21"/>
              </w:rPr>
              <w:t>健康危害</w:t>
            </w:r>
          </w:p>
        </w:tc>
        <w:tc>
          <w:tcPr>
            <w:tcW w:w="7821" w:type="dxa"/>
            <w:tcBorders>
              <w:left w:val="single" w:sz="6" w:space="0" w:color="000000"/>
              <w:bottom w:val="single" w:sz="6" w:space="0" w:color="000000"/>
            </w:tcBorders>
          </w:tcPr>
          <w:p>
            <w:pPr>
              <w:pStyle w:val="TableParagraph"/>
              <w:spacing w:line="172" w:lineRule="auto" w:before="35"/>
              <w:ind w:left="114" w:right="73"/>
              <w:jc w:val="both"/>
              <w:rPr>
                <w:sz w:val="21"/>
              </w:rPr>
            </w:pPr>
            <w:r>
              <w:rPr>
                <w:sz w:val="21"/>
              </w:rPr>
              <w:t>本品对皮肤、粘膜有刺激性，可引起肝肾功能损害，诱发肝昏迷，造成氮质血症和</w:t>
            </w:r>
            <w:r>
              <w:rPr>
                <w:spacing w:val="1"/>
                <w:sz w:val="21"/>
              </w:rPr>
              <w:t>代谢性酸中毒等。 健康人应用 </w:t>
            </w:r>
            <w:r>
              <w:rPr>
                <w:rFonts w:ascii="Times New Roman" w:eastAsia="Times New Roman"/>
                <w:sz w:val="21"/>
              </w:rPr>
              <w:t>50g </w:t>
            </w:r>
            <w:r>
              <w:rPr>
                <w:sz w:val="21"/>
              </w:rPr>
              <w:t>氯化铵可致重度中毒，有肝病、肾病、慢性心</w:t>
            </w:r>
            <w:r>
              <w:rPr>
                <w:spacing w:val="-2"/>
                <w:sz w:val="21"/>
              </w:rPr>
              <w:t>脏病的患者，</w:t>
            </w:r>
            <w:r>
              <w:rPr>
                <w:rFonts w:ascii="Times New Roman" w:eastAsia="Times New Roman"/>
                <w:sz w:val="21"/>
              </w:rPr>
              <w:t>5g </w:t>
            </w:r>
            <w:r>
              <w:rPr>
                <w:spacing w:val="-4"/>
                <w:sz w:val="21"/>
              </w:rPr>
              <w:t>即可引起严重中毒。口服中毒引起化学性胃炎，严重者由于血氨显著增高，诱发肝昏迷。严重中毒时造成肝、肾损害，出现代谢性酸中毒，同时支气</w:t>
            </w:r>
          </w:p>
          <w:p>
            <w:pPr>
              <w:pStyle w:val="TableParagraph"/>
              <w:spacing w:line="263" w:lineRule="exact"/>
              <w:ind w:left="114"/>
              <w:jc w:val="both"/>
              <w:rPr>
                <w:sz w:val="21"/>
              </w:rPr>
            </w:pPr>
            <w:r>
              <w:rPr>
                <w:sz w:val="21"/>
              </w:rPr>
              <w:t>管分泌物大量增加。职业性接触，可引起呼吸道粘膜的刺激和灼伤</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6" w:right="83"/>
              <w:rPr>
                <w:sz w:val="21"/>
              </w:rPr>
            </w:pPr>
            <w:r>
              <w:rPr>
                <w:sz w:val="21"/>
              </w:rPr>
              <w:t>毒性</w:t>
            </w:r>
          </w:p>
        </w:tc>
        <w:tc>
          <w:tcPr>
            <w:tcW w:w="7821" w:type="dxa"/>
            <w:tcBorders>
              <w:top w:val="single" w:sz="6" w:space="0" w:color="000000"/>
              <w:left w:val="single" w:sz="6" w:space="0" w:color="000000"/>
              <w:bottom w:val="single" w:sz="6" w:space="0" w:color="000000"/>
            </w:tcBorders>
          </w:tcPr>
          <w:p>
            <w:pPr>
              <w:pStyle w:val="TableParagraph"/>
              <w:spacing w:line="301" w:lineRule="exact"/>
              <w:ind w:left="957" w:right="921"/>
              <w:rPr>
                <w:rFonts w:ascii="Times New Roman" w:eastAsia="Times New Roman"/>
                <w:sz w:val="21"/>
              </w:rPr>
            </w:pPr>
            <w:r>
              <w:rPr>
                <w:rFonts w:ascii="Times New Roman" w:eastAsia="Times New Roman"/>
                <w:position w:val="2"/>
                <w:sz w:val="21"/>
              </w:rPr>
              <w:t>LD</w:t>
            </w:r>
            <w:r>
              <w:rPr>
                <w:rFonts w:ascii="Times New Roman" w:eastAsia="Times New Roman"/>
                <w:sz w:val="14"/>
              </w:rPr>
              <w:t>50</w:t>
            </w:r>
            <w:r>
              <w:rPr>
                <w:position w:val="2"/>
                <w:sz w:val="21"/>
              </w:rPr>
              <w:t>：</w:t>
            </w:r>
            <w:r>
              <w:rPr>
                <w:rFonts w:ascii="Times New Roman" w:eastAsia="Times New Roman"/>
                <w:position w:val="2"/>
                <w:sz w:val="21"/>
              </w:rPr>
              <w:t>1650 mg/kg(</w:t>
            </w:r>
            <w:r>
              <w:rPr>
                <w:position w:val="2"/>
                <w:sz w:val="21"/>
              </w:rPr>
              <w:t>大鼠经口</w:t>
            </w:r>
            <w:r>
              <w:rPr>
                <w:rFonts w:ascii="Times New Roman" w:eastAsia="Times New Roman"/>
                <w:position w:val="2"/>
                <w:sz w:val="21"/>
              </w:rPr>
              <w:t>)</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危险特性</w:t>
            </w:r>
          </w:p>
        </w:tc>
        <w:tc>
          <w:tcPr>
            <w:tcW w:w="7821" w:type="dxa"/>
            <w:tcBorders>
              <w:top w:val="single" w:sz="6" w:space="0" w:color="000000"/>
              <w:left w:val="single" w:sz="6" w:space="0" w:color="000000"/>
              <w:bottom w:val="single" w:sz="6" w:space="0" w:color="000000"/>
            </w:tcBorders>
          </w:tcPr>
          <w:p>
            <w:pPr>
              <w:pStyle w:val="TableParagraph"/>
              <w:spacing w:line="299" w:lineRule="exact"/>
              <w:ind w:left="957" w:right="921"/>
              <w:rPr>
                <w:sz w:val="21"/>
              </w:rPr>
            </w:pPr>
            <w:r>
              <w:rPr>
                <w:sz w:val="21"/>
              </w:rPr>
              <w:t>未有特殊的燃烧爆炸特性。受高热分解产生有毒的腐蚀性烟气。</w:t>
            </w:r>
          </w:p>
        </w:tc>
      </w:tr>
      <w:tr>
        <w:trPr>
          <w:trHeight w:val="1281" w:hRule="atLeast"/>
        </w:trPr>
        <w:tc>
          <w:tcPr>
            <w:tcW w:w="1188" w:type="dxa"/>
            <w:tcBorders>
              <w:top w:val="single" w:sz="6" w:space="0" w:color="000000"/>
              <w:bottom w:val="single" w:sz="6" w:space="0" w:color="000000"/>
              <w:right w:val="single" w:sz="6" w:space="0" w:color="000000"/>
            </w:tcBorders>
          </w:tcPr>
          <w:p>
            <w:pPr>
              <w:pStyle w:val="TableParagraph"/>
              <w:spacing w:before="15"/>
              <w:jc w:val="left"/>
              <w:rPr>
                <w:sz w:val="16"/>
              </w:rPr>
            </w:pPr>
          </w:p>
          <w:p>
            <w:pPr>
              <w:pStyle w:val="TableParagraph"/>
              <w:spacing w:line="172" w:lineRule="auto"/>
              <w:ind w:left="383" w:right="148" w:hanging="212"/>
              <w:jc w:val="left"/>
              <w:rPr>
                <w:sz w:val="21"/>
              </w:rPr>
            </w:pPr>
            <w:r>
              <w:rPr>
                <w:sz w:val="21"/>
              </w:rPr>
              <w:t>泄漏应急处理</w:t>
            </w:r>
          </w:p>
        </w:tc>
        <w:tc>
          <w:tcPr>
            <w:tcW w:w="7821" w:type="dxa"/>
            <w:tcBorders>
              <w:top w:val="single" w:sz="6" w:space="0" w:color="000000"/>
              <w:left w:val="single" w:sz="6" w:space="0" w:color="000000"/>
              <w:bottom w:val="single" w:sz="6" w:space="0" w:color="000000"/>
            </w:tcBorders>
          </w:tcPr>
          <w:p>
            <w:pPr>
              <w:pStyle w:val="TableParagraph"/>
              <w:spacing w:line="172" w:lineRule="auto" w:before="35"/>
              <w:ind w:left="114" w:right="-44"/>
              <w:jc w:val="both"/>
              <w:rPr>
                <w:sz w:val="21"/>
              </w:rPr>
            </w:pPr>
            <w:r>
              <w:rPr>
                <w:spacing w:val="-3"/>
                <w:w w:val="100"/>
                <w:sz w:val="21"/>
              </w:rPr>
              <w:t>隔离泄漏污染区，限制出入。建议应急处理人员戴防尘面具（</w:t>
            </w:r>
            <w:r>
              <w:rPr>
                <w:spacing w:val="-2"/>
                <w:w w:val="100"/>
                <w:sz w:val="21"/>
              </w:rPr>
              <w:t>全面罩</w:t>
            </w:r>
            <w:r>
              <w:rPr>
                <w:spacing w:val="-108"/>
                <w:w w:val="100"/>
                <w:sz w:val="21"/>
              </w:rPr>
              <w:t>）</w:t>
            </w:r>
            <w:r>
              <w:rPr>
                <w:spacing w:val="-3"/>
                <w:w w:val="100"/>
                <w:sz w:val="21"/>
              </w:rPr>
              <w:t>，穿防毒服。</w:t>
            </w:r>
            <w:r>
              <w:rPr>
                <w:spacing w:val="-3"/>
                <w:sz w:val="21"/>
              </w:rPr>
              <w:t>避免扬尘，小心扫起，置于袋中转移至安全场所。若大量泄漏，用塑料布、帆布覆</w:t>
            </w:r>
            <w:r>
              <w:rPr>
                <w:spacing w:val="-8"/>
                <w:sz w:val="21"/>
              </w:rPr>
              <w:t>盖。收集回收或运至废物处理场所处置。废弃物处置方法：用氢氧化钠溶液预处理，</w:t>
            </w:r>
          </w:p>
          <w:p>
            <w:pPr>
              <w:pStyle w:val="TableParagraph"/>
              <w:spacing w:line="265" w:lineRule="exact"/>
              <w:ind w:left="114"/>
              <w:jc w:val="both"/>
              <w:rPr>
                <w:sz w:val="21"/>
              </w:rPr>
            </w:pPr>
            <w:r>
              <w:rPr>
                <w:spacing w:val="-8"/>
                <w:sz w:val="21"/>
              </w:rPr>
              <w:t>放出的氨气回收使用，剩下的处理液加水稀释到规定的容许浓度，再排入废水系统。</w:t>
            </w:r>
          </w:p>
        </w:tc>
      </w:tr>
      <w:tr>
        <w:trPr>
          <w:trHeight w:val="1280" w:hRule="atLeast"/>
        </w:trPr>
        <w:tc>
          <w:tcPr>
            <w:tcW w:w="1188" w:type="dxa"/>
            <w:tcBorders>
              <w:top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05" w:right="84"/>
              <w:rPr>
                <w:sz w:val="21"/>
              </w:rPr>
            </w:pPr>
            <w:r>
              <w:rPr>
                <w:sz w:val="21"/>
              </w:rPr>
              <w:t>防护措施</w:t>
            </w:r>
          </w:p>
        </w:tc>
        <w:tc>
          <w:tcPr>
            <w:tcW w:w="7821" w:type="dxa"/>
            <w:tcBorders>
              <w:top w:val="single" w:sz="6" w:space="0" w:color="000000"/>
              <w:left w:val="single" w:sz="6" w:space="0" w:color="000000"/>
              <w:bottom w:val="single" w:sz="6" w:space="0" w:color="000000"/>
            </w:tcBorders>
          </w:tcPr>
          <w:p>
            <w:pPr>
              <w:pStyle w:val="TableParagraph"/>
              <w:spacing w:line="172" w:lineRule="auto" w:before="32"/>
              <w:ind w:left="114" w:right="74"/>
              <w:jc w:val="both"/>
              <w:rPr>
                <w:sz w:val="21"/>
              </w:rPr>
            </w:pPr>
            <w:r>
              <w:rPr>
                <w:spacing w:val="-10"/>
                <w:sz w:val="21"/>
              </w:rPr>
              <w:t>呼吸系统防护：空气中浓度超标时，应选择佩带自吸过滤式防毒面具</w:t>
            </w:r>
            <w:r>
              <w:rPr>
                <w:rFonts w:ascii="Times New Roman" w:eastAsia="Times New Roman"/>
                <w:sz w:val="21"/>
              </w:rPr>
              <w:t>(</w:t>
            </w:r>
            <w:r>
              <w:rPr>
                <w:spacing w:val="-2"/>
                <w:sz w:val="21"/>
              </w:rPr>
              <w:t>半面罩</w:t>
            </w:r>
            <w:r>
              <w:rPr>
                <w:rFonts w:ascii="Times New Roman" w:eastAsia="Times New Roman"/>
                <w:spacing w:val="-4"/>
                <w:sz w:val="21"/>
              </w:rPr>
              <w:t>)</w:t>
            </w:r>
            <w:r>
              <w:rPr>
                <w:spacing w:val="-12"/>
                <w:sz w:val="21"/>
              </w:rPr>
              <w:t>。眼睛防护：戴化学安全防护眼镜。身体防护：穿防毒物渗透工作服。手防护：戴防化学品手套。其它：工作现场禁止吸烟、进食和饮水。工作毕，沐浴更衣。单独存放被</w:t>
            </w:r>
          </w:p>
          <w:p>
            <w:pPr>
              <w:pStyle w:val="TableParagraph"/>
              <w:spacing w:line="267" w:lineRule="exact"/>
              <w:ind w:left="114"/>
              <w:jc w:val="both"/>
              <w:rPr>
                <w:sz w:val="21"/>
              </w:rPr>
            </w:pPr>
            <w:r>
              <w:rPr>
                <w:sz w:val="21"/>
              </w:rPr>
              <w:t>毒物污染的衣服。洗后备用。注意个人清洁卫生。</w:t>
            </w:r>
          </w:p>
        </w:tc>
      </w:tr>
      <w:tr>
        <w:trPr>
          <w:trHeight w:val="1597" w:hRule="atLeast"/>
        </w:trPr>
        <w:tc>
          <w:tcPr>
            <w:tcW w:w="1188" w:type="dxa"/>
            <w:tcBorders>
              <w:top w:val="single" w:sz="6" w:space="0" w:color="000000"/>
              <w:right w:val="single" w:sz="6" w:space="0" w:color="000000"/>
            </w:tcBorders>
          </w:tcPr>
          <w:p>
            <w:pPr>
              <w:pStyle w:val="TableParagraph"/>
              <w:spacing w:before="11"/>
              <w:jc w:val="left"/>
              <w:rPr>
                <w:sz w:val="27"/>
              </w:rPr>
            </w:pPr>
          </w:p>
          <w:p>
            <w:pPr>
              <w:pStyle w:val="TableParagraph"/>
              <w:ind w:left="105" w:right="84"/>
              <w:rPr>
                <w:sz w:val="21"/>
              </w:rPr>
            </w:pPr>
            <w:r>
              <w:rPr>
                <w:sz w:val="21"/>
              </w:rPr>
              <w:t>急救措施</w:t>
            </w:r>
          </w:p>
        </w:tc>
        <w:tc>
          <w:tcPr>
            <w:tcW w:w="7821" w:type="dxa"/>
            <w:tcBorders>
              <w:top w:val="single" w:sz="6" w:space="0" w:color="000000"/>
              <w:left w:val="single" w:sz="6" w:space="0" w:color="000000"/>
            </w:tcBorders>
          </w:tcPr>
          <w:p>
            <w:pPr>
              <w:pStyle w:val="TableParagraph"/>
              <w:spacing w:line="172" w:lineRule="auto" w:before="32"/>
              <w:ind w:left="114" w:right="-44"/>
              <w:jc w:val="both"/>
              <w:rPr>
                <w:sz w:val="21"/>
              </w:rPr>
            </w:pPr>
            <w:r>
              <w:rPr>
                <w:sz w:val="21"/>
              </w:rPr>
              <w:t>皮肤接触：脱去被污染的衣着，用肥皂水和清水彻底冲洗皮肤。就医。眼睛接触： </w:t>
            </w:r>
            <w:r>
              <w:rPr>
                <w:spacing w:val="-12"/>
                <w:sz w:val="21"/>
              </w:rPr>
              <w:t>提起眼睑，用流动清水或生理盐水冲洗，就医。 吸入：迅速脱离现场至空气新鲜处。保持呼吸道通畅。如呼吸困难，给输氧。如呼吸停止，立即进行人工呼吸。就医。</w:t>
            </w:r>
            <w:r>
              <w:rPr>
                <w:spacing w:val="-10"/>
                <w:sz w:val="21"/>
              </w:rPr>
              <w:t>食入：饮足量温水，催吐，就医。 灭火方法：消防人员必须穿全身防火防毒服，</w:t>
            </w:r>
          </w:p>
          <w:p>
            <w:pPr>
              <w:pStyle w:val="TableParagraph"/>
              <w:spacing w:line="263" w:lineRule="exact"/>
              <w:ind w:left="114"/>
              <w:jc w:val="both"/>
              <w:rPr>
                <w:sz w:val="21"/>
              </w:rPr>
            </w:pPr>
            <w:r>
              <w:rPr>
                <w:sz w:val="21"/>
              </w:rPr>
              <w:t>在上风向灭火。灭火时尽可能将容器从火场移至空旷处。</w:t>
            </w:r>
          </w:p>
        </w:tc>
      </w:tr>
    </w:tbl>
    <w:p>
      <w:pPr>
        <w:pStyle w:val="BodyText"/>
        <w:spacing w:before="19"/>
        <w:rPr>
          <w:sz w:val="4"/>
        </w:rPr>
      </w:pPr>
    </w:p>
    <w:p>
      <w:pPr>
        <w:tabs>
          <w:tab w:pos="4348" w:val="left" w:leader="none"/>
        </w:tabs>
        <w:spacing w:line="423" w:lineRule="exact" w:before="0"/>
        <w:ind w:left="3333" w:right="0" w:firstLine="0"/>
        <w:jc w:val="left"/>
        <w:rPr>
          <w:sz w:val="21"/>
        </w:rPr>
      </w:pPr>
      <w:r>
        <w:rPr>
          <w:sz w:val="21"/>
        </w:rPr>
        <w:t>表</w:t>
      </w:r>
      <w:r>
        <w:rPr>
          <w:spacing w:val="5"/>
          <w:sz w:val="21"/>
        </w:rPr>
        <w:t> </w:t>
      </w:r>
      <w:r>
        <w:rPr>
          <w:rFonts w:ascii="Times New Roman" w:eastAsia="Times New Roman"/>
          <w:sz w:val="21"/>
        </w:rPr>
        <w:t>7.1-19</w:t>
        <w:tab/>
      </w:r>
      <w:r>
        <w:rPr>
          <w:sz w:val="21"/>
        </w:rPr>
        <w:t>乙</w:t>
      </w:r>
      <w:r>
        <w:rPr>
          <w:spacing w:val="-3"/>
          <w:sz w:val="21"/>
        </w:rPr>
        <w:t>醇</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7"/>
        <w:gridCol w:w="1191"/>
        <w:gridCol w:w="1649"/>
        <w:gridCol w:w="1729"/>
        <w:gridCol w:w="1141"/>
        <w:gridCol w:w="1784"/>
      </w:tblGrid>
      <w:tr>
        <w:trPr>
          <w:trHeight w:val="623" w:hRule="atLeast"/>
        </w:trPr>
        <w:tc>
          <w:tcPr>
            <w:tcW w:w="1037" w:type="dxa"/>
            <w:tcBorders>
              <w:bottom w:val="single" w:sz="6" w:space="0" w:color="000000"/>
              <w:right w:val="single" w:sz="6" w:space="0" w:color="000000"/>
            </w:tcBorders>
          </w:tcPr>
          <w:p>
            <w:pPr>
              <w:pStyle w:val="TableParagraph"/>
              <w:spacing w:before="77"/>
              <w:ind w:left="306"/>
              <w:jc w:val="left"/>
              <w:rPr>
                <w:sz w:val="21"/>
              </w:rPr>
            </w:pPr>
            <w:r>
              <w:rPr>
                <w:sz w:val="21"/>
              </w:rPr>
              <w:t>品名</w:t>
            </w:r>
          </w:p>
        </w:tc>
        <w:tc>
          <w:tcPr>
            <w:tcW w:w="1191" w:type="dxa"/>
            <w:tcBorders>
              <w:left w:val="single" w:sz="6" w:space="0" w:color="000000"/>
              <w:bottom w:val="single" w:sz="6" w:space="0" w:color="000000"/>
              <w:right w:val="single" w:sz="6" w:space="0" w:color="000000"/>
            </w:tcBorders>
          </w:tcPr>
          <w:p>
            <w:pPr>
              <w:pStyle w:val="TableParagraph"/>
              <w:spacing w:before="77"/>
              <w:ind w:left="390"/>
              <w:jc w:val="left"/>
              <w:rPr>
                <w:sz w:val="21"/>
              </w:rPr>
            </w:pPr>
            <w:r>
              <w:rPr>
                <w:sz w:val="21"/>
              </w:rPr>
              <w:t>乙醇</w:t>
            </w:r>
          </w:p>
        </w:tc>
        <w:tc>
          <w:tcPr>
            <w:tcW w:w="1649" w:type="dxa"/>
            <w:tcBorders>
              <w:left w:val="single" w:sz="6" w:space="0" w:color="000000"/>
              <w:bottom w:val="single" w:sz="6" w:space="0" w:color="000000"/>
              <w:right w:val="single" w:sz="6" w:space="0" w:color="000000"/>
            </w:tcBorders>
          </w:tcPr>
          <w:p>
            <w:pPr>
              <w:pStyle w:val="TableParagraph"/>
              <w:spacing w:before="77"/>
              <w:ind w:left="602" w:right="572"/>
              <w:rPr>
                <w:sz w:val="21"/>
              </w:rPr>
            </w:pPr>
            <w:r>
              <w:rPr>
                <w:sz w:val="21"/>
              </w:rPr>
              <w:t>别名</w:t>
            </w:r>
          </w:p>
        </w:tc>
        <w:tc>
          <w:tcPr>
            <w:tcW w:w="1729" w:type="dxa"/>
            <w:tcBorders>
              <w:left w:val="single" w:sz="6" w:space="0" w:color="000000"/>
              <w:bottom w:val="single" w:sz="6" w:space="0" w:color="000000"/>
              <w:right w:val="single" w:sz="6" w:space="0" w:color="000000"/>
            </w:tcBorders>
          </w:tcPr>
          <w:p>
            <w:pPr>
              <w:pStyle w:val="TableParagraph"/>
              <w:spacing w:before="77"/>
              <w:ind w:left="219" w:right="192"/>
              <w:rPr>
                <w:sz w:val="21"/>
              </w:rPr>
            </w:pPr>
            <w:r>
              <w:rPr>
                <w:sz w:val="21"/>
              </w:rPr>
              <w:t>酒精</w:t>
            </w:r>
          </w:p>
        </w:tc>
        <w:tc>
          <w:tcPr>
            <w:tcW w:w="1141" w:type="dxa"/>
            <w:tcBorders>
              <w:left w:val="single" w:sz="6" w:space="0" w:color="000000"/>
              <w:bottom w:val="single" w:sz="6" w:space="0" w:color="000000"/>
              <w:right w:val="single" w:sz="6" w:space="0" w:color="000000"/>
            </w:tcBorders>
          </w:tcPr>
          <w:p>
            <w:pPr>
              <w:pStyle w:val="TableParagraph"/>
              <w:spacing w:before="77"/>
              <w:ind w:left="260"/>
              <w:jc w:val="left"/>
              <w:rPr>
                <w:sz w:val="21"/>
              </w:rPr>
            </w:pPr>
            <w:r>
              <w:rPr>
                <w:sz w:val="21"/>
              </w:rPr>
              <w:t>英文名</w:t>
            </w:r>
          </w:p>
        </w:tc>
        <w:tc>
          <w:tcPr>
            <w:tcW w:w="1784" w:type="dxa"/>
            <w:tcBorders>
              <w:left w:val="single" w:sz="6" w:space="0" w:color="000000"/>
              <w:bottom w:val="single" w:sz="6" w:space="0" w:color="000000"/>
            </w:tcBorders>
          </w:tcPr>
          <w:p>
            <w:pPr>
              <w:pStyle w:val="TableParagraph"/>
              <w:spacing w:line="356" w:lineRule="exact"/>
              <w:ind w:left="225" w:right="195"/>
              <w:rPr>
                <w:sz w:val="21"/>
              </w:rPr>
            </w:pPr>
            <w:r>
              <w:rPr>
                <w:rFonts w:ascii="Times New Roman" w:eastAsia="Times New Roman"/>
                <w:sz w:val="21"/>
              </w:rPr>
              <w:t>ethyl alcohol</w:t>
            </w:r>
            <w:r>
              <w:rPr>
                <w:sz w:val="21"/>
              </w:rPr>
              <w:t>；</w:t>
            </w:r>
          </w:p>
          <w:p>
            <w:pPr>
              <w:pStyle w:val="TableParagraph"/>
              <w:spacing w:line="231" w:lineRule="exact"/>
              <w:ind w:left="225" w:right="194"/>
              <w:rPr>
                <w:rFonts w:ascii="Times New Roman"/>
                <w:sz w:val="21"/>
              </w:rPr>
            </w:pPr>
            <w:r>
              <w:rPr>
                <w:rFonts w:ascii="Times New Roman"/>
                <w:sz w:val="21"/>
              </w:rPr>
              <w:t>ethanol</w:t>
            </w:r>
          </w:p>
        </w:tc>
      </w:tr>
      <w:tr>
        <w:trPr>
          <w:trHeight w:val="1249" w:hRule="atLeast"/>
        </w:trPr>
        <w:tc>
          <w:tcPr>
            <w:tcW w:w="1037" w:type="dxa"/>
            <w:tcBorders>
              <w:top w:val="single" w:sz="6" w:space="0" w:color="000000"/>
              <w:bottom w:val="single" w:sz="6" w:space="0" w:color="000000"/>
              <w:right w:val="single" w:sz="6" w:space="0" w:color="000000"/>
            </w:tcBorders>
          </w:tcPr>
          <w:p>
            <w:pPr>
              <w:pStyle w:val="TableParagraph"/>
              <w:spacing w:line="168" w:lineRule="auto" w:before="173"/>
              <w:ind w:left="107" w:right="82"/>
              <w:jc w:val="both"/>
              <w:rPr>
                <w:sz w:val="21"/>
              </w:rPr>
            </w:pPr>
            <w:r>
              <w:rPr>
                <w:sz w:val="21"/>
              </w:rPr>
              <w:t>稳 定 性和 危 险性</w:t>
            </w:r>
          </w:p>
        </w:tc>
        <w:tc>
          <w:tcPr>
            <w:tcW w:w="7494" w:type="dxa"/>
            <w:gridSpan w:val="5"/>
            <w:tcBorders>
              <w:top w:val="single" w:sz="6" w:space="0" w:color="000000"/>
              <w:left w:val="single" w:sz="6" w:space="0" w:color="000000"/>
              <w:bottom w:val="single" w:sz="6" w:space="0" w:color="000000"/>
            </w:tcBorders>
          </w:tcPr>
          <w:p>
            <w:pPr>
              <w:pStyle w:val="TableParagraph"/>
              <w:spacing w:line="168" w:lineRule="auto" w:before="17"/>
              <w:ind w:left="114"/>
              <w:jc w:val="both"/>
              <w:rPr>
                <w:sz w:val="21"/>
              </w:rPr>
            </w:pPr>
            <w:r>
              <w:rPr>
                <w:sz w:val="21"/>
              </w:rPr>
              <w:t>稳定，易燃液体。 危险特性：易燃，其蒸气与空气可形成爆炸性混合物。遇明火、高热能引起燃烧爆炸。与氧化剂接触发生化学反应或引起燃烧。在火场中， 受热的容器有爆炸危险。其蒸气比空气重，能在较低处扩散到相当远的地方，遇</w:t>
            </w:r>
          </w:p>
          <w:p>
            <w:pPr>
              <w:pStyle w:val="TableParagraph"/>
              <w:spacing w:line="278" w:lineRule="exact"/>
              <w:ind w:left="114"/>
              <w:jc w:val="both"/>
              <w:rPr>
                <w:sz w:val="21"/>
              </w:rPr>
            </w:pPr>
            <w:r>
              <w:rPr>
                <w:sz w:val="21"/>
              </w:rPr>
              <w:t>明火会引着回燃。</w:t>
            </w:r>
          </w:p>
        </w:tc>
      </w:tr>
      <w:tr>
        <w:trPr>
          <w:trHeight w:val="2808" w:hRule="atLeast"/>
        </w:trPr>
        <w:tc>
          <w:tcPr>
            <w:tcW w:w="1037"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5"/>
              <w:jc w:val="left"/>
              <w:rPr>
                <w:sz w:val="12"/>
              </w:rPr>
            </w:pPr>
          </w:p>
          <w:p>
            <w:pPr>
              <w:pStyle w:val="TableParagraph"/>
              <w:spacing w:line="168" w:lineRule="auto"/>
              <w:ind w:left="107" w:right="82"/>
              <w:jc w:val="left"/>
              <w:rPr>
                <w:sz w:val="21"/>
              </w:rPr>
            </w:pPr>
            <w:r>
              <w:rPr>
                <w:sz w:val="21"/>
              </w:rPr>
              <w:t>健 康 危害</w:t>
            </w:r>
          </w:p>
        </w:tc>
        <w:tc>
          <w:tcPr>
            <w:tcW w:w="7494" w:type="dxa"/>
            <w:gridSpan w:val="5"/>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sz w:val="21"/>
              </w:rPr>
              <w:t>侵入途径：吸入、食入、经皮吸收。</w:t>
            </w:r>
          </w:p>
          <w:p>
            <w:pPr>
              <w:pStyle w:val="TableParagraph"/>
              <w:spacing w:line="312" w:lineRule="exact"/>
              <w:ind w:left="114"/>
              <w:jc w:val="left"/>
              <w:rPr>
                <w:sz w:val="21"/>
              </w:rPr>
            </w:pPr>
            <w:r>
              <w:rPr>
                <w:sz w:val="21"/>
              </w:rPr>
              <w:t>健康危害：本品为中枢神经系统抑制剂。首先引起兴奋，随后抑制。</w:t>
            </w:r>
          </w:p>
          <w:p>
            <w:pPr>
              <w:pStyle w:val="TableParagraph"/>
              <w:spacing w:line="168" w:lineRule="auto" w:before="26"/>
              <w:ind w:left="114" w:right="-44"/>
              <w:jc w:val="both"/>
              <w:rPr>
                <w:sz w:val="21"/>
              </w:rPr>
            </w:pPr>
            <w:r>
              <w:rPr>
                <w:spacing w:val="-14"/>
                <w:sz w:val="21"/>
              </w:rPr>
              <w:t>急性中毒：急性中毒多发生于口服。一般可分为兴奋、催眠、麻醉、窒息四阶段。</w:t>
            </w:r>
            <w:r>
              <w:rPr>
                <w:spacing w:val="-12"/>
                <w:sz w:val="21"/>
              </w:rPr>
              <w:t>患者进入第三或第四阶段，出现意识丧失、瞳孔扩大、呼吸不规律、休克、心力</w:t>
            </w:r>
            <w:r>
              <w:rPr>
                <w:spacing w:val="-6"/>
                <w:sz w:val="21"/>
              </w:rPr>
              <w:t>循环衰竭及呼吸停止。</w:t>
            </w:r>
          </w:p>
          <w:p>
            <w:pPr>
              <w:pStyle w:val="TableParagraph"/>
              <w:spacing w:line="168" w:lineRule="auto" w:before="2"/>
              <w:ind w:left="114" w:right="-44"/>
              <w:jc w:val="both"/>
              <w:rPr>
                <w:sz w:val="21"/>
              </w:rPr>
            </w:pPr>
            <w:r>
              <w:rPr>
                <w:spacing w:val="-8"/>
                <w:sz w:val="21"/>
              </w:rPr>
              <w:t>慢性影响：在生产中长期接触高浓度本品可引起鼻、眼、粘膜刺激症状，以及头</w:t>
            </w:r>
            <w:r>
              <w:rPr>
                <w:spacing w:val="-12"/>
                <w:sz w:val="21"/>
              </w:rPr>
              <w:t>痛、头晕、疲乏、易激动、震颤、恶心等。长期酗酒可引起多发性神经病、慢性</w:t>
            </w:r>
            <w:r>
              <w:rPr>
                <w:spacing w:val="-17"/>
                <w:sz w:val="21"/>
              </w:rPr>
              <w:t>胃炎、脂肪肝、肝硬化、心肌损害及器质性精神病等。皮肤长期接触可引起干燥、</w:t>
            </w:r>
          </w:p>
          <w:p>
            <w:pPr>
              <w:pStyle w:val="TableParagraph"/>
              <w:spacing w:line="278" w:lineRule="exact"/>
              <w:ind w:left="114"/>
              <w:jc w:val="both"/>
              <w:rPr>
                <w:sz w:val="21"/>
              </w:rPr>
            </w:pPr>
            <w:r>
              <w:rPr>
                <w:sz w:val="21"/>
              </w:rPr>
              <w:t>脱屑、皲裂和皮炎。</w:t>
            </w:r>
          </w:p>
        </w:tc>
      </w:tr>
      <w:tr>
        <w:trPr>
          <w:trHeight w:val="1871" w:hRule="atLeast"/>
        </w:trPr>
        <w:tc>
          <w:tcPr>
            <w:tcW w:w="1037"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0"/>
              </w:rPr>
            </w:pPr>
          </w:p>
          <w:p>
            <w:pPr>
              <w:pStyle w:val="TableParagraph"/>
              <w:spacing w:line="168" w:lineRule="auto" w:before="1"/>
              <w:ind w:left="359" w:right="177" w:hanging="159"/>
              <w:jc w:val="left"/>
              <w:rPr>
                <w:sz w:val="21"/>
              </w:rPr>
            </w:pPr>
            <w:r>
              <w:rPr>
                <w:sz w:val="21"/>
              </w:rPr>
              <w:t>毒理学资料</w:t>
            </w:r>
          </w:p>
        </w:tc>
        <w:tc>
          <w:tcPr>
            <w:tcW w:w="7494" w:type="dxa"/>
            <w:gridSpan w:val="5"/>
            <w:tcBorders>
              <w:top w:val="single" w:sz="6" w:space="0" w:color="000000"/>
              <w:left w:val="single" w:sz="6" w:space="0" w:color="000000"/>
            </w:tcBorders>
          </w:tcPr>
          <w:p>
            <w:pPr>
              <w:pStyle w:val="TableParagraph"/>
              <w:spacing w:line="300" w:lineRule="exact"/>
              <w:ind w:left="114"/>
              <w:jc w:val="left"/>
              <w:rPr>
                <w:sz w:val="21"/>
              </w:rPr>
            </w:pPr>
            <w:r>
              <w:rPr>
                <w:sz w:val="21"/>
              </w:rPr>
              <w:t>毒性：属微毒类。</w:t>
            </w:r>
          </w:p>
          <w:p>
            <w:pPr>
              <w:pStyle w:val="TableParagraph"/>
              <w:spacing w:line="165" w:lineRule="auto" w:before="35"/>
              <w:ind w:left="114" w:right="76" w:firstLine="52"/>
              <w:jc w:val="both"/>
              <w:rPr>
                <w:sz w:val="21"/>
              </w:rPr>
            </w:pPr>
            <w:r>
              <w:rPr>
                <w:spacing w:val="-3"/>
                <w:position w:val="2"/>
                <w:sz w:val="21"/>
              </w:rPr>
              <w:t>急性毒性：</w:t>
            </w:r>
            <w:r>
              <w:rPr>
                <w:rFonts w:ascii="Times New Roman" w:hAnsi="Times New Roman" w:eastAsia="Times New Roman"/>
                <w:spacing w:val="-1"/>
                <w:position w:val="2"/>
                <w:sz w:val="21"/>
              </w:rPr>
              <w:t>LD</w:t>
            </w:r>
            <w:r>
              <w:rPr>
                <w:rFonts w:ascii="Times New Roman" w:hAnsi="Times New Roman" w:eastAsia="Times New Roman"/>
                <w:spacing w:val="-1"/>
                <w:sz w:val="14"/>
              </w:rPr>
              <w:t>50</w:t>
            </w:r>
            <w:r>
              <w:rPr>
                <w:rFonts w:ascii="Times New Roman" w:hAnsi="Times New Roman" w:eastAsia="Times New Roman"/>
                <w:spacing w:val="-1"/>
                <w:position w:val="2"/>
                <w:sz w:val="21"/>
              </w:rPr>
              <w:t>7060mg/kg(</w:t>
            </w:r>
            <w:r>
              <w:rPr>
                <w:spacing w:val="-2"/>
                <w:position w:val="2"/>
                <w:sz w:val="21"/>
              </w:rPr>
              <w:t>兔经口</w:t>
            </w:r>
            <w:r>
              <w:rPr>
                <w:rFonts w:ascii="Times New Roman" w:hAnsi="Times New Roman" w:eastAsia="Times New Roman"/>
                <w:spacing w:val="-1"/>
                <w:position w:val="2"/>
                <w:sz w:val="21"/>
              </w:rPr>
              <w:t>)</w:t>
            </w:r>
            <w:r>
              <w:rPr>
                <w:spacing w:val="-1"/>
                <w:position w:val="2"/>
                <w:sz w:val="21"/>
              </w:rPr>
              <w:t>；</w:t>
            </w:r>
            <w:r>
              <w:rPr>
                <w:rFonts w:ascii="Times New Roman" w:hAnsi="Times New Roman" w:eastAsia="Times New Roman"/>
                <w:spacing w:val="-1"/>
                <w:position w:val="2"/>
                <w:sz w:val="21"/>
              </w:rPr>
              <w:t>7340mg/kg(</w:t>
            </w:r>
            <w:r>
              <w:rPr>
                <w:spacing w:val="-2"/>
                <w:position w:val="2"/>
                <w:sz w:val="21"/>
              </w:rPr>
              <w:t>兔经皮</w:t>
            </w:r>
            <w:r>
              <w:rPr>
                <w:rFonts w:ascii="Times New Roman" w:hAnsi="Times New Roman" w:eastAsia="Times New Roman"/>
                <w:spacing w:val="-1"/>
                <w:position w:val="2"/>
                <w:sz w:val="21"/>
              </w:rPr>
              <w:t>)</w:t>
            </w:r>
            <w:r>
              <w:rPr>
                <w:spacing w:val="-1"/>
                <w:position w:val="2"/>
                <w:sz w:val="21"/>
              </w:rPr>
              <w:t>；</w:t>
            </w:r>
            <w:r>
              <w:rPr>
                <w:rFonts w:ascii="Times New Roman" w:hAnsi="Times New Roman" w:eastAsia="Times New Roman"/>
                <w:spacing w:val="-1"/>
                <w:position w:val="2"/>
                <w:sz w:val="21"/>
              </w:rPr>
              <w:t>LC</w:t>
            </w:r>
            <w:r>
              <w:rPr>
                <w:rFonts w:ascii="Times New Roman" w:hAnsi="Times New Roman" w:eastAsia="Times New Roman"/>
                <w:spacing w:val="-1"/>
                <w:sz w:val="14"/>
              </w:rPr>
              <w:t>50</w:t>
            </w:r>
            <w:r>
              <w:rPr>
                <w:rFonts w:ascii="Times New Roman" w:hAnsi="Times New Roman" w:eastAsia="Times New Roman"/>
                <w:spacing w:val="-1"/>
                <w:position w:val="2"/>
                <w:sz w:val="21"/>
              </w:rPr>
              <w:t>37620mg/m</w:t>
            </w:r>
            <w:r>
              <w:rPr>
                <w:rFonts w:ascii="Times New Roman" w:hAnsi="Times New Roman" w:eastAsia="Times New Roman"/>
                <w:spacing w:val="-1"/>
                <w:position w:val="2"/>
                <w:sz w:val="21"/>
                <w:vertAlign w:val="superscript"/>
              </w:rPr>
              <w:t>3</w:t>
            </w:r>
            <w:r>
              <w:rPr>
                <w:spacing w:val="-1"/>
                <w:position w:val="2"/>
                <w:sz w:val="21"/>
                <w:vertAlign w:val="baseline"/>
              </w:rPr>
              <w:t>，</w:t>
            </w:r>
            <w:r>
              <w:rPr>
                <w:rFonts w:ascii="Times New Roman" w:hAnsi="Times New Roman" w:eastAsia="Times New Roman"/>
                <w:spacing w:val="-1"/>
                <w:position w:val="2"/>
                <w:sz w:val="21"/>
                <w:vertAlign w:val="baseline"/>
              </w:rPr>
              <w:t>10 </w:t>
            </w:r>
            <w:r>
              <w:rPr>
                <w:sz w:val="21"/>
                <w:vertAlign w:val="baseline"/>
              </w:rPr>
              <w:t>小时</w:t>
            </w:r>
            <w:r>
              <w:rPr>
                <w:rFonts w:ascii="Times New Roman" w:hAnsi="Times New Roman" w:eastAsia="Times New Roman"/>
                <w:sz w:val="21"/>
                <w:vertAlign w:val="baseline"/>
              </w:rPr>
              <w:t>(</w:t>
            </w:r>
            <w:r>
              <w:rPr>
                <w:spacing w:val="-3"/>
                <w:sz w:val="21"/>
                <w:vertAlign w:val="baseline"/>
              </w:rPr>
              <w:t>大鼠吸入</w:t>
            </w:r>
            <w:r>
              <w:rPr>
                <w:rFonts w:ascii="Times New Roman" w:hAnsi="Times New Roman" w:eastAsia="Times New Roman"/>
                <w:sz w:val="21"/>
                <w:vertAlign w:val="baseline"/>
              </w:rPr>
              <w:t>)</w:t>
            </w:r>
            <w:r>
              <w:rPr>
                <w:spacing w:val="4"/>
                <w:sz w:val="21"/>
                <w:vertAlign w:val="baseline"/>
              </w:rPr>
              <w:t>；人吸入 </w:t>
            </w:r>
            <w:r>
              <w:rPr>
                <w:rFonts w:ascii="Times New Roman" w:hAnsi="Times New Roman" w:eastAsia="Times New Roman"/>
                <w:spacing w:val="-4"/>
                <w:sz w:val="21"/>
                <w:vertAlign w:val="baseline"/>
              </w:rPr>
              <w:t>4.3mg/L×50 </w:t>
            </w:r>
            <w:r>
              <w:rPr>
                <w:spacing w:val="-3"/>
                <w:sz w:val="21"/>
                <w:vertAlign w:val="baseline"/>
              </w:rPr>
              <w:t>分钟，头面部发热，四肢发凉，头痛；人</w:t>
            </w:r>
            <w:r>
              <w:rPr>
                <w:spacing w:val="-1"/>
                <w:sz w:val="21"/>
                <w:vertAlign w:val="baseline"/>
              </w:rPr>
              <w:t>吸入 </w:t>
            </w:r>
            <w:r>
              <w:rPr>
                <w:rFonts w:ascii="Times New Roman" w:hAnsi="Times New Roman" w:eastAsia="Times New Roman"/>
                <w:spacing w:val="-4"/>
                <w:sz w:val="21"/>
                <w:vertAlign w:val="baseline"/>
              </w:rPr>
              <w:t>2.6mg/L×39 </w:t>
            </w:r>
            <w:r>
              <w:rPr>
                <w:spacing w:val="-3"/>
                <w:sz w:val="21"/>
                <w:vertAlign w:val="baseline"/>
              </w:rPr>
              <w:t>分钟，头痛，无后作用。</w:t>
            </w:r>
          </w:p>
          <w:p>
            <w:pPr>
              <w:pStyle w:val="TableParagraph"/>
              <w:spacing w:line="291" w:lineRule="exact"/>
              <w:ind w:left="167"/>
              <w:jc w:val="both"/>
              <w:rPr>
                <w:sz w:val="21"/>
              </w:rPr>
            </w:pPr>
            <w:r>
              <w:rPr>
                <w:sz w:val="21"/>
              </w:rPr>
              <w:t>刺激性：家兔经眼：</w:t>
            </w:r>
            <w:r>
              <w:rPr>
                <w:rFonts w:ascii="Times New Roman" w:eastAsia="Times New Roman"/>
                <w:sz w:val="21"/>
              </w:rPr>
              <w:t>500mg</w:t>
            </w:r>
            <w:r>
              <w:rPr>
                <w:sz w:val="21"/>
              </w:rPr>
              <w:t>，重度刺激。家兔经皮开放性刺激试验：</w:t>
            </w:r>
            <w:r>
              <w:rPr>
                <w:rFonts w:ascii="Times New Roman" w:eastAsia="Times New Roman"/>
                <w:sz w:val="21"/>
              </w:rPr>
              <w:t>15mg/24 </w:t>
            </w:r>
            <w:r>
              <w:rPr>
                <w:sz w:val="21"/>
              </w:rPr>
              <w:t>小</w:t>
            </w:r>
          </w:p>
          <w:p>
            <w:pPr>
              <w:pStyle w:val="TableParagraph"/>
              <w:spacing w:line="303" w:lineRule="exact"/>
              <w:ind w:left="114"/>
              <w:jc w:val="both"/>
              <w:rPr>
                <w:sz w:val="21"/>
              </w:rPr>
            </w:pPr>
            <w:r>
              <w:rPr>
                <w:sz w:val="21"/>
              </w:rPr>
              <w:t>时，轻度刺激。</w:t>
            </w:r>
          </w:p>
        </w:tc>
      </w:tr>
    </w:tbl>
    <w:p>
      <w:pPr>
        <w:spacing w:after="0" w:line="303" w:lineRule="exact"/>
        <w:jc w:val="both"/>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7"/>
        <w:gridCol w:w="1191"/>
        <w:gridCol w:w="6301"/>
      </w:tblGrid>
      <w:tr>
        <w:trPr>
          <w:trHeight w:val="935" w:hRule="atLeast"/>
        </w:trPr>
        <w:tc>
          <w:tcPr>
            <w:tcW w:w="1037" w:type="dxa"/>
            <w:tcBorders>
              <w:bottom w:val="single" w:sz="6" w:space="0" w:color="000000"/>
              <w:right w:val="single" w:sz="6" w:space="0" w:color="000000"/>
            </w:tcBorders>
          </w:tcPr>
          <w:p>
            <w:pPr>
              <w:pStyle w:val="TableParagraph"/>
              <w:jc w:val="left"/>
              <w:rPr>
                <w:rFonts w:ascii="Times New Roman"/>
                <w:sz w:val="20"/>
              </w:rPr>
            </w:pPr>
          </w:p>
        </w:tc>
        <w:tc>
          <w:tcPr>
            <w:tcW w:w="7492" w:type="dxa"/>
            <w:gridSpan w:val="2"/>
            <w:tcBorders>
              <w:left w:val="single" w:sz="6" w:space="0" w:color="000000"/>
              <w:bottom w:val="single" w:sz="6" w:space="0" w:color="000000"/>
            </w:tcBorders>
          </w:tcPr>
          <w:p>
            <w:pPr>
              <w:pStyle w:val="TableParagraph"/>
              <w:spacing w:line="302" w:lineRule="exact"/>
              <w:ind w:left="114"/>
              <w:jc w:val="left"/>
              <w:rPr>
                <w:sz w:val="21"/>
              </w:rPr>
            </w:pPr>
            <w:r>
              <w:rPr>
                <w:sz w:val="21"/>
              </w:rPr>
              <w:t>亚急性和慢性毒性：大鼠经口 </w:t>
            </w:r>
            <w:r>
              <w:rPr>
                <w:rFonts w:ascii="Times New Roman" w:hAnsi="Times New Roman" w:eastAsia="Times New Roman"/>
                <w:sz w:val="21"/>
              </w:rPr>
              <w:t>10.2g/(kg·</w:t>
            </w:r>
            <w:r>
              <w:rPr>
                <w:sz w:val="21"/>
              </w:rPr>
              <w:t>天</w:t>
            </w:r>
            <w:r>
              <w:rPr>
                <w:rFonts w:ascii="Times New Roman" w:hAnsi="Times New Roman" w:eastAsia="Times New Roman"/>
                <w:sz w:val="21"/>
              </w:rPr>
              <w:t>)</w:t>
            </w:r>
            <w:r>
              <w:rPr>
                <w:sz w:val="21"/>
              </w:rPr>
              <w:t>，</w:t>
            </w:r>
            <w:r>
              <w:rPr>
                <w:rFonts w:ascii="Times New Roman" w:hAnsi="Times New Roman" w:eastAsia="Times New Roman"/>
                <w:sz w:val="21"/>
              </w:rPr>
              <w:t>12 </w:t>
            </w:r>
            <w:r>
              <w:rPr>
                <w:sz w:val="21"/>
              </w:rPr>
              <w:t>周，体重下降，脂肪肝。</w:t>
            </w:r>
          </w:p>
          <w:p>
            <w:pPr>
              <w:pStyle w:val="TableParagraph"/>
              <w:spacing w:line="311" w:lineRule="exact"/>
              <w:ind w:left="114"/>
              <w:jc w:val="left"/>
              <w:rPr>
                <w:sz w:val="21"/>
              </w:rPr>
            </w:pPr>
            <w:r>
              <w:rPr>
                <w:sz w:val="21"/>
              </w:rPr>
              <w:t>致突变性：微生物致突变：鼠伤寒沙门氏菌阴性。显性致死试验：小鼠经口 </w:t>
            </w:r>
            <w:r>
              <w:rPr>
                <w:rFonts w:ascii="Times New Roman" w:eastAsia="Times New Roman"/>
                <w:sz w:val="21"/>
              </w:rPr>
              <w:t>1</w:t>
            </w:r>
            <w:r>
              <w:rPr>
                <w:sz w:val="21"/>
              </w:rPr>
              <w:t>～</w:t>
            </w:r>
          </w:p>
          <w:p>
            <w:pPr>
              <w:pStyle w:val="TableParagraph"/>
              <w:spacing w:line="303" w:lineRule="exact"/>
              <w:ind w:left="114"/>
              <w:jc w:val="left"/>
              <w:rPr>
                <w:sz w:val="21"/>
              </w:rPr>
            </w:pPr>
            <w:r>
              <w:rPr>
                <w:rFonts w:ascii="Times New Roman" w:hAnsi="Times New Roman" w:eastAsia="Times New Roman"/>
                <w:sz w:val="21"/>
              </w:rPr>
              <w:t>1.5g/(kg·</w:t>
            </w:r>
            <w:r>
              <w:rPr>
                <w:sz w:val="21"/>
              </w:rPr>
              <w:t>天</w:t>
            </w:r>
            <w:r>
              <w:rPr>
                <w:rFonts w:ascii="Times New Roman" w:hAnsi="Times New Roman" w:eastAsia="Times New Roman"/>
                <w:sz w:val="21"/>
              </w:rPr>
              <w:t>),2 </w:t>
            </w:r>
            <w:r>
              <w:rPr>
                <w:sz w:val="21"/>
              </w:rPr>
              <w:t>周</w:t>
            </w:r>
            <w:r>
              <w:rPr>
                <w:rFonts w:ascii="Times New Roman" w:hAnsi="Times New Roman" w:eastAsia="Times New Roman"/>
                <w:sz w:val="21"/>
              </w:rPr>
              <w:t>,</w:t>
            </w:r>
            <w:r>
              <w:rPr>
                <w:sz w:val="21"/>
              </w:rPr>
              <w:t>阳性。</w:t>
            </w:r>
          </w:p>
        </w:tc>
      </w:tr>
      <w:tr>
        <w:trPr>
          <w:trHeight w:val="625" w:hRule="atLeast"/>
        </w:trPr>
        <w:tc>
          <w:tcPr>
            <w:tcW w:w="1037" w:type="dxa"/>
            <w:vMerge w:val="restart"/>
            <w:tcBorders>
              <w:top w:val="single" w:sz="6" w:space="0" w:color="000000"/>
              <w:bottom w:val="single" w:sz="6" w:space="0" w:color="000000"/>
              <w:right w:val="single" w:sz="6" w:space="0" w:color="000000"/>
            </w:tcBorders>
          </w:tcPr>
          <w:p>
            <w:pPr>
              <w:pStyle w:val="TableParagraph"/>
              <w:spacing w:before="5"/>
              <w:jc w:val="left"/>
              <w:rPr>
                <w:sz w:val="24"/>
              </w:rPr>
            </w:pPr>
          </w:p>
          <w:p>
            <w:pPr>
              <w:pStyle w:val="TableParagraph"/>
              <w:spacing w:line="168" w:lineRule="auto"/>
              <w:ind w:left="306" w:right="283"/>
              <w:jc w:val="both"/>
              <w:rPr>
                <w:sz w:val="21"/>
              </w:rPr>
            </w:pPr>
            <w:r>
              <w:rPr>
                <w:sz w:val="21"/>
              </w:rPr>
              <w:t>安全防护措施</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14"/>
              <w:jc w:val="left"/>
              <w:rPr>
                <w:sz w:val="21"/>
              </w:rPr>
            </w:pPr>
            <w:r>
              <w:rPr>
                <w:sz w:val="21"/>
              </w:rPr>
              <w:t>呼 吸 防 护</w:t>
            </w:r>
          </w:p>
          <w:p>
            <w:pPr>
              <w:pStyle w:val="TableParagraph"/>
              <w:spacing w:line="303" w:lineRule="exact"/>
              <w:ind w:left="114"/>
              <w:jc w:val="left"/>
              <w:rPr>
                <w:sz w:val="21"/>
              </w:rPr>
            </w:pPr>
            <w:r>
              <w:rPr>
                <w:sz w:val="21"/>
              </w:rPr>
              <w:t>系统</w:t>
            </w:r>
          </w:p>
        </w:tc>
        <w:tc>
          <w:tcPr>
            <w:tcW w:w="6301" w:type="dxa"/>
            <w:tcBorders>
              <w:top w:val="single" w:sz="6" w:space="0" w:color="000000"/>
              <w:left w:val="single" w:sz="6" w:space="0" w:color="000000"/>
              <w:bottom w:val="single" w:sz="6" w:space="0" w:color="000000"/>
            </w:tcBorders>
          </w:tcPr>
          <w:p>
            <w:pPr>
              <w:pStyle w:val="TableParagraph"/>
              <w:spacing w:line="369" w:lineRule="exact"/>
              <w:ind w:left="114" w:right="-44"/>
              <w:jc w:val="left"/>
              <w:rPr>
                <w:sz w:val="21"/>
              </w:rPr>
            </w:pPr>
            <w:r>
              <w:rPr>
                <w:spacing w:val="-7"/>
                <w:sz w:val="21"/>
              </w:rPr>
              <w:t>一般不需要特殊防护，高浓度接触时可佩戴滤式防毒面罩</w:t>
            </w:r>
            <w:r>
              <w:rPr>
                <w:rFonts w:ascii="Times New Roman" w:eastAsia="Times New Roman"/>
                <w:spacing w:val="-4"/>
                <w:sz w:val="21"/>
              </w:rPr>
              <w:t>(</w:t>
            </w:r>
            <w:r>
              <w:rPr>
                <w:spacing w:val="-2"/>
                <w:sz w:val="21"/>
              </w:rPr>
              <w:t>半面罩</w:t>
            </w:r>
            <w:r>
              <w:rPr>
                <w:rFonts w:ascii="Times New Roman" w:eastAsia="Times New Roman"/>
                <w:spacing w:val="-4"/>
                <w:sz w:val="21"/>
              </w:rPr>
              <w:t>)</w:t>
            </w:r>
            <w:r>
              <w:rPr>
                <w:sz w:val="21"/>
              </w:rPr>
              <w:t>。</w:t>
            </w:r>
          </w:p>
        </w:tc>
      </w:tr>
      <w:tr>
        <w:trPr>
          <w:trHeight w:val="311" w:hRule="atLeast"/>
        </w:trPr>
        <w:tc>
          <w:tcPr>
            <w:tcW w:w="1037" w:type="dxa"/>
            <w:vMerge/>
            <w:tcBorders>
              <w:top w:val="nil"/>
              <w:bottom w:val="single" w:sz="6" w:space="0" w:color="000000"/>
              <w:right w:val="single" w:sz="6" w:space="0" w:color="000000"/>
            </w:tcBorders>
          </w:tcPr>
          <w:p>
            <w:pPr>
              <w:rPr>
                <w:sz w:val="2"/>
                <w:szCs w:val="2"/>
              </w:rPr>
            </w:pP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4"/>
              <w:jc w:val="left"/>
              <w:rPr>
                <w:sz w:val="21"/>
              </w:rPr>
            </w:pPr>
            <w:r>
              <w:rPr>
                <w:sz w:val="21"/>
              </w:rPr>
              <w:t>眼睛防护</w:t>
            </w:r>
          </w:p>
        </w:tc>
        <w:tc>
          <w:tcPr>
            <w:tcW w:w="6301" w:type="dxa"/>
            <w:tcBorders>
              <w:top w:val="single" w:sz="6" w:space="0" w:color="000000"/>
              <w:left w:val="single" w:sz="6" w:space="0" w:color="000000"/>
              <w:bottom w:val="single" w:sz="6" w:space="0" w:color="000000"/>
            </w:tcBorders>
          </w:tcPr>
          <w:p>
            <w:pPr>
              <w:pStyle w:val="TableParagraph"/>
              <w:spacing w:line="291" w:lineRule="exact"/>
              <w:ind w:left="114"/>
              <w:jc w:val="left"/>
              <w:rPr>
                <w:sz w:val="21"/>
              </w:rPr>
            </w:pPr>
            <w:r>
              <w:rPr>
                <w:sz w:val="21"/>
              </w:rPr>
              <w:t>一般不需特殊防护。</w:t>
            </w:r>
          </w:p>
        </w:tc>
      </w:tr>
      <w:tr>
        <w:trPr>
          <w:trHeight w:val="311" w:hRule="atLeast"/>
        </w:trPr>
        <w:tc>
          <w:tcPr>
            <w:tcW w:w="1037" w:type="dxa"/>
            <w:vMerge/>
            <w:tcBorders>
              <w:top w:val="nil"/>
              <w:bottom w:val="single" w:sz="6" w:space="0" w:color="000000"/>
              <w:right w:val="single" w:sz="6" w:space="0" w:color="000000"/>
            </w:tcBorders>
          </w:tcPr>
          <w:p>
            <w:pPr>
              <w:rPr>
                <w:sz w:val="2"/>
                <w:szCs w:val="2"/>
              </w:rPr>
            </w:pP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4"/>
              <w:jc w:val="left"/>
              <w:rPr>
                <w:sz w:val="21"/>
              </w:rPr>
            </w:pPr>
            <w:r>
              <w:rPr>
                <w:sz w:val="21"/>
              </w:rPr>
              <w:t>身体防护</w:t>
            </w:r>
          </w:p>
        </w:tc>
        <w:tc>
          <w:tcPr>
            <w:tcW w:w="6301" w:type="dxa"/>
            <w:tcBorders>
              <w:top w:val="single" w:sz="6" w:space="0" w:color="000000"/>
              <w:left w:val="single" w:sz="6" w:space="0" w:color="000000"/>
              <w:bottom w:val="single" w:sz="6" w:space="0" w:color="000000"/>
            </w:tcBorders>
          </w:tcPr>
          <w:p>
            <w:pPr>
              <w:pStyle w:val="TableParagraph"/>
              <w:spacing w:line="291" w:lineRule="exact"/>
              <w:ind w:left="114"/>
              <w:jc w:val="left"/>
              <w:rPr>
                <w:sz w:val="21"/>
              </w:rPr>
            </w:pPr>
            <w:r>
              <w:rPr>
                <w:sz w:val="21"/>
              </w:rPr>
              <w:t>穿防静电工作服。</w:t>
            </w:r>
          </w:p>
        </w:tc>
      </w:tr>
      <w:tr>
        <w:trPr>
          <w:trHeight w:val="311" w:hRule="atLeast"/>
        </w:trPr>
        <w:tc>
          <w:tcPr>
            <w:tcW w:w="1037" w:type="dxa"/>
            <w:vMerge/>
            <w:tcBorders>
              <w:top w:val="nil"/>
              <w:bottom w:val="single" w:sz="6" w:space="0" w:color="000000"/>
              <w:right w:val="single" w:sz="6" w:space="0" w:color="000000"/>
            </w:tcBorders>
          </w:tcPr>
          <w:p>
            <w:pPr>
              <w:rPr>
                <w:sz w:val="2"/>
                <w:szCs w:val="2"/>
              </w:rPr>
            </w:pP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4"/>
              <w:jc w:val="left"/>
              <w:rPr>
                <w:sz w:val="21"/>
              </w:rPr>
            </w:pPr>
            <w:r>
              <w:rPr>
                <w:sz w:val="21"/>
              </w:rPr>
              <w:t>手防护</w:t>
            </w:r>
          </w:p>
        </w:tc>
        <w:tc>
          <w:tcPr>
            <w:tcW w:w="6301" w:type="dxa"/>
            <w:tcBorders>
              <w:top w:val="single" w:sz="6" w:space="0" w:color="000000"/>
              <w:left w:val="single" w:sz="6" w:space="0" w:color="000000"/>
              <w:bottom w:val="single" w:sz="6" w:space="0" w:color="000000"/>
            </w:tcBorders>
          </w:tcPr>
          <w:p>
            <w:pPr>
              <w:pStyle w:val="TableParagraph"/>
              <w:spacing w:line="291" w:lineRule="exact"/>
              <w:ind w:left="114"/>
              <w:jc w:val="left"/>
              <w:rPr>
                <w:sz w:val="21"/>
              </w:rPr>
            </w:pPr>
            <w:r>
              <w:rPr>
                <w:sz w:val="21"/>
              </w:rPr>
              <w:t>戴一般作业防护手套。</w:t>
            </w:r>
          </w:p>
        </w:tc>
      </w:tr>
      <w:tr>
        <w:trPr>
          <w:trHeight w:val="313" w:hRule="atLeast"/>
        </w:trPr>
        <w:tc>
          <w:tcPr>
            <w:tcW w:w="1037" w:type="dxa"/>
            <w:vMerge/>
            <w:tcBorders>
              <w:top w:val="nil"/>
              <w:bottom w:val="single" w:sz="6" w:space="0" w:color="000000"/>
              <w:right w:val="single" w:sz="6" w:space="0" w:color="000000"/>
            </w:tcBorders>
          </w:tcPr>
          <w:p>
            <w:pPr>
              <w:rPr>
                <w:sz w:val="2"/>
                <w:szCs w:val="2"/>
              </w:rPr>
            </w:pP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14"/>
              <w:jc w:val="left"/>
              <w:rPr>
                <w:sz w:val="21"/>
              </w:rPr>
            </w:pPr>
            <w:r>
              <w:rPr>
                <w:sz w:val="21"/>
              </w:rPr>
              <w:t>其他</w:t>
            </w:r>
          </w:p>
        </w:tc>
        <w:tc>
          <w:tcPr>
            <w:tcW w:w="6301" w:type="dxa"/>
            <w:tcBorders>
              <w:top w:val="single" w:sz="6" w:space="0" w:color="000000"/>
              <w:left w:val="single" w:sz="6" w:space="0" w:color="000000"/>
              <w:bottom w:val="single" w:sz="6" w:space="0" w:color="000000"/>
            </w:tcBorders>
          </w:tcPr>
          <w:p>
            <w:pPr>
              <w:pStyle w:val="TableParagraph"/>
              <w:spacing w:line="294" w:lineRule="exact"/>
              <w:ind w:left="114"/>
              <w:jc w:val="left"/>
              <w:rPr>
                <w:sz w:val="21"/>
              </w:rPr>
            </w:pPr>
            <w:r>
              <w:rPr>
                <w:sz w:val="21"/>
              </w:rPr>
              <w:t>工作现场严禁吸烟。</w:t>
            </w:r>
          </w:p>
        </w:tc>
      </w:tr>
      <w:tr>
        <w:trPr>
          <w:trHeight w:val="543" w:hRule="atLeast"/>
        </w:trPr>
        <w:tc>
          <w:tcPr>
            <w:tcW w:w="1037" w:type="dxa"/>
            <w:tcBorders>
              <w:top w:val="single" w:sz="6" w:space="0" w:color="000000"/>
              <w:bottom w:val="nil"/>
              <w:right w:val="single" w:sz="6" w:space="0" w:color="000000"/>
            </w:tcBorders>
          </w:tcPr>
          <w:p>
            <w:pPr>
              <w:pStyle w:val="TableParagraph"/>
              <w:jc w:val="left"/>
              <w:rPr>
                <w:rFonts w:ascii="Times New Roman"/>
                <w:sz w:val="20"/>
              </w:rPr>
            </w:pPr>
          </w:p>
        </w:tc>
        <w:tc>
          <w:tcPr>
            <w:tcW w:w="119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6301" w:type="dxa"/>
            <w:tcBorders>
              <w:top w:val="single" w:sz="6" w:space="0" w:color="000000"/>
              <w:left w:val="single" w:sz="6" w:space="0" w:color="000000"/>
              <w:bottom w:val="nil"/>
            </w:tcBorders>
          </w:tcPr>
          <w:p>
            <w:pPr>
              <w:pStyle w:val="TableParagraph"/>
              <w:spacing w:line="258" w:lineRule="exact"/>
              <w:ind w:left="114"/>
              <w:jc w:val="left"/>
              <w:rPr>
                <w:sz w:val="21"/>
              </w:rPr>
            </w:pPr>
            <w:r>
              <w:rPr>
                <w:sz w:val="21"/>
              </w:rPr>
              <w:t>皮肤接触：脱去被污染的衣着，用流动清水冲洗。</w:t>
            </w:r>
          </w:p>
          <w:p>
            <w:pPr>
              <w:pStyle w:val="TableParagraph"/>
              <w:spacing w:line="265" w:lineRule="exact"/>
              <w:ind w:left="114"/>
              <w:jc w:val="left"/>
              <w:rPr>
                <w:sz w:val="21"/>
              </w:rPr>
            </w:pPr>
            <w:r>
              <w:rPr>
                <w:sz w:val="21"/>
              </w:rPr>
              <w:t>眼睛接触：提起眼睑，用流动清水或生理盐水冲洗。就医。</w:t>
            </w:r>
          </w:p>
        </w:tc>
      </w:tr>
      <w:tr>
        <w:trPr>
          <w:trHeight w:val="545" w:hRule="atLeast"/>
        </w:trPr>
        <w:tc>
          <w:tcPr>
            <w:tcW w:w="1037" w:type="dxa"/>
            <w:tcBorders>
              <w:top w:val="nil"/>
              <w:bottom w:val="nil"/>
              <w:right w:val="single" w:sz="6" w:space="0" w:color="000000"/>
            </w:tcBorders>
          </w:tcPr>
          <w:p>
            <w:pPr>
              <w:pStyle w:val="TableParagraph"/>
              <w:jc w:val="left"/>
              <w:rPr>
                <w:rFonts w:ascii="Times New Roman"/>
                <w:sz w:val="20"/>
              </w:rPr>
            </w:pPr>
          </w:p>
        </w:tc>
        <w:tc>
          <w:tcPr>
            <w:tcW w:w="1191" w:type="dxa"/>
            <w:tcBorders>
              <w:top w:val="nil"/>
              <w:left w:val="single" w:sz="6" w:space="0" w:color="000000"/>
              <w:bottom w:val="nil"/>
              <w:right w:val="single" w:sz="6" w:space="0" w:color="000000"/>
            </w:tcBorders>
          </w:tcPr>
          <w:p>
            <w:pPr>
              <w:pStyle w:val="TableParagraph"/>
              <w:spacing w:before="39"/>
              <w:ind w:left="114"/>
              <w:jc w:val="left"/>
              <w:rPr>
                <w:sz w:val="21"/>
              </w:rPr>
            </w:pPr>
            <w:r>
              <w:rPr>
                <w:sz w:val="21"/>
              </w:rPr>
              <w:t>急救措施</w:t>
            </w:r>
          </w:p>
        </w:tc>
        <w:tc>
          <w:tcPr>
            <w:tcW w:w="6301" w:type="dxa"/>
            <w:tcBorders>
              <w:top w:val="nil"/>
              <w:left w:val="single" w:sz="6" w:space="0" w:color="000000"/>
              <w:bottom w:val="nil"/>
            </w:tcBorders>
          </w:tcPr>
          <w:p>
            <w:pPr>
              <w:pStyle w:val="TableParagraph"/>
              <w:spacing w:line="260" w:lineRule="exact"/>
              <w:ind w:left="114"/>
              <w:jc w:val="left"/>
              <w:rPr>
                <w:sz w:val="21"/>
              </w:rPr>
            </w:pPr>
            <w:r>
              <w:rPr>
                <w:sz w:val="21"/>
              </w:rPr>
              <w:t>吸入：迅速脱离现场至空气新鲜处。就医。</w:t>
            </w:r>
          </w:p>
          <w:p>
            <w:pPr>
              <w:pStyle w:val="TableParagraph"/>
              <w:spacing w:line="265" w:lineRule="exact"/>
              <w:ind w:left="114"/>
              <w:jc w:val="left"/>
              <w:rPr>
                <w:sz w:val="21"/>
              </w:rPr>
            </w:pPr>
            <w:r>
              <w:rPr>
                <w:sz w:val="21"/>
              </w:rPr>
              <w:t>食入：饮足量温水，催吐，就医。</w:t>
            </w:r>
          </w:p>
        </w:tc>
      </w:tr>
      <w:tr>
        <w:trPr>
          <w:trHeight w:val="546" w:hRule="atLeast"/>
        </w:trPr>
        <w:tc>
          <w:tcPr>
            <w:tcW w:w="1037" w:type="dxa"/>
            <w:tcBorders>
              <w:top w:val="nil"/>
              <w:bottom w:val="nil"/>
              <w:right w:val="single" w:sz="6" w:space="0" w:color="000000"/>
            </w:tcBorders>
          </w:tcPr>
          <w:p>
            <w:pPr>
              <w:pStyle w:val="TableParagraph"/>
              <w:jc w:val="left"/>
              <w:rPr>
                <w:rFonts w:ascii="Times New Roman"/>
                <w:sz w:val="20"/>
              </w:rPr>
            </w:pPr>
          </w:p>
        </w:tc>
        <w:tc>
          <w:tcPr>
            <w:tcW w:w="119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6301" w:type="dxa"/>
            <w:tcBorders>
              <w:top w:val="nil"/>
              <w:left w:val="single" w:sz="6" w:space="0" w:color="000000"/>
              <w:bottom w:val="single" w:sz="6" w:space="0" w:color="000000"/>
            </w:tcBorders>
          </w:tcPr>
          <w:p>
            <w:pPr>
              <w:pStyle w:val="TableParagraph"/>
              <w:spacing w:line="260" w:lineRule="exact"/>
              <w:ind w:left="114"/>
              <w:jc w:val="left"/>
              <w:rPr>
                <w:sz w:val="21"/>
              </w:rPr>
            </w:pPr>
            <w:r>
              <w:rPr>
                <w:sz w:val="21"/>
              </w:rPr>
              <w:t>灭火方法：尽可能将容器从火场移至空旷处。喷水保持火场容器冷</w:t>
            </w:r>
          </w:p>
          <w:p>
            <w:pPr>
              <w:pStyle w:val="TableParagraph"/>
              <w:spacing w:line="266" w:lineRule="exact"/>
              <w:ind w:left="114" w:right="-44"/>
              <w:jc w:val="left"/>
              <w:rPr>
                <w:sz w:val="21"/>
              </w:rPr>
            </w:pPr>
            <w:r>
              <w:rPr>
                <w:spacing w:val="-11"/>
                <w:sz w:val="21"/>
              </w:rPr>
              <w:t>却，直至灭火结束。灭火剂：抗溶性泡沫、干粉、二氧化碳、砂土。</w:t>
            </w:r>
          </w:p>
        </w:tc>
      </w:tr>
      <w:tr>
        <w:trPr>
          <w:trHeight w:val="290" w:hRule="atLeast"/>
        </w:trPr>
        <w:tc>
          <w:tcPr>
            <w:tcW w:w="1037" w:type="dxa"/>
            <w:tcBorders>
              <w:top w:val="nil"/>
              <w:bottom w:val="nil"/>
              <w:right w:val="single" w:sz="6" w:space="0" w:color="000000"/>
            </w:tcBorders>
          </w:tcPr>
          <w:p>
            <w:pPr>
              <w:pStyle w:val="TableParagraph"/>
              <w:spacing w:line="271" w:lineRule="exact"/>
              <w:ind w:left="134" w:right="113"/>
              <w:rPr>
                <w:sz w:val="21"/>
              </w:rPr>
            </w:pPr>
            <w:r>
              <w:rPr>
                <w:sz w:val="21"/>
              </w:rPr>
              <w:t>应急</w:t>
            </w:r>
          </w:p>
        </w:tc>
        <w:tc>
          <w:tcPr>
            <w:tcW w:w="119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6301" w:type="dxa"/>
            <w:tcBorders>
              <w:top w:val="single" w:sz="6" w:space="0" w:color="000000"/>
              <w:left w:val="single" w:sz="6" w:space="0" w:color="000000"/>
              <w:bottom w:val="nil"/>
            </w:tcBorders>
          </w:tcPr>
          <w:p>
            <w:pPr>
              <w:pStyle w:val="TableParagraph"/>
              <w:spacing w:line="271" w:lineRule="exact"/>
              <w:ind w:left="114"/>
              <w:jc w:val="left"/>
              <w:rPr>
                <w:sz w:val="21"/>
              </w:rPr>
            </w:pPr>
            <w:r>
              <w:rPr>
                <w:sz w:val="21"/>
              </w:rPr>
              <w:t>迅速撤离泄漏污染区人员至安全区，并进行隔离，严格限制出入。</w:t>
            </w:r>
          </w:p>
        </w:tc>
      </w:tr>
      <w:tr>
        <w:trPr>
          <w:trHeight w:val="333" w:hRule="atLeast"/>
        </w:trPr>
        <w:tc>
          <w:tcPr>
            <w:tcW w:w="1037" w:type="dxa"/>
            <w:tcBorders>
              <w:top w:val="nil"/>
              <w:bottom w:val="nil"/>
              <w:right w:val="single" w:sz="6" w:space="0" w:color="000000"/>
            </w:tcBorders>
          </w:tcPr>
          <w:p>
            <w:pPr>
              <w:pStyle w:val="TableParagraph"/>
              <w:spacing w:line="314" w:lineRule="exact"/>
              <w:ind w:left="134" w:right="113"/>
              <w:rPr>
                <w:sz w:val="21"/>
              </w:rPr>
            </w:pPr>
            <w:r>
              <w:rPr>
                <w:sz w:val="21"/>
              </w:rPr>
              <w:t>措施</w:t>
            </w:r>
          </w:p>
        </w:tc>
        <w:tc>
          <w:tcPr>
            <w:tcW w:w="1191"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6301" w:type="dxa"/>
            <w:tcBorders>
              <w:top w:val="nil"/>
              <w:left w:val="single" w:sz="6" w:space="0" w:color="000000"/>
              <w:bottom w:val="nil"/>
            </w:tcBorders>
          </w:tcPr>
          <w:p>
            <w:pPr>
              <w:pStyle w:val="TableParagraph"/>
              <w:spacing w:line="314" w:lineRule="exact"/>
              <w:ind w:left="114" w:right="-44"/>
              <w:jc w:val="left"/>
              <w:rPr>
                <w:sz w:val="21"/>
              </w:rPr>
            </w:pPr>
            <w:r>
              <w:rPr>
                <w:spacing w:val="-12"/>
                <w:sz w:val="21"/>
              </w:rPr>
              <w:t>切断火源。建议应急处理人员戴自给正压式呼吸器，穿消防防护服。</w:t>
            </w:r>
          </w:p>
        </w:tc>
      </w:tr>
      <w:tr>
        <w:trPr>
          <w:trHeight w:val="312" w:hRule="atLeast"/>
        </w:trPr>
        <w:tc>
          <w:tcPr>
            <w:tcW w:w="1037" w:type="dxa"/>
            <w:tcBorders>
              <w:top w:val="nil"/>
              <w:bottom w:val="nil"/>
              <w:right w:val="single" w:sz="6" w:space="0" w:color="000000"/>
            </w:tcBorders>
          </w:tcPr>
          <w:p>
            <w:pPr>
              <w:pStyle w:val="TableParagraph"/>
              <w:jc w:val="left"/>
              <w:rPr>
                <w:rFonts w:ascii="Times New Roman"/>
                <w:sz w:val="20"/>
              </w:rPr>
            </w:pPr>
          </w:p>
        </w:tc>
        <w:tc>
          <w:tcPr>
            <w:tcW w:w="1191"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6301" w:type="dxa"/>
            <w:tcBorders>
              <w:top w:val="nil"/>
              <w:left w:val="single" w:sz="6" w:space="0" w:color="000000"/>
              <w:bottom w:val="nil"/>
            </w:tcBorders>
          </w:tcPr>
          <w:p>
            <w:pPr>
              <w:pStyle w:val="TableParagraph"/>
              <w:spacing w:line="292" w:lineRule="exact"/>
              <w:ind w:left="114"/>
              <w:jc w:val="left"/>
              <w:rPr>
                <w:sz w:val="21"/>
              </w:rPr>
            </w:pPr>
            <w:r>
              <w:rPr>
                <w:sz w:val="21"/>
              </w:rPr>
              <w:t>不要直接接触泄漏物。尽可能切断泄漏源，防止进入下水道、排洪</w:t>
            </w:r>
          </w:p>
        </w:tc>
      </w:tr>
      <w:tr>
        <w:trPr>
          <w:trHeight w:val="311" w:hRule="atLeast"/>
        </w:trPr>
        <w:tc>
          <w:tcPr>
            <w:tcW w:w="1037" w:type="dxa"/>
            <w:tcBorders>
              <w:top w:val="nil"/>
              <w:bottom w:val="nil"/>
              <w:right w:val="single" w:sz="6" w:space="0" w:color="000000"/>
            </w:tcBorders>
          </w:tcPr>
          <w:p>
            <w:pPr>
              <w:pStyle w:val="TableParagraph"/>
              <w:jc w:val="left"/>
              <w:rPr>
                <w:rFonts w:ascii="Times New Roman"/>
                <w:sz w:val="20"/>
              </w:rPr>
            </w:pPr>
          </w:p>
        </w:tc>
        <w:tc>
          <w:tcPr>
            <w:tcW w:w="1191" w:type="dxa"/>
            <w:tcBorders>
              <w:top w:val="nil"/>
              <w:left w:val="single" w:sz="6" w:space="0" w:color="000000"/>
              <w:bottom w:val="nil"/>
              <w:right w:val="single" w:sz="6" w:space="0" w:color="000000"/>
            </w:tcBorders>
          </w:tcPr>
          <w:p>
            <w:pPr>
              <w:pStyle w:val="TableParagraph"/>
              <w:spacing w:line="292" w:lineRule="exact"/>
              <w:ind w:left="114"/>
              <w:jc w:val="left"/>
              <w:rPr>
                <w:sz w:val="21"/>
              </w:rPr>
            </w:pPr>
            <w:r>
              <w:rPr>
                <w:sz w:val="21"/>
              </w:rPr>
              <w:t>泄漏措施</w:t>
            </w:r>
          </w:p>
        </w:tc>
        <w:tc>
          <w:tcPr>
            <w:tcW w:w="6301" w:type="dxa"/>
            <w:tcBorders>
              <w:top w:val="nil"/>
              <w:left w:val="single" w:sz="6" w:space="0" w:color="000000"/>
              <w:bottom w:val="nil"/>
            </w:tcBorders>
          </w:tcPr>
          <w:p>
            <w:pPr>
              <w:pStyle w:val="TableParagraph"/>
              <w:spacing w:line="292" w:lineRule="exact"/>
              <w:ind w:left="114"/>
              <w:jc w:val="left"/>
              <w:rPr>
                <w:sz w:val="21"/>
              </w:rPr>
            </w:pPr>
            <w:r>
              <w:rPr>
                <w:sz w:val="21"/>
              </w:rPr>
              <w:t>沟等限制性空间。小量泄漏：用砂土或其它不燃材料吸附或吸收。</w:t>
            </w:r>
          </w:p>
        </w:tc>
      </w:tr>
      <w:tr>
        <w:trPr>
          <w:trHeight w:val="311" w:hRule="atLeast"/>
        </w:trPr>
        <w:tc>
          <w:tcPr>
            <w:tcW w:w="1037" w:type="dxa"/>
            <w:tcBorders>
              <w:top w:val="nil"/>
              <w:bottom w:val="nil"/>
              <w:right w:val="single" w:sz="6" w:space="0" w:color="000000"/>
            </w:tcBorders>
          </w:tcPr>
          <w:p>
            <w:pPr>
              <w:pStyle w:val="TableParagraph"/>
              <w:jc w:val="left"/>
              <w:rPr>
                <w:rFonts w:ascii="Times New Roman"/>
                <w:sz w:val="20"/>
              </w:rPr>
            </w:pPr>
          </w:p>
        </w:tc>
        <w:tc>
          <w:tcPr>
            <w:tcW w:w="1191"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6301" w:type="dxa"/>
            <w:tcBorders>
              <w:top w:val="nil"/>
              <w:left w:val="single" w:sz="6" w:space="0" w:color="000000"/>
              <w:bottom w:val="nil"/>
            </w:tcBorders>
          </w:tcPr>
          <w:p>
            <w:pPr>
              <w:pStyle w:val="TableParagraph"/>
              <w:spacing w:line="292" w:lineRule="exact"/>
              <w:ind w:left="114"/>
              <w:jc w:val="left"/>
              <w:rPr>
                <w:sz w:val="21"/>
              </w:rPr>
            </w:pPr>
            <w:r>
              <w:rPr>
                <w:sz w:val="21"/>
              </w:rPr>
              <w:t>也可以用大量水冲洗，洗液稀释后放入废水系统。大量泄漏：构筑</w:t>
            </w:r>
          </w:p>
        </w:tc>
      </w:tr>
      <w:tr>
        <w:trPr>
          <w:trHeight w:val="312" w:hRule="atLeast"/>
        </w:trPr>
        <w:tc>
          <w:tcPr>
            <w:tcW w:w="1037" w:type="dxa"/>
            <w:tcBorders>
              <w:top w:val="nil"/>
              <w:bottom w:val="nil"/>
              <w:right w:val="single" w:sz="6" w:space="0" w:color="000000"/>
            </w:tcBorders>
          </w:tcPr>
          <w:p>
            <w:pPr>
              <w:pStyle w:val="TableParagraph"/>
              <w:jc w:val="left"/>
              <w:rPr>
                <w:rFonts w:ascii="Times New Roman"/>
                <w:sz w:val="20"/>
              </w:rPr>
            </w:pPr>
          </w:p>
        </w:tc>
        <w:tc>
          <w:tcPr>
            <w:tcW w:w="1191"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6301" w:type="dxa"/>
            <w:tcBorders>
              <w:top w:val="nil"/>
              <w:left w:val="single" w:sz="6" w:space="0" w:color="000000"/>
              <w:bottom w:val="nil"/>
            </w:tcBorders>
          </w:tcPr>
          <w:p>
            <w:pPr>
              <w:pStyle w:val="TableParagraph"/>
              <w:spacing w:line="292" w:lineRule="exact"/>
              <w:ind w:left="114"/>
              <w:jc w:val="left"/>
              <w:rPr>
                <w:sz w:val="21"/>
              </w:rPr>
            </w:pPr>
            <w:r>
              <w:rPr>
                <w:sz w:val="21"/>
              </w:rPr>
              <w:t>围堤或挖坑收容；用泡沫覆盖，降低蒸气灾害。用防爆泵转移至槽</w:t>
            </w:r>
          </w:p>
        </w:tc>
      </w:tr>
      <w:tr>
        <w:trPr>
          <w:trHeight w:val="311" w:hRule="atLeast"/>
        </w:trPr>
        <w:tc>
          <w:tcPr>
            <w:tcW w:w="1037" w:type="dxa"/>
            <w:tcBorders>
              <w:top w:val="nil"/>
              <w:bottom w:val="single" w:sz="6" w:space="0" w:color="000000"/>
              <w:right w:val="single" w:sz="6" w:space="0" w:color="000000"/>
            </w:tcBorders>
          </w:tcPr>
          <w:p>
            <w:pPr>
              <w:pStyle w:val="TableParagraph"/>
              <w:jc w:val="left"/>
              <w:rPr>
                <w:rFonts w:ascii="Times New Roman"/>
                <w:sz w:val="20"/>
              </w:rPr>
            </w:pPr>
          </w:p>
        </w:tc>
        <w:tc>
          <w:tcPr>
            <w:tcW w:w="119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6301" w:type="dxa"/>
            <w:tcBorders>
              <w:top w:val="nil"/>
              <w:left w:val="single" w:sz="6" w:space="0" w:color="000000"/>
              <w:bottom w:val="single" w:sz="6" w:space="0" w:color="000000"/>
            </w:tcBorders>
          </w:tcPr>
          <w:p>
            <w:pPr>
              <w:pStyle w:val="TableParagraph"/>
              <w:spacing w:line="291" w:lineRule="exact"/>
              <w:ind w:left="114"/>
              <w:jc w:val="left"/>
              <w:rPr>
                <w:sz w:val="21"/>
              </w:rPr>
            </w:pPr>
            <w:r>
              <w:rPr>
                <w:sz w:val="21"/>
              </w:rPr>
              <w:t>车或专用收集器内。回收或运至废物处理场所处置。</w:t>
            </w:r>
          </w:p>
        </w:tc>
      </w:tr>
      <w:tr>
        <w:trPr>
          <w:trHeight w:val="313" w:hRule="atLeast"/>
        </w:trPr>
        <w:tc>
          <w:tcPr>
            <w:tcW w:w="2228" w:type="dxa"/>
            <w:gridSpan w:val="2"/>
            <w:tcBorders>
              <w:top w:val="single" w:sz="6" w:space="0" w:color="000000"/>
              <w:right w:val="single" w:sz="6" w:space="0" w:color="000000"/>
            </w:tcBorders>
          </w:tcPr>
          <w:p>
            <w:pPr>
              <w:pStyle w:val="TableParagraph"/>
              <w:spacing w:line="294" w:lineRule="exact"/>
              <w:ind w:left="107"/>
              <w:jc w:val="left"/>
              <w:rPr>
                <w:sz w:val="21"/>
              </w:rPr>
            </w:pPr>
            <w:r>
              <w:rPr>
                <w:sz w:val="21"/>
              </w:rPr>
              <w:t>主要用途</w:t>
            </w:r>
          </w:p>
        </w:tc>
        <w:tc>
          <w:tcPr>
            <w:tcW w:w="6301" w:type="dxa"/>
            <w:tcBorders>
              <w:top w:val="single" w:sz="6" w:space="0" w:color="000000"/>
              <w:left w:val="single" w:sz="6" w:space="0" w:color="000000"/>
            </w:tcBorders>
          </w:tcPr>
          <w:p>
            <w:pPr>
              <w:pStyle w:val="TableParagraph"/>
              <w:spacing w:line="294" w:lineRule="exact"/>
              <w:ind w:left="114"/>
              <w:jc w:val="left"/>
              <w:rPr>
                <w:sz w:val="21"/>
              </w:rPr>
            </w:pPr>
            <w:r>
              <w:rPr>
                <w:sz w:val="21"/>
              </w:rPr>
              <w:t>用于制酒工业、有机合成、消毒以用作溶剂</w:t>
            </w:r>
          </w:p>
        </w:tc>
      </w:tr>
    </w:tbl>
    <w:p>
      <w:pPr>
        <w:pStyle w:val="BodyText"/>
        <w:spacing w:before="16"/>
        <w:rPr>
          <w:sz w:val="4"/>
        </w:rPr>
      </w:pPr>
    </w:p>
    <w:p>
      <w:pPr>
        <w:tabs>
          <w:tab w:pos="4243" w:val="left" w:leader="none"/>
        </w:tabs>
        <w:spacing w:line="423" w:lineRule="exact" w:before="0"/>
        <w:ind w:left="3228" w:right="0" w:firstLine="0"/>
        <w:jc w:val="left"/>
        <w:rPr>
          <w:sz w:val="21"/>
        </w:rPr>
      </w:pPr>
      <w:r>
        <w:rPr>
          <w:sz w:val="21"/>
        </w:rPr>
        <w:t>表</w:t>
      </w:r>
      <w:r>
        <w:rPr>
          <w:spacing w:val="5"/>
          <w:sz w:val="21"/>
        </w:rPr>
        <w:t> </w:t>
      </w:r>
      <w:r>
        <w:rPr>
          <w:rFonts w:ascii="Times New Roman" w:eastAsia="Times New Roman"/>
          <w:sz w:val="21"/>
        </w:rPr>
        <w:t>7.1-20</w:t>
        <w:tab/>
      </w:r>
      <w:r>
        <w:rPr>
          <w:sz w:val="21"/>
        </w:rPr>
        <w:t>氯</w:t>
      </w:r>
      <w:r>
        <w:rPr>
          <w:spacing w:val="-3"/>
          <w:sz w:val="21"/>
        </w:rPr>
        <w:t>乙</w:t>
      </w:r>
      <w:r>
        <w:rPr>
          <w:sz w:val="21"/>
        </w:rPr>
        <w:t>酸</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81603</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15" w:right="81"/>
              <w:rPr>
                <w:rFonts w:ascii="Times New Roman"/>
                <w:sz w:val="21"/>
              </w:rPr>
            </w:pPr>
            <w:r>
              <w:rPr>
                <w:rFonts w:ascii="Times New Roman"/>
                <w:sz w:val="21"/>
              </w:rPr>
              <w:t>79-11-8</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12" w:right="184"/>
              <w:rPr>
                <w:sz w:val="21"/>
              </w:rPr>
            </w:pPr>
            <w:r>
              <w:rPr>
                <w:sz w:val="21"/>
              </w:rPr>
              <w:t>氯乙酸</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6"/>
              <w:ind w:left="115" w:right="81"/>
              <w:rPr>
                <w:rFonts w:ascii="Times New Roman"/>
                <w:sz w:val="21"/>
              </w:rPr>
            </w:pPr>
            <w:r>
              <w:rPr>
                <w:rFonts w:ascii="Times New Roman"/>
                <w:sz w:val="21"/>
              </w:rPr>
              <w:t>Chloroacetic acid</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77"/>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77"/>
              <w:ind w:left="212" w:right="183"/>
              <w:rPr>
                <w:rFonts w:ascii="Times New Roman" w:eastAsia="Times New Roman"/>
                <w:sz w:val="21"/>
              </w:rPr>
            </w:pPr>
            <w:r>
              <w:rPr>
                <w:rFonts w:ascii="Times New Roman" w:eastAsia="Times New Roman"/>
                <w:sz w:val="21"/>
              </w:rPr>
              <w:t>20(</w:t>
            </w:r>
            <w:r>
              <w:rPr>
                <w:sz w:val="21"/>
              </w:rPr>
              <w:t>酸性腐蚀品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77"/>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02" w:lineRule="exact"/>
              <w:ind w:left="114"/>
              <w:jc w:val="left"/>
              <w:rPr>
                <w:sz w:val="21"/>
              </w:rPr>
            </w:pPr>
            <w:r>
              <w:rPr>
                <w:sz w:val="21"/>
              </w:rPr>
              <w:t>用于制农药和作有机合成中</w:t>
            </w:r>
          </w:p>
          <w:p>
            <w:pPr>
              <w:pStyle w:val="TableParagraph"/>
              <w:spacing w:line="278" w:lineRule="exact"/>
              <w:ind w:left="114"/>
              <w:jc w:val="left"/>
              <w:rPr>
                <w:sz w:val="21"/>
              </w:rPr>
            </w:pPr>
            <w:r>
              <w:rPr>
                <w:sz w:val="21"/>
              </w:rPr>
              <w:t>间体</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7" w:right="921"/>
              <w:rPr>
                <w:sz w:val="21"/>
              </w:rPr>
            </w:pPr>
            <w:r>
              <w:rPr>
                <w:sz w:val="21"/>
              </w:rPr>
              <w:t>吸入、食入、经皮吸收。</w:t>
            </w:r>
          </w:p>
        </w:tc>
      </w:tr>
      <w:tr>
        <w:trPr>
          <w:trHeight w:val="900"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left"/>
              <w:rPr>
                <w:sz w:val="21"/>
              </w:rPr>
            </w:pPr>
            <w:r>
              <w:rPr>
                <w:sz w:val="21"/>
              </w:rPr>
              <w:t>接触氯乙酸烟雾，可有眼部疼痛、流泪、羞明、结膜充血等症状及上呼吸道刺激症状。皮肤接触本品溶液后，出现水疱伴有剧痛，随后，水疱吸收，出现过度角化，</w:t>
            </w:r>
          </w:p>
          <w:p>
            <w:pPr>
              <w:pStyle w:val="TableParagraph"/>
              <w:spacing w:line="252" w:lineRule="exact"/>
              <w:ind w:left="114"/>
              <w:jc w:val="left"/>
              <w:rPr>
                <w:sz w:val="21"/>
              </w:rPr>
            </w:pPr>
            <w:r>
              <w:rPr>
                <w:sz w:val="21"/>
              </w:rPr>
              <w:t>经数次脱皮治愈。经常接触本品酸雾者有头痛、头晕现象。</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82"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76mg/kg(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255mg/kg(</w:t>
            </w:r>
            <w:r>
              <w:rPr>
                <w:position w:val="2"/>
                <w:sz w:val="21"/>
              </w:rPr>
              <w:t>小鼠经口</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180mg/m</w:t>
            </w:r>
            <w:r>
              <w:rPr>
                <w:rFonts w:ascii="Times New Roman" w:eastAsia="Times New Roman"/>
                <w:position w:val="2"/>
                <w:sz w:val="21"/>
                <w:vertAlign w:val="superscript"/>
              </w:rPr>
              <w:t>3</w:t>
            </w:r>
            <w:r>
              <w:rPr>
                <w:rFonts w:ascii="Times New Roman" w:eastAsia="Times New Roman"/>
                <w:position w:val="2"/>
                <w:sz w:val="21"/>
                <w:vertAlign w:val="baseline"/>
              </w:rPr>
              <w:t>(</w:t>
            </w:r>
            <w:r>
              <w:rPr>
                <w:position w:val="2"/>
                <w:sz w:val="21"/>
                <w:vertAlign w:val="baseline"/>
              </w:rPr>
              <w:t>大鼠吸入</w:t>
            </w:r>
            <w:r>
              <w:rPr>
                <w:rFonts w:ascii="Times New Roman" w:eastAsia="Times New Roman"/>
                <w:position w:val="2"/>
                <w:sz w:val="21"/>
                <w:vertAlign w:val="baseline"/>
              </w:rPr>
              <w:t>)</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114"/>
              <w:jc w:val="left"/>
              <w:rPr>
                <w:sz w:val="21"/>
              </w:rPr>
            </w:pPr>
            <w:r>
              <w:rPr>
                <w:sz w:val="21"/>
              </w:rPr>
              <w:t>遇明火、高热可燃。与强氧化剂可发生反应。受高热分解产生有毒的腐蚀性气体。</w:t>
            </w:r>
          </w:p>
        </w:tc>
      </w:tr>
      <w:tr>
        <w:trPr>
          <w:trHeight w:val="1199" w:hRule="atLeast"/>
        </w:trPr>
        <w:tc>
          <w:tcPr>
            <w:tcW w:w="1188" w:type="dxa"/>
            <w:tcBorders>
              <w:top w:val="single" w:sz="6" w:space="0" w:color="000000"/>
              <w:bottom w:val="single" w:sz="6" w:space="0" w:color="000000"/>
              <w:right w:val="single" w:sz="6" w:space="0" w:color="000000"/>
            </w:tcBorders>
          </w:tcPr>
          <w:p>
            <w:pPr>
              <w:pStyle w:val="TableParagraph"/>
              <w:spacing w:before="13"/>
              <w:jc w:val="left"/>
              <w:rPr>
                <w:sz w:val="15"/>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44"/>
              <w:jc w:val="both"/>
              <w:rPr>
                <w:sz w:val="21"/>
              </w:rPr>
            </w:pPr>
            <w:r>
              <w:rPr>
                <w:spacing w:val="-9"/>
                <w:sz w:val="21"/>
              </w:rPr>
              <w:t>隔离泄漏污染区，限制出入。建议应急处理人员戴自给式呼吸器，穿防酸碱工作服。不要直接接触泄漏物，用洁清的铲子收集于干燥净洁有盖的容器中，运至废物处理场所。也可以用大量水冲洗，经稀释的洗水放入废水系统。大量泄漏，收集回收或</w:t>
            </w:r>
          </w:p>
          <w:p>
            <w:pPr>
              <w:pStyle w:val="TableParagraph"/>
              <w:spacing w:line="253" w:lineRule="exact"/>
              <w:ind w:left="114"/>
              <w:jc w:val="both"/>
              <w:rPr>
                <w:sz w:val="21"/>
              </w:rPr>
            </w:pPr>
            <w:r>
              <w:rPr>
                <w:sz w:val="21"/>
              </w:rPr>
              <w:t>无害处理后废弃。</w:t>
            </w:r>
          </w:p>
        </w:tc>
      </w:tr>
      <w:tr>
        <w:trPr>
          <w:trHeight w:val="17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1"/>
              <w:jc w:val="left"/>
              <w:rPr>
                <w:sz w:val="12"/>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tcBorders>
          </w:tcPr>
          <w:p>
            <w:pPr>
              <w:pStyle w:val="TableParagraph"/>
              <w:spacing w:line="160" w:lineRule="auto" w:before="31"/>
              <w:ind w:left="114" w:right="76"/>
              <w:jc w:val="left"/>
              <w:rPr>
                <w:sz w:val="21"/>
              </w:rPr>
            </w:pPr>
            <w:r>
              <w:rPr>
                <w:sz w:val="21"/>
              </w:rPr>
              <w:t>呼吸系统防护：可能接触其烟雾时，应该佩带防毒面具。紧急事态抢救或逃生时， 佩带自给式呼吸器。</w:t>
            </w:r>
          </w:p>
          <w:p>
            <w:pPr>
              <w:pStyle w:val="TableParagraph"/>
              <w:spacing w:line="160" w:lineRule="auto" w:before="4"/>
              <w:ind w:left="114" w:right="4388"/>
              <w:jc w:val="left"/>
              <w:rPr>
                <w:sz w:val="21"/>
              </w:rPr>
            </w:pPr>
            <w:r>
              <w:rPr>
                <w:sz w:val="21"/>
              </w:rPr>
              <w:t>眼睛防护：戴化学安全防护眼镜。防护服：穿工作服</w:t>
            </w:r>
            <w:r>
              <w:rPr>
                <w:rFonts w:ascii="Times New Roman" w:eastAsia="Times New Roman"/>
                <w:sz w:val="21"/>
              </w:rPr>
              <w:t>(</w:t>
            </w:r>
            <w:r>
              <w:rPr>
                <w:sz w:val="21"/>
              </w:rPr>
              <w:t>防腐材料制作</w:t>
            </w:r>
            <w:r>
              <w:rPr>
                <w:rFonts w:ascii="Times New Roman" w:eastAsia="Times New Roman"/>
                <w:sz w:val="21"/>
              </w:rPr>
              <w:t>)</w:t>
            </w:r>
            <w:r>
              <w:rPr>
                <w:sz w:val="21"/>
              </w:rPr>
              <w:t>。手防护：戴橡皮手套。</w:t>
            </w:r>
          </w:p>
          <w:p>
            <w:pPr>
              <w:pStyle w:val="TableParagraph"/>
              <w:spacing w:line="253" w:lineRule="exact"/>
              <w:ind w:left="114"/>
              <w:jc w:val="left"/>
              <w:rPr>
                <w:sz w:val="21"/>
              </w:rPr>
            </w:pPr>
            <w:r>
              <w:rPr>
                <w:sz w:val="21"/>
              </w:rPr>
              <w:t>其它：工作后，淋浴更衣。注意个人清洁卫生。</w:t>
            </w:r>
          </w:p>
        </w:tc>
      </w:tr>
    </w:tbl>
    <w:p>
      <w:pPr>
        <w:spacing w:after="0" w:line="253"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799" w:hRule="atLeast"/>
        </w:trPr>
        <w:tc>
          <w:tcPr>
            <w:tcW w:w="1188" w:type="dxa"/>
            <w:tcBorders>
              <w:right w:val="single" w:sz="6" w:space="0" w:color="000000"/>
            </w:tcBorders>
          </w:tcPr>
          <w:p>
            <w:pPr>
              <w:pStyle w:val="TableParagraph"/>
              <w:jc w:val="left"/>
              <w:rPr>
                <w:sz w:val="20"/>
              </w:rPr>
            </w:pPr>
          </w:p>
          <w:p>
            <w:pPr>
              <w:pStyle w:val="TableParagraph"/>
              <w:spacing w:before="1"/>
              <w:jc w:val="left"/>
              <w:rPr>
                <w:sz w:val="12"/>
              </w:rPr>
            </w:pPr>
          </w:p>
          <w:p>
            <w:pPr>
              <w:pStyle w:val="TableParagraph"/>
              <w:ind w:left="172"/>
              <w:jc w:val="left"/>
              <w:rPr>
                <w:sz w:val="21"/>
              </w:rPr>
            </w:pPr>
            <w:r>
              <w:rPr>
                <w:sz w:val="21"/>
              </w:rPr>
              <w:t>急救措施</w:t>
            </w:r>
          </w:p>
        </w:tc>
        <w:tc>
          <w:tcPr>
            <w:tcW w:w="7821" w:type="dxa"/>
            <w:tcBorders>
              <w:left w:val="single" w:sz="6" w:space="0" w:color="000000"/>
            </w:tcBorders>
          </w:tcPr>
          <w:p>
            <w:pPr>
              <w:pStyle w:val="TableParagraph"/>
              <w:spacing w:line="304" w:lineRule="exact"/>
              <w:ind w:left="114"/>
              <w:jc w:val="left"/>
              <w:rPr>
                <w:sz w:val="21"/>
              </w:rPr>
            </w:pPr>
            <w:r>
              <w:rPr>
                <w:sz w:val="21"/>
              </w:rPr>
              <w:t>皮肤接触：立即用水冲洗至少 </w:t>
            </w:r>
            <w:r>
              <w:rPr>
                <w:rFonts w:ascii="Times New Roman" w:eastAsia="Times New Roman"/>
                <w:sz w:val="21"/>
              </w:rPr>
              <w:t>15 </w:t>
            </w:r>
            <w:r>
              <w:rPr>
                <w:sz w:val="21"/>
              </w:rPr>
              <w:t>分钟。若有灼伤，就医治疗。</w:t>
            </w:r>
          </w:p>
          <w:p>
            <w:pPr>
              <w:pStyle w:val="TableParagraph"/>
              <w:spacing w:line="300" w:lineRule="exact"/>
              <w:ind w:left="114"/>
              <w:jc w:val="left"/>
              <w:rPr>
                <w:sz w:val="21"/>
              </w:rPr>
            </w:pPr>
            <w:r>
              <w:rPr>
                <w:sz w:val="21"/>
              </w:rPr>
              <w:t>眼睛接触：立即提起眼睑，用流动清水或生理盐水冲洗至少 </w:t>
            </w:r>
            <w:r>
              <w:rPr>
                <w:rFonts w:ascii="Times New Roman" w:eastAsia="Times New Roman"/>
                <w:sz w:val="21"/>
              </w:rPr>
              <w:t>15 </w:t>
            </w:r>
            <w:r>
              <w:rPr>
                <w:sz w:val="21"/>
              </w:rPr>
              <w:t>分钟。就医。</w:t>
            </w:r>
          </w:p>
          <w:p>
            <w:pPr>
              <w:pStyle w:val="TableParagraph"/>
              <w:spacing w:line="160" w:lineRule="auto" w:before="30"/>
              <w:ind w:left="114" w:right="76"/>
              <w:jc w:val="left"/>
              <w:rPr>
                <w:sz w:val="21"/>
              </w:rPr>
            </w:pPr>
            <w:r>
              <w:rPr>
                <w:sz w:val="21"/>
              </w:rPr>
              <w:t>吸入：迅速脱离现场至空气新鲜处。保持呼吸道通畅。如呼吸困难，给输氧。如呼吸停止，立即进行人工呼吸。就医。</w:t>
            </w:r>
          </w:p>
          <w:p>
            <w:pPr>
              <w:pStyle w:val="TableParagraph"/>
              <w:spacing w:line="273" w:lineRule="exact"/>
              <w:ind w:left="114"/>
              <w:jc w:val="left"/>
              <w:rPr>
                <w:sz w:val="21"/>
              </w:rPr>
            </w:pPr>
            <w:r>
              <w:rPr>
                <w:sz w:val="21"/>
              </w:rPr>
              <w:t>食入：误服者立即漱口，给饮牛奶或蛋清。就医。</w:t>
            </w:r>
          </w:p>
          <w:p>
            <w:pPr>
              <w:pStyle w:val="TableParagraph"/>
              <w:spacing w:line="275" w:lineRule="exact"/>
              <w:ind w:left="114"/>
              <w:jc w:val="left"/>
              <w:rPr>
                <w:sz w:val="21"/>
              </w:rPr>
            </w:pPr>
            <w:r>
              <w:rPr>
                <w:sz w:val="21"/>
              </w:rPr>
              <w:t>灭火方法：雾状水、泡沫、二氧化碳、砂土。。</w:t>
            </w:r>
          </w:p>
        </w:tc>
      </w:tr>
    </w:tbl>
    <w:p>
      <w:pPr>
        <w:pStyle w:val="BodyText"/>
        <w:spacing w:before="18"/>
        <w:rPr>
          <w:sz w:val="3"/>
        </w:rPr>
      </w:pPr>
    </w:p>
    <w:p>
      <w:pPr>
        <w:tabs>
          <w:tab w:pos="1257" w:val="left" w:leader="none"/>
        </w:tabs>
        <w:spacing w:line="423" w:lineRule="exact" w:before="0" w:after="46"/>
        <w:ind w:left="242" w:right="0" w:firstLine="0"/>
        <w:jc w:val="center"/>
        <w:rPr>
          <w:sz w:val="21"/>
        </w:rPr>
      </w:pPr>
      <w:r>
        <w:rPr>
          <w:sz w:val="21"/>
        </w:rPr>
        <w:t>表</w:t>
      </w:r>
      <w:r>
        <w:rPr>
          <w:spacing w:val="5"/>
          <w:sz w:val="21"/>
        </w:rPr>
        <w:t> </w:t>
      </w:r>
      <w:r>
        <w:rPr>
          <w:rFonts w:ascii="Times New Roman" w:eastAsia="Times New Roman"/>
          <w:sz w:val="21"/>
        </w:rPr>
        <w:t>7.1-21</w:t>
        <w:tab/>
      </w:r>
      <w:r>
        <w:rPr>
          <w:sz w:val="21"/>
        </w:rPr>
        <w:t>呋</w:t>
      </w:r>
      <w:r>
        <w:rPr>
          <w:spacing w:val="-3"/>
          <w:sz w:val="21"/>
        </w:rPr>
        <w:t>喃</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8" w:lineRule="exact" w:before="62"/>
              <w:ind w:left="212" w:right="184"/>
              <w:rPr>
                <w:rFonts w:ascii="Times New Roman"/>
                <w:sz w:val="21"/>
              </w:rPr>
            </w:pPr>
            <w:r>
              <w:rPr>
                <w:rFonts w:ascii="Times New Roman"/>
                <w:sz w:val="21"/>
              </w:rPr>
              <w:t>31040</w:t>
            </w:r>
          </w:p>
        </w:tc>
        <w:tc>
          <w:tcPr>
            <w:tcW w:w="1440" w:type="dxa"/>
            <w:tcBorders>
              <w:left w:val="single" w:sz="6" w:space="0" w:color="000000"/>
              <w:bottom w:val="single" w:sz="6" w:space="0" w:color="000000"/>
              <w:right w:val="single" w:sz="6" w:space="0" w:color="000000"/>
            </w:tcBorders>
          </w:tcPr>
          <w:p>
            <w:pPr>
              <w:pStyle w:val="TableParagraph"/>
              <w:spacing w:line="30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8" w:lineRule="exact" w:before="62"/>
              <w:ind w:left="115" w:right="81"/>
              <w:rPr>
                <w:rFonts w:ascii="Times New Roman"/>
                <w:sz w:val="21"/>
              </w:rPr>
            </w:pPr>
            <w:r>
              <w:rPr>
                <w:rFonts w:ascii="Times New Roman"/>
                <w:sz w:val="21"/>
              </w:rPr>
              <w:t>110-00-9</w:t>
            </w:r>
          </w:p>
        </w:tc>
      </w:tr>
      <w:tr>
        <w:trPr>
          <w:trHeight w:val="320"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212" w:right="184"/>
              <w:rPr>
                <w:sz w:val="21"/>
              </w:rPr>
            </w:pPr>
            <w:r>
              <w:rPr>
                <w:sz w:val="21"/>
              </w:rPr>
              <w:t>呋喃</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8" w:lineRule="exact" w:before="63"/>
              <w:ind w:left="114" w:right="82"/>
              <w:rPr>
                <w:rFonts w:ascii="Times New Roman"/>
                <w:sz w:val="21"/>
              </w:rPr>
            </w:pPr>
            <w:r>
              <w:rPr>
                <w:rFonts w:ascii="Times New Roman"/>
                <w:sz w:val="21"/>
              </w:rPr>
              <w:t>Divinylene oxide</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99" w:lineRule="exact"/>
              <w:ind w:left="211" w:right="184"/>
              <w:rPr>
                <w:rFonts w:ascii="Times New Roman" w:eastAsia="Times New Roman"/>
                <w:sz w:val="21"/>
              </w:rPr>
            </w:pPr>
            <w:r>
              <w:rPr>
                <w:rFonts w:ascii="Times New Roman" w:eastAsia="Times New Roman"/>
                <w:sz w:val="21"/>
              </w:rPr>
              <w:t>7(</w:t>
            </w:r>
            <w:r>
              <w:rPr>
                <w:sz w:val="21"/>
              </w:rPr>
              <w:t>低闪点易燃液体</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99" w:lineRule="exact"/>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299" w:lineRule="exact"/>
              <w:ind w:left="115" w:right="80"/>
              <w:rPr>
                <w:sz w:val="21"/>
              </w:rPr>
            </w:pPr>
            <w:r>
              <w:rPr>
                <w:sz w:val="21"/>
              </w:rPr>
              <w:t>用于有机合成或用作溶剂</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956" w:right="921"/>
              <w:rPr>
                <w:sz w:val="21"/>
              </w:rPr>
            </w:pPr>
            <w:r>
              <w:rPr>
                <w:sz w:val="21"/>
              </w:rPr>
              <w:t>吸入、食入、经皮吸收。</w:t>
            </w:r>
          </w:p>
        </w:tc>
      </w:tr>
      <w:tr>
        <w:trPr>
          <w:trHeight w:val="320"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z w:val="21"/>
              </w:rPr>
              <w:t>本品有麻醉和弱刺激作用。吸入后可引起头痛、头晕、血压下降、呼吸衰竭。</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99"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120mg/m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1 </w:t>
            </w:r>
            <w:r>
              <w:rPr>
                <w:position w:val="2"/>
                <w:sz w:val="21"/>
                <w:vertAlign w:val="baseline"/>
              </w:rPr>
              <w:t>小时</w:t>
            </w:r>
            <w:r>
              <w:rPr>
                <w:rFonts w:ascii="Times New Roman" w:eastAsia="Times New Roman"/>
                <w:position w:val="2"/>
                <w:sz w:val="21"/>
                <w:vertAlign w:val="baseline"/>
              </w:rPr>
              <w:t>(</w:t>
            </w:r>
            <w:r>
              <w:rPr>
                <w:position w:val="2"/>
                <w:sz w:val="21"/>
                <w:vertAlign w:val="baseline"/>
              </w:rPr>
              <w:t>小鼠吸入</w:t>
            </w:r>
            <w:r>
              <w:rPr>
                <w:rFonts w:ascii="Times New Roman" w:eastAsia="Times New Roman"/>
                <w:position w:val="2"/>
                <w:sz w:val="21"/>
                <w:vertAlign w:val="baseline"/>
              </w:rPr>
              <w:t>)</w:t>
            </w:r>
          </w:p>
        </w:tc>
      </w:tr>
      <w:tr>
        <w:trPr>
          <w:trHeight w:val="1281" w:hRule="atLeast"/>
        </w:trPr>
        <w:tc>
          <w:tcPr>
            <w:tcW w:w="1188" w:type="dxa"/>
            <w:tcBorders>
              <w:top w:val="single" w:sz="6" w:space="0" w:color="000000"/>
              <w:bottom w:val="single" w:sz="6" w:space="0" w:color="000000"/>
              <w:right w:val="single" w:sz="6" w:space="0" w:color="000000"/>
            </w:tcBorders>
          </w:tcPr>
          <w:p>
            <w:pPr>
              <w:pStyle w:val="TableParagraph"/>
              <w:spacing w:before="1"/>
              <w:jc w:val="left"/>
              <w:rPr>
                <w:sz w:val="20"/>
              </w:rPr>
            </w:pPr>
          </w:p>
          <w:p>
            <w:pPr>
              <w:pStyle w:val="TableParagraph"/>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29"/>
              <w:jc w:val="both"/>
              <w:rPr>
                <w:sz w:val="21"/>
              </w:rPr>
            </w:pPr>
            <w:r>
              <w:rPr>
                <w:sz w:val="21"/>
              </w:rPr>
              <w:t>其蒸气与空气可形成爆炸性混合物。遇明火、高热能引起燃烧爆炸。与氧化剂能性强烈反应。在空气中能形成不稳定的过氧化物，蒸馏时易引起爆炸。本品与酸液接</w:t>
            </w:r>
            <w:r>
              <w:rPr>
                <w:spacing w:val="-8"/>
                <w:sz w:val="21"/>
              </w:rPr>
              <w:t>触，能发生强烈的放热反应。在火场中，受热的容器有爆炸危险。其蒸气比空气重，</w:t>
            </w:r>
          </w:p>
          <w:p>
            <w:pPr>
              <w:pStyle w:val="TableParagraph"/>
              <w:spacing w:line="267" w:lineRule="exact"/>
              <w:ind w:left="114"/>
              <w:jc w:val="both"/>
              <w:rPr>
                <w:sz w:val="21"/>
              </w:rPr>
            </w:pPr>
            <w:r>
              <w:rPr>
                <w:sz w:val="21"/>
              </w:rPr>
              <w:t>能在较低处扩散到相当远的地方，遇明火会引着回燃。</w:t>
            </w:r>
          </w:p>
        </w:tc>
      </w:tr>
      <w:tr>
        <w:trPr>
          <w:trHeight w:val="191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6"/>
              <w:jc w:val="left"/>
              <w:rPr>
                <w:sz w:val="11"/>
              </w:rPr>
            </w:pPr>
          </w:p>
          <w:p>
            <w:pPr>
              <w:pStyle w:val="TableParagraph"/>
              <w:spacing w:line="172"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5"/>
              <w:jc w:val="both"/>
              <w:rPr>
                <w:sz w:val="21"/>
              </w:rPr>
            </w:pPr>
            <w:r>
              <w:rPr>
                <w:sz w:val="21"/>
              </w:rPr>
              <w:t>迅速撤离泄漏污染区人员至安全区，并进行隔离，严格限制出入。切断火源。建议应急处理人员戴自给正压式呼吸器，穿消防防护服。尽可能切断泄漏源。防止进入下水道、排洪沟等限制性空间。小量泄漏：用砂土或其它不燃材料吸附或吸收。也可以用不燃性分散剂制成的乳液刷洗，洗液稀释后放入废水系统。大量泄漏：构筑围堤或挖坑收容；用泡沫覆盖，降低蒸气灾害。用防爆泵转移至槽车或专用收集器</w:t>
            </w:r>
          </w:p>
          <w:p>
            <w:pPr>
              <w:pStyle w:val="TableParagraph"/>
              <w:spacing w:line="264" w:lineRule="exact"/>
              <w:ind w:left="114"/>
              <w:jc w:val="both"/>
              <w:rPr>
                <w:sz w:val="21"/>
              </w:rPr>
            </w:pPr>
            <w:r>
              <w:rPr>
                <w:sz w:val="21"/>
              </w:rPr>
              <w:t>内，回收或运至废物处理场所处置。</w:t>
            </w:r>
          </w:p>
        </w:tc>
      </w:tr>
      <w:tr>
        <w:trPr>
          <w:trHeight w:val="191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15"/>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2"/>
              <w:jc w:val="left"/>
              <w:rPr>
                <w:sz w:val="21"/>
              </w:rPr>
            </w:pPr>
            <w:r>
              <w:rPr>
                <w:spacing w:val="-6"/>
                <w:sz w:val="21"/>
              </w:rPr>
              <w:t>呼吸系统防护：一般不需要特殊防护，高浓度接触时可佩戴自吸过滤式防毒面具</w:t>
            </w:r>
            <w:r>
              <w:rPr>
                <w:rFonts w:ascii="Times New Roman" w:eastAsia="Times New Roman"/>
                <w:sz w:val="21"/>
              </w:rPr>
              <w:t>(</w:t>
            </w:r>
            <w:r>
              <w:rPr>
                <w:sz w:val="21"/>
              </w:rPr>
              <w:t>半面罩</w:t>
            </w:r>
            <w:r>
              <w:rPr>
                <w:rFonts w:ascii="Times New Roman" w:eastAsia="Times New Roman"/>
                <w:sz w:val="21"/>
              </w:rPr>
              <w:t>)</w:t>
            </w:r>
            <w:r>
              <w:rPr>
                <w:sz w:val="21"/>
              </w:rPr>
              <w:t>。</w:t>
            </w:r>
          </w:p>
          <w:p>
            <w:pPr>
              <w:pStyle w:val="TableParagraph"/>
              <w:spacing w:line="172" w:lineRule="auto"/>
              <w:ind w:left="114" w:right="2216"/>
              <w:jc w:val="left"/>
              <w:rPr>
                <w:sz w:val="21"/>
              </w:rPr>
            </w:pPr>
            <w:r>
              <w:rPr>
                <w:sz w:val="21"/>
              </w:rPr>
              <w:t>眼睛防护：一般不需特殊防护。必要时，戴安全防护眼镜。身体防护：穿防静电工作服。</w:t>
            </w:r>
          </w:p>
          <w:p>
            <w:pPr>
              <w:pStyle w:val="TableParagraph"/>
              <w:spacing w:line="295" w:lineRule="exact"/>
              <w:ind w:left="114"/>
              <w:jc w:val="left"/>
              <w:rPr>
                <w:sz w:val="21"/>
              </w:rPr>
            </w:pPr>
            <w:r>
              <w:rPr>
                <w:sz w:val="21"/>
              </w:rPr>
              <w:t>手防护：戴防苯耐油手套。</w:t>
            </w:r>
          </w:p>
          <w:p>
            <w:pPr>
              <w:pStyle w:val="TableParagraph"/>
              <w:spacing w:line="290" w:lineRule="exact"/>
              <w:ind w:left="114"/>
              <w:jc w:val="left"/>
              <w:rPr>
                <w:sz w:val="21"/>
              </w:rPr>
            </w:pPr>
            <w:r>
              <w:rPr>
                <w:sz w:val="21"/>
              </w:rPr>
              <w:t>其它：工作现场严禁吸烟。工作毕，淋浴更衣。注意个人清洁卫生。</w:t>
            </w:r>
          </w:p>
        </w:tc>
      </w:tr>
      <w:tr>
        <w:trPr>
          <w:trHeight w:val="2560" w:hRule="atLeast"/>
        </w:trPr>
        <w:tc>
          <w:tcPr>
            <w:tcW w:w="1188" w:type="dxa"/>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7"/>
              <w:jc w:val="left"/>
              <w:rPr>
                <w:sz w:val="10"/>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172" w:lineRule="auto" w:before="35"/>
              <w:ind w:left="114" w:right="1795"/>
              <w:jc w:val="left"/>
              <w:rPr>
                <w:sz w:val="21"/>
              </w:rPr>
            </w:pPr>
            <w:r>
              <w:rPr>
                <w:sz w:val="21"/>
              </w:rPr>
              <w:t>皮肤接触：脱去被污染的衣着，用肥皂水和清水彻底冲洗皮肤。眼睛接触：提起眼睑，用流动清水或生理盐水冲洗。就医。</w:t>
            </w:r>
          </w:p>
          <w:p>
            <w:pPr>
              <w:pStyle w:val="TableParagraph"/>
              <w:spacing w:line="172" w:lineRule="auto"/>
              <w:ind w:left="114" w:right="76"/>
              <w:jc w:val="left"/>
              <w:rPr>
                <w:sz w:val="21"/>
              </w:rPr>
            </w:pPr>
            <w:r>
              <w:rPr>
                <w:sz w:val="21"/>
              </w:rPr>
              <w:t>吸入：迅速脱离现场至空气新鲜处。保持呼吸道通畅。如呼吸困难，给输氧。如呼吸停止，立即进行人工呼吸。就医。</w:t>
            </w:r>
          </w:p>
          <w:p>
            <w:pPr>
              <w:pStyle w:val="TableParagraph"/>
              <w:spacing w:line="295" w:lineRule="exact"/>
              <w:ind w:left="114"/>
              <w:jc w:val="left"/>
              <w:rPr>
                <w:sz w:val="21"/>
              </w:rPr>
            </w:pPr>
            <w:r>
              <w:rPr>
                <w:sz w:val="21"/>
              </w:rPr>
              <w:t>食入：饮足量温水，催吐，就医。</w:t>
            </w:r>
          </w:p>
          <w:p>
            <w:pPr>
              <w:pStyle w:val="TableParagraph"/>
              <w:spacing w:line="172" w:lineRule="auto" w:before="22"/>
              <w:ind w:left="114" w:right="76"/>
              <w:jc w:val="left"/>
              <w:rPr>
                <w:sz w:val="21"/>
              </w:rPr>
            </w:pPr>
            <w:r>
              <w:rPr>
                <w:sz w:val="21"/>
              </w:rPr>
              <w:t>灭火方法：喷水冷却容器，可能的话将容器从火场移至空旷处。处在火场中的容器若已变色或从安全泄压装置中产生声音，必须马上撤离。灭火剂：泡沫、干粉、二</w:t>
            </w:r>
          </w:p>
          <w:p>
            <w:pPr>
              <w:pStyle w:val="TableParagraph"/>
              <w:spacing w:line="265" w:lineRule="exact"/>
              <w:ind w:left="114"/>
              <w:jc w:val="left"/>
              <w:rPr>
                <w:sz w:val="21"/>
              </w:rPr>
            </w:pPr>
            <w:r>
              <w:rPr>
                <w:sz w:val="21"/>
              </w:rPr>
              <w:t>氧化碳、砂土。用水灭火无效。</w:t>
            </w:r>
          </w:p>
        </w:tc>
      </w:tr>
    </w:tbl>
    <w:p>
      <w:pPr>
        <w:tabs>
          <w:tab w:pos="1257" w:val="left" w:leader="none"/>
        </w:tabs>
        <w:spacing w:before="59" w:after="45"/>
        <w:ind w:left="242" w:right="0" w:firstLine="0"/>
        <w:jc w:val="center"/>
        <w:rPr>
          <w:sz w:val="21"/>
        </w:rPr>
      </w:pPr>
      <w:r>
        <w:rPr>
          <w:sz w:val="21"/>
        </w:rPr>
        <w:t>表</w:t>
      </w:r>
      <w:r>
        <w:rPr>
          <w:spacing w:val="5"/>
          <w:sz w:val="21"/>
        </w:rPr>
        <w:t> </w:t>
      </w:r>
      <w:r>
        <w:rPr>
          <w:rFonts w:ascii="Times New Roman" w:eastAsia="Times New Roman"/>
          <w:sz w:val="21"/>
        </w:rPr>
        <w:t>7.1-22</w:t>
        <w:tab/>
      </w:r>
      <w:r>
        <w:rPr>
          <w:sz w:val="21"/>
        </w:rPr>
        <w:t>顺</w:t>
      </w:r>
      <w:r>
        <w:rPr>
          <w:spacing w:val="-3"/>
          <w:sz w:val="21"/>
        </w:rPr>
        <w:t>丁</w:t>
      </w:r>
      <w:r>
        <w:rPr>
          <w:sz w:val="21"/>
        </w:rPr>
        <w:t>烯</w:t>
      </w:r>
      <w:r>
        <w:rPr>
          <w:spacing w:val="-3"/>
          <w:sz w:val="21"/>
        </w:rPr>
        <w:t>二</w:t>
      </w:r>
      <w:r>
        <w:rPr>
          <w:sz w:val="21"/>
        </w:rPr>
        <w:t>酸</w:t>
      </w:r>
      <w:r>
        <w:rPr>
          <w:spacing w:val="-3"/>
          <w:sz w:val="21"/>
        </w:rPr>
        <w:t>酐</w:t>
      </w:r>
      <w:r>
        <w:rPr>
          <w:sz w:val="21"/>
        </w:rPr>
        <w:t>危险</w:t>
      </w:r>
      <w:r>
        <w:rPr>
          <w:spacing w:val="-3"/>
          <w:sz w:val="21"/>
        </w:rPr>
        <w:t>特</w:t>
      </w:r>
      <w:r>
        <w:rPr>
          <w:sz w:val="21"/>
        </w:rPr>
        <w:t>性</w:t>
      </w:r>
      <w:r>
        <w:rPr>
          <w:spacing w:val="-3"/>
          <w:sz w:val="21"/>
        </w:rPr>
        <w:t>及</w:t>
      </w:r>
      <w:r>
        <w:rPr>
          <w:sz w:val="21"/>
        </w:rPr>
        <w:t>处</w:t>
      </w:r>
      <w:r>
        <w:rPr>
          <w:spacing w:val="-3"/>
          <w:sz w:val="21"/>
        </w:rPr>
        <w:t>理</w:t>
      </w:r>
      <w:r>
        <w:rPr>
          <w:sz w:val="21"/>
        </w:rPr>
        <w:t>措</w:t>
      </w:r>
      <w:r>
        <w:rPr>
          <w:spacing w:val="-3"/>
          <w:sz w:val="21"/>
        </w:rPr>
        <w:t>施</w:t>
      </w:r>
      <w:r>
        <w:rPr>
          <w:sz w:val="21"/>
        </w:rPr>
        <w:t>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542"/>
        <w:gridCol w:w="1260"/>
        <w:gridCol w:w="4018"/>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2542" w:type="dxa"/>
            <w:tcBorders>
              <w:left w:val="single" w:sz="6" w:space="0" w:color="000000"/>
              <w:bottom w:val="single" w:sz="6" w:space="0" w:color="000000"/>
              <w:right w:val="single" w:sz="6" w:space="0" w:color="000000"/>
            </w:tcBorders>
          </w:tcPr>
          <w:p>
            <w:pPr>
              <w:pStyle w:val="TableParagraph"/>
              <w:spacing w:line="238" w:lineRule="exact" w:before="62"/>
              <w:ind w:left="625" w:right="598"/>
              <w:rPr>
                <w:rFonts w:ascii="Times New Roman"/>
                <w:sz w:val="21"/>
              </w:rPr>
            </w:pPr>
            <w:r>
              <w:rPr>
                <w:rFonts w:ascii="Times New Roman"/>
                <w:sz w:val="21"/>
              </w:rPr>
              <w:t>----</w:t>
            </w:r>
          </w:p>
        </w:tc>
        <w:tc>
          <w:tcPr>
            <w:tcW w:w="1260" w:type="dxa"/>
            <w:tcBorders>
              <w:left w:val="single" w:sz="6" w:space="0" w:color="000000"/>
              <w:bottom w:val="single" w:sz="6" w:space="0" w:color="000000"/>
              <w:right w:val="single" w:sz="6" w:space="0" w:color="000000"/>
            </w:tcBorders>
          </w:tcPr>
          <w:p>
            <w:pPr>
              <w:pStyle w:val="TableParagraph"/>
              <w:spacing w:line="301" w:lineRule="exact"/>
              <w:ind w:left="196" w:right="167"/>
              <w:rPr>
                <w:sz w:val="21"/>
              </w:rPr>
            </w:pPr>
            <w:r>
              <w:rPr>
                <w:rFonts w:ascii="Times New Roman" w:eastAsia="Times New Roman"/>
                <w:sz w:val="21"/>
              </w:rPr>
              <w:t>CAS </w:t>
            </w:r>
            <w:r>
              <w:rPr>
                <w:sz w:val="21"/>
              </w:rPr>
              <w:t>号</w:t>
            </w:r>
          </w:p>
        </w:tc>
        <w:tc>
          <w:tcPr>
            <w:tcW w:w="4018" w:type="dxa"/>
            <w:tcBorders>
              <w:left w:val="single" w:sz="6" w:space="0" w:color="000000"/>
              <w:bottom w:val="single" w:sz="6" w:space="0" w:color="000000"/>
            </w:tcBorders>
          </w:tcPr>
          <w:p>
            <w:pPr>
              <w:pStyle w:val="TableParagraph"/>
              <w:spacing w:line="238" w:lineRule="exact" w:before="62"/>
              <w:ind w:left="54" w:right="67"/>
              <w:rPr>
                <w:rFonts w:ascii="Times New Roman"/>
                <w:sz w:val="21"/>
              </w:rPr>
            </w:pPr>
            <w:r>
              <w:rPr>
                <w:rFonts w:ascii="Times New Roman"/>
                <w:sz w:val="21"/>
              </w:rPr>
              <w:t>108-31-6</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中文名称</w:t>
            </w: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628" w:right="598"/>
              <w:rPr>
                <w:sz w:val="21"/>
              </w:rPr>
            </w:pPr>
            <w:r>
              <w:rPr>
                <w:sz w:val="21"/>
              </w:rPr>
              <w:t>顺丁烯二酸酐</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96" w:right="167"/>
              <w:rPr>
                <w:sz w:val="21"/>
              </w:rPr>
            </w:pPr>
            <w:r>
              <w:rPr>
                <w:sz w:val="21"/>
              </w:rPr>
              <w:t>英文名称</w:t>
            </w:r>
          </w:p>
        </w:tc>
        <w:tc>
          <w:tcPr>
            <w:tcW w:w="4018" w:type="dxa"/>
            <w:tcBorders>
              <w:top w:val="single" w:sz="6" w:space="0" w:color="000000"/>
              <w:left w:val="single" w:sz="6" w:space="0" w:color="000000"/>
              <w:bottom w:val="single" w:sz="6" w:space="0" w:color="000000"/>
            </w:tcBorders>
          </w:tcPr>
          <w:p>
            <w:pPr>
              <w:pStyle w:val="TableParagraph"/>
              <w:spacing w:line="241" w:lineRule="exact" w:before="60"/>
              <w:ind w:left="104" w:right="67"/>
              <w:rPr>
                <w:rFonts w:ascii="Times New Roman"/>
                <w:sz w:val="21"/>
              </w:rPr>
            </w:pPr>
            <w:r>
              <w:rPr>
                <w:rFonts w:ascii="Times New Roman"/>
                <w:sz w:val="21"/>
              </w:rPr>
              <w:t>cis-butenedioic anhydride</w:t>
            </w:r>
          </w:p>
        </w:tc>
      </w:tr>
      <w:tr>
        <w:trPr>
          <w:trHeight w:val="318" w:hRule="atLeast"/>
        </w:trPr>
        <w:tc>
          <w:tcPr>
            <w:tcW w:w="1188" w:type="dxa"/>
            <w:tcBorders>
              <w:top w:val="single" w:sz="6" w:space="0" w:color="000000"/>
              <w:right w:val="single" w:sz="6" w:space="0" w:color="000000"/>
            </w:tcBorders>
          </w:tcPr>
          <w:p>
            <w:pPr>
              <w:pStyle w:val="TableParagraph"/>
              <w:spacing w:line="298" w:lineRule="exact"/>
              <w:ind w:left="105" w:right="84"/>
              <w:rPr>
                <w:sz w:val="21"/>
              </w:rPr>
            </w:pPr>
            <w:r>
              <w:rPr>
                <w:sz w:val="21"/>
              </w:rPr>
              <w:t>危险标记</w:t>
            </w:r>
          </w:p>
        </w:tc>
        <w:tc>
          <w:tcPr>
            <w:tcW w:w="2542" w:type="dxa"/>
            <w:tcBorders>
              <w:top w:val="single" w:sz="6" w:space="0" w:color="000000"/>
              <w:left w:val="single" w:sz="6" w:space="0" w:color="000000"/>
              <w:right w:val="single" w:sz="6" w:space="0" w:color="000000"/>
            </w:tcBorders>
          </w:tcPr>
          <w:p>
            <w:pPr>
              <w:pStyle w:val="TableParagraph"/>
              <w:spacing w:line="238" w:lineRule="exact" w:before="60"/>
              <w:ind w:left="625" w:right="598"/>
              <w:rPr>
                <w:rFonts w:ascii="Times New Roman"/>
                <w:sz w:val="21"/>
              </w:rPr>
            </w:pPr>
            <w:r>
              <w:rPr>
                <w:rFonts w:ascii="Times New Roman"/>
                <w:sz w:val="21"/>
              </w:rPr>
              <w:t>----</w:t>
            </w:r>
          </w:p>
        </w:tc>
        <w:tc>
          <w:tcPr>
            <w:tcW w:w="1260" w:type="dxa"/>
            <w:tcBorders>
              <w:top w:val="single" w:sz="6" w:space="0" w:color="000000"/>
              <w:left w:val="single" w:sz="6" w:space="0" w:color="000000"/>
              <w:right w:val="single" w:sz="6" w:space="0" w:color="000000"/>
            </w:tcBorders>
          </w:tcPr>
          <w:p>
            <w:pPr>
              <w:pStyle w:val="TableParagraph"/>
              <w:spacing w:line="298" w:lineRule="exact"/>
              <w:ind w:left="196" w:right="167"/>
              <w:rPr>
                <w:sz w:val="21"/>
              </w:rPr>
            </w:pPr>
            <w:r>
              <w:rPr>
                <w:sz w:val="21"/>
              </w:rPr>
              <w:t>主要用途</w:t>
            </w:r>
          </w:p>
        </w:tc>
        <w:tc>
          <w:tcPr>
            <w:tcW w:w="4018" w:type="dxa"/>
            <w:tcBorders>
              <w:top w:val="single" w:sz="6" w:space="0" w:color="000000"/>
              <w:left w:val="single" w:sz="6" w:space="0" w:color="000000"/>
            </w:tcBorders>
          </w:tcPr>
          <w:p>
            <w:pPr>
              <w:pStyle w:val="TableParagraph"/>
              <w:spacing w:line="298" w:lineRule="exact"/>
              <w:ind w:left="107" w:right="66"/>
              <w:rPr>
                <w:sz w:val="21"/>
              </w:rPr>
            </w:pPr>
            <w:r>
              <w:rPr>
                <w:sz w:val="21"/>
              </w:rPr>
              <w:t>制造聚合物、共聚物，也用于合成树脂、</w:t>
            </w:r>
          </w:p>
        </w:tc>
      </w:tr>
    </w:tbl>
    <w:p>
      <w:pPr>
        <w:spacing w:after="0" w:line="298"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542"/>
        <w:gridCol w:w="1260"/>
        <w:gridCol w:w="4018"/>
      </w:tblGrid>
      <w:tr>
        <w:trPr>
          <w:trHeight w:val="640"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2542"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260"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4018" w:type="dxa"/>
            <w:tcBorders>
              <w:left w:val="single" w:sz="6" w:space="0" w:color="000000"/>
              <w:bottom w:val="single" w:sz="6" w:space="0" w:color="000000"/>
            </w:tcBorders>
          </w:tcPr>
          <w:p>
            <w:pPr>
              <w:pStyle w:val="TableParagraph"/>
              <w:spacing w:line="330" w:lineRule="exact"/>
              <w:ind w:left="115"/>
              <w:jc w:val="left"/>
              <w:rPr>
                <w:sz w:val="21"/>
              </w:rPr>
            </w:pPr>
            <w:r>
              <w:rPr>
                <w:sz w:val="21"/>
              </w:rPr>
              <w:t>涂料、农药、医药、食品、及润滑油添加</w:t>
            </w:r>
          </w:p>
          <w:p>
            <w:pPr>
              <w:pStyle w:val="TableParagraph"/>
              <w:spacing w:line="290" w:lineRule="exact"/>
              <w:ind w:left="115"/>
              <w:jc w:val="left"/>
              <w:rPr>
                <w:sz w:val="21"/>
              </w:rPr>
            </w:pPr>
            <w:r>
              <w:rPr>
                <w:sz w:val="21"/>
              </w:rPr>
              <w:t>剂等。</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侵入途径</w:t>
            </w:r>
          </w:p>
        </w:tc>
        <w:tc>
          <w:tcPr>
            <w:tcW w:w="7820" w:type="dxa"/>
            <w:gridSpan w:val="3"/>
            <w:tcBorders>
              <w:top w:val="single" w:sz="6" w:space="0" w:color="000000"/>
              <w:left w:val="single" w:sz="6" w:space="0" w:color="000000"/>
              <w:bottom w:val="single" w:sz="6" w:space="0" w:color="000000"/>
            </w:tcBorders>
          </w:tcPr>
          <w:p>
            <w:pPr>
              <w:pStyle w:val="TableParagraph"/>
              <w:spacing w:line="301" w:lineRule="exact"/>
              <w:ind w:left="2741" w:right="2705"/>
              <w:rPr>
                <w:sz w:val="21"/>
              </w:rPr>
            </w:pPr>
            <w:r>
              <w:rPr>
                <w:sz w:val="21"/>
              </w:rPr>
              <w:t>吸入、食入、经皮吸收。</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健康危害</w:t>
            </w:r>
          </w:p>
        </w:tc>
        <w:tc>
          <w:tcPr>
            <w:tcW w:w="7820" w:type="dxa"/>
            <w:gridSpan w:val="3"/>
            <w:tcBorders>
              <w:top w:val="single" w:sz="6" w:space="0" w:color="000000"/>
              <w:left w:val="single" w:sz="6" w:space="0" w:color="000000"/>
              <w:bottom w:val="single" w:sz="6" w:space="0" w:color="000000"/>
            </w:tcBorders>
          </w:tcPr>
          <w:p>
            <w:pPr>
              <w:pStyle w:val="TableParagraph"/>
              <w:spacing w:line="328" w:lineRule="exact"/>
              <w:ind w:left="114"/>
              <w:jc w:val="left"/>
              <w:rPr>
                <w:sz w:val="21"/>
              </w:rPr>
            </w:pPr>
            <w:r>
              <w:rPr>
                <w:sz w:val="21"/>
              </w:rPr>
              <w:t>本品粉尘和蒸气具有刺激性。吸入后可引起咽炎、喉炎和支气管炎。可伴有腹痛。</w:t>
            </w:r>
          </w:p>
          <w:p>
            <w:pPr>
              <w:pStyle w:val="TableParagraph"/>
              <w:spacing w:line="292" w:lineRule="exact"/>
              <w:ind w:left="114"/>
              <w:jc w:val="left"/>
              <w:rPr>
                <w:sz w:val="21"/>
              </w:rPr>
            </w:pPr>
            <w:r>
              <w:rPr>
                <w:sz w:val="21"/>
              </w:rPr>
              <w:t>眼和皮肤直接接触有明显刺激作用，并引起灼伤。</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6" w:right="83"/>
              <w:rPr>
                <w:sz w:val="21"/>
              </w:rPr>
            </w:pPr>
            <w:r>
              <w:rPr>
                <w:sz w:val="21"/>
              </w:rPr>
              <w:t>毒性</w:t>
            </w:r>
          </w:p>
        </w:tc>
        <w:tc>
          <w:tcPr>
            <w:tcW w:w="7820" w:type="dxa"/>
            <w:gridSpan w:val="3"/>
            <w:tcBorders>
              <w:top w:val="single" w:sz="6" w:space="0" w:color="000000"/>
              <w:left w:val="single" w:sz="6" w:space="0" w:color="000000"/>
              <w:bottom w:val="single" w:sz="6" w:space="0" w:color="000000"/>
            </w:tcBorders>
          </w:tcPr>
          <w:p>
            <w:pPr>
              <w:pStyle w:val="TableParagraph"/>
              <w:spacing w:line="299"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position w:val="2"/>
                <w:sz w:val="21"/>
              </w:rPr>
              <w:t>：</w:t>
            </w:r>
            <w:r>
              <w:rPr>
                <w:rFonts w:ascii="Times New Roman" w:eastAsia="Times New Roman"/>
                <w:position w:val="2"/>
                <w:sz w:val="21"/>
              </w:rPr>
              <w:t>400 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2620 mg/kg(</w:t>
            </w:r>
            <w:r>
              <w:rPr>
                <w:position w:val="2"/>
                <w:sz w:val="21"/>
              </w:rPr>
              <w:t>兔经皮</w:t>
            </w:r>
            <w:r>
              <w:rPr>
                <w:rFonts w:ascii="Times New Roman" w:eastAsia="Times New Roman"/>
                <w:position w:val="2"/>
                <w:sz w:val="21"/>
              </w:rPr>
              <w:t>)</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危险特性</w:t>
            </w:r>
          </w:p>
        </w:tc>
        <w:tc>
          <w:tcPr>
            <w:tcW w:w="7820"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z w:val="21"/>
              </w:rPr>
              <w:t>粉体与空气可形成爆炸性混合物</w:t>
            </w:r>
            <w:r>
              <w:rPr>
                <w:rFonts w:ascii="Times New Roman" w:eastAsia="Times New Roman"/>
                <w:sz w:val="21"/>
              </w:rPr>
              <w:t>, </w:t>
            </w:r>
            <w:r>
              <w:rPr>
                <w:sz w:val="21"/>
              </w:rPr>
              <w:t>当达到一定浓度时</w:t>
            </w:r>
            <w:r>
              <w:rPr>
                <w:rFonts w:ascii="Times New Roman" w:eastAsia="Times New Roman"/>
                <w:sz w:val="21"/>
              </w:rPr>
              <w:t>, </w:t>
            </w:r>
            <w:r>
              <w:rPr>
                <w:sz w:val="21"/>
              </w:rPr>
              <w:t>遇火星会发生爆炸。</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spacing w:before="2"/>
              <w:jc w:val="left"/>
              <w:rPr>
                <w:sz w:val="9"/>
              </w:rPr>
            </w:pPr>
          </w:p>
          <w:p>
            <w:pPr>
              <w:pStyle w:val="TableParagraph"/>
              <w:spacing w:line="172" w:lineRule="auto"/>
              <w:ind w:left="383" w:right="148" w:hanging="212"/>
              <w:jc w:val="left"/>
              <w:rPr>
                <w:sz w:val="21"/>
              </w:rPr>
            </w:pPr>
            <w:r>
              <w:rPr>
                <w:sz w:val="21"/>
              </w:rPr>
              <w:t>泄漏应急处理</w:t>
            </w:r>
          </w:p>
        </w:tc>
        <w:tc>
          <w:tcPr>
            <w:tcW w:w="7820"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11"/>
              <w:jc w:val="left"/>
              <w:rPr>
                <w:sz w:val="21"/>
              </w:rPr>
            </w:pPr>
            <w:r>
              <w:rPr>
                <w:spacing w:val="-3"/>
                <w:w w:val="100"/>
                <w:sz w:val="21"/>
              </w:rPr>
              <w:t>隔离泄漏污染区，限制出入。切断火源。建议应急处理人员戴防尘面具</w:t>
            </w:r>
            <w:r>
              <w:rPr>
                <w:w w:val="100"/>
                <w:sz w:val="21"/>
              </w:rPr>
              <w:t>（</w:t>
            </w:r>
            <w:r>
              <w:rPr>
                <w:spacing w:val="-3"/>
                <w:w w:val="100"/>
                <w:sz w:val="21"/>
              </w:rPr>
              <w:t>全面罩</w:t>
            </w:r>
            <w:r>
              <w:rPr>
                <w:spacing w:val="-108"/>
                <w:w w:val="100"/>
                <w:sz w:val="21"/>
              </w:rPr>
              <w:t>）</w:t>
            </w:r>
            <w:r>
              <w:rPr>
                <w:w w:val="100"/>
                <w:sz w:val="21"/>
              </w:rPr>
              <w:t>，</w:t>
            </w:r>
            <w:r>
              <w:rPr>
                <w:sz w:val="21"/>
              </w:rPr>
              <w:t>穿防酸碱工作服。用洁净的铲子收集于干燥、洁净、有盖的容器中，转移至安全场</w:t>
            </w:r>
          </w:p>
          <w:p>
            <w:pPr>
              <w:pStyle w:val="TableParagraph"/>
              <w:spacing w:line="266" w:lineRule="exact"/>
              <w:ind w:left="114"/>
              <w:jc w:val="left"/>
              <w:rPr>
                <w:sz w:val="21"/>
              </w:rPr>
            </w:pPr>
            <w:r>
              <w:rPr>
                <w:sz w:val="21"/>
              </w:rPr>
              <w:t>所。若大量泄漏，收集回收或运至废物处理场所处置。</w:t>
            </w:r>
          </w:p>
        </w:tc>
      </w:tr>
      <w:tr>
        <w:trPr>
          <w:trHeight w:val="192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15"/>
              </w:rPr>
            </w:pPr>
          </w:p>
          <w:p>
            <w:pPr>
              <w:pStyle w:val="TableParagraph"/>
              <w:spacing w:before="1"/>
              <w:ind w:left="105" w:right="84"/>
              <w:rPr>
                <w:sz w:val="21"/>
              </w:rPr>
            </w:pPr>
            <w:r>
              <w:rPr>
                <w:sz w:val="21"/>
              </w:rPr>
              <w:t>防护措施</w:t>
            </w:r>
          </w:p>
        </w:tc>
        <w:tc>
          <w:tcPr>
            <w:tcW w:w="7820" w:type="dxa"/>
            <w:gridSpan w:val="3"/>
            <w:tcBorders>
              <w:top w:val="single" w:sz="6" w:space="0" w:color="000000"/>
              <w:left w:val="single" w:sz="6" w:space="0" w:color="000000"/>
              <w:bottom w:val="single" w:sz="6" w:space="0" w:color="000000"/>
            </w:tcBorders>
          </w:tcPr>
          <w:p>
            <w:pPr>
              <w:pStyle w:val="TableParagraph"/>
              <w:spacing w:line="172" w:lineRule="auto" w:before="33"/>
              <w:ind w:left="114" w:right="75"/>
              <w:jc w:val="left"/>
              <w:rPr>
                <w:sz w:val="21"/>
              </w:rPr>
            </w:pPr>
            <w:r>
              <w:rPr>
                <w:sz w:val="21"/>
              </w:rPr>
              <w:t>呼吸系统防护：空气中粉尘浓度超标时，必须佩戴自吸过滤式防尘口罩。紧急事态抢救或撤离时，应该佩戴空气呼吸器。</w:t>
            </w:r>
          </w:p>
          <w:p>
            <w:pPr>
              <w:pStyle w:val="TableParagraph"/>
              <w:spacing w:line="172" w:lineRule="auto"/>
              <w:ind w:left="114" w:right="4526"/>
              <w:jc w:val="left"/>
              <w:rPr>
                <w:sz w:val="21"/>
              </w:rPr>
            </w:pPr>
            <w:r>
              <w:rPr>
                <w:sz w:val="21"/>
              </w:rPr>
              <w:t>眼睛防护：戴化学安全防护眼镜。身体防护：穿橡胶耐酸碱服。</w:t>
            </w:r>
          </w:p>
          <w:p>
            <w:pPr>
              <w:pStyle w:val="TableParagraph"/>
              <w:spacing w:line="295" w:lineRule="exact"/>
              <w:ind w:left="114"/>
              <w:jc w:val="left"/>
              <w:rPr>
                <w:sz w:val="21"/>
              </w:rPr>
            </w:pPr>
            <w:r>
              <w:rPr>
                <w:sz w:val="21"/>
              </w:rPr>
              <w:t>手防护：戴防苯耐油手套。</w:t>
            </w:r>
          </w:p>
          <w:p>
            <w:pPr>
              <w:pStyle w:val="TableParagraph"/>
              <w:spacing w:line="290" w:lineRule="exact"/>
              <w:ind w:left="114"/>
              <w:jc w:val="left"/>
              <w:rPr>
                <w:sz w:val="21"/>
              </w:rPr>
            </w:pPr>
            <w:r>
              <w:rPr>
                <w:sz w:val="21"/>
              </w:rPr>
              <w:t>其它：工作毕，淋浴更衣。注意个人清洁卫生。</w:t>
            </w:r>
          </w:p>
        </w:tc>
      </w:tr>
      <w:tr>
        <w:trPr>
          <w:trHeight w:val="2238"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17"/>
              <w:jc w:val="left"/>
              <w:rPr>
                <w:sz w:val="22"/>
              </w:rPr>
            </w:pPr>
          </w:p>
          <w:p>
            <w:pPr>
              <w:pStyle w:val="TableParagraph"/>
              <w:ind w:left="105" w:right="84"/>
              <w:rPr>
                <w:sz w:val="21"/>
              </w:rPr>
            </w:pPr>
            <w:r>
              <w:rPr>
                <w:sz w:val="21"/>
              </w:rPr>
              <w:t>急救措施</w:t>
            </w:r>
          </w:p>
        </w:tc>
        <w:tc>
          <w:tcPr>
            <w:tcW w:w="7820" w:type="dxa"/>
            <w:gridSpan w:val="3"/>
            <w:tcBorders>
              <w:top w:val="single" w:sz="6" w:space="0" w:color="000000"/>
              <w:left w:val="single" w:sz="6" w:space="0" w:color="000000"/>
            </w:tcBorders>
          </w:tcPr>
          <w:p>
            <w:pPr>
              <w:pStyle w:val="TableParagraph"/>
              <w:spacing w:line="172" w:lineRule="auto" w:before="35"/>
              <w:ind w:left="114" w:right="1794"/>
              <w:jc w:val="left"/>
              <w:rPr>
                <w:sz w:val="21"/>
              </w:rPr>
            </w:pPr>
            <w:r>
              <w:rPr>
                <w:sz w:val="21"/>
              </w:rPr>
              <w:t>皮肤接触：脱去被污染的衣着，用肥皂水和清水彻底冲洗皮肤。眼睛接触：提起眼睑，用流动清水或生理盐水冲洗。就医。</w:t>
            </w:r>
          </w:p>
          <w:p>
            <w:pPr>
              <w:pStyle w:val="TableParagraph"/>
              <w:spacing w:line="172" w:lineRule="auto"/>
              <w:ind w:left="114" w:right="75"/>
              <w:jc w:val="left"/>
              <w:rPr>
                <w:sz w:val="21"/>
              </w:rPr>
            </w:pPr>
            <w:r>
              <w:rPr>
                <w:sz w:val="21"/>
              </w:rPr>
              <w:t>吸入：迅速脱离现场至空气新鲜处。保持呼吸道通畅。如呼吸困难，给输氧。如呼吸停止，立即进行人工呼吸。就医。</w:t>
            </w:r>
          </w:p>
          <w:p>
            <w:pPr>
              <w:pStyle w:val="TableParagraph"/>
              <w:spacing w:line="295" w:lineRule="exact"/>
              <w:ind w:left="114"/>
              <w:jc w:val="left"/>
              <w:rPr>
                <w:sz w:val="21"/>
              </w:rPr>
            </w:pPr>
            <w:r>
              <w:rPr>
                <w:sz w:val="21"/>
              </w:rPr>
              <w:t>食入：用水漱口，给饮牛奶或蛋清。就医。</w:t>
            </w:r>
          </w:p>
          <w:p>
            <w:pPr>
              <w:pStyle w:val="TableParagraph"/>
              <w:spacing w:line="320" w:lineRule="exact"/>
              <w:ind w:left="114"/>
              <w:jc w:val="left"/>
              <w:rPr>
                <w:sz w:val="21"/>
              </w:rPr>
            </w:pPr>
            <w:r>
              <w:rPr>
                <w:sz w:val="21"/>
              </w:rPr>
              <w:t>灭火方法：消防人员须佩戴防毒面具、穿全身消防服，在上风向灭火。灭火剂：雾</w:t>
            </w:r>
          </w:p>
          <w:p>
            <w:pPr>
              <w:pStyle w:val="TableParagraph"/>
              <w:spacing w:line="288" w:lineRule="exact"/>
              <w:ind w:left="114"/>
              <w:jc w:val="left"/>
              <w:rPr>
                <w:sz w:val="21"/>
              </w:rPr>
            </w:pPr>
            <w:r>
              <w:rPr>
                <w:sz w:val="21"/>
              </w:rPr>
              <w:t>状水、泡沫、干粉、二氧化碳、砂土。</w:t>
            </w:r>
          </w:p>
        </w:tc>
      </w:tr>
    </w:tbl>
    <w:p>
      <w:pPr>
        <w:pStyle w:val="BodyText"/>
        <w:spacing w:before="18"/>
        <w:rPr>
          <w:sz w:val="3"/>
        </w:rPr>
      </w:pPr>
    </w:p>
    <w:p>
      <w:pPr>
        <w:tabs>
          <w:tab w:pos="4190" w:val="left" w:leader="none"/>
        </w:tabs>
        <w:spacing w:line="423" w:lineRule="exact" w:before="0" w:after="48"/>
        <w:ind w:left="3175" w:right="0" w:firstLine="0"/>
        <w:jc w:val="left"/>
        <w:rPr>
          <w:sz w:val="21"/>
        </w:rPr>
      </w:pPr>
      <w:r>
        <w:rPr>
          <w:sz w:val="21"/>
        </w:rPr>
        <w:t>表</w:t>
      </w:r>
      <w:r>
        <w:rPr>
          <w:spacing w:val="5"/>
          <w:sz w:val="21"/>
        </w:rPr>
        <w:t> </w:t>
      </w:r>
      <w:r>
        <w:rPr>
          <w:rFonts w:ascii="Times New Roman" w:eastAsia="Times New Roman"/>
          <w:sz w:val="21"/>
        </w:rPr>
        <w:t>7.1-23</w:t>
        <w:tab/>
      </w:r>
      <w:r>
        <w:rPr>
          <w:sz w:val="21"/>
        </w:rPr>
        <w:t>丙</w:t>
      </w:r>
      <w:r>
        <w:rPr>
          <w:spacing w:val="-3"/>
          <w:sz w:val="21"/>
        </w:rPr>
        <w:t>酮</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31025</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063"/>
              <w:jc w:val="left"/>
              <w:rPr>
                <w:rFonts w:ascii="Times New Roman"/>
                <w:sz w:val="21"/>
              </w:rPr>
            </w:pPr>
            <w:r>
              <w:rPr>
                <w:rFonts w:ascii="Times New Roman"/>
                <w:sz w:val="21"/>
              </w:rPr>
              <w:t>67-64-1</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12" w:right="184"/>
              <w:rPr>
                <w:sz w:val="21"/>
              </w:rPr>
            </w:pPr>
            <w:r>
              <w:rPr>
                <w:sz w:val="21"/>
              </w:rPr>
              <w:t>丙酮</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6"/>
              <w:ind w:left="1075"/>
              <w:jc w:val="left"/>
              <w:rPr>
                <w:rFonts w:ascii="Times New Roman"/>
                <w:sz w:val="21"/>
              </w:rPr>
            </w:pPr>
            <w:r>
              <w:rPr>
                <w:rFonts w:ascii="Times New Roman"/>
                <w:sz w:val="21"/>
              </w:rPr>
              <w:t>acetone</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77"/>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77"/>
              <w:ind w:left="211" w:right="184"/>
              <w:rPr>
                <w:rFonts w:ascii="Times New Roman" w:eastAsia="Times New Roman"/>
                <w:sz w:val="21"/>
              </w:rPr>
            </w:pPr>
            <w:r>
              <w:rPr>
                <w:rFonts w:ascii="Times New Roman" w:eastAsia="Times New Roman"/>
                <w:sz w:val="21"/>
              </w:rPr>
              <w:t>7(</w:t>
            </w:r>
            <w:r>
              <w:rPr>
                <w:sz w:val="21"/>
              </w:rPr>
              <w:t>低闪点易燃液体</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77"/>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01" w:lineRule="exact"/>
              <w:ind w:left="115" w:right="82"/>
              <w:rPr>
                <w:sz w:val="21"/>
              </w:rPr>
            </w:pPr>
            <w:r>
              <w:rPr>
                <w:sz w:val="21"/>
              </w:rPr>
              <w:t>基本的有机原料和低沸点溶</w:t>
            </w:r>
          </w:p>
          <w:p>
            <w:pPr>
              <w:pStyle w:val="TableParagraph"/>
              <w:spacing w:line="278" w:lineRule="exact"/>
              <w:ind w:left="36"/>
              <w:rPr>
                <w:sz w:val="21"/>
              </w:rPr>
            </w:pPr>
            <w:r>
              <w:rPr>
                <w:w w:val="100"/>
                <w:sz w:val="21"/>
              </w:rPr>
              <w:t>剂</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900" w:hRule="atLeast"/>
        </w:trPr>
        <w:tc>
          <w:tcPr>
            <w:tcW w:w="1188" w:type="dxa"/>
            <w:tcBorders>
              <w:top w:val="single" w:sz="6" w:space="0" w:color="000000"/>
              <w:bottom w:val="single" w:sz="6" w:space="0" w:color="000000"/>
              <w:right w:val="single" w:sz="6" w:space="0" w:color="000000"/>
            </w:tcBorders>
          </w:tcPr>
          <w:p>
            <w:pPr>
              <w:pStyle w:val="TableParagraph"/>
              <w:spacing w:before="17"/>
              <w:jc w:val="left"/>
              <w:rPr>
                <w:sz w:val="10"/>
              </w:rPr>
            </w:pPr>
          </w:p>
          <w:p>
            <w:pPr>
              <w:pStyle w:val="TableParagraph"/>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63" w:lineRule="auto" w:before="28"/>
              <w:ind w:left="114" w:right="-44"/>
              <w:jc w:val="left"/>
              <w:rPr>
                <w:sz w:val="21"/>
              </w:rPr>
            </w:pPr>
            <w:r>
              <w:rPr>
                <w:sz w:val="21"/>
              </w:rPr>
              <w:t>急性中毒主要表现为对中枢神经系统的麻醉作用，出现乏力、恶心、头痛、头晕、</w:t>
            </w:r>
            <w:r>
              <w:rPr>
                <w:spacing w:val="-9"/>
                <w:sz w:val="21"/>
              </w:rPr>
              <w:t>易激动。重者发生呕吐、气急、痉挛，甚至昏迷。对眼、鼻、喉有刺激性。口服后，</w:t>
            </w:r>
          </w:p>
          <w:p>
            <w:pPr>
              <w:pStyle w:val="TableParagraph"/>
              <w:spacing w:line="246" w:lineRule="exact"/>
              <w:ind w:left="114"/>
              <w:jc w:val="left"/>
              <w:rPr>
                <w:sz w:val="21"/>
              </w:rPr>
            </w:pPr>
            <w:r>
              <w:rPr>
                <w:sz w:val="21"/>
              </w:rPr>
              <w:t>口唇、咽喉有烧灼感，然后出现口干、呕吐、昏迷、酸中毒和酮症。</w:t>
            </w:r>
          </w:p>
        </w:tc>
      </w:tr>
      <w:tr>
        <w:trPr>
          <w:trHeight w:val="601" w:hRule="atLeast"/>
        </w:trPr>
        <w:tc>
          <w:tcPr>
            <w:tcW w:w="1188" w:type="dxa"/>
            <w:tcBorders>
              <w:top w:val="single" w:sz="6" w:space="0" w:color="000000"/>
              <w:bottom w:val="single" w:sz="6" w:space="0" w:color="000000"/>
              <w:right w:val="single" w:sz="6" w:space="0" w:color="000000"/>
            </w:tcBorders>
          </w:tcPr>
          <w:p>
            <w:pPr>
              <w:pStyle w:val="TableParagraph"/>
              <w:spacing w:before="80"/>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04" w:lineRule="exact"/>
              <w:ind w:left="114"/>
              <w:jc w:val="left"/>
              <w:rPr>
                <w:sz w:val="21"/>
              </w:rPr>
            </w:pPr>
            <w:r>
              <w:rPr>
                <w:rFonts w:ascii="Times New Roman" w:hAnsi="Times New Roman" w:eastAsia="Times New Roman"/>
                <w:position w:val="2"/>
                <w:sz w:val="21"/>
              </w:rPr>
              <w:t>LD</w:t>
            </w:r>
            <w:r>
              <w:rPr>
                <w:rFonts w:ascii="Times New Roman" w:hAnsi="Times New Roman" w:eastAsia="Times New Roman"/>
                <w:sz w:val="14"/>
              </w:rPr>
              <w:t>50</w:t>
            </w:r>
            <w:r>
              <w:rPr>
                <w:rFonts w:ascii="Times New Roman" w:hAnsi="Times New Roman" w:eastAsia="Times New Roman"/>
                <w:position w:val="2"/>
                <w:sz w:val="21"/>
              </w:rPr>
              <w:t>5800mg/kg(</w:t>
            </w:r>
            <w:r>
              <w:rPr>
                <w:position w:val="2"/>
                <w:sz w:val="21"/>
              </w:rPr>
              <w:t>大鼠经口</w:t>
            </w:r>
            <w:r>
              <w:rPr>
                <w:rFonts w:ascii="Times New Roman" w:hAnsi="Times New Roman" w:eastAsia="Times New Roman"/>
                <w:position w:val="2"/>
                <w:sz w:val="21"/>
              </w:rPr>
              <w:t>)</w:t>
            </w:r>
            <w:r>
              <w:rPr>
                <w:position w:val="2"/>
                <w:sz w:val="21"/>
              </w:rPr>
              <w:t>；</w:t>
            </w:r>
            <w:r>
              <w:rPr>
                <w:rFonts w:ascii="Times New Roman" w:hAnsi="Times New Roman" w:eastAsia="Times New Roman"/>
                <w:position w:val="2"/>
                <w:sz w:val="21"/>
              </w:rPr>
              <w:t>20000mg/kg(</w:t>
            </w:r>
            <w:r>
              <w:rPr>
                <w:position w:val="2"/>
                <w:sz w:val="21"/>
              </w:rPr>
              <w:t>兔经皮</w:t>
            </w:r>
            <w:r>
              <w:rPr>
                <w:rFonts w:ascii="Times New Roman" w:hAnsi="Times New Roman" w:eastAsia="Times New Roman"/>
                <w:position w:val="2"/>
                <w:sz w:val="21"/>
              </w:rPr>
              <w:t>)</w:t>
            </w:r>
            <w:r>
              <w:rPr>
                <w:position w:val="2"/>
                <w:sz w:val="21"/>
              </w:rPr>
              <w:t>；人吸入 </w:t>
            </w:r>
            <w:r>
              <w:rPr>
                <w:rFonts w:ascii="Times New Roman" w:hAnsi="Times New Roman" w:eastAsia="Times New Roman"/>
                <w:position w:val="2"/>
                <w:sz w:val="21"/>
              </w:rPr>
              <w:t>12000ppm×4 </w:t>
            </w:r>
            <w:r>
              <w:rPr>
                <w:position w:val="2"/>
                <w:sz w:val="21"/>
              </w:rPr>
              <w:t>小时，最小</w:t>
            </w:r>
          </w:p>
          <w:p>
            <w:pPr>
              <w:pStyle w:val="TableParagraph"/>
              <w:spacing w:line="278" w:lineRule="exact"/>
              <w:ind w:left="114"/>
              <w:jc w:val="left"/>
              <w:rPr>
                <w:sz w:val="21"/>
              </w:rPr>
            </w:pPr>
            <w:r>
              <w:rPr>
                <w:sz w:val="21"/>
              </w:rPr>
              <w:t>中毒浓度。人经口 </w:t>
            </w:r>
            <w:r>
              <w:rPr>
                <w:rFonts w:ascii="Times New Roman" w:eastAsia="Times New Roman"/>
                <w:sz w:val="21"/>
              </w:rPr>
              <w:t>200ml</w:t>
            </w:r>
            <w:r>
              <w:rPr>
                <w:sz w:val="21"/>
              </w:rPr>
              <w:t>，昏迷，</w:t>
            </w:r>
            <w:r>
              <w:rPr>
                <w:rFonts w:ascii="Times New Roman" w:eastAsia="Times New Roman"/>
                <w:sz w:val="21"/>
              </w:rPr>
              <w:t>12 </w:t>
            </w:r>
            <w:r>
              <w:rPr>
                <w:sz w:val="21"/>
              </w:rPr>
              <w:t>小时恢复。</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44"/>
              <w:jc w:val="left"/>
              <w:rPr>
                <w:sz w:val="21"/>
              </w:rPr>
            </w:pPr>
            <w:r>
              <w:rPr>
                <w:sz w:val="21"/>
              </w:rPr>
              <w:t>其蒸气与空气可形成爆炸性混合物。遇明火、高热极易燃烧爆炸。与氧化剂能发生</w:t>
            </w:r>
            <w:r>
              <w:rPr>
                <w:spacing w:val="-9"/>
                <w:sz w:val="21"/>
              </w:rPr>
              <w:t>强烈反应。其蒸气比空气重，能在较低处扩散到相当远的地方，遇明火会引着回燃。</w:t>
            </w:r>
          </w:p>
          <w:p>
            <w:pPr>
              <w:pStyle w:val="TableParagraph"/>
              <w:spacing w:line="251" w:lineRule="exact"/>
              <w:ind w:left="114"/>
              <w:jc w:val="left"/>
              <w:rPr>
                <w:sz w:val="21"/>
              </w:rPr>
            </w:pPr>
            <w:r>
              <w:rPr>
                <w:sz w:val="21"/>
              </w:rPr>
              <w:t>若遇高热，容器内压增大，有开裂和爆炸的危险。</w:t>
            </w:r>
          </w:p>
        </w:tc>
      </w:tr>
      <w:tr>
        <w:trPr>
          <w:trHeight w:val="1799" w:hRule="atLeast"/>
        </w:trPr>
        <w:tc>
          <w:tcPr>
            <w:tcW w:w="1188" w:type="dxa"/>
            <w:tcBorders>
              <w:top w:val="single" w:sz="6" w:space="0" w:color="000000"/>
              <w:right w:val="single" w:sz="6" w:space="0" w:color="000000"/>
            </w:tcBorders>
          </w:tcPr>
          <w:p>
            <w:pPr>
              <w:pStyle w:val="TableParagraph"/>
              <w:spacing w:before="16"/>
              <w:jc w:val="left"/>
              <w:rPr>
                <w:sz w:val="29"/>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tcBorders>
          </w:tcPr>
          <w:p>
            <w:pPr>
              <w:pStyle w:val="TableParagraph"/>
              <w:spacing w:line="160" w:lineRule="auto" w:before="31"/>
              <w:ind w:left="114" w:right="75"/>
              <w:jc w:val="both"/>
              <w:rPr>
                <w:sz w:val="21"/>
              </w:rPr>
            </w:pPr>
            <w:r>
              <w:rPr>
                <w:sz w:val="21"/>
              </w:rPr>
              <w:t>迅速撤离泄漏污染区人员至安全区，并进行隔离，严格限制出入。切断火源。建议应急处理人员戴自给正压式呼吸器，穿消防防护服。尽可能切断泄漏源。防止进入下水道、排洪沟等限制性空间。小量泄漏：用砂土或其它不燃材料吸附或吸收。也可以用大量水冲洗，洗水稀释后放入废水系统。大量泄漏：构筑围堤或挖坑收容； 用泡沫覆盖，降低蒸气灾害。用防爆泵转移至槽车或专用收集器内，回收或运至废</w:t>
            </w:r>
          </w:p>
          <w:p>
            <w:pPr>
              <w:pStyle w:val="TableParagraph"/>
              <w:spacing w:line="257" w:lineRule="exact"/>
              <w:ind w:left="114"/>
              <w:jc w:val="both"/>
              <w:rPr>
                <w:sz w:val="21"/>
              </w:rPr>
            </w:pPr>
            <w:r>
              <w:rPr>
                <w:sz w:val="21"/>
              </w:rPr>
              <w:t>物处理场所处置。废弃物处置方法：建议用焚烧法处置。</w:t>
            </w:r>
          </w:p>
        </w:tc>
      </w:tr>
    </w:tbl>
    <w:p>
      <w:pPr>
        <w:spacing w:after="0" w:line="257" w:lineRule="exact"/>
        <w:jc w:val="both"/>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501" w:hRule="atLeast"/>
        </w:trPr>
        <w:tc>
          <w:tcPr>
            <w:tcW w:w="1188" w:type="dxa"/>
            <w:tcBorders>
              <w:bottom w:val="single" w:sz="6" w:space="0" w:color="000000"/>
              <w:right w:val="single" w:sz="6" w:space="0" w:color="000000"/>
            </w:tcBorders>
          </w:tcPr>
          <w:p>
            <w:pPr>
              <w:pStyle w:val="TableParagraph"/>
              <w:spacing w:before="1"/>
              <w:jc w:val="left"/>
              <w:rPr>
                <w:sz w:val="25"/>
              </w:rPr>
            </w:pPr>
          </w:p>
          <w:p>
            <w:pPr>
              <w:pStyle w:val="TableParagraph"/>
              <w:ind w:left="105" w:right="84"/>
              <w:rPr>
                <w:sz w:val="21"/>
              </w:rPr>
            </w:pPr>
            <w:r>
              <w:rPr>
                <w:sz w:val="21"/>
              </w:rPr>
              <w:t>防护措施</w:t>
            </w:r>
          </w:p>
        </w:tc>
        <w:tc>
          <w:tcPr>
            <w:tcW w:w="7821" w:type="dxa"/>
            <w:tcBorders>
              <w:left w:val="single" w:sz="6" w:space="0" w:color="000000"/>
              <w:bottom w:val="single" w:sz="6" w:space="0" w:color="000000"/>
            </w:tcBorders>
          </w:tcPr>
          <w:p>
            <w:pPr>
              <w:pStyle w:val="TableParagraph"/>
              <w:spacing w:line="304" w:lineRule="exact"/>
              <w:ind w:left="114"/>
              <w:jc w:val="left"/>
              <w:rPr>
                <w:sz w:val="21"/>
              </w:rPr>
            </w:pPr>
            <w:r>
              <w:rPr>
                <w:sz w:val="21"/>
              </w:rPr>
              <w:t>呼吸系统防护：空气中浓度超标时，佩戴过滤式防毒面具</w:t>
            </w:r>
            <w:r>
              <w:rPr>
                <w:rFonts w:ascii="Times New Roman" w:eastAsia="Times New Roman"/>
                <w:sz w:val="21"/>
              </w:rPr>
              <w:t>(</w:t>
            </w:r>
            <w:r>
              <w:rPr>
                <w:sz w:val="21"/>
              </w:rPr>
              <w:t>半面罩</w:t>
            </w:r>
            <w:r>
              <w:rPr>
                <w:rFonts w:ascii="Times New Roman" w:eastAsia="Times New Roman"/>
                <w:sz w:val="21"/>
              </w:rPr>
              <w:t>)</w:t>
            </w:r>
            <w:r>
              <w:rPr>
                <w:sz w:val="21"/>
              </w:rPr>
              <w:t>。</w:t>
            </w:r>
          </w:p>
          <w:p>
            <w:pPr>
              <w:pStyle w:val="TableParagraph"/>
              <w:spacing w:line="160" w:lineRule="auto" w:before="30"/>
              <w:ind w:left="114" w:right="955"/>
              <w:jc w:val="left"/>
              <w:rPr>
                <w:sz w:val="21"/>
              </w:rPr>
            </w:pPr>
            <w:r>
              <w:rPr>
                <w:sz w:val="21"/>
              </w:rPr>
              <w:t>眼睛防护：一般不需要特殊防护，高浓度接触时可戴化学安全防护眼镜。身体防护：穿防静电工作服。</w:t>
            </w:r>
          </w:p>
          <w:p>
            <w:pPr>
              <w:pStyle w:val="TableParagraph"/>
              <w:spacing w:line="273" w:lineRule="exact"/>
              <w:ind w:left="114"/>
              <w:jc w:val="left"/>
              <w:rPr>
                <w:sz w:val="21"/>
              </w:rPr>
            </w:pPr>
            <w:r>
              <w:rPr>
                <w:sz w:val="21"/>
              </w:rPr>
              <w:t>手防护：戴橡胶手套。</w:t>
            </w:r>
          </w:p>
          <w:p>
            <w:pPr>
              <w:pStyle w:val="TableParagraph"/>
              <w:spacing w:line="278" w:lineRule="exact"/>
              <w:ind w:left="167"/>
              <w:jc w:val="left"/>
              <w:rPr>
                <w:sz w:val="21"/>
              </w:rPr>
            </w:pPr>
            <w:r>
              <w:rPr>
                <w:sz w:val="21"/>
              </w:rPr>
              <w:t>其它：工作现场严禁吸烟。注意个人清洁卫生。避免长期反复接触。</w:t>
            </w:r>
          </w:p>
        </w:tc>
      </w:tr>
      <w:tr>
        <w:trPr>
          <w:trHeight w:val="2397"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26"/>
              </w:rPr>
            </w:pPr>
          </w:p>
          <w:p>
            <w:pPr>
              <w:pStyle w:val="TableParagraph"/>
              <w:ind w:left="105" w:right="84"/>
              <w:rPr>
                <w:sz w:val="21"/>
              </w:rPr>
            </w:pPr>
            <w:r>
              <w:rPr>
                <w:sz w:val="21"/>
              </w:rPr>
              <w:t>急救措施</w:t>
            </w:r>
          </w:p>
        </w:tc>
        <w:tc>
          <w:tcPr>
            <w:tcW w:w="7821" w:type="dxa"/>
            <w:tcBorders>
              <w:top w:val="single" w:sz="6" w:space="0" w:color="000000"/>
              <w:left w:val="single" w:sz="6" w:space="0" w:color="000000"/>
            </w:tcBorders>
          </w:tcPr>
          <w:p>
            <w:pPr>
              <w:pStyle w:val="TableParagraph"/>
              <w:spacing w:line="160" w:lineRule="auto" w:before="31"/>
              <w:ind w:left="167" w:right="1795" w:hanging="53"/>
              <w:jc w:val="left"/>
              <w:rPr>
                <w:sz w:val="21"/>
              </w:rPr>
            </w:pPr>
            <w:r>
              <w:rPr>
                <w:sz w:val="21"/>
              </w:rPr>
              <w:t>皮肤接触：脱去被污染的衣着，用肥皂水和清水彻底冲洗皮肤。眼睛接触：提起眼睑，用流动清水或生理盐水冲洗。就医。</w:t>
            </w:r>
          </w:p>
          <w:p>
            <w:pPr>
              <w:pStyle w:val="TableParagraph"/>
              <w:spacing w:line="160" w:lineRule="auto" w:before="4"/>
              <w:ind w:left="114" w:right="72" w:firstLine="52"/>
              <w:jc w:val="left"/>
              <w:rPr>
                <w:sz w:val="21"/>
              </w:rPr>
            </w:pPr>
            <w:r>
              <w:rPr>
                <w:sz w:val="21"/>
              </w:rPr>
              <w:t>吸入：迅速脱离现场至空气新鲜处。保持呼吸道通畅。如呼吸困难，给输氧。如呼吸停止，立即进行人工呼吸。就医。</w:t>
            </w:r>
          </w:p>
          <w:p>
            <w:pPr>
              <w:pStyle w:val="TableParagraph"/>
              <w:spacing w:line="273" w:lineRule="exact"/>
              <w:ind w:left="167"/>
              <w:jc w:val="left"/>
              <w:rPr>
                <w:sz w:val="21"/>
              </w:rPr>
            </w:pPr>
            <w:r>
              <w:rPr>
                <w:sz w:val="21"/>
              </w:rPr>
              <w:t>食入：饮足量温水，催吐，就医。</w:t>
            </w:r>
          </w:p>
          <w:p>
            <w:pPr>
              <w:pStyle w:val="TableParagraph"/>
              <w:spacing w:line="163" w:lineRule="auto" w:before="26"/>
              <w:ind w:left="114" w:right="36" w:firstLine="52"/>
              <w:jc w:val="left"/>
              <w:rPr>
                <w:sz w:val="21"/>
              </w:rPr>
            </w:pPr>
            <w:r>
              <w:rPr>
                <w:sz w:val="21"/>
              </w:rPr>
              <w:t>灭火方法：尽可能将容器从火场移至空旷处。喷水保持火场容器冷却，直至灭火结束。处在火场中的容器若已变色或从安全泄压装置中产生声音，必须马上撤离。灭</w:t>
            </w:r>
          </w:p>
          <w:p>
            <w:pPr>
              <w:pStyle w:val="TableParagraph"/>
              <w:spacing w:line="243" w:lineRule="exact"/>
              <w:ind w:left="114"/>
              <w:jc w:val="left"/>
              <w:rPr>
                <w:sz w:val="21"/>
              </w:rPr>
            </w:pPr>
            <w:r>
              <w:rPr>
                <w:sz w:val="21"/>
              </w:rPr>
              <w:t>火剂：泡沫、干粉、二氧化碳、砂土。用水灭火无效。</w:t>
            </w:r>
          </w:p>
        </w:tc>
      </w:tr>
    </w:tbl>
    <w:p>
      <w:pPr>
        <w:pStyle w:val="BodyText"/>
        <w:spacing w:before="18"/>
        <w:rPr>
          <w:sz w:val="3"/>
        </w:rPr>
      </w:pPr>
    </w:p>
    <w:p>
      <w:pPr>
        <w:tabs>
          <w:tab w:pos="4190" w:val="left" w:leader="none"/>
        </w:tabs>
        <w:spacing w:line="423" w:lineRule="exact" w:before="0" w:after="48"/>
        <w:ind w:left="3175" w:right="0" w:firstLine="0"/>
        <w:jc w:val="left"/>
        <w:rPr>
          <w:sz w:val="21"/>
        </w:rPr>
      </w:pPr>
      <w:r>
        <w:rPr>
          <w:sz w:val="21"/>
        </w:rPr>
        <w:t>表</w:t>
      </w:r>
      <w:r>
        <w:rPr>
          <w:spacing w:val="5"/>
          <w:sz w:val="21"/>
        </w:rPr>
        <w:t> </w:t>
      </w:r>
      <w:r>
        <w:rPr>
          <w:rFonts w:ascii="Times New Roman" w:eastAsia="Times New Roman"/>
          <w:sz w:val="21"/>
        </w:rPr>
        <w:t>7.1-24</w:t>
        <w:tab/>
      </w:r>
      <w:r>
        <w:rPr>
          <w:sz w:val="21"/>
        </w:rPr>
        <w:t>氢</w:t>
      </w:r>
      <w:r>
        <w:rPr>
          <w:spacing w:val="-3"/>
          <w:sz w:val="21"/>
        </w:rPr>
        <w:t>气</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tbl>
      <w:tblPr>
        <w:tblW w:w="0" w:type="auto"/>
        <w:jc w:val="left"/>
        <w:tblInd w:w="2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2482"/>
        <w:gridCol w:w="1092"/>
        <w:gridCol w:w="163"/>
        <w:gridCol w:w="1094"/>
        <w:gridCol w:w="1258"/>
        <w:gridCol w:w="1260"/>
      </w:tblGrid>
      <w:tr>
        <w:trPr>
          <w:trHeight w:val="359" w:hRule="atLeast"/>
        </w:trPr>
        <w:tc>
          <w:tcPr>
            <w:tcW w:w="1586" w:type="dxa"/>
            <w:tcBorders>
              <w:bottom w:val="single" w:sz="6" w:space="0" w:color="000000"/>
              <w:right w:val="single" w:sz="6" w:space="0" w:color="000000"/>
            </w:tcBorders>
          </w:tcPr>
          <w:p>
            <w:pPr>
              <w:pStyle w:val="TableParagraph"/>
              <w:spacing w:line="339" w:lineRule="exact"/>
              <w:ind w:left="133" w:right="117"/>
              <w:rPr>
                <w:sz w:val="21"/>
              </w:rPr>
            </w:pPr>
            <w:r>
              <w:rPr>
                <w:sz w:val="21"/>
              </w:rPr>
              <w:t>中文名称</w:t>
            </w:r>
          </w:p>
        </w:tc>
        <w:tc>
          <w:tcPr>
            <w:tcW w:w="2482" w:type="dxa"/>
            <w:tcBorders>
              <w:left w:val="single" w:sz="6" w:space="0" w:color="000000"/>
              <w:bottom w:val="single" w:sz="6" w:space="0" w:color="000000"/>
              <w:right w:val="single" w:sz="6" w:space="0" w:color="000000"/>
            </w:tcBorders>
          </w:tcPr>
          <w:p>
            <w:pPr>
              <w:pStyle w:val="TableParagraph"/>
              <w:spacing w:line="339" w:lineRule="exact"/>
              <w:ind w:left="392" w:right="362"/>
              <w:rPr>
                <w:sz w:val="21"/>
              </w:rPr>
            </w:pPr>
            <w:r>
              <w:rPr>
                <w:sz w:val="21"/>
              </w:rPr>
              <w:t>氢气</w:t>
            </w:r>
          </w:p>
        </w:tc>
        <w:tc>
          <w:tcPr>
            <w:tcW w:w="1255" w:type="dxa"/>
            <w:gridSpan w:val="2"/>
            <w:tcBorders>
              <w:left w:val="single" w:sz="6" w:space="0" w:color="000000"/>
              <w:bottom w:val="single" w:sz="6" w:space="0" w:color="000000"/>
              <w:right w:val="single" w:sz="6" w:space="0" w:color="000000"/>
            </w:tcBorders>
          </w:tcPr>
          <w:p>
            <w:pPr>
              <w:pStyle w:val="TableParagraph"/>
              <w:spacing w:line="339" w:lineRule="exact"/>
              <w:ind w:left="211"/>
              <w:jc w:val="left"/>
              <w:rPr>
                <w:sz w:val="21"/>
              </w:rPr>
            </w:pPr>
            <w:r>
              <w:rPr>
                <w:sz w:val="21"/>
              </w:rPr>
              <w:t>英文名称</w:t>
            </w:r>
          </w:p>
        </w:tc>
        <w:tc>
          <w:tcPr>
            <w:tcW w:w="3612" w:type="dxa"/>
            <w:gridSpan w:val="3"/>
            <w:tcBorders>
              <w:left w:val="single" w:sz="6" w:space="0" w:color="000000"/>
              <w:bottom w:val="single" w:sz="6" w:space="0" w:color="000000"/>
            </w:tcBorders>
          </w:tcPr>
          <w:p>
            <w:pPr>
              <w:pStyle w:val="TableParagraph"/>
              <w:spacing w:before="91"/>
              <w:ind w:left="1394" w:right="1361"/>
              <w:rPr>
                <w:rFonts w:ascii="Times New Roman"/>
                <w:sz w:val="21"/>
              </w:rPr>
            </w:pPr>
            <w:r>
              <w:rPr>
                <w:rFonts w:ascii="Times New Roman"/>
                <w:sz w:val="21"/>
              </w:rPr>
              <w:t>hydrogen</w:t>
            </w:r>
          </w:p>
        </w:tc>
      </w:tr>
      <w:tr>
        <w:trPr>
          <w:trHeight w:val="544" w:hRule="atLeast"/>
        </w:trPr>
        <w:tc>
          <w:tcPr>
            <w:tcW w:w="1586" w:type="dxa"/>
            <w:tcBorders>
              <w:top w:val="single" w:sz="6" w:space="0" w:color="000000"/>
              <w:bottom w:val="single" w:sz="6" w:space="0" w:color="000000"/>
              <w:right w:val="single" w:sz="6" w:space="0" w:color="000000"/>
            </w:tcBorders>
          </w:tcPr>
          <w:p>
            <w:pPr>
              <w:pStyle w:val="TableParagraph"/>
              <w:spacing w:line="259" w:lineRule="exact"/>
              <w:ind w:left="369"/>
              <w:jc w:val="left"/>
              <w:rPr>
                <w:sz w:val="21"/>
              </w:rPr>
            </w:pPr>
            <w:r>
              <w:rPr>
                <w:spacing w:val="-1"/>
                <w:sz w:val="21"/>
              </w:rPr>
              <w:t>爆炸极限</w:t>
            </w:r>
          </w:p>
          <w:p>
            <w:pPr>
              <w:pStyle w:val="TableParagraph"/>
              <w:spacing w:line="265" w:lineRule="exact"/>
              <w:ind w:left="356"/>
              <w:jc w:val="left"/>
              <w:rPr>
                <w:sz w:val="21"/>
              </w:rPr>
            </w:pPr>
            <w:r>
              <w:rPr>
                <w:sz w:val="21"/>
              </w:rPr>
              <w:t>（</w:t>
            </w:r>
            <w:r>
              <w:rPr>
                <w:rFonts w:ascii="Times New Roman" w:eastAsia="Times New Roman"/>
                <w:sz w:val="21"/>
              </w:rPr>
              <w:t>vol%</w:t>
            </w:r>
            <w:r>
              <w:rPr>
                <w:sz w:val="21"/>
              </w:rPr>
              <w:t>）</w:t>
            </w:r>
          </w:p>
        </w:tc>
        <w:tc>
          <w:tcPr>
            <w:tcW w:w="2482" w:type="dxa"/>
            <w:tcBorders>
              <w:top w:val="single" w:sz="6" w:space="0" w:color="000000"/>
              <w:left w:val="single" w:sz="6" w:space="0" w:color="000000"/>
              <w:bottom w:val="single" w:sz="6" w:space="0" w:color="000000"/>
              <w:right w:val="single" w:sz="6" w:space="0" w:color="000000"/>
            </w:tcBorders>
          </w:tcPr>
          <w:p>
            <w:pPr>
              <w:pStyle w:val="TableParagraph"/>
              <w:spacing w:before="70"/>
              <w:ind w:left="394" w:right="362"/>
              <w:rPr>
                <w:rFonts w:ascii="Times New Roman" w:eastAsia="Times New Roman"/>
                <w:sz w:val="21"/>
              </w:rPr>
            </w:pPr>
            <w:r>
              <w:rPr>
                <w:rFonts w:ascii="Times New Roman" w:eastAsia="Times New Roman"/>
                <w:sz w:val="21"/>
              </w:rPr>
              <w:t>4.1</w:t>
            </w:r>
            <w:r>
              <w:rPr>
                <w:sz w:val="21"/>
              </w:rPr>
              <w:t>～</w:t>
            </w:r>
            <w:r>
              <w:rPr>
                <w:rFonts w:ascii="Times New Roman" w:eastAsia="Times New Roman"/>
                <w:sz w:val="21"/>
              </w:rPr>
              <w:t>74.1</w:t>
            </w:r>
          </w:p>
        </w:tc>
        <w:tc>
          <w:tcPr>
            <w:tcW w:w="125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0"/>
              <w:ind w:left="317"/>
              <w:jc w:val="left"/>
              <w:rPr>
                <w:sz w:val="21"/>
              </w:rPr>
            </w:pPr>
            <w:r>
              <w:rPr>
                <w:sz w:val="21"/>
              </w:rPr>
              <w:t>灭火剂</w:t>
            </w:r>
          </w:p>
        </w:tc>
        <w:tc>
          <w:tcPr>
            <w:tcW w:w="3612" w:type="dxa"/>
            <w:gridSpan w:val="3"/>
            <w:tcBorders>
              <w:top w:val="single" w:sz="6" w:space="0" w:color="000000"/>
              <w:left w:val="single" w:sz="6" w:space="0" w:color="000000"/>
              <w:bottom w:val="single" w:sz="6" w:space="0" w:color="000000"/>
            </w:tcBorders>
          </w:tcPr>
          <w:p>
            <w:pPr>
              <w:pStyle w:val="TableParagraph"/>
              <w:spacing w:before="70"/>
              <w:ind w:left="341"/>
              <w:jc w:val="left"/>
              <w:rPr>
                <w:sz w:val="21"/>
              </w:rPr>
            </w:pPr>
            <w:r>
              <w:rPr>
                <w:sz w:val="21"/>
              </w:rPr>
              <w:t>雾状水、泡沫、二氧化碳、干粉</w:t>
            </w:r>
          </w:p>
        </w:tc>
      </w:tr>
      <w:tr>
        <w:trPr>
          <w:trHeight w:val="361" w:hRule="atLeast"/>
        </w:trPr>
        <w:tc>
          <w:tcPr>
            <w:tcW w:w="1586" w:type="dxa"/>
            <w:tcBorders>
              <w:top w:val="single" w:sz="6" w:space="0" w:color="000000"/>
              <w:bottom w:val="single" w:sz="6" w:space="0" w:color="000000"/>
              <w:right w:val="single" w:sz="6" w:space="0" w:color="000000"/>
            </w:tcBorders>
          </w:tcPr>
          <w:p>
            <w:pPr>
              <w:pStyle w:val="TableParagraph"/>
              <w:spacing w:line="342" w:lineRule="exact"/>
              <w:ind w:left="133" w:right="117"/>
              <w:rPr>
                <w:sz w:val="21"/>
              </w:rPr>
            </w:pPr>
            <w:r>
              <w:rPr>
                <w:sz w:val="21"/>
              </w:rPr>
              <w:t>主要用途</w:t>
            </w:r>
          </w:p>
        </w:tc>
        <w:tc>
          <w:tcPr>
            <w:tcW w:w="7349" w:type="dxa"/>
            <w:gridSpan w:val="6"/>
            <w:tcBorders>
              <w:top w:val="single" w:sz="6" w:space="0" w:color="000000"/>
              <w:left w:val="single" w:sz="6" w:space="0" w:color="000000"/>
              <w:bottom w:val="single" w:sz="6" w:space="0" w:color="000000"/>
            </w:tcBorders>
          </w:tcPr>
          <w:p>
            <w:pPr>
              <w:pStyle w:val="TableParagraph"/>
              <w:spacing w:line="342" w:lineRule="exact"/>
              <w:ind w:left="1054"/>
              <w:jc w:val="left"/>
              <w:rPr>
                <w:sz w:val="21"/>
              </w:rPr>
            </w:pPr>
            <w:r>
              <w:rPr>
                <w:sz w:val="21"/>
              </w:rPr>
              <w:t>用于合成氨和甲醇等，石油精制，有机物氢化及火箭燃料</w:t>
            </w:r>
          </w:p>
        </w:tc>
      </w:tr>
      <w:tr>
        <w:trPr>
          <w:trHeight w:val="359" w:hRule="atLeast"/>
        </w:trPr>
        <w:tc>
          <w:tcPr>
            <w:tcW w:w="1586" w:type="dxa"/>
            <w:tcBorders>
              <w:top w:val="single" w:sz="6" w:space="0" w:color="000000"/>
              <w:bottom w:val="single" w:sz="6" w:space="0" w:color="000000"/>
              <w:right w:val="single" w:sz="6" w:space="0" w:color="000000"/>
            </w:tcBorders>
          </w:tcPr>
          <w:p>
            <w:pPr>
              <w:pStyle w:val="TableParagraph"/>
              <w:spacing w:line="339" w:lineRule="exact"/>
              <w:ind w:left="136" w:right="117"/>
              <w:rPr>
                <w:sz w:val="21"/>
              </w:rPr>
            </w:pPr>
            <w:r>
              <w:rPr>
                <w:sz w:val="21"/>
              </w:rPr>
              <w:t>物质危险类别</w:t>
            </w:r>
          </w:p>
        </w:tc>
        <w:tc>
          <w:tcPr>
            <w:tcW w:w="2482" w:type="dxa"/>
            <w:tcBorders>
              <w:top w:val="single" w:sz="6" w:space="0" w:color="000000"/>
              <w:left w:val="single" w:sz="6" w:space="0" w:color="000000"/>
              <w:bottom w:val="single" w:sz="6" w:space="0" w:color="000000"/>
              <w:right w:val="single" w:sz="6" w:space="0" w:color="000000"/>
            </w:tcBorders>
          </w:tcPr>
          <w:p>
            <w:pPr>
              <w:pStyle w:val="TableParagraph"/>
              <w:spacing w:line="339" w:lineRule="exact"/>
              <w:ind w:left="394" w:right="362"/>
              <w:rPr>
                <w:sz w:val="21"/>
              </w:rPr>
            </w:pPr>
            <w:r>
              <w:rPr>
                <w:sz w:val="21"/>
              </w:rPr>
              <w:t>第 </w:t>
            </w:r>
            <w:r>
              <w:rPr>
                <w:rFonts w:ascii="Times New Roman" w:eastAsia="Times New Roman"/>
                <w:sz w:val="21"/>
              </w:rPr>
              <w:t>2.1 </w:t>
            </w:r>
            <w:r>
              <w:rPr>
                <w:sz w:val="21"/>
              </w:rPr>
              <w:t>类 易燃气体</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339" w:lineRule="exact"/>
              <w:ind w:left="111" w:right="84"/>
              <w:rPr>
                <w:sz w:val="21"/>
              </w:rPr>
            </w:pPr>
            <w:r>
              <w:rPr>
                <w:sz w:val="21"/>
              </w:rPr>
              <w:t>燃烧性</w:t>
            </w:r>
          </w:p>
        </w:tc>
        <w:tc>
          <w:tcPr>
            <w:tcW w:w="3775" w:type="dxa"/>
            <w:gridSpan w:val="4"/>
            <w:tcBorders>
              <w:top w:val="single" w:sz="6" w:space="0" w:color="000000"/>
              <w:left w:val="single" w:sz="6" w:space="0" w:color="000000"/>
              <w:bottom w:val="single" w:sz="6" w:space="0" w:color="000000"/>
            </w:tcBorders>
          </w:tcPr>
          <w:p>
            <w:pPr>
              <w:pStyle w:val="TableParagraph"/>
              <w:spacing w:line="339" w:lineRule="exact"/>
              <w:ind w:left="1666" w:right="1626"/>
              <w:rPr>
                <w:sz w:val="21"/>
              </w:rPr>
            </w:pPr>
            <w:r>
              <w:rPr>
                <w:sz w:val="21"/>
              </w:rPr>
              <w:t>易燃</w:t>
            </w:r>
          </w:p>
        </w:tc>
      </w:tr>
      <w:tr>
        <w:trPr>
          <w:trHeight w:val="359" w:hRule="atLeast"/>
        </w:trPr>
        <w:tc>
          <w:tcPr>
            <w:tcW w:w="1586" w:type="dxa"/>
            <w:tcBorders>
              <w:top w:val="single" w:sz="6" w:space="0" w:color="000000"/>
              <w:bottom w:val="single" w:sz="6" w:space="0" w:color="000000"/>
              <w:right w:val="single" w:sz="6" w:space="0" w:color="000000"/>
            </w:tcBorders>
          </w:tcPr>
          <w:p>
            <w:pPr>
              <w:pStyle w:val="TableParagraph"/>
              <w:spacing w:line="339" w:lineRule="exact"/>
              <w:ind w:left="136" w:right="117"/>
              <w:rPr>
                <w:sz w:val="21"/>
              </w:rPr>
            </w:pPr>
            <w:r>
              <w:rPr>
                <w:sz w:val="21"/>
              </w:rPr>
              <w:t>禁忌物</w:t>
            </w:r>
          </w:p>
        </w:tc>
        <w:tc>
          <w:tcPr>
            <w:tcW w:w="2482" w:type="dxa"/>
            <w:tcBorders>
              <w:top w:val="single" w:sz="6" w:space="0" w:color="000000"/>
              <w:left w:val="single" w:sz="6" w:space="0" w:color="000000"/>
              <w:bottom w:val="single" w:sz="6" w:space="0" w:color="000000"/>
              <w:right w:val="single" w:sz="6" w:space="0" w:color="000000"/>
            </w:tcBorders>
          </w:tcPr>
          <w:p>
            <w:pPr>
              <w:pStyle w:val="TableParagraph"/>
              <w:spacing w:line="339" w:lineRule="exact"/>
              <w:ind w:left="392" w:right="362"/>
              <w:rPr>
                <w:sz w:val="21"/>
              </w:rPr>
            </w:pPr>
            <w:r>
              <w:rPr>
                <w:sz w:val="21"/>
              </w:rPr>
              <w:t>强氧化剂、卤素</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339" w:lineRule="exact"/>
              <w:ind w:left="109" w:right="84"/>
              <w:rPr>
                <w:sz w:val="21"/>
              </w:rPr>
            </w:pPr>
            <w:r>
              <w:rPr>
                <w:rFonts w:ascii="Times New Roman" w:eastAsia="Times New Roman"/>
                <w:sz w:val="21"/>
              </w:rPr>
              <w:t>UN </w:t>
            </w:r>
            <w:r>
              <w:rPr>
                <w:sz w:val="21"/>
              </w:rPr>
              <w:t>编号</w:t>
            </w:r>
          </w:p>
        </w:tc>
        <w:tc>
          <w:tcPr>
            <w:tcW w:w="125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3"/>
              <w:ind w:left="425"/>
              <w:jc w:val="left"/>
              <w:rPr>
                <w:rFonts w:ascii="Times New Roman"/>
                <w:sz w:val="21"/>
              </w:rPr>
            </w:pPr>
            <w:r>
              <w:rPr>
                <w:rFonts w:ascii="Times New Roman"/>
                <w:sz w:val="21"/>
              </w:rPr>
              <w:t>1049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53"/>
              <w:ind w:left="229"/>
              <w:jc w:val="left"/>
              <w:rPr>
                <w:rFonts w:ascii="Times New Roman"/>
                <w:sz w:val="21"/>
              </w:rPr>
            </w:pPr>
            <w:r>
              <w:rPr>
                <w:rFonts w:ascii="Times New Roman"/>
                <w:sz w:val="21"/>
              </w:rPr>
              <w:t>CAS NO.</w:t>
            </w:r>
          </w:p>
        </w:tc>
        <w:tc>
          <w:tcPr>
            <w:tcW w:w="1260" w:type="dxa"/>
            <w:tcBorders>
              <w:top w:val="single" w:sz="6" w:space="0" w:color="000000"/>
              <w:left w:val="single" w:sz="6" w:space="0" w:color="000000"/>
              <w:bottom w:val="single" w:sz="6" w:space="0" w:color="000000"/>
            </w:tcBorders>
          </w:tcPr>
          <w:p>
            <w:pPr>
              <w:pStyle w:val="TableParagraph"/>
              <w:spacing w:before="53"/>
              <w:ind w:left="232" w:right="195"/>
              <w:rPr>
                <w:rFonts w:ascii="Times New Roman"/>
                <w:sz w:val="21"/>
              </w:rPr>
            </w:pPr>
            <w:r>
              <w:rPr>
                <w:rFonts w:ascii="Times New Roman"/>
                <w:sz w:val="21"/>
              </w:rPr>
              <w:t>133-74-0</w:t>
            </w:r>
          </w:p>
        </w:tc>
      </w:tr>
      <w:tr>
        <w:trPr>
          <w:trHeight w:val="359" w:hRule="atLeast"/>
        </w:trPr>
        <w:tc>
          <w:tcPr>
            <w:tcW w:w="1586" w:type="dxa"/>
            <w:tcBorders>
              <w:top w:val="single" w:sz="6" w:space="0" w:color="000000"/>
              <w:bottom w:val="single" w:sz="6" w:space="0" w:color="000000"/>
              <w:right w:val="single" w:sz="6" w:space="0" w:color="000000"/>
            </w:tcBorders>
          </w:tcPr>
          <w:p>
            <w:pPr>
              <w:pStyle w:val="TableParagraph"/>
              <w:spacing w:line="340" w:lineRule="exact"/>
              <w:ind w:left="141" w:right="113"/>
              <w:rPr>
                <w:sz w:val="21"/>
              </w:rPr>
            </w:pPr>
            <w:r>
              <w:rPr>
                <w:sz w:val="21"/>
              </w:rPr>
              <w:t>危险货物编号</w:t>
            </w:r>
          </w:p>
        </w:tc>
        <w:tc>
          <w:tcPr>
            <w:tcW w:w="2482" w:type="dxa"/>
            <w:tcBorders>
              <w:top w:val="single" w:sz="6" w:space="0" w:color="000000"/>
              <w:left w:val="single" w:sz="6" w:space="0" w:color="000000"/>
              <w:bottom w:val="single" w:sz="6" w:space="0" w:color="000000"/>
              <w:right w:val="single" w:sz="6" w:space="0" w:color="000000"/>
            </w:tcBorders>
          </w:tcPr>
          <w:p>
            <w:pPr>
              <w:pStyle w:val="TableParagraph"/>
              <w:spacing w:before="53"/>
              <w:ind w:left="392" w:right="362"/>
              <w:rPr>
                <w:rFonts w:ascii="Times New Roman"/>
                <w:sz w:val="21"/>
              </w:rPr>
            </w:pPr>
            <w:r>
              <w:rPr>
                <w:rFonts w:ascii="Times New Roman"/>
                <w:sz w:val="21"/>
              </w:rPr>
              <w:t>21001</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340" w:lineRule="exact"/>
              <w:ind w:left="113" w:right="84"/>
              <w:rPr>
                <w:sz w:val="21"/>
              </w:rPr>
            </w:pPr>
            <w:r>
              <w:rPr>
                <w:sz w:val="21"/>
              </w:rPr>
              <w:t>包装类别</w:t>
            </w:r>
          </w:p>
        </w:tc>
        <w:tc>
          <w:tcPr>
            <w:tcW w:w="1257" w:type="dxa"/>
            <w:gridSpan w:val="2"/>
            <w:tcBorders>
              <w:top w:val="single" w:sz="6" w:space="0" w:color="000000"/>
              <w:left w:val="single" w:sz="6" w:space="0" w:color="000000"/>
              <w:bottom w:val="single" w:sz="6" w:space="0" w:color="000000"/>
              <w:right w:val="single" w:sz="6" w:space="0" w:color="000000"/>
            </w:tcBorders>
          </w:tcPr>
          <w:p>
            <w:pPr>
              <w:pStyle w:val="TableParagraph"/>
              <w:spacing w:line="340" w:lineRule="exact"/>
              <w:ind w:left="31"/>
              <w:rPr>
                <w:sz w:val="21"/>
              </w:rPr>
            </w:pPr>
            <w:r>
              <w:rPr>
                <w:w w:val="100"/>
                <w:sz w:val="21"/>
              </w:rPr>
              <w:t>Ⅱ</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line="340" w:lineRule="exact"/>
              <w:ind w:left="217"/>
              <w:jc w:val="left"/>
              <w:rPr>
                <w:sz w:val="21"/>
              </w:rPr>
            </w:pPr>
            <w:r>
              <w:rPr>
                <w:sz w:val="21"/>
              </w:rPr>
              <w:t>包装标志</w:t>
            </w:r>
          </w:p>
        </w:tc>
        <w:tc>
          <w:tcPr>
            <w:tcW w:w="1260" w:type="dxa"/>
            <w:tcBorders>
              <w:top w:val="single" w:sz="6" w:space="0" w:color="000000"/>
              <w:left w:val="single" w:sz="6" w:space="0" w:color="000000"/>
              <w:bottom w:val="single" w:sz="6" w:space="0" w:color="000000"/>
            </w:tcBorders>
          </w:tcPr>
          <w:p>
            <w:pPr>
              <w:pStyle w:val="TableParagraph"/>
              <w:spacing w:before="53"/>
              <w:ind w:left="37"/>
              <w:rPr>
                <w:rFonts w:ascii="Times New Roman"/>
                <w:sz w:val="21"/>
              </w:rPr>
            </w:pPr>
            <w:r>
              <w:rPr>
                <w:rFonts w:ascii="Times New Roman"/>
                <w:w w:val="100"/>
                <w:sz w:val="21"/>
              </w:rPr>
              <w:t>4</w:t>
            </w:r>
          </w:p>
        </w:tc>
      </w:tr>
      <w:tr>
        <w:trPr>
          <w:trHeight w:val="817" w:hRule="atLeast"/>
        </w:trPr>
        <w:tc>
          <w:tcPr>
            <w:tcW w:w="1586" w:type="dxa"/>
            <w:tcBorders>
              <w:top w:val="single" w:sz="6" w:space="0" w:color="000000"/>
              <w:bottom w:val="single" w:sz="6" w:space="0" w:color="000000"/>
              <w:right w:val="single" w:sz="6" w:space="0" w:color="000000"/>
            </w:tcBorders>
          </w:tcPr>
          <w:p>
            <w:pPr>
              <w:pStyle w:val="TableParagraph"/>
              <w:spacing w:before="16"/>
              <w:jc w:val="left"/>
              <w:rPr>
                <w:sz w:val="9"/>
              </w:rPr>
            </w:pPr>
          </w:p>
          <w:p>
            <w:pPr>
              <w:pStyle w:val="TableParagraph"/>
              <w:ind w:left="133" w:right="117"/>
              <w:rPr>
                <w:sz w:val="21"/>
              </w:rPr>
            </w:pPr>
            <w:r>
              <w:rPr>
                <w:sz w:val="21"/>
              </w:rPr>
              <w:t>危险特性</w:t>
            </w:r>
          </w:p>
        </w:tc>
        <w:tc>
          <w:tcPr>
            <w:tcW w:w="7349" w:type="dxa"/>
            <w:gridSpan w:val="6"/>
            <w:tcBorders>
              <w:top w:val="single" w:sz="6" w:space="0" w:color="000000"/>
              <w:left w:val="single" w:sz="6" w:space="0" w:color="000000"/>
              <w:bottom w:val="single" w:sz="6" w:space="0" w:color="000000"/>
            </w:tcBorders>
          </w:tcPr>
          <w:p>
            <w:pPr>
              <w:pStyle w:val="TableParagraph"/>
              <w:spacing w:line="146" w:lineRule="auto" w:before="23"/>
              <w:ind w:left="115" w:right="65"/>
              <w:jc w:val="left"/>
              <w:rPr>
                <w:sz w:val="21"/>
              </w:rPr>
            </w:pPr>
            <w:r>
              <w:rPr>
                <w:sz w:val="21"/>
              </w:rPr>
              <w:t>与空气混合能形成爆炸性混合物，遇热或明火即会发生爆炸。气体比空气轻， 在室内使用和储存时，漏气上升滞留屋顶不易排出，遇火星会引起爆炸。氢气</w:t>
            </w:r>
          </w:p>
          <w:p>
            <w:pPr>
              <w:pStyle w:val="TableParagraph"/>
              <w:spacing w:line="231" w:lineRule="exact"/>
              <w:ind w:left="115"/>
              <w:jc w:val="left"/>
              <w:rPr>
                <w:sz w:val="21"/>
              </w:rPr>
            </w:pPr>
            <w:r>
              <w:rPr>
                <w:sz w:val="21"/>
              </w:rPr>
              <w:t>与氟、氯、溴等卤素会剧烈反应。</w:t>
            </w:r>
          </w:p>
        </w:tc>
      </w:tr>
      <w:tr>
        <w:trPr>
          <w:trHeight w:val="544" w:hRule="atLeast"/>
        </w:trPr>
        <w:tc>
          <w:tcPr>
            <w:tcW w:w="1586" w:type="dxa"/>
            <w:tcBorders>
              <w:top w:val="single" w:sz="6" w:space="0" w:color="000000"/>
              <w:bottom w:val="single" w:sz="6" w:space="0" w:color="000000"/>
              <w:right w:val="single" w:sz="6" w:space="0" w:color="000000"/>
            </w:tcBorders>
          </w:tcPr>
          <w:p>
            <w:pPr>
              <w:pStyle w:val="TableParagraph"/>
              <w:spacing w:before="70"/>
              <w:ind w:left="133" w:right="117"/>
              <w:rPr>
                <w:sz w:val="21"/>
              </w:rPr>
            </w:pPr>
            <w:r>
              <w:rPr>
                <w:sz w:val="21"/>
              </w:rPr>
              <w:t>灭火方法</w:t>
            </w:r>
          </w:p>
        </w:tc>
        <w:tc>
          <w:tcPr>
            <w:tcW w:w="7349" w:type="dxa"/>
            <w:gridSpan w:val="6"/>
            <w:tcBorders>
              <w:top w:val="single" w:sz="6" w:space="0" w:color="000000"/>
              <w:left w:val="single" w:sz="6" w:space="0" w:color="000000"/>
              <w:bottom w:val="single" w:sz="6" w:space="0" w:color="000000"/>
            </w:tcBorders>
          </w:tcPr>
          <w:p>
            <w:pPr>
              <w:pStyle w:val="TableParagraph"/>
              <w:spacing w:line="260" w:lineRule="exact"/>
              <w:ind w:left="115"/>
              <w:jc w:val="left"/>
              <w:rPr>
                <w:sz w:val="21"/>
              </w:rPr>
            </w:pPr>
            <w:r>
              <w:rPr>
                <w:sz w:val="21"/>
              </w:rPr>
              <w:t>切断气源。若不能立即切断气源，则不允许熄灭正在燃烧的气体。喷水冷却容</w:t>
            </w:r>
          </w:p>
          <w:p>
            <w:pPr>
              <w:pStyle w:val="TableParagraph"/>
              <w:spacing w:line="265" w:lineRule="exact"/>
              <w:ind w:left="115"/>
              <w:jc w:val="left"/>
              <w:rPr>
                <w:sz w:val="21"/>
              </w:rPr>
            </w:pPr>
            <w:r>
              <w:rPr>
                <w:sz w:val="21"/>
              </w:rPr>
              <w:t>器，可能的话将容器从火场移至空旷处。</w:t>
            </w:r>
          </w:p>
        </w:tc>
      </w:tr>
      <w:tr>
        <w:trPr>
          <w:trHeight w:val="546" w:hRule="atLeast"/>
        </w:trPr>
        <w:tc>
          <w:tcPr>
            <w:tcW w:w="1586" w:type="dxa"/>
            <w:tcBorders>
              <w:top w:val="single" w:sz="6" w:space="0" w:color="000000"/>
              <w:bottom w:val="single" w:sz="6" w:space="0" w:color="000000"/>
              <w:right w:val="single" w:sz="6" w:space="0" w:color="000000"/>
            </w:tcBorders>
          </w:tcPr>
          <w:p>
            <w:pPr>
              <w:pStyle w:val="TableParagraph"/>
              <w:spacing w:before="70"/>
              <w:ind w:left="133" w:right="117"/>
              <w:rPr>
                <w:sz w:val="21"/>
              </w:rPr>
            </w:pPr>
            <w:r>
              <w:rPr>
                <w:sz w:val="21"/>
              </w:rPr>
              <w:t>健康危害</w:t>
            </w:r>
          </w:p>
        </w:tc>
        <w:tc>
          <w:tcPr>
            <w:tcW w:w="7349" w:type="dxa"/>
            <w:gridSpan w:val="6"/>
            <w:tcBorders>
              <w:top w:val="single" w:sz="6" w:space="0" w:color="000000"/>
              <w:left w:val="single" w:sz="6" w:space="0" w:color="000000"/>
              <w:bottom w:val="single" w:sz="6" w:space="0" w:color="000000"/>
            </w:tcBorders>
          </w:tcPr>
          <w:p>
            <w:pPr>
              <w:pStyle w:val="TableParagraph"/>
              <w:spacing w:line="261" w:lineRule="exact"/>
              <w:ind w:left="115"/>
              <w:jc w:val="left"/>
              <w:rPr>
                <w:sz w:val="21"/>
              </w:rPr>
            </w:pPr>
            <w:r>
              <w:rPr>
                <w:sz w:val="21"/>
              </w:rPr>
              <w:t>本品在生理学上是惰性气体，仅在高浓度时，由于空气中氧分压降低才引起窒</w:t>
            </w:r>
          </w:p>
          <w:p>
            <w:pPr>
              <w:pStyle w:val="TableParagraph"/>
              <w:spacing w:line="266" w:lineRule="exact"/>
              <w:ind w:left="115"/>
              <w:jc w:val="left"/>
              <w:rPr>
                <w:sz w:val="21"/>
              </w:rPr>
            </w:pPr>
            <w:r>
              <w:rPr>
                <w:sz w:val="21"/>
              </w:rPr>
              <w:t>息。在很高的分压下，氢气可呈现出麻醉作用。</w:t>
            </w:r>
          </w:p>
        </w:tc>
      </w:tr>
      <w:tr>
        <w:trPr>
          <w:trHeight w:val="544" w:hRule="atLeast"/>
        </w:trPr>
        <w:tc>
          <w:tcPr>
            <w:tcW w:w="1586" w:type="dxa"/>
            <w:tcBorders>
              <w:top w:val="single" w:sz="6" w:space="0" w:color="000000"/>
              <w:bottom w:val="single" w:sz="6" w:space="0" w:color="000000"/>
              <w:right w:val="single" w:sz="6" w:space="0" w:color="000000"/>
            </w:tcBorders>
          </w:tcPr>
          <w:p>
            <w:pPr>
              <w:pStyle w:val="TableParagraph"/>
              <w:spacing w:before="68"/>
              <w:ind w:left="133" w:right="117"/>
              <w:rPr>
                <w:sz w:val="21"/>
              </w:rPr>
            </w:pPr>
            <w:r>
              <w:rPr>
                <w:sz w:val="21"/>
              </w:rPr>
              <w:t>急救措施</w:t>
            </w:r>
          </w:p>
        </w:tc>
        <w:tc>
          <w:tcPr>
            <w:tcW w:w="7349" w:type="dxa"/>
            <w:gridSpan w:val="6"/>
            <w:tcBorders>
              <w:top w:val="single" w:sz="6" w:space="0" w:color="000000"/>
              <w:left w:val="single" w:sz="6" w:space="0" w:color="000000"/>
              <w:bottom w:val="single" w:sz="6" w:space="0" w:color="000000"/>
            </w:tcBorders>
          </w:tcPr>
          <w:p>
            <w:pPr>
              <w:pStyle w:val="TableParagraph"/>
              <w:spacing w:line="258" w:lineRule="exact"/>
              <w:ind w:left="115"/>
              <w:jc w:val="left"/>
              <w:rPr>
                <w:sz w:val="21"/>
              </w:rPr>
            </w:pPr>
            <w:r>
              <w:rPr>
                <w:sz w:val="21"/>
              </w:rPr>
              <w:t>吸入：迅速脱离现场至空气新鲜处。保持呼吸道通畅。如呼吸困难，给输氧。</w:t>
            </w:r>
          </w:p>
          <w:p>
            <w:pPr>
              <w:pStyle w:val="TableParagraph"/>
              <w:spacing w:line="266" w:lineRule="exact"/>
              <w:ind w:left="115"/>
              <w:jc w:val="left"/>
              <w:rPr>
                <w:sz w:val="21"/>
              </w:rPr>
            </w:pPr>
            <w:r>
              <w:rPr>
                <w:sz w:val="21"/>
              </w:rPr>
              <w:t>如呼吸停止，立即进行人工呼吸。就医。</w:t>
            </w:r>
          </w:p>
        </w:tc>
      </w:tr>
      <w:tr>
        <w:trPr>
          <w:trHeight w:val="1634" w:hRule="atLeast"/>
        </w:trPr>
        <w:tc>
          <w:tcPr>
            <w:tcW w:w="1586" w:type="dxa"/>
            <w:tcBorders>
              <w:top w:val="single" w:sz="6" w:space="0" w:color="000000"/>
              <w:bottom w:val="single" w:sz="6" w:space="0" w:color="000000"/>
              <w:right w:val="single" w:sz="6" w:space="0" w:color="000000"/>
            </w:tcBorders>
          </w:tcPr>
          <w:p>
            <w:pPr>
              <w:pStyle w:val="TableParagraph"/>
              <w:spacing w:before="19"/>
              <w:jc w:val="left"/>
              <w:rPr>
                <w:sz w:val="28"/>
              </w:rPr>
            </w:pPr>
          </w:p>
          <w:p>
            <w:pPr>
              <w:pStyle w:val="TableParagraph"/>
              <w:spacing w:before="1"/>
              <w:ind w:left="133" w:right="117"/>
              <w:rPr>
                <w:sz w:val="21"/>
              </w:rPr>
            </w:pPr>
            <w:r>
              <w:rPr>
                <w:sz w:val="21"/>
              </w:rPr>
              <w:t>防护措施</w:t>
            </w:r>
          </w:p>
        </w:tc>
        <w:tc>
          <w:tcPr>
            <w:tcW w:w="7349" w:type="dxa"/>
            <w:gridSpan w:val="6"/>
            <w:tcBorders>
              <w:top w:val="single" w:sz="6" w:space="0" w:color="000000"/>
              <w:left w:val="single" w:sz="6" w:space="0" w:color="000000"/>
              <w:bottom w:val="single" w:sz="6" w:space="0" w:color="000000"/>
            </w:tcBorders>
          </w:tcPr>
          <w:p>
            <w:pPr>
              <w:pStyle w:val="TableParagraph"/>
              <w:spacing w:line="146" w:lineRule="auto" w:before="21"/>
              <w:ind w:left="115" w:right="483"/>
              <w:jc w:val="left"/>
              <w:rPr>
                <w:sz w:val="21"/>
              </w:rPr>
            </w:pPr>
            <w:r>
              <w:rPr>
                <w:sz w:val="21"/>
              </w:rPr>
              <w:t>呼吸系统防护：一般不需要特别防护，高浓度接触时可佩带空气呼吸器。眼睛防护：一般不需要特别防护。</w:t>
            </w:r>
          </w:p>
          <w:p>
            <w:pPr>
              <w:pStyle w:val="TableParagraph"/>
              <w:spacing w:line="146" w:lineRule="auto" w:before="2"/>
              <w:ind w:left="115" w:right="4204"/>
              <w:jc w:val="left"/>
              <w:rPr>
                <w:sz w:val="21"/>
              </w:rPr>
            </w:pPr>
            <w:r>
              <w:rPr>
                <w:sz w:val="21"/>
              </w:rPr>
              <w:t>身体防护：穿防静电工作服。 手防护：戴一般作业防护手套。</w:t>
            </w:r>
          </w:p>
          <w:p>
            <w:pPr>
              <w:pStyle w:val="TableParagraph"/>
              <w:spacing w:line="239" w:lineRule="exact"/>
              <w:ind w:left="115"/>
              <w:jc w:val="left"/>
              <w:rPr>
                <w:sz w:val="21"/>
              </w:rPr>
            </w:pPr>
            <w:r>
              <w:rPr>
                <w:sz w:val="21"/>
              </w:rPr>
              <w:t>其它：工作现场严禁吸烟。避免高浓度吸入。进入罐、限制性空间或其它高浓</w:t>
            </w:r>
          </w:p>
          <w:p>
            <w:pPr>
              <w:pStyle w:val="TableParagraph"/>
              <w:spacing w:line="266" w:lineRule="exact"/>
              <w:ind w:left="115"/>
              <w:jc w:val="left"/>
              <w:rPr>
                <w:sz w:val="21"/>
              </w:rPr>
            </w:pPr>
            <w:r>
              <w:rPr>
                <w:sz w:val="21"/>
              </w:rPr>
              <w:t>度区作业，须有人监护。</w:t>
            </w:r>
          </w:p>
        </w:tc>
      </w:tr>
      <w:tr>
        <w:trPr>
          <w:trHeight w:val="1086" w:hRule="atLeast"/>
        </w:trPr>
        <w:tc>
          <w:tcPr>
            <w:tcW w:w="1586" w:type="dxa"/>
            <w:tcBorders>
              <w:top w:val="single" w:sz="6" w:space="0" w:color="000000"/>
              <w:right w:val="single" w:sz="6" w:space="0" w:color="000000"/>
            </w:tcBorders>
          </w:tcPr>
          <w:p>
            <w:pPr>
              <w:pStyle w:val="TableParagraph"/>
              <w:spacing w:before="2"/>
              <w:jc w:val="left"/>
              <w:rPr>
                <w:sz w:val="16"/>
              </w:rPr>
            </w:pPr>
          </w:p>
          <w:p>
            <w:pPr>
              <w:pStyle w:val="TableParagraph"/>
              <w:ind w:left="136" w:right="117"/>
              <w:rPr>
                <w:sz w:val="21"/>
              </w:rPr>
            </w:pPr>
            <w:r>
              <w:rPr>
                <w:sz w:val="21"/>
              </w:rPr>
              <w:t>泄漏应急措施</w:t>
            </w:r>
          </w:p>
        </w:tc>
        <w:tc>
          <w:tcPr>
            <w:tcW w:w="7349" w:type="dxa"/>
            <w:gridSpan w:val="6"/>
            <w:tcBorders>
              <w:top w:val="single" w:sz="6" w:space="0" w:color="000000"/>
              <w:left w:val="single" w:sz="6" w:space="0" w:color="000000"/>
            </w:tcBorders>
          </w:tcPr>
          <w:p>
            <w:pPr>
              <w:pStyle w:val="TableParagraph"/>
              <w:spacing w:line="146" w:lineRule="auto" w:before="21"/>
              <w:ind w:left="115" w:right="65"/>
              <w:jc w:val="both"/>
              <w:rPr>
                <w:sz w:val="21"/>
              </w:rPr>
            </w:pPr>
            <w:r>
              <w:rPr>
                <w:sz w:val="21"/>
              </w:rPr>
              <w:t>迅速撤离泄漏污染区人员至上风处，并进行隔离，严格限制出入。切断火源。建议应急处理人员戴自给正压式呼吸器，穿消防防护服。尽可能切断泄漏源。合理通风，加速扩散。如有可能，将漏出气用排风机送至空旷地方或装设适当</w:t>
            </w:r>
          </w:p>
          <w:p>
            <w:pPr>
              <w:pStyle w:val="TableParagraph"/>
              <w:spacing w:line="230" w:lineRule="exact"/>
              <w:ind w:left="115"/>
              <w:jc w:val="both"/>
              <w:rPr>
                <w:sz w:val="21"/>
              </w:rPr>
            </w:pPr>
            <w:r>
              <w:rPr>
                <w:sz w:val="21"/>
              </w:rPr>
              <w:t>喷头烧掉，漏气容器要妥善处理，修复、检验后再用。</w:t>
            </w:r>
          </w:p>
        </w:tc>
      </w:tr>
    </w:tbl>
    <w:p>
      <w:pPr>
        <w:tabs>
          <w:tab w:pos="4190" w:val="left" w:leader="none"/>
        </w:tabs>
        <w:spacing w:before="59" w:after="48"/>
        <w:ind w:left="3175" w:right="0" w:firstLine="0"/>
        <w:jc w:val="left"/>
        <w:rPr>
          <w:sz w:val="21"/>
        </w:rPr>
      </w:pPr>
      <w:r>
        <w:rPr>
          <w:sz w:val="21"/>
        </w:rPr>
        <w:t>表</w:t>
      </w:r>
      <w:r>
        <w:rPr>
          <w:spacing w:val="5"/>
          <w:sz w:val="21"/>
        </w:rPr>
        <w:t> </w:t>
      </w:r>
      <w:r>
        <w:rPr>
          <w:rFonts w:ascii="Times New Roman" w:eastAsia="Times New Roman"/>
          <w:sz w:val="21"/>
        </w:rPr>
        <w:t>7.1-25</w:t>
        <w:tab/>
      </w:r>
      <w:r>
        <w:rPr>
          <w:sz w:val="21"/>
        </w:rPr>
        <w:t>甲</w:t>
      </w:r>
      <w:r>
        <w:rPr>
          <w:spacing w:val="-3"/>
          <w:sz w:val="21"/>
        </w:rPr>
        <w:t>醛</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002"/>
        <w:gridCol w:w="1440"/>
        <w:gridCol w:w="4378"/>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2002" w:type="dxa"/>
            <w:tcBorders>
              <w:left w:val="single" w:sz="6" w:space="0" w:color="000000"/>
              <w:bottom w:val="single" w:sz="6" w:space="0" w:color="000000"/>
              <w:right w:val="single" w:sz="6" w:space="0" w:color="000000"/>
            </w:tcBorders>
          </w:tcPr>
          <w:p>
            <w:pPr>
              <w:pStyle w:val="TableParagraph"/>
              <w:spacing w:line="241" w:lineRule="exact" w:before="60"/>
              <w:ind w:left="496" w:right="468"/>
              <w:rPr>
                <w:rFonts w:ascii="Times New Roman"/>
                <w:sz w:val="21"/>
              </w:rPr>
            </w:pPr>
            <w:r>
              <w:rPr>
                <w:rFonts w:ascii="Times New Roman"/>
                <w:sz w:val="21"/>
              </w:rPr>
              <w:t>83012</w:t>
            </w:r>
          </w:p>
        </w:tc>
        <w:tc>
          <w:tcPr>
            <w:tcW w:w="1440" w:type="dxa"/>
            <w:tcBorders>
              <w:left w:val="single" w:sz="6" w:space="0" w:color="000000"/>
              <w:bottom w:val="single" w:sz="6" w:space="0" w:color="000000"/>
              <w:right w:val="single" w:sz="6" w:space="0" w:color="000000"/>
            </w:tcBorders>
          </w:tcPr>
          <w:p>
            <w:pPr>
              <w:pStyle w:val="TableParagraph"/>
              <w:spacing w:line="301" w:lineRule="exact"/>
              <w:ind w:left="183" w:right="152"/>
              <w:rPr>
                <w:sz w:val="21"/>
              </w:rPr>
            </w:pPr>
            <w:r>
              <w:rPr>
                <w:rFonts w:ascii="Times New Roman" w:eastAsia="Times New Roman"/>
                <w:sz w:val="21"/>
              </w:rPr>
              <w:t>CAS </w:t>
            </w:r>
            <w:r>
              <w:rPr>
                <w:sz w:val="21"/>
              </w:rPr>
              <w:t>号</w:t>
            </w:r>
          </w:p>
        </w:tc>
        <w:tc>
          <w:tcPr>
            <w:tcW w:w="4378" w:type="dxa"/>
            <w:tcBorders>
              <w:left w:val="single" w:sz="6" w:space="0" w:color="000000"/>
              <w:bottom w:val="single" w:sz="6" w:space="0" w:color="000000"/>
            </w:tcBorders>
          </w:tcPr>
          <w:p>
            <w:pPr>
              <w:pStyle w:val="TableParagraph"/>
              <w:spacing w:line="241" w:lineRule="exact" w:before="60"/>
              <w:ind w:left="75" w:right="38"/>
              <w:rPr>
                <w:rFonts w:ascii="Times New Roman"/>
                <w:sz w:val="21"/>
              </w:rPr>
            </w:pPr>
            <w:r>
              <w:rPr>
                <w:rFonts w:ascii="Times New Roman"/>
                <w:sz w:val="21"/>
              </w:rPr>
              <w:t>50-00-0</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中文名称</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spacing w:line="299" w:lineRule="exact"/>
              <w:ind w:left="496" w:right="468"/>
              <w:rPr>
                <w:sz w:val="21"/>
              </w:rPr>
            </w:pPr>
            <w:r>
              <w:rPr>
                <w:sz w:val="21"/>
              </w:rPr>
              <w:t>甲醛</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99" w:lineRule="exact"/>
              <w:ind w:left="183" w:right="152"/>
              <w:rPr>
                <w:sz w:val="21"/>
              </w:rPr>
            </w:pPr>
            <w:r>
              <w:rPr>
                <w:sz w:val="21"/>
              </w:rPr>
              <w:t>英文名称</w:t>
            </w:r>
          </w:p>
        </w:tc>
        <w:tc>
          <w:tcPr>
            <w:tcW w:w="4378" w:type="dxa"/>
            <w:tcBorders>
              <w:top w:val="single" w:sz="6" w:space="0" w:color="000000"/>
              <w:left w:val="single" w:sz="6" w:space="0" w:color="000000"/>
              <w:bottom w:val="single" w:sz="6" w:space="0" w:color="000000"/>
            </w:tcBorders>
          </w:tcPr>
          <w:p>
            <w:pPr>
              <w:pStyle w:val="TableParagraph"/>
              <w:spacing w:line="238" w:lineRule="exact" w:before="61"/>
              <w:ind w:left="76" w:right="38"/>
              <w:rPr>
                <w:rFonts w:ascii="Times New Roman"/>
                <w:sz w:val="21"/>
              </w:rPr>
            </w:pPr>
            <w:r>
              <w:rPr>
                <w:rFonts w:ascii="Times New Roman"/>
                <w:sz w:val="21"/>
              </w:rPr>
              <w:t>Formaldehyde</w:t>
            </w:r>
          </w:p>
        </w:tc>
      </w:tr>
      <w:tr>
        <w:trPr>
          <w:trHeight w:val="318" w:hRule="atLeast"/>
        </w:trPr>
        <w:tc>
          <w:tcPr>
            <w:tcW w:w="1188" w:type="dxa"/>
            <w:tcBorders>
              <w:top w:val="single" w:sz="6" w:space="0" w:color="000000"/>
              <w:right w:val="single" w:sz="6" w:space="0" w:color="000000"/>
            </w:tcBorders>
          </w:tcPr>
          <w:p>
            <w:pPr>
              <w:pStyle w:val="TableParagraph"/>
              <w:spacing w:line="298" w:lineRule="exact"/>
              <w:ind w:left="105" w:right="84"/>
              <w:rPr>
                <w:sz w:val="21"/>
              </w:rPr>
            </w:pPr>
            <w:r>
              <w:rPr>
                <w:sz w:val="21"/>
              </w:rPr>
              <w:t>危险标记</w:t>
            </w:r>
          </w:p>
        </w:tc>
        <w:tc>
          <w:tcPr>
            <w:tcW w:w="2002" w:type="dxa"/>
            <w:tcBorders>
              <w:top w:val="single" w:sz="6" w:space="0" w:color="000000"/>
              <w:left w:val="single" w:sz="6" w:space="0" w:color="000000"/>
              <w:right w:val="single" w:sz="6" w:space="0" w:color="000000"/>
            </w:tcBorders>
          </w:tcPr>
          <w:p>
            <w:pPr>
              <w:pStyle w:val="TableParagraph"/>
              <w:spacing w:line="298" w:lineRule="exact"/>
              <w:ind w:left="499" w:right="468"/>
              <w:rPr>
                <w:rFonts w:ascii="Times New Roman" w:eastAsia="Times New Roman"/>
                <w:sz w:val="21"/>
              </w:rPr>
            </w:pPr>
            <w:r>
              <w:rPr>
                <w:rFonts w:ascii="Times New Roman" w:eastAsia="Times New Roman"/>
                <w:sz w:val="21"/>
              </w:rPr>
              <w:t>20(</w:t>
            </w:r>
            <w:r>
              <w:rPr>
                <w:sz w:val="21"/>
              </w:rPr>
              <w:t>腐蚀品</w:t>
            </w:r>
            <w:r>
              <w:rPr>
                <w:rFonts w:ascii="Times New Roman" w:eastAsia="Times New Roman"/>
                <w:sz w:val="21"/>
              </w:rPr>
              <w:t>)</w:t>
            </w:r>
          </w:p>
        </w:tc>
        <w:tc>
          <w:tcPr>
            <w:tcW w:w="1440" w:type="dxa"/>
            <w:tcBorders>
              <w:top w:val="single" w:sz="6" w:space="0" w:color="000000"/>
              <w:left w:val="single" w:sz="6" w:space="0" w:color="000000"/>
              <w:right w:val="single" w:sz="6" w:space="0" w:color="000000"/>
            </w:tcBorders>
          </w:tcPr>
          <w:p>
            <w:pPr>
              <w:pStyle w:val="TableParagraph"/>
              <w:spacing w:line="298" w:lineRule="exact"/>
              <w:ind w:left="183" w:right="152"/>
              <w:rPr>
                <w:sz w:val="21"/>
              </w:rPr>
            </w:pPr>
            <w:r>
              <w:rPr>
                <w:sz w:val="21"/>
              </w:rPr>
              <w:t>主要用途</w:t>
            </w:r>
          </w:p>
        </w:tc>
        <w:tc>
          <w:tcPr>
            <w:tcW w:w="4378" w:type="dxa"/>
            <w:tcBorders>
              <w:top w:val="single" w:sz="6" w:space="0" w:color="000000"/>
              <w:left w:val="single" w:sz="6" w:space="0" w:color="000000"/>
            </w:tcBorders>
          </w:tcPr>
          <w:p>
            <w:pPr>
              <w:pStyle w:val="TableParagraph"/>
              <w:spacing w:line="298" w:lineRule="exact"/>
              <w:ind w:left="77" w:right="38"/>
              <w:rPr>
                <w:sz w:val="21"/>
              </w:rPr>
            </w:pPr>
            <w:r>
              <w:rPr>
                <w:sz w:val="21"/>
              </w:rPr>
              <w:t>是一种重要的有机原料，也是炸药、染料、医</w:t>
            </w:r>
          </w:p>
        </w:tc>
      </w:tr>
    </w:tbl>
    <w:p>
      <w:pPr>
        <w:spacing w:after="0" w:line="298"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002"/>
        <w:gridCol w:w="1440"/>
        <w:gridCol w:w="4378"/>
      </w:tblGrid>
      <w:tr>
        <w:trPr>
          <w:trHeight w:val="321"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2002"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440"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4378" w:type="dxa"/>
            <w:tcBorders>
              <w:left w:val="single" w:sz="6" w:space="0" w:color="000000"/>
              <w:bottom w:val="single" w:sz="6" w:space="0" w:color="000000"/>
            </w:tcBorders>
          </w:tcPr>
          <w:p>
            <w:pPr>
              <w:pStyle w:val="TableParagraph"/>
              <w:spacing w:line="301" w:lineRule="exact"/>
              <w:ind w:left="305"/>
              <w:jc w:val="left"/>
              <w:rPr>
                <w:sz w:val="21"/>
              </w:rPr>
            </w:pPr>
            <w:r>
              <w:rPr>
                <w:sz w:val="21"/>
              </w:rPr>
              <w:t>药、农药的原料，也作杀菌剂、消毒剂等</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侵入途径</w:t>
            </w:r>
          </w:p>
        </w:tc>
        <w:tc>
          <w:tcPr>
            <w:tcW w:w="7820" w:type="dxa"/>
            <w:gridSpan w:val="3"/>
            <w:tcBorders>
              <w:top w:val="single" w:sz="6" w:space="0" w:color="000000"/>
              <w:left w:val="single" w:sz="6" w:space="0" w:color="000000"/>
              <w:bottom w:val="single" w:sz="6" w:space="0" w:color="000000"/>
            </w:tcBorders>
          </w:tcPr>
          <w:p>
            <w:pPr>
              <w:pStyle w:val="TableParagraph"/>
              <w:spacing w:line="299" w:lineRule="exact"/>
              <w:ind w:left="2741" w:right="2705"/>
              <w:rPr>
                <w:sz w:val="21"/>
              </w:rPr>
            </w:pPr>
            <w:r>
              <w:rPr>
                <w:sz w:val="21"/>
              </w:rPr>
              <w:t>吸入、食入、经皮吸收。</w:t>
            </w:r>
          </w:p>
        </w:tc>
      </w:tr>
      <w:tr>
        <w:trPr>
          <w:trHeight w:val="1281" w:hRule="atLeast"/>
        </w:trPr>
        <w:tc>
          <w:tcPr>
            <w:tcW w:w="1188" w:type="dxa"/>
            <w:tcBorders>
              <w:top w:val="single" w:sz="6" w:space="0" w:color="000000"/>
              <w:bottom w:val="single" w:sz="6" w:space="0" w:color="000000"/>
              <w:right w:val="single" w:sz="6" w:space="0" w:color="000000"/>
            </w:tcBorders>
          </w:tcPr>
          <w:p>
            <w:pPr>
              <w:pStyle w:val="TableParagraph"/>
              <w:spacing w:before="4"/>
              <w:jc w:val="left"/>
              <w:rPr>
                <w:sz w:val="20"/>
              </w:rPr>
            </w:pPr>
          </w:p>
          <w:p>
            <w:pPr>
              <w:pStyle w:val="TableParagraph"/>
              <w:ind w:left="105" w:right="84"/>
              <w:rPr>
                <w:sz w:val="21"/>
              </w:rPr>
            </w:pPr>
            <w:r>
              <w:rPr>
                <w:sz w:val="21"/>
              </w:rPr>
              <w:t>健康危害</w:t>
            </w:r>
          </w:p>
        </w:tc>
        <w:tc>
          <w:tcPr>
            <w:tcW w:w="7820" w:type="dxa"/>
            <w:gridSpan w:val="3"/>
            <w:tcBorders>
              <w:top w:val="single" w:sz="6" w:space="0" w:color="000000"/>
              <w:left w:val="single" w:sz="6" w:space="0" w:color="000000"/>
              <w:bottom w:val="single" w:sz="6" w:space="0" w:color="000000"/>
            </w:tcBorders>
          </w:tcPr>
          <w:p>
            <w:pPr>
              <w:pStyle w:val="TableParagraph"/>
              <w:spacing w:line="172" w:lineRule="auto" w:before="35"/>
              <w:ind w:left="114" w:right="-44"/>
              <w:jc w:val="both"/>
              <w:rPr>
                <w:sz w:val="21"/>
              </w:rPr>
            </w:pPr>
            <w:r>
              <w:rPr>
                <w:sz w:val="21"/>
              </w:rPr>
              <w:t>健康危害：本品对粘膜、上呼吸道、眼睛和皮肤有强烈刺激性。接触其蒸气，引起结膜炎、角膜炎、鼻炎、支气管炎；重者发生喉痉挛、声门水肿和肺炎等。对皮肤</w:t>
            </w:r>
            <w:r>
              <w:rPr>
                <w:spacing w:val="-7"/>
                <w:sz w:val="21"/>
              </w:rPr>
              <w:t>有原发性刺激和致敏作用；浓溶液可引起皮肤凝固性坏死。口服灼伤口腔和消化道，</w:t>
            </w:r>
          </w:p>
          <w:p>
            <w:pPr>
              <w:pStyle w:val="TableParagraph"/>
              <w:spacing w:line="264" w:lineRule="exact"/>
              <w:ind w:left="114"/>
              <w:jc w:val="both"/>
              <w:rPr>
                <w:sz w:val="21"/>
              </w:rPr>
            </w:pPr>
            <w:r>
              <w:rPr>
                <w:sz w:val="21"/>
              </w:rPr>
              <w:t>可致死。</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spacing w:before="12"/>
              <w:jc w:val="left"/>
              <w:rPr>
                <w:sz w:val="12"/>
              </w:rPr>
            </w:pPr>
          </w:p>
          <w:p>
            <w:pPr>
              <w:pStyle w:val="TableParagraph"/>
              <w:spacing w:before="1"/>
              <w:ind w:left="106" w:right="83"/>
              <w:rPr>
                <w:sz w:val="21"/>
              </w:rPr>
            </w:pPr>
            <w:r>
              <w:rPr>
                <w:sz w:val="21"/>
              </w:rPr>
              <w:t>毒性</w:t>
            </w:r>
          </w:p>
        </w:tc>
        <w:tc>
          <w:tcPr>
            <w:tcW w:w="7820" w:type="dxa"/>
            <w:gridSpan w:val="3"/>
            <w:tcBorders>
              <w:top w:val="single" w:sz="6" w:space="0" w:color="000000"/>
              <w:left w:val="single" w:sz="6" w:space="0" w:color="000000"/>
              <w:bottom w:val="single" w:sz="6" w:space="0" w:color="000000"/>
            </w:tcBorders>
          </w:tcPr>
          <w:p>
            <w:pPr>
              <w:pStyle w:val="TableParagraph"/>
              <w:spacing w:line="170" w:lineRule="auto" w:before="41"/>
              <w:ind w:left="114" w:right="-44"/>
              <w:jc w:val="left"/>
              <w:rPr>
                <w:sz w:val="21"/>
              </w:rPr>
            </w:pPr>
            <w:r>
              <w:rPr>
                <w:spacing w:val="-16"/>
                <w:w w:val="100"/>
                <w:position w:val="2"/>
                <w:sz w:val="21"/>
              </w:rPr>
              <w:t>急性毒性：</w:t>
            </w:r>
            <w:r>
              <w:rPr>
                <w:rFonts w:ascii="Times New Roman" w:eastAsia="Times New Roman"/>
                <w:spacing w:val="-5"/>
                <w:w w:val="100"/>
                <w:position w:val="2"/>
                <w:sz w:val="21"/>
              </w:rPr>
              <w:t>L</w:t>
            </w:r>
            <w:r>
              <w:rPr>
                <w:rFonts w:ascii="Times New Roman" w:eastAsia="Times New Roman"/>
                <w:spacing w:val="1"/>
                <w:w w:val="100"/>
                <w:position w:val="2"/>
                <w:sz w:val="21"/>
              </w:rPr>
              <w:t>D</w:t>
            </w:r>
            <w:r>
              <w:rPr>
                <w:rFonts w:ascii="Times New Roman" w:eastAsia="Times New Roman"/>
                <w:w w:val="99"/>
                <w:sz w:val="14"/>
              </w:rPr>
              <w:t>50</w:t>
            </w:r>
            <w:r>
              <w:rPr>
                <w:rFonts w:ascii="Times New Roman" w:eastAsia="Times New Roman"/>
                <w:w w:val="100"/>
                <w:position w:val="2"/>
                <w:sz w:val="21"/>
              </w:rPr>
              <w:t>800</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rFonts w:ascii="Times New Roman" w:eastAsia="Times New Roman"/>
                <w:spacing w:val="-1"/>
                <w:w w:val="100"/>
                <w:position w:val="2"/>
                <w:sz w:val="21"/>
              </w:rPr>
              <w:t>(</w:t>
            </w:r>
            <w:r>
              <w:rPr>
                <w:spacing w:val="-1"/>
                <w:w w:val="100"/>
                <w:position w:val="2"/>
                <w:sz w:val="21"/>
              </w:rPr>
              <w:t>大鼠经口</w:t>
            </w:r>
            <w:r>
              <w:rPr>
                <w:rFonts w:ascii="Times New Roman" w:eastAsia="Times New Roman"/>
                <w:spacing w:val="-3"/>
                <w:w w:val="100"/>
                <w:position w:val="2"/>
                <w:sz w:val="21"/>
              </w:rPr>
              <w:t>)</w:t>
            </w:r>
            <w:r>
              <w:rPr>
                <w:spacing w:val="-70"/>
                <w:w w:val="100"/>
                <w:position w:val="2"/>
                <w:sz w:val="21"/>
              </w:rPr>
              <w:t>，</w:t>
            </w:r>
            <w:r>
              <w:rPr>
                <w:rFonts w:ascii="Times New Roman" w:eastAsia="Times New Roman"/>
                <w:w w:val="100"/>
                <w:position w:val="2"/>
                <w:sz w:val="21"/>
              </w:rPr>
              <w:t>2</w:t>
            </w:r>
            <w:r>
              <w:rPr>
                <w:rFonts w:ascii="Times New Roman" w:eastAsia="Times New Roman"/>
                <w:spacing w:val="-3"/>
                <w:w w:val="100"/>
                <w:position w:val="2"/>
                <w:sz w:val="21"/>
              </w:rPr>
              <w:t>7</w:t>
            </w:r>
            <w:r>
              <w:rPr>
                <w:rFonts w:ascii="Times New Roman" w:eastAsia="Times New Roman"/>
                <w:w w:val="100"/>
                <w:position w:val="2"/>
                <w:sz w:val="21"/>
              </w:rPr>
              <w:t>00</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rFonts w:ascii="Times New Roman" w:eastAsia="Times New Roman"/>
                <w:spacing w:val="-1"/>
                <w:w w:val="100"/>
                <w:position w:val="2"/>
                <w:sz w:val="21"/>
              </w:rPr>
              <w:t>(</w:t>
            </w:r>
            <w:r>
              <w:rPr>
                <w:spacing w:val="-2"/>
                <w:w w:val="100"/>
                <w:position w:val="2"/>
                <w:sz w:val="21"/>
              </w:rPr>
              <w:t>兔经皮</w:t>
            </w:r>
            <w:r>
              <w:rPr>
                <w:rFonts w:ascii="Times New Roman" w:eastAsia="Times New Roman"/>
                <w:spacing w:val="-4"/>
                <w:w w:val="100"/>
                <w:position w:val="2"/>
                <w:sz w:val="21"/>
              </w:rPr>
              <w:t>)</w:t>
            </w:r>
            <w:r>
              <w:rPr>
                <w:spacing w:val="-70"/>
                <w:w w:val="100"/>
                <w:position w:val="2"/>
                <w:sz w:val="21"/>
              </w:rPr>
              <w:t>；</w:t>
            </w:r>
            <w:r>
              <w:rPr>
                <w:rFonts w:ascii="Times New Roman" w:eastAsia="Times New Roman"/>
                <w:spacing w:val="-5"/>
                <w:w w:val="100"/>
                <w:position w:val="2"/>
                <w:sz w:val="21"/>
              </w:rPr>
              <w:t>L</w:t>
            </w:r>
            <w:r>
              <w:rPr>
                <w:rFonts w:ascii="Times New Roman" w:eastAsia="Times New Roman"/>
                <w:w w:val="100"/>
                <w:position w:val="2"/>
                <w:sz w:val="21"/>
              </w:rPr>
              <w:t>C</w:t>
            </w:r>
            <w:r>
              <w:rPr>
                <w:rFonts w:ascii="Times New Roman" w:eastAsia="Times New Roman"/>
                <w:w w:val="99"/>
                <w:sz w:val="14"/>
              </w:rPr>
              <w:t>50</w:t>
            </w:r>
            <w:r>
              <w:rPr>
                <w:rFonts w:ascii="Times New Roman" w:eastAsia="Times New Roman"/>
                <w:w w:val="100"/>
                <w:position w:val="2"/>
                <w:sz w:val="21"/>
              </w:rPr>
              <w:t>590</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1"/>
                <w:w w:val="100"/>
                <w:position w:val="2"/>
                <w:sz w:val="21"/>
              </w:rPr>
              <w:t>/</w:t>
            </w:r>
            <w:r>
              <w:rPr>
                <w:rFonts w:ascii="Times New Roman" w:eastAsia="Times New Roman"/>
                <w:spacing w:val="-4"/>
                <w:w w:val="100"/>
                <w:position w:val="2"/>
                <w:sz w:val="21"/>
              </w:rPr>
              <w:t>m</w:t>
            </w:r>
            <w:r>
              <w:rPr>
                <w:rFonts w:ascii="Times New Roman" w:eastAsia="Times New Roman"/>
                <w:w w:val="97"/>
                <w:position w:val="2"/>
                <w:sz w:val="21"/>
                <w:vertAlign w:val="superscript"/>
              </w:rPr>
              <w:t>3</w:t>
            </w:r>
            <w:r>
              <w:rPr>
                <w:rFonts w:ascii="Times New Roman" w:eastAsia="Times New Roman"/>
                <w:spacing w:val="-1"/>
                <w:w w:val="100"/>
                <w:position w:val="2"/>
                <w:sz w:val="21"/>
                <w:vertAlign w:val="baseline"/>
              </w:rPr>
              <w:t>(</w:t>
            </w:r>
            <w:r>
              <w:rPr>
                <w:w w:val="100"/>
                <w:position w:val="2"/>
                <w:sz w:val="21"/>
                <w:vertAlign w:val="baseline"/>
              </w:rPr>
              <w:t>大鼠吸入</w:t>
            </w:r>
            <w:r>
              <w:rPr>
                <w:rFonts w:ascii="Times New Roman" w:eastAsia="Times New Roman"/>
                <w:spacing w:val="-1"/>
                <w:w w:val="100"/>
                <w:position w:val="2"/>
                <w:sz w:val="21"/>
                <w:vertAlign w:val="baseline"/>
              </w:rPr>
              <w:t>)</w:t>
            </w:r>
            <w:r>
              <w:rPr>
                <w:w w:val="100"/>
                <w:position w:val="2"/>
                <w:sz w:val="21"/>
                <w:vertAlign w:val="baseline"/>
              </w:rPr>
              <w:t>；</w:t>
            </w:r>
            <w:r>
              <w:rPr>
                <w:spacing w:val="-2"/>
                <w:w w:val="100"/>
                <w:sz w:val="21"/>
                <w:vertAlign w:val="baseline"/>
              </w:rPr>
              <w:t>人吸入</w:t>
            </w:r>
            <w:r>
              <w:rPr>
                <w:spacing w:val="5"/>
                <w:sz w:val="21"/>
                <w:vertAlign w:val="baseline"/>
              </w:rPr>
              <w:t> </w:t>
            </w:r>
            <w:r>
              <w:rPr>
                <w:rFonts w:ascii="Times New Roman" w:eastAsia="Times New Roman"/>
                <w:w w:val="100"/>
                <w:sz w:val="21"/>
                <w:vertAlign w:val="baseline"/>
              </w:rPr>
              <w:t>6</w:t>
            </w:r>
            <w:r>
              <w:rPr>
                <w:rFonts w:ascii="Times New Roman" w:eastAsia="Times New Roman"/>
                <w:spacing w:val="-2"/>
                <w:w w:val="100"/>
                <w:sz w:val="21"/>
                <w:vertAlign w:val="baseline"/>
              </w:rPr>
              <w:t>0</w:t>
            </w:r>
            <w:r>
              <w:rPr>
                <w:w w:val="100"/>
                <w:sz w:val="21"/>
                <w:vertAlign w:val="baseline"/>
              </w:rPr>
              <w:t>～</w:t>
            </w:r>
            <w:r>
              <w:rPr>
                <w:rFonts w:ascii="Times New Roman" w:eastAsia="Times New Roman"/>
                <w:w w:val="100"/>
                <w:sz w:val="21"/>
                <w:vertAlign w:val="baseline"/>
              </w:rPr>
              <w:t>120</w:t>
            </w:r>
            <w:r>
              <w:rPr>
                <w:rFonts w:ascii="Times New Roman" w:eastAsia="Times New Roman"/>
                <w:spacing w:val="-4"/>
                <w:w w:val="100"/>
                <w:sz w:val="21"/>
                <w:vertAlign w:val="baseline"/>
              </w:rPr>
              <w:t>m</w:t>
            </w:r>
            <w:r>
              <w:rPr>
                <w:rFonts w:ascii="Times New Roman" w:eastAsia="Times New Roman"/>
                <w:w w:val="100"/>
                <w:sz w:val="21"/>
                <w:vertAlign w:val="baseline"/>
              </w:rPr>
              <w:t>g</w:t>
            </w:r>
            <w:r>
              <w:rPr>
                <w:rFonts w:ascii="Times New Roman" w:eastAsia="Times New Roman"/>
                <w:spacing w:val="-2"/>
                <w:w w:val="100"/>
                <w:sz w:val="21"/>
                <w:vertAlign w:val="baseline"/>
              </w:rPr>
              <w:t>/</w:t>
            </w:r>
            <w:r>
              <w:rPr>
                <w:rFonts w:ascii="Times New Roman" w:eastAsia="Times New Roman"/>
                <w:spacing w:val="-4"/>
                <w:w w:val="100"/>
                <w:sz w:val="21"/>
                <w:vertAlign w:val="baseline"/>
              </w:rPr>
              <w:t>m</w:t>
            </w:r>
            <w:r>
              <w:rPr>
                <w:rFonts w:ascii="Times New Roman" w:eastAsia="Times New Roman"/>
                <w:w w:val="99"/>
                <w:position w:val="7"/>
                <w:sz w:val="14"/>
                <w:vertAlign w:val="baseline"/>
              </w:rPr>
              <w:t>3</w:t>
            </w:r>
            <w:r>
              <w:rPr>
                <w:spacing w:val="-5"/>
                <w:w w:val="100"/>
                <w:sz w:val="21"/>
                <w:vertAlign w:val="baseline"/>
              </w:rPr>
              <w:t>，发生支气管炎、肺部严重损害；人吸入</w:t>
            </w:r>
            <w:r>
              <w:rPr>
                <w:spacing w:val="3"/>
                <w:sz w:val="21"/>
                <w:vertAlign w:val="baseline"/>
              </w:rPr>
              <w:t> </w:t>
            </w:r>
            <w:r>
              <w:rPr>
                <w:rFonts w:ascii="Times New Roman" w:eastAsia="Times New Roman"/>
                <w:w w:val="100"/>
                <w:sz w:val="21"/>
                <w:vertAlign w:val="baseline"/>
              </w:rPr>
              <w:t>12</w:t>
            </w:r>
            <w:r>
              <w:rPr>
                <w:spacing w:val="-3"/>
                <w:w w:val="100"/>
                <w:sz w:val="21"/>
                <w:vertAlign w:val="baseline"/>
              </w:rPr>
              <w:t>～</w:t>
            </w:r>
            <w:r>
              <w:rPr>
                <w:rFonts w:ascii="Times New Roman" w:eastAsia="Times New Roman"/>
                <w:w w:val="100"/>
                <w:sz w:val="21"/>
                <w:vertAlign w:val="baseline"/>
              </w:rPr>
              <w:t>24</w:t>
            </w:r>
            <w:r>
              <w:rPr>
                <w:rFonts w:ascii="Times New Roman" w:eastAsia="Times New Roman"/>
                <w:spacing w:val="-4"/>
                <w:w w:val="100"/>
                <w:sz w:val="21"/>
                <w:vertAlign w:val="baseline"/>
              </w:rPr>
              <w:t>m</w:t>
            </w:r>
            <w:r>
              <w:rPr>
                <w:rFonts w:ascii="Times New Roman" w:eastAsia="Times New Roman"/>
                <w:w w:val="100"/>
                <w:sz w:val="21"/>
                <w:vertAlign w:val="baseline"/>
              </w:rPr>
              <w:t>g</w:t>
            </w:r>
            <w:r>
              <w:rPr>
                <w:rFonts w:ascii="Times New Roman" w:eastAsia="Times New Roman"/>
                <w:spacing w:val="-2"/>
                <w:w w:val="100"/>
                <w:sz w:val="21"/>
                <w:vertAlign w:val="baseline"/>
              </w:rPr>
              <w:t>/</w:t>
            </w:r>
            <w:r>
              <w:rPr>
                <w:rFonts w:ascii="Times New Roman" w:eastAsia="Times New Roman"/>
                <w:spacing w:val="-1"/>
                <w:w w:val="100"/>
                <w:sz w:val="21"/>
                <w:vertAlign w:val="baseline"/>
              </w:rPr>
              <w:t>m</w:t>
            </w:r>
            <w:r>
              <w:rPr>
                <w:rFonts w:ascii="Times New Roman" w:eastAsia="Times New Roman"/>
                <w:w w:val="99"/>
                <w:position w:val="7"/>
                <w:sz w:val="14"/>
                <w:vertAlign w:val="baseline"/>
              </w:rPr>
              <w:t>3</w:t>
            </w:r>
            <w:r>
              <w:rPr>
                <w:spacing w:val="-29"/>
                <w:w w:val="100"/>
                <w:sz w:val="21"/>
                <w:vertAlign w:val="baseline"/>
              </w:rPr>
              <w:t>，，鼻、</w:t>
            </w:r>
          </w:p>
          <w:p>
            <w:pPr>
              <w:pStyle w:val="TableParagraph"/>
              <w:spacing w:line="266" w:lineRule="exact"/>
              <w:ind w:left="114"/>
              <w:jc w:val="left"/>
              <w:rPr>
                <w:sz w:val="21"/>
              </w:rPr>
            </w:pPr>
            <w:r>
              <w:rPr>
                <w:sz w:val="21"/>
              </w:rPr>
              <w:t>咽粘膜严重灼务、流泪、咳嗽；人经口 </w:t>
            </w:r>
            <w:r>
              <w:rPr>
                <w:rFonts w:ascii="Times New Roman" w:eastAsia="Times New Roman"/>
                <w:sz w:val="21"/>
              </w:rPr>
              <w:t>10</w:t>
            </w:r>
            <w:r>
              <w:rPr>
                <w:sz w:val="21"/>
              </w:rPr>
              <w:t>～</w:t>
            </w:r>
            <w:r>
              <w:rPr>
                <w:rFonts w:ascii="Times New Roman" w:eastAsia="Times New Roman"/>
                <w:sz w:val="21"/>
              </w:rPr>
              <w:t>20ml</w:t>
            </w:r>
            <w:r>
              <w:rPr>
                <w:sz w:val="21"/>
              </w:rPr>
              <w:t>，致死。</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危险特性</w:t>
            </w:r>
          </w:p>
        </w:tc>
        <w:tc>
          <w:tcPr>
            <w:tcW w:w="7820" w:type="dxa"/>
            <w:gridSpan w:val="3"/>
            <w:tcBorders>
              <w:top w:val="single" w:sz="6" w:space="0" w:color="000000"/>
              <w:left w:val="single" w:sz="6" w:space="0" w:color="000000"/>
              <w:bottom w:val="single" w:sz="6" w:space="0" w:color="000000"/>
            </w:tcBorders>
          </w:tcPr>
          <w:p>
            <w:pPr>
              <w:pStyle w:val="TableParagraph"/>
              <w:spacing w:line="331" w:lineRule="exact"/>
              <w:ind w:left="114"/>
              <w:jc w:val="left"/>
              <w:rPr>
                <w:sz w:val="21"/>
              </w:rPr>
            </w:pPr>
            <w:r>
              <w:rPr>
                <w:sz w:val="21"/>
              </w:rPr>
              <w:t>其蒸气与空气形成爆炸性混合物，遇明火、高热能引起燃烧爆炸。若遇高热，容器</w:t>
            </w:r>
          </w:p>
          <w:p>
            <w:pPr>
              <w:pStyle w:val="TableParagraph"/>
              <w:spacing w:line="290" w:lineRule="exact"/>
              <w:ind w:left="114"/>
              <w:jc w:val="left"/>
              <w:rPr>
                <w:sz w:val="21"/>
              </w:rPr>
            </w:pPr>
            <w:r>
              <w:rPr>
                <w:sz w:val="21"/>
              </w:rPr>
              <w:t>内压增大，有开裂和爆炸的危险。</w:t>
            </w:r>
          </w:p>
        </w:tc>
      </w:tr>
      <w:tr>
        <w:trPr>
          <w:trHeight w:val="1600" w:hRule="atLeast"/>
        </w:trPr>
        <w:tc>
          <w:tcPr>
            <w:tcW w:w="1188" w:type="dxa"/>
            <w:tcBorders>
              <w:top w:val="single" w:sz="6" w:space="0" w:color="000000"/>
              <w:bottom w:val="single" w:sz="6" w:space="0" w:color="000000"/>
              <w:right w:val="single" w:sz="6" w:space="0" w:color="000000"/>
            </w:tcBorders>
          </w:tcPr>
          <w:p>
            <w:pPr>
              <w:pStyle w:val="TableParagraph"/>
              <w:spacing w:before="3"/>
              <w:jc w:val="left"/>
              <w:rPr>
                <w:sz w:val="24"/>
              </w:rPr>
            </w:pPr>
          </w:p>
          <w:p>
            <w:pPr>
              <w:pStyle w:val="TableParagraph"/>
              <w:spacing w:line="172" w:lineRule="auto" w:before="1"/>
              <w:ind w:left="383" w:right="148" w:hanging="212"/>
              <w:jc w:val="left"/>
              <w:rPr>
                <w:sz w:val="21"/>
              </w:rPr>
            </w:pPr>
            <w:r>
              <w:rPr>
                <w:sz w:val="21"/>
              </w:rPr>
              <w:t>泄漏应急处理</w:t>
            </w:r>
          </w:p>
        </w:tc>
        <w:tc>
          <w:tcPr>
            <w:tcW w:w="7820"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4"/>
              <w:jc w:val="both"/>
              <w:rPr>
                <w:sz w:val="21"/>
              </w:rPr>
            </w:pPr>
            <w:r>
              <w:rPr>
                <w:sz w:val="21"/>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或其它不燃性吸附剂混合吸收，然后收集运至集运至废物处理场所处置。也可以用大量水冲洗，经稀释</w:t>
            </w:r>
          </w:p>
          <w:p>
            <w:pPr>
              <w:pStyle w:val="TableParagraph"/>
              <w:spacing w:line="265" w:lineRule="exact"/>
              <w:ind w:left="114"/>
              <w:jc w:val="both"/>
              <w:rPr>
                <w:sz w:val="21"/>
              </w:rPr>
            </w:pPr>
            <w:r>
              <w:rPr>
                <w:sz w:val="21"/>
              </w:rPr>
              <w:t>的洗水放入废水系统。</w:t>
            </w:r>
          </w:p>
        </w:tc>
      </w:tr>
      <w:tr>
        <w:trPr>
          <w:trHeight w:val="2241"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5"/>
              <w:jc w:val="left"/>
              <w:rPr>
                <w:sz w:val="22"/>
              </w:rPr>
            </w:pPr>
          </w:p>
          <w:p>
            <w:pPr>
              <w:pStyle w:val="TableParagraph"/>
              <w:ind w:left="105" w:right="84"/>
              <w:rPr>
                <w:sz w:val="21"/>
              </w:rPr>
            </w:pPr>
            <w:r>
              <w:rPr>
                <w:sz w:val="21"/>
              </w:rPr>
              <w:t>防护措施</w:t>
            </w:r>
          </w:p>
        </w:tc>
        <w:tc>
          <w:tcPr>
            <w:tcW w:w="7820"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5"/>
              <w:jc w:val="left"/>
              <w:rPr>
                <w:sz w:val="21"/>
              </w:rPr>
            </w:pPr>
            <w:r>
              <w:rPr>
                <w:sz w:val="21"/>
              </w:rPr>
              <w:t>呼吸系统防护：可能接触其蒸气时，应该佩带防毒面具。紧急事态抢救或逃生时， 佩带自给式呼吸器。</w:t>
            </w:r>
          </w:p>
          <w:p>
            <w:pPr>
              <w:pStyle w:val="TableParagraph"/>
              <w:spacing w:line="172" w:lineRule="auto"/>
              <w:ind w:left="114" w:right="4526"/>
              <w:jc w:val="left"/>
              <w:rPr>
                <w:sz w:val="21"/>
              </w:rPr>
            </w:pPr>
            <w:r>
              <w:rPr>
                <w:spacing w:val="-3"/>
                <w:sz w:val="21"/>
              </w:rPr>
              <w:t>眼睛防护：戴化学安全防护眼镜。防护服：穿相应的防护服。</w:t>
            </w:r>
          </w:p>
          <w:p>
            <w:pPr>
              <w:pStyle w:val="TableParagraph"/>
              <w:spacing w:line="295" w:lineRule="exact"/>
              <w:ind w:left="114"/>
              <w:jc w:val="left"/>
              <w:rPr>
                <w:sz w:val="21"/>
              </w:rPr>
            </w:pPr>
            <w:r>
              <w:rPr>
                <w:spacing w:val="-3"/>
                <w:sz w:val="21"/>
              </w:rPr>
              <w:t>手防护：戴防化学品手套。</w:t>
            </w:r>
          </w:p>
          <w:p>
            <w:pPr>
              <w:pStyle w:val="TableParagraph"/>
              <w:spacing w:line="319" w:lineRule="exact"/>
              <w:ind w:left="114"/>
              <w:jc w:val="left"/>
              <w:rPr>
                <w:sz w:val="21"/>
              </w:rPr>
            </w:pPr>
            <w:r>
              <w:rPr>
                <w:sz w:val="21"/>
              </w:rPr>
              <w:t>其它：工作现场禁止吸烟、进食和饮水。工作后，彻底清洗。注意个人清洁卫生。</w:t>
            </w:r>
          </w:p>
          <w:p>
            <w:pPr>
              <w:pStyle w:val="TableParagraph"/>
              <w:spacing w:line="292" w:lineRule="exact"/>
              <w:ind w:left="114"/>
              <w:jc w:val="left"/>
              <w:rPr>
                <w:sz w:val="21"/>
              </w:rPr>
            </w:pPr>
            <w:r>
              <w:rPr>
                <w:sz w:val="21"/>
              </w:rPr>
              <w:t>进行就业前和定期的体检。进入罐或其它高浓度区作业，须有人监护。</w:t>
            </w:r>
          </w:p>
        </w:tc>
      </w:tr>
      <w:tr>
        <w:trPr>
          <w:trHeight w:val="1597" w:hRule="atLeast"/>
        </w:trPr>
        <w:tc>
          <w:tcPr>
            <w:tcW w:w="1188" w:type="dxa"/>
            <w:tcBorders>
              <w:top w:val="single" w:sz="6" w:space="0" w:color="000000"/>
              <w:right w:val="single" w:sz="6" w:space="0" w:color="000000"/>
            </w:tcBorders>
          </w:tcPr>
          <w:p>
            <w:pPr>
              <w:pStyle w:val="TableParagraph"/>
              <w:spacing w:before="14"/>
              <w:jc w:val="left"/>
              <w:rPr>
                <w:sz w:val="27"/>
              </w:rPr>
            </w:pPr>
          </w:p>
          <w:p>
            <w:pPr>
              <w:pStyle w:val="TableParagraph"/>
              <w:ind w:left="105" w:right="84"/>
              <w:rPr>
                <w:sz w:val="21"/>
              </w:rPr>
            </w:pPr>
            <w:r>
              <w:rPr>
                <w:sz w:val="21"/>
              </w:rPr>
              <w:t>急救措施</w:t>
            </w:r>
          </w:p>
        </w:tc>
        <w:tc>
          <w:tcPr>
            <w:tcW w:w="7820" w:type="dxa"/>
            <w:gridSpan w:val="3"/>
            <w:tcBorders>
              <w:top w:val="single" w:sz="6" w:space="0" w:color="000000"/>
              <w:left w:val="single" w:sz="6" w:space="0" w:color="000000"/>
            </w:tcBorders>
          </w:tcPr>
          <w:p>
            <w:pPr>
              <w:pStyle w:val="TableParagraph"/>
              <w:spacing w:line="172" w:lineRule="auto" w:before="32"/>
              <w:ind w:left="114" w:right="-15"/>
              <w:jc w:val="left"/>
              <w:rPr>
                <w:sz w:val="21"/>
              </w:rPr>
            </w:pPr>
            <w:r>
              <w:rPr>
                <w:spacing w:val="-2"/>
                <w:sz w:val="21"/>
              </w:rPr>
              <w:t>皮肤接触：脱去污染的衣着，用肥皂水及清水彻底冲洗。或用 </w:t>
            </w:r>
            <w:r>
              <w:rPr>
                <w:rFonts w:ascii="Times New Roman" w:eastAsia="Times New Roman"/>
                <w:sz w:val="21"/>
              </w:rPr>
              <w:t>2%</w:t>
            </w:r>
            <w:r>
              <w:rPr>
                <w:spacing w:val="-3"/>
                <w:sz w:val="21"/>
              </w:rPr>
              <w:t>碳酸氢溶液冲洗。眼睛接触：立即提起眼睑，用流动清水或生理盐水冲洗至少 </w:t>
            </w:r>
            <w:r>
              <w:rPr>
                <w:rFonts w:ascii="Times New Roman" w:eastAsia="Times New Roman"/>
                <w:sz w:val="21"/>
              </w:rPr>
              <w:t>15</w:t>
            </w:r>
            <w:r>
              <w:rPr>
                <w:rFonts w:ascii="Times New Roman" w:eastAsia="Times New Roman"/>
                <w:spacing w:val="1"/>
                <w:sz w:val="21"/>
              </w:rPr>
              <w:t> </w:t>
            </w:r>
            <w:r>
              <w:rPr>
                <w:spacing w:val="-2"/>
                <w:sz w:val="21"/>
              </w:rPr>
              <w:t>分钟。</w:t>
            </w:r>
          </w:p>
          <w:p>
            <w:pPr>
              <w:pStyle w:val="TableParagraph"/>
              <w:spacing w:line="172" w:lineRule="auto"/>
              <w:ind w:left="114" w:right="-44"/>
              <w:jc w:val="left"/>
              <w:rPr>
                <w:sz w:val="21"/>
              </w:rPr>
            </w:pPr>
            <w:r>
              <w:rPr>
                <w:spacing w:val="-8"/>
                <w:sz w:val="21"/>
              </w:rPr>
              <w:t>吸入：迅速脱离现场至空气新鲜处。保持呼吸道通畅。必要时进行人工呼吸。就医。</w:t>
            </w:r>
            <w:r>
              <w:rPr>
                <w:spacing w:val="-5"/>
                <w:sz w:val="21"/>
              </w:rPr>
              <w:t>食入：患者清醒时立即漱口，洗胃。就医。</w:t>
            </w:r>
          </w:p>
          <w:p>
            <w:pPr>
              <w:pStyle w:val="TableParagraph"/>
              <w:spacing w:line="263" w:lineRule="exact"/>
              <w:ind w:left="114"/>
              <w:jc w:val="left"/>
              <w:rPr>
                <w:sz w:val="21"/>
              </w:rPr>
            </w:pPr>
            <w:r>
              <w:rPr>
                <w:sz w:val="21"/>
              </w:rPr>
              <w:t>灭火方法：雾状水、泡沫、二氧化碳、砂土。</w:t>
            </w:r>
          </w:p>
        </w:tc>
      </w:tr>
    </w:tbl>
    <w:p>
      <w:pPr>
        <w:pStyle w:val="BodyText"/>
        <w:spacing w:before="18"/>
        <w:rPr>
          <w:sz w:val="3"/>
        </w:rPr>
      </w:pPr>
    </w:p>
    <w:p>
      <w:pPr>
        <w:tabs>
          <w:tab w:pos="3981" w:val="left" w:leader="none"/>
        </w:tabs>
        <w:spacing w:line="423" w:lineRule="exact" w:before="0" w:after="48"/>
        <w:ind w:left="2966" w:right="0" w:firstLine="0"/>
        <w:jc w:val="left"/>
        <w:rPr>
          <w:sz w:val="21"/>
        </w:rPr>
      </w:pPr>
      <w:r>
        <w:rPr>
          <w:sz w:val="21"/>
        </w:rPr>
        <w:t>表</w:t>
      </w:r>
      <w:r>
        <w:rPr>
          <w:spacing w:val="5"/>
          <w:sz w:val="21"/>
        </w:rPr>
        <w:t> </w:t>
      </w:r>
      <w:r>
        <w:rPr>
          <w:rFonts w:ascii="Times New Roman" w:eastAsia="Times New Roman"/>
          <w:sz w:val="21"/>
        </w:rPr>
        <w:t>7.1-26</w:t>
        <w:tab/>
      </w:r>
      <w:r>
        <w:rPr>
          <w:sz w:val="21"/>
        </w:rPr>
        <w:t>聚</w:t>
      </w:r>
      <w:r>
        <w:rPr>
          <w:spacing w:val="-3"/>
          <w:sz w:val="21"/>
        </w:rPr>
        <w:t>乙</w:t>
      </w:r>
      <w:r>
        <w:rPr>
          <w:sz w:val="21"/>
        </w:rPr>
        <w:t>二</w:t>
      </w:r>
      <w:r>
        <w:rPr>
          <w:spacing w:val="-3"/>
          <w:sz w:val="21"/>
        </w:rPr>
        <w:t>醇</w:t>
      </w:r>
      <w:r>
        <w:rPr>
          <w:sz w:val="21"/>
        </w:rPr>
        <w:t>危</w:t>
      </w:r>
      <w:r>
        <w:rPr>
          <w:spacing w:val="-3"/>
          <w:sz w:val="21"/>
        </w:rPr>
        <w:t>险</w:t>
      </w:r>
      <w:r>
        <w:rPr>
          <w:sz w:val="21"/>
        </w:rPr>
        <w:t>特性</w:t>
      </w:r>
      <w:r>
        <w:rPr>
          <w:spacing w:val="-3"/>
          <w:sz w:val="21"/>
        </w:rPr>
        <w:t>及</w:t>
      </w:r>
      <w:r>
        <w:rPr>
          <w:sz w:val="21"/>
        </w:rPr>
        <w:t>处</w:t>
      </w:r>
      <w:r>
        <w:rPr>
          <w:spacing w:val="-3"/>
          <w:sz w:val="21"/>
        </w:rPr>
        <w:t>理</w:t>
      </w:r>
      <w:r>
        <w:rPr>
          <w:sz w:val="21"/>
        </w:rPr>
        <w:t>措</w:t>
      </w:r>
      <w:r>
        <w:rPr>
          <w:spacing w:val="-3"/>
          <w:sz w:val="21"/>
        </w:rPr>
        <w:t>施</w:t>
      </w:r>
      <w:r>
        <w:rPr>
          <w:sz w:val="21"/>
        </w:rPr>
        <w:t>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2362"/>
        <w:gridCol w:w="1440"/>
        <w:gridCol w:w="4018"/>
      </w:tblGrid>
      <w:tr>
        <w:trPr>
          <w:trHeight w:val="318" w:hRule="atLeast"/>
        </w:trPr>
        <w:tc>
          <w:tcPr>
            <w:tcW w:w="1188" w:type="dxa"/>
            <w:tcBorders>
              <w:bottom w:val="single" w:sz="6" w:space="0" w:color="000000"/>
              <w:right w:val="single" w:sz="6" w:space="0" w:color="000000"/>
            </w:tcBorders>
          </w:tcPr>
          <w:p>
            <w:pPr>
              <w:pStyle w:val="TableParagraph"/>
              <w:spacing w:line="298" w:lineRule="exact"/>
              <w:ind w:left="105" w:right="84"/>
              <w:rPr>
                <w:sz w:val="21"/>
              </w:rPr>
            </w:pPr>
            <w:r>
              <w:rPr>
                <w:sz w:val="21"/>
              </w:rPr>
              <w:t>国标编号</w:t>
            </w:r>
          </w:p>
        </w:tc>
        <w:tc>
          <w:tcPr>
            <w:tcW w:w="2362" w:type="dxa"/>
            <w:tcBorders>
              <w:left w:val="single" w:sz="6" w:space="0" w:color="000000"/>
              <w:bottom w:val="single" w:sz="6" w:space="0" w:color="000000"/>
              <w:right w:val="single" w:sz="6" w:space="0" w:color="000000"/>
            </w:tcBorders>
          </w:tcPr>
          <w:p>
            <w:pPr>
              <w:pStyle w:val="TableParagraph"/>
              <w:spacing w:line="238" w:lineRule="exact" w:before="60"/>
              <w:ind w:left="742" w:right="718"/>
              <w:rPr>
                <w:rFonts w:ascii="Times New Roman"/>
                <w:sz w:val="21"/>
              </w:rPr>
            </w:pPr>
            <w:r>
              <w:rPr>
                <w:rFonts w:ascii="Times New Roman"/>
                <w:sz w:val="21"/>
              </w:rPr>
              <w:t>----</w:t>
            </w:r>
          </w:p>
        </w:tc>
        <w:tc>
          <w:tcPr>
            <w:tcW w:w="1440" w:type="dxa"/>
            <w:tcBorders>
              <w:left w:val="single" w:sz="6" w:space="0" w:color="000000"/>
              <w:bottom w:val="single" w:sz="6" w:space="0" w:color="000000"/>
              <w:right w:val="single" w:sz="6" w:space="0" w:color="000000"/>
            </w:tcBorders>
          </w:tcPr>
          <w:p>
            <w:pPr>
              <w:pStyle w:val="TableParagraph"/>
              <w:spacing w:line="298" w:lineRule="exact"/>
              <w:ind w:left="183" w:right="152"/>
              <w:rPr>
                <w:sz w:val="21"/>
              </w:rPr>
            </w:pPr>
            <w:r>
              <w:rPr>
                <w:rFonts w:ascii="Times New Roman" w:eastAsia="Times New Roman"/>
                <w:sz w:val="21"/>
              </w:rPr>
              <w:t>CAS </w:t>
            </w:r>
            <w:r>
              <w:rPr>
                <w:sz w:val="21"/>
              </w:rPr>
              <w:t>号</w:t>
            </w:r>
          </w:p>
        </w:tc>
        <w:tc>
          <w:tcPr>
            <w:tcW w:w="4018" w:type="dxa"/>
            <w:tcBorders>
              <w:left w:val="single" w:sz="6" w:space="0" w:color="000000"/>
              <w:bottom w:val="single" w:sz="6" w:space="0" w:color="000000"/>
            </w:tcBorders>
          </w:tcPr>
          <w:p>
            <w:pPr>
              <w:pStyle w:val="TableParagraph"/>
              <w:spacing w:line="238" w:lineRule="exact" w:before="60"/>
              <w:ind w:left="104" w:right="67"/>
              <w:rPr>
                <w:rFonts w:ascii="Times New Roman"/>
                <w:sz w:val="21"/>
              </w:rPr>
            </w:pPr>
            <w:r>
              <w:rPr>
                <w:rFonts w:ascii="Times New Roman"/>
                <w:sz w:val="21"/>
              </w:rPr>
              <w:t>25322-68-3</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2" w:lineRule="exact"/>
              <w:ind w:left="105" w:right="84"/>
              <w:rPr>
                <w:sz w:val="21"/>
              </w:rPr>
            </w:pPr>
            <w:r>
              <w:rPr>
                <w:sz w:val="21"/>
              </w:rPr>
              <w:t>中文名称</w:t>
            </w:r>
          </w:p>
        </w:tc>
        <w:tc>
          <w:tcPr>
            <w:tcW w:w="2362"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748" w:right="718"/>
              <w:rPr>
                <w:sz w:val="21"/>
              </w:rPr>
            </w:pPr>
            <w:r>
              <w:rPr>
                <w:sz w:val="21"/>
              </w:rPr>
              <w:t>聚乙二醇</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83" w:right="152"/>
              <w:rPr>
                <w:sz w:val="21"/>
              </w:rPr>
            </w:pPr>
            <w:r>
              <w:rPr>
                <w:sz w:val="21"/>
              </w:rPr>
              <w:t>英文名称</w:t>
            </w:r>
          </w:p>
        </w:tc>
        <w:tc>
          <w:tcPr>
            <w:tcW w:w="4018" w:type="dxa"/>
            <w:tcBorders>
              <w:top w:val="single" w:sz="6" w:space="0" w:color="000000"/>
              <w:left w:val="single" w:sz="6" w:space="0" w:color="000000"/>
              <w:bottom w:val="single" w:sz="6" w:space="0" w:color="000000"/>
            </w:tcBorders>
          </w:tcPr>
          <w:p>
            <w:pPr>
              <w:pStyle w:val="TableParagraph"/>
              <w:spacing w:line="238" w:lineRule="exact" w:before="63"/>
              <w:ind w:left="104" w:right="67"/>
              <w:rPr>
                <w:rFonts w:ascii="Times New Roman"/>
                <w:sz w:val="21"/>
              </w:rPr>
            </w:pPr>
            <w:r>
              <w:rPr>
                <w:rFonts w:ascii="Times New Roman"/>
                <w:sz w:val="21"/>
              </w:rPr>
              <w:t>polyethylene glycol</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危险标记</w:t>
            </w:r>
          </w:p>
        </w:tc>
        <w:tc>
          <w:tcPr>
            <w:tcW w:w="2362"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0"/>
              </w:rPr>
            </w:pPr>
          </w:p>
          <w:p>
            <w:pPr>
              <w:pStyle w:val="TableParagraph"/>
              <w:ind w:left="742" w:right="718"/>
              <w:rPr>
                <w:rFonts w:ascii="Times New Roman"/>
                <w:sz w:val="21"/>
              </w:rPr>
            </w:pPr>
            <w:r>
              <w:rPr>
                <w:rFonts w:ascii="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06"/>
              <w:ind w:left="183" w:right="152"/>
              <w:rPr>
                <w:sz w:val="21"/>
              </w:rPr>
            </w:pPr>
            <w:r>
              <w:rPr>
                <w:sz w:val="21"/>
              </w:rPr>
              <w:t>主要用途</w:t>
            </w:r>
          </w:p>
        </w:tc>
        <w:tc>
          <w:tcPr>
            <w:tcW w:w="4018" w:type="dxa"/>
            <w:tcBorders>
              <w:top w:val="single" w:sz="6" w:space="0" w:color="000000"/>
              <w:left w:val="single" w:sz="6" w:space="0" w:color="000000"/>
              <w:bottom w:val="single" w:sz="6" w:space="0" w:color="000000"/>
            </w:tcBorders>
          </w:tcPr>
          <w:p>
            <w:pPr>
              <w:pStyle w:val="TableParagraph"/>
              <w:spacing w:line="329" w:lineRule="exact"/>
              <w:ind w:left="106" w:right="67"/>
              <w:rPr>
                <w:sz w:val="21"/>
              </w:rPr>
            </w:pPr>
            <w:r>
              <w:rPr>
                <w:sz w:val="21"/>
              </w:rPr>
              <w:t>用作增塑剂、软化剂、增湿剂、润滑剂、</w:t>
            </w:r>
          </w:p>
          <w:p>
            <w:pPr>
              <w:pStyle w:val="TableParagraph"/>
              <w:spacing w:line="291" w:lineRule="exact"/>
              <w:ind w:left="106" w:right="67"/>
              <w:rPr>
                <w:sz w:val="21"/>
              </w:rPr>
            </w:pPr>
            <w:r>
              <w:rPr>
                <w:sz w:val="21"/>
              </w:rPr>
              <w:t>并用于制作油膏和药物等。</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侵入途径</w:t>
            </w:r>
          </w:p>
        </w:tc>
        <w:tc>
          <w:tcPr>
            <w:tcW w:w="7820" w:type="dxa"/>
            <w:gridSpan w:val="3"/>
            <w:tcBorders>
              <w:top w:val="single" w:sz="6" w:space="0" w:color="000000"/>
              <w:left w:val="single" w:sz="6" w:space="0" w:color="000000"/>
              <w:bottom w:val="single" w:sz="6" w:space="0" w:color="000000"/>
            </w:tcBorders>
          </w:tcPr>
          <w:p>
            <w:pPr>
              <w:pStyle w:val="TableParagraph"/>
              <w:spacing w:line="299" w:lineRule="exact"/>
              <w:ind w:left="2741" w:right="2705"/>
              <w:rPr>
                <w:sz w:val="21"/>
              </w:rPr>
            </w:pPr>
            <w:r>
              <w:rPr>
                <w:sz w:val="21"/>
              </w:rPr>
              <w:t>吸入、食入、经皮吸收。</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健康危害</w:t>
            </w:r>
          </w:p>
        </w:tc>
        <w:tc>
          <w:tcPr>
            <w:tcW w:w="7820"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z w:val="21"/>
              </w:rPr>
              <w:t>本品蒸气压很低，常温下无吸入危害。在生产条件下未发现本品引起的毒性作用。</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6" w:right="83"/>
              <w:rPr>
                <w:sz w:val="21"/>
              </w:rPr>
            </w:pPr>
            <w:r>
              <w:rPr>
                <w:sz w:val="21"/>
              </w:rPr>
              <w:t>毒性</w:t>
            </w:r>
          </w:p>
        </w:tc>
        <w:tc>
          <w:tcPr>
            <w:tcW w:w="7820" w:type="dxa"/>
            <w:gridSpan w:val="3"/>
            <w:tcBorders>
              <w:top w:val="single" w:sz="6" w:space="0" w:color="000000"/>
              <w:left w:val="single" w:sz="6" w:space="0" w:color="000000"/>
              <w:bottom w:val="single" w:sz="6" w:space="0" w:color="000000"/>
            </w:tcBorders>
          </w:tcPr>
          <w:p>
            <w:pPr>
              <w:pStyle w:val="TableParagraph"/>
              <w:spacing w:line="329" w:lineRule="exact"/>
              <w:ind w:left="114"/>
              <w:jc w:val="left"/>
              <w:rPr>
                <w:sz w:val="21"/>
              </w:rPr>
            </w:pPr>
            <w:r>
              <w:rPr>
                <w:rFonts w:ascii="Times New Roman" w:eastAsia="Times New Roman"/>
                <w:position w:val="2"/>
                <w:sz w:val="21"/>
              </w:rPr>
              <w:t>LD</w:t>
            </w:r>
            <w:r>
              <w:rPr>
                <w:rFonts w:ascii="Times New Roman" w:eastAsia="Times New Roman"/>
                <w:sz w:val="14"/>
              </w:rPr>
              <w:t>50</w:t>
            </w:r>
            <w:r>
              <w:rPr>
                <w:position w:val="2"/>
                <w:sz w:val="21"/>
              </w:rPr>
              <w:t>：</w:t>
            </w:r>
            <w:r>
              <w:rPr>
                <w:rFonts w:ascii="Times New Roman" w:eastAsia="Times New Roman"/>
                <w:position w:val="2"/>
                <w:sz w:val="21"/>
              </w:rPr>
              <w:t>348000 mg/kg(</w:t>
            </w:r>
            <w:r>
              <w:rPr>
                <w:position w:val="2"/>
                <w:sz w:val="21"/>
              </w:rPr>
              <w:t>小鼠经口</w:t>
            </w:r>
            <w:r>
              <w:rPr>
                <w:rFonts w:ascii="Times New Roman" w:eastAsia="Times New Roman"/>
                <w:position w:val="2"/>
                <w:sz w:val="21"/>
              </w:rPr>
              <w:t>) [</w:t>
            </w:r>
            <w:r>
              <w:rPr>
                <w:position w:val="2"/>
                <w:sz w:val="21"/>
              </w:rPr>
              <w:t>分子量为 </w:t>
            </w:r>
            <w:r>
              <w:rPr>
                <w:rFonts w:ascii="Times New Roman" w:eastAsia="Times New Roman"/>
                <w:position w:val="2"/>
                <w:sz w:val="21"/>
              </w:rPr>
              <w:t>200 </w:t>
            </w:r>
            <w:r>
              <w:rPr>
                <w:position w:val="2"/>
                <w:sz w:val="21"/>
              </w:rPr>
              <w:t>时</w:t>
            </w:r>
            <w:r>
              <w:rPr>
                <w:rFonts w:ascii="Times New Roman" w:eastAsia="Times New Roman"/>
                <w:position w:val="2"/>
                <w:sz w:val="21"/>
              </w:rPr>
              <w:t>]</w:t>
            </w:r>
            <w:r>
              <w:rPr>
                <w:position w:val="2"/>
                <w:sz w:val="21"/>
              </w:rPr>
              <w:t>；</w:t>
            </w:r>
            <w:r>
              <w:rPr>
                <w:rFonts w:ascii="Times New Roman" w:eastAsia="Times New Roman"/>
                <w:position w:val="2"/>
                <w:sz w:val="21"/>
              </w:rPr>
              <w:t>28000 mg/kg(</w:t>
            </w:r>
            <w:r>
              <w:rPr>
                <w:position w:val="2"/>
                <w:sz w:val="21"/>
              </w:rPr>
              <w:t>大鼠经口</w:t>
            </w:r>
            <w:r>
              <w:rPr>
                <w:rFonts w:ascii="Times New Roman" w:eastAsia="Times New Roman"/>
                <w:position w:val="2"/>
                <w:sz w:val="21"/>
              </w:rPr>
              <w:t>) [</w:t>
            </w:r>
            <w:r>
              <w:rPr>
                <w:position w:val="2"/>
                <w:sz w:val="21"/>
              </w:rPr>
              <w:t>分子量</w:t>
            </w:r>
          </w:p>
          <w:p>
            <w:pPr>
              <w:pStyle w:val="TableParagraph"/>
              <w:spacing w:line="291" w:lineRule="exact"/>
              <w:ind w:left="114"/>
              <w:jc w:val="left"/>
              <w:rPr>
                <w:rFonts w:ascii="Times New Roman" w:eastAsia="Times New Roman"/>
                <w:sz w:val="21"/>
              </w:rPr>
            </w:pPr>
            <w:r>
              <w:rPr>
                <w:sz w:val="21"/>
              </w:rPr>
              <w:t>为 </w:t>
            </w:r>
            <w:r>
              <w:rPr>
                <w:rFonts w:ascii="Times New Roman" w:eastAsia="Times New Roman"/>
                <w:sz w:val="21"/>
              </w:rPr>
              <w:t>200 </w:t>
            </w:r>
            <w:r>
              <w:rPr>
                <w:sz w:val="21"/>
              </w:rPr>
              <w:t>时</w:t>
            </w:r>
            <w:r>
              <w:rPr>
                <w:rFonts w:ascii="Times New Roman" w:eastAsia="Times New Roman"/>
                <w:sz w:val="21"/>
              </w:rPr>
              <w:t>]</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危险特性</w:t>
            </w:r>
          </w:p>
        </w:tc>
        <w:tc>
          <w:tcPr>
            <w:tcW w:w="7820" w:type="dxa"/>
            <w:gridSpan w:val="3"/>
            <w:tcBorders>
              <w:top w:val="single" w:sz="6" w:space="0" w:color="000000"/>
              <w:left w:val="single" w:sz="6" w:space="0" w:color="000000"/>
              <w:bottom w:val="single" w:sz="6" w:space="0" w:color="000000"/>
            </w:tcBorders>
          </w:tcPr>
          <w:p>
            <w:pPr>
              <w:pStyle w:val="TableParagraph"/>
              <w:spacing w:line="329" w:lineRule="exact"/>
              <w:ind w:left="114"/>
              <w:jc w:val="left"/>
              <w:rPr>
                <w:sz w:val="21"/>
              </w:rPr>
            </w:pPr>
            <w:r>
              <w:rPr>
                <w:sz w:val="21"/>
              </w:rPr>
              <w:t>粉体与空气可形成爆炸性混合物</w:t>
            </w:r>
            <w:r>
              <w:rPr>
                <w:rFonts w:ascii="Times New Roman" w:eastAsia="Times New Roman"/>
                <w:sz w:val="21"/>
              </w:rPr>
              <w:t>, </w:t>
            </w:r>
            <w:r>
              <w:rPr>
                <w:sz w:val="21"/>
              </w:rPr>
              <w:t>当达到一定浓度时</w:t>
            </w:r>
            <w:r>
              <w:rPr>
                <w:rFonts w:ascii="Times New Roman" w:eastAsia="Times New Roman"/>
                <w:sz w:val="21"/>
              </w:rPr>
              <w:t>, </w:t>
            </w:r>
            <w:r>
              <w:rPr>
                <w:sz w:val="21"/>
              </w:rPr>
              <w:t>遇火星会发生爆炸。加热分解</w:t>
            </w:r>
          </w:p>
          <w:p>
            <w:pPr>
              <w:pStyle w:val="TableParagraph"/>
              <w:spacing w:line="291" w:lineRule="exact"/>
              <w:ind w:left="114"/>
              <w:jc w:val="left"/>
              <w:rPr>
                <w:sz w:val="21"/>
              </w:rPr>
            </w:pPr>
            <w:r>
              <w:rPr>
                <w:sz w:val="21"/>
              </w:rPr>
              <w:t>产生易燃气体。</w:t>
            </w:r>
          </w:p>
        </w:tc>
      </w:tr>
      <w:tr>
        <w:trPr>
          <w:trHeight w:val="637" w:hRule="atLeast"/>
        </w:trPr>
        <w:tc>
          <w:tcPr>
            <w:tcW w:w="1188" w:type="dxa"/>
            <w:tcBorders>
              <w:top w:val="single" w:sz="6" w:space="0" w:color="000000"/>
              <w:right w:val="single" w:sz="6" w:space="0" w:color="000000"/>
            </w:tcBorders>
          </w:tcPr>
          <w:p>
            <w:pPr>
              <w:pStyle w:val="TableParagraph"/>
              <w:spacing w:line="328" w:lineRule="exact"/>
              <w:ind w:left="106" w:right="83"/>
              <w:rPr>
                <w:sz w:val="21"/>
              </w:rPr>
            </w:pPr>
            <w:r>
              <w:rPr>
                <w:sz w:val="21"/>
              </w:rPr>
              <w:t>泄漏应</w:t>
            </w:r>
          </w:p>
          <w:p>
            <w:pPr>
              <w:pStyle w:val="TableParagraph"/>
              <w:spacing w:line="290" w:lineRule="exact"/>
              <w:ind w:left="18"/>
              <w:rPr>
                <w:sz w:val="21"/>
              </w:rPr>
            </w:pPr>
            <w:r>
              <w:rPr>
                <w:w w:val="100"/>
                <w:sz w:val="21"/>
              </w:rPr>
              <w:t>急</w:t>
            </w:r>
          </w:p>
        </w:tc>
        <w:tc>
          <w:tcPr>
            <w:tcW w:w="7820" w:type="dxa"/>
            <w:gridSpan w:val="3"/>
            <w:tcBorders>
              <w:top w:val="single" w:sz="6" w:space="0" w:color="000000"/>
              <w:left w:val="single" w:sz="6" w:space="0" w:color="000000"/>
            </w:tcBorders>
          </w:tcPr>
          <w:p>
            <w:pPr>
              <w:pStyle w:val="TableParagraph"/>
              <w:spacing w:line="328" w:lineRule="exact"/>
              <w:ind w:left="114"/>
              <w:jc w:val="left"/>
              <w:rPr>
                <w:sz w:val="21"/>
              </w:rPr>
            </w:pPr>
            <w:r>
              <w:rPr>
                <w:sz w:val="21"/>
              </w:rPr>
              <w:t>迅速撤离泄漏污染区人员至安全区，并进行隔离，严格限制出入。切断火源。建议</w:t>
            </w:r>
          </w:p>
          <w:p>
            <w:pPr>
              <w:pStyle w:val="TableParagraph"/>
              <w:spacing w:line="290" w:lineRule="exact"/>
              <w:ind w:left="114"/>
              <w:jc w:val="left"/>
              <w:rPr>
                <w:sz w:val="21"/>
              </w:rPr>
            </w:pPr>
            <w:r>
              <w:rPr>
                <w:sz w:val="21"/>
              </w:rPr>
              <w:t>应急处理人员戴自给正压式呼吸器，穿防毒服。尽可能切断泄漏源。若是液体，防</w:t>
            </w:r>
          </w:p>
        </w:tc>
      </w:tr>
    </w:tbl>
    <w:p>
      <w:pPr>
        <w:spacing w:after="0" w:line="290"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600" w:hRule="atLeast"/>
        </w:trPr>
        <w:tc>
          <w:tcPr>
            <w:tcW w:w="1188" w:type="dxa"/>
            <w:tcBorders>
              <w:bottom w:val="single" w:sz="6" w:space="0" w:color="000000"/>
              <w:right w:val="single" w:sz="6" w:space="0" w:color="000000"/>
            </w:tcBorders>
          </w:tcPr>
          <w:p>
            <w:pPr>
              <w:pStyle w:val="TableParagraph"/>
              <w:spacing w:line="393" w:lineRule="exact"/>
              <w:ind w:left="106" w:right="83"/>
              <w:rPr>
                <w:sz w:val="21"/>
              </w:rPr>
            </w:pPr>
            <w:r>
              <w:rPr>
                <w:sz w:val="21"/>
              </w:rPr>
              <w:t>处理</w:t>
            </w:r>
          </w:p>
        </w:tc>
        <w:tc>
          <w:tcPr>
            <w:tcW w:w="7821" w:type="dxa"/>
            <w:tcBorders>
              <w:left w:val="single" w:sz="6" w:space="0" w:color="000000"/>
              <w:bottom w:val="single" w:sz="6" w:space="0" w:color="000000"/>
            </w:tcBorders>
          </w:tcPr>
          <w:p>
            <w:pPr>
              <w:pStyle w:val="TableParagraph"/>
              <w:spacing w:line="172" w:lineRule="auto" w:before="35"/>
              <w:ind w:left="114" w:right="-44"/>
              <w:jc w:val="both"/>
              <w:rPr>
                <w:sz w:val="21"/>
              </w:rPr>
            </w:pPr>
            <w:r>
              <w:rPr>
                <w:sz w:val="21"/>
              </w:rPr>
              <w:t>止流入下水道、排洪沟等限制性空间。小量泄漏：用砂土、蛭石或其它惰性材料吸收。也可以用大量水冲洗，洗水稀释后放入废水系统。大量泄漏：构筑围堤或挖坑</w:t>
            </w:r>
            <w:r>
              <w:rPr>
                <w:spacing w:val="-8"/>
                <w:sz w:val="21"/>
              </w:rPr>
              <w:t>收容。用泵转移至槽车或专用收集器内，回收或运至废物处理场所处置。若是固体， 用砂土、蛭石或其它惰性材料吸收。小心扫起，若大量泄漏，收集回收或运至废物</w:t>
            </w:r>
          </w:p>
          <w:p>
            <w:pPr>
              <w:pStyle w:val="TableParagraph"/>
              <w:spacing w:line="263" w:lineRule="exact"/>
              <w:ind w:left="114"/>
              <w:jc w:val="both"/>
              <w:rPr>
                <w:sz w:val="21"/>
              </w:rPr>
            </w:pPr>
            <w:r>
              <w:rPr>
                <w:sz w:val="21"/>
              </w:rPr>
              <w:t>处理场所处置。</w:t>
            </w:r>
          </w:p>
        </w:tc>
      </w:tr>
      <w:tr>
        <w:trPr>
          <w:trHeight w:val="192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15"/>
              </w:rPr>
            </w:pPr>
          </w:p>
          <w:p>
            <w:pPr>
              <w:pStyle w:val="TableParagraph"/>
              <w:ind w:left="105" w:right="84"/>
              <w:rPr>
                <w:sz w:val="21"/>
              </w:rPr>
            </w:pPr>
            <w:r>
              <w:rPr>
                <w:sz w:val="21"/>
              </w:rPr>
              <w:t>防护措施</w:t>
            </w:r>
          </w:p>
        </w:tc>
        <w:tc>
          <w:tcPr>
            <w:tcW w:w="7821" w:type="dxa"/>
            <w:tcBorders>
              <w:top w:val="single" w:sz="6" w:space="0" w:color="000000"/>
              <w:left w:val="single" w:sz="6" w:space="0" w:color="000000"/>
              <w:bottom w:val="single" w:sz="6" w:space="0" w:color="000000"/>
            </w:tcBorders>
          </w:tcPr>
          <w:p>
            <w:pPr>
              <w:pStyle w:val="TableParagraph"/>
              <w:spacing w:line="172" w:lineRule="auto" w:before="32"/>
              <w:ind w:left="114" w:right="76"/>
              <w:jc w:val="left"/>
              <w:rPr>
                <w:sz w:val="21"/>
              </w:rPr>
            </w:pPr>
            <w:r>
              <w:rPr>
                <w:sz w:val="21"/>
              </w:rPr>
              <w:t>呼吸系统防护一般不需要特殊防护，但建议特殊情况下，佩戴自吸过滤式防尘口罩</w:t>
            </w:r>
            <w:r>
              <w:rPr>
                <w:spacing w:val="-3"/>
                <w:sz w:val="21"/>
              </w:rPr>
              <w:t>或自吸过滤式防毒面具（</w:t>
            </w:r>
            <w:r>
              <w:rPr>
                <w:spacing w:val="-1"/>
                <w:sz w:val="21"/>
              </w:rPr>
              <w:t>半面罩</w:t>
            </w:r>
            <w:r>
              <w:rPr>
                <w:spacing w:val="-106"/>
                <w:sz w:val="21"/>
              </w:rPr>
              <w:t>）</w:t>
            </w:r>
            <w:r>
              <w:rPr>
                <w:sz w:val="21"/>
              </w:rPr>
              <w:t>。</w:t>
            </w:r>
          </w:p>
          <w:p>
            <w:pPr>
              <w:pStyle w:val="TableParagraph"/>
              <w:spacing w:line="172" w:lineRule="auto"/>
              <w:ind w:left="114" w:right="4467"/>
              <w:jc w:val="left"/>
              <w:rPr>
                <w:sz w:val="21"/>
              </w:rPr>
            </w:pPr>
            <w:r>
              <w:rPr>
                <w:sz w:val="21"/>
              </w:rPr>
              <w:t>眼睛防护：戴化学安全防护眼镜。防护服：穿防毒物渗透工作服。 手防护：戴防化学品手套。</w:t>
            </w:r>
          </w:p>
          <w:p>
            <w:pPr>
              <w:pStyle w:val="TableParagraph"/>
              <w:spacing w:line="265" w:lineRule="exact"/>
              <w:ind w:left="114"/>
              <w:jc w:val="left"/>
              <w:rPr>
                <w:sz w:val="21"/>
              </w:rPr>
            </w:pPr>
            <w:r>
              <w:rPr>
                <w:sz w:val="21"/>
              </w:rPr>
              <w:t>其它：工作现场严禁吸烟。保持良好的卫生习惯。</w:t>
            </w:r>
          </w:p>
        </w:tc>
      </w:tr>
      <w:tr>
        <w:trPr>
          <w:trHeight w:val="255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6"/>
              <w:jc w:val="left"/>
              <w:rPr>
                <w:sz w:val="10"/>
              </w:rPr>
            </w:pPr>
          </w:p>
          <w:p>
            <w:pPr>
              <w:pStyle w:val="TableParagraph"/>
              <w:ind w:left="105" w:right="84"/>
              <w:rPr>
                <w:sz w:val="21"/>
              </w:rPr>
            </w:pPr>
            <w:r>
              <w:rPr>
                <w:sz w:val="21"/>
              </w:rPr>
              <w:t>急救措施</w:t>
            </w:r>
          </w:p>
        </w:tc>
        <w:tc>
          <w:tcPr>
            <w:tcW w:w="7821" w:type="dxa"/>
            <w:tcBorders>
              <w:top w:val="single" w:sz="6" w:space="0" w:color="000000"/>
              <w:left w:val="single" w:sz="6" w:space="0" w:color="000000"/>
            </w:tcBorders>
          </w:tcPr>
          <w:p>
            <w:pPr>
              <w:pStyle w:val="TableParagraph"/>
              <w:spacing w:line="330" w:lineRule="exact"/>
              <w:ind w:left="114"/>
              <w:jc w:val="left"/>
              <w:rPr>
                <w:sz w:val="21"/>
              </w:rPr>
            </w:pPr>
            <w:r>
              <w:rPr>
                <w:sz w:val="21"/>
              </w:rPr>
              <w:t>皮肤接触：脱去污染的衣着，用肥皂水及清水彻底冲洗。</w:t>
            </w:r>
          </w:p>
          <w:p>
            <w:pPr>
              <w:pStyle w:val="TableParagraph"/>
              <w:spacing w:line="319" w:lineRule="exact"/>
              <w:ind w:left="114"/>
              <w:jc w:val="left"/>
              <w:rPr>
                <w:sz w:val="21"/>
              </w:rPr>
            </w:pPr>
            <w:r>
              <w:rPr>
                <w:sz w:val="21"/>
              </w:rPr>
              <w:t>眼睛接触：立即提起眼睑，用流动清水或生理盐水冲洗至少 </w:t>
            </w:r>
            <w:r>
              <w:rPr>
                <w:rFonts w:ascii="Times New Roman" w:eastAsia="Times New Roman"/>
                <w:sz w:val="21"/>
              </w:rPr>
              <w:t>15 </w:t>
            </w:r>
            <w:r>
              <w:rPr>
                <w:sz w:val="21"/>
              </w:rPr>
              <w:t>分钟。</w:t>
            </w:r>
          </w:p>
          <w:p>
            <w:pPr>
              <w:pStyle w:val="TableParagraph"/>
              <w:spacing w:line="172" w:lineRule="auto" w:before="24"/>
              <w:ind w:left="114" w:right="-44"/>
              <w:jc w:val="left"/>
              <w:rPr>
                <w:sz w:val="21"/>
              </w:rPr>
            </w:pPr>
            <w:r>
              <w:rPr>
                <w:spacing w:val="-8"/>
                <w:sz w:val="21"/>
              </w:rPr>
              <w:t>吸入：迅速脱离现场至空气新鲜处。保持呼吸道通畅。必要时进行人工呼吸。就医。</w:t>
            </w:r>
            <w:r>
              <w:rPr>
                <w:spacing w:val="-5"/>
                <w:sz w:val="21"/>
              </w:rPr>
              <w:t>食入：患者清醒时立即漱口，洗胃。就医。</w:t>
            </w:r>
          </w:p>
          <w:p>
            <w:pPr>
              <w:pStyle w:val="TableParagraph"/>
              <w:spacing w:line="172" w:lineRule="auto"/>
              <w:ind w:left="114" w:right="76"/>
              <w:jc w:val="both"/>
              <w:rPr>
                <w:sz w:val="21"/>
              </w:rPr>
            </w:pPr>
            <w:r>
              <w:rPr>
                <w:sz w:val="21"/>
              </w:rPr>
              <w:t>灭火方法：消防人员须佩戴防毒面具、穿全身消防服，在上风向灭火。尽可能将容器从火场移至空旷处。喷水保持火场容器冷却，直至灭火结束。处在火场中的容器若已变色或从安全泄压装置中产生声音，必须马上撤离。灭火剂：雾状水、泡沫、</w:t>
            </w:r>
          </w:p>
          <w:p>
            <w:pPr>
              <w:pStyle w:val="TableParagraph"/>
              <w:spacing w:line="264" w:lineRule="exact"/>
              <w:ind w:left="114"/>
              <w:jc w:val="both"/>
              <w:rPr>
                <w:sz w:val="21"/>
              </w:rPr>
            </w:pPr>
            <w:r>
              <w:rPr>
                <w:sz w:val="21"/>
              </w:rPr>
              <w:t>干粉、二氧化碳、砂土。</w:t>
            </w:r>
          </w:p>
        </w:tc>
      </w:tr>
    </w:tbl>
    <w:p>
      <w:pPr>
        <w:pStyle w:val="BodyText"/>
        <w:spacing w:before="18"/>
        <w:rPr>
          <w:sz w:val="3"/>
        </w:rPr>
      </w:pPr>
    </w:p>
    <w:p>
      <w:pPr>
        <w:tabs>
          <w:tab w:pos="3981" w:val="left" w:leader="none"/>
        </w:tabs>
        <w:spacing w:line="423" w:lineRule="exact" w:before="0" w:after="46"/>
        <w:ind w:left="2966" w:right="0" w:firstLine="0"/>
        <w:jc w:val="left"/>
        <w:rPr>
          <w:sz w:val="21"/>
        </w:rPr>
      </w:pPr>
      <w:r>
        <w:rPr>
          <w:sz w:val="21"/>
        </w:rPr>
        <w:t>表</w:t>
      </w:r>
      <w:r>
        <w:rPr>
          <w:spacing w:val="5"/>
          <w:sz w:val="21"/>
        </w:rPr>
        <w:t> </w:t>
      </w:r>
      <w:r>
        <w:rPr>
          <w:rFonts w:ascii="Times New Roman" w:eastAsia="Times New Roman"/>
          <w:sz w:val="21"/>
        </w:rPr>
        <w:t>7.1-27</w:t>
        <w:tab/>
      </w:r>
      <w:r>
        <w:rPr>
          <w:sz w:val="21"/>
        </w:rPr>
        <w:t>氢</w:t>
      </w:r>
      <w:r>
        <w:rPr>
          <w:spacing w:val="-3"/>
          <w:sz w:val="21"/>
        </w:rPr>
        <w:t>氧</w:t>
      </w:r>
      <w:r>
        <w:rPr>
          <w:sz w:val="21"/>
        </w:rPr>
        <w:t>化</w:t>
      </w:r>
      <w:r>
        <w:rPr>
          <w:spacing w:val="-3"/>
          <w:sz w:val="21"/>
        </w:rPr>
        <w:t>钾</w:t>
      </w:r>
      <w:r>
        <w:rPr>
          <w:sz w:val="21"/>
        </w:rPr>
        <w:t>危</w:t>
      </w:r>
      <w:r>
        <w:rPr>
          <w:spacing w:val="-3"/>
          <w:sz w:val="21"/>
        </w:rPr>
        <w:t>险</w:t>
      </w:r>
      <w:r>
        <w:rPr>
          <w:sz w:val="21"/>
        </w:rPr>
        <w:t>特性</w:t>
      </w:r>
      <w:r>
        <w:rPr>
          <w:spacing w:val="-3"/>
          <w:sz w:val="21"/>
        </w:rPr>
        <w:t>及</w:t>
      </w:r>
      <w:r>
        <w:rPr>
          <w:sz w:val="21"/>
        </w:rPr>
        <w:t>处</w:t>
      </w:r>
      <w:r>
        <w:rPr>
          <w:spacing w:val="-3"/>
          <w:sz w:val="21"/>
        </w:rPr>
        <w:t>理</w:t>
      </w:r>
      <w:r>
        <w:rPr>
          <w:sz w:val="21"/>
        </w:rPr>
        <w:t>措</w:t>
      </w:r>
      <w:r>
        <w:rPr>
          <w:spacing w:val="-3"/>
          <w:sz w:val="21"/>
        </w:rPr>
        <w:t>施</w:t>
      </w:r>
      <w:r>
        <w:rPr>
          <w:sz w:val="21"/>
        </w:rPr>
        <w:t>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20" w:hRule="atLeast"/>
        </w:trPr>
        <w:tc>
          <w:tcPr>
            <w:tcW w:w="1188" w:type="dxa"/>
            <w:tcBorders>
              <w:bottom w:val="single" w:sz="6" w:space="0" w:color="000000"/>
              <w:right w:val="single" w:sz="6" w:space="0" w:color="000000"/>
            </w:tcBorders>
          </w:tcPr>
          <w:p>
            <w:pPr>
              <w:pStyle w:val="TableParagraph"/>
              <w:spacing w:line="30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8" w:lineRule="exact" w:before="62"/>
              <w:ind w:left="212" w:right="184"/>
              <w:rPr>
                <w:rFonts w:ascii="Times New Roman"/>
                <w:sz w:val="21"/>
              </w:rPr>
            </w:pPr>
            <w:r>
              <w:rPr>
                <w:rFonts w:ascii="Times New Roman"/>
                <w:sz w:val="21"/>
              </w:rPr>
              <w:t>82002</w:t>
            </w:r>
          </w:p>
        </w:tc>
        <w:tc>
          <w:tcPr>
            <w:tcW w:w="1440" w:type="dxa"/>
            <w:tcBorders>
              <w:left w:val="single" w:sz="6" w:space="0" w:color="000000"/>
              <w:bottom w:val="single" w:sz="6" w:space="0" w:color="000000"/>
              <w:right w:val="single" w:sz="6" w:space="0" w:color="000000"/>
            </w:tcBorders>
          </w:tcPr>
          <w:p>
            <w:pPr>
              <w:pStyle w:val="TableParagraph"/>
              <w:spacing w:line="30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8" w:lineRule="exact" w:before="62"/>
              <w:ind w:left="113" w:right="82"/>
              <w:rPr>
                <w:rFonts w:ascii="Times New Roman"/>
                <w:sz w:val="21"/>
              </w:rPr>
            </w:pPr>
            <w:r>
              <w:rPr>
                <w:rFonts w:ascii="Times New Roman"/>
                <w:sz w:val="21"/>
              </w:rPr>
              <w:t>1310-58-3</w:t>
            </w:r>
          </w:p>
        </w:tc>
      </w:tr>
      <w:tr>
        <w:trPr>
          <w:trHeight w:val="321" w:hRule="atLeast"/>
        </w:trPr>
        <w:tc>
          <w:tcPr>
            <w:tcW w:w="1188" w:type="dxa"/>
            <w:tcBorders>
              <w:top w:val="single" w:sz="6" w:space="0" w:color="000000"/>
              <w:bottom w:val="single" w:sz="6" w:space="0" w:color="000000"/>
              <w:right w:val="single" w:sz="6" w:space="0" w:color="000000"/>
            </w:tcBorders>
          </w:tcPr>
          <w:p>
            <w:pPr>
              <w:pStyle w:val="TableParagraph"/>
              <w:spacing w:line="301"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212" w:right="181"/>
              <w:rPr>
                <w:sz w:val="21"/>
              </w:rPr>
            </w:pPr>
            <w:r>
              <w:rPr>
                <w:sz w:val="21"/>
              </w:rPr>
              <w:t>氢氧化钾</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41" w:lineRule="exact" w:before="60"/>
              <w:ind w:left="112" w:right="82"/>
              <w:rPr>
                <w:rFonts w:ascii="Times New Roman"/>
                <w:sz w:val="21"/>
              </w:rPr>
            </w:pPr>
            <w:r>
              <w:rPr>
                <w:rFonts w:ascii="Times New Roman"/>
                <w:sz w:val="21"/>
              </w:rPr>
              <w:t>Potassium hydroxide</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06"/>
              <w:ind w:left="212" w:right="183"/>
              <w:rPr>
                <w:rFonts w:ascii="Times New Roman" w:eastAsia="Times New Roman"/>
                <w:sz w:val="21"/>
              </w:rPr>
            </w:pPr>
            <w:r>
              <w:rPr>
                <w:rFonts w:ascii="Times New Roman" w:eastAsia="Times New Roman"/>
                <w:sz w:val="21"/>
              </w:rPr>
              <w:t>20(</w:t>
            </w:r>
            <w:r>
              <w:rPr>
                <w:sz w:val="21"/>
              </w:rPr>
              <w:t>碱性腐蚀品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06"/>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28" w:lineRule="exact"/>
              <w:ind w:left="134"/>
              <w:jc w:val="left"/>
              <w:rPr>
                <w:sz w:val="21"/>
              </w:rPr>
            </w:pPr>
            <w:r>
              <w:rPr>
                <w:spacing w:val="-3"/>
                <w:sz w:val="21"/>
              </w:rPr>
              <w:t>用作化工生产的原料，也用</w:t>
            </w:r>
          </w:p>
          <w:p>
            <w:pPr>
              <w:pStyle w:val="TableParagraph"/>
              <w:spacing w:line="292" w:lineRule="exact"/>
              <w:ind w:left="134"/>
              <w:jc w:val="left"/>
              <w:rPr>
                <w:sz w:val="21"/>
              </w:rPr>
            </w:pPr>
            <w:r>
              <w:rPr>
                <w:spacing w:val="-3"/>
                <w:sz w:val="21"/>
              </w:rPr>
              <w:t>于医药、染料、轻工等工业</w:t>
            </w:r>
          </w:p>
        </w:tc>
      </w:tr>
      <w:tr>
        <w:trPr>
          <w:trHeight w:val="318" w:hRule="atLeast"/>
        </w:trPr>
        <w:tc>
          <w:tcPr>
            <w:tcW w:w="1188" w:type="dxa"/>
            <w:tcBorders>
              <w:top w:val="single" w:sz="6" w:space="0" w:color="000000"/>
              <w:bottom w:val="single" w:sz="6" w:space="0" w:color="000000"/>
              <w:right w:val="single" w:sz="6" w:space="0" w:color="000000"/>
            </w:tcBorders>
          </w:tcPr>
          <w:p>
            <w:pPr>
              <w:pStyle w:val="TableParagraph"/>
              <w:spacing w:line="29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99" w:lineRule="exact"/>
              <w:ind w:left="114"/>
              <w:jc w:val="left"/>
              <w:rPr>
                <w:sz w:val="21"/>
              </w:rPr>
            </w:pPr>
            <w:r>
              <w:rPr>
                <w:sz w:val="21"/>
              </w:rPr>
              <w:t>吸入、食入。</w:t>
            </w:r>
          </w:p>
        </w:tc>
      </w:tr>
      <w:tr>
        <w:trPr>
          <w:trHeight w:val="959" w:hRule="atLeast"/>
        </w:trPr>
        <w:tc>
          <w:tcPr>
            <w:tcW w:w="1188" w:type="dxa"/>
            <w:tcBorders>
              <w:top w:val="single" w:sz="6" w:space="0" w:color="000000"/>
              <w:bottom w:val="single" w:sz="6" w:space="0" w:color="000000"/>
              <w:right w:val="single" w:sz="6" w:space="0" w:color="000000"/>
            </w:tcBorders>
          </w:tcPr>
          <w:p>
            <w:pPr>
              <w:pStyle w:val="TableParagraph"/>
              <w:spacing w:before="12"/>
              <w:jc w:val="left"/>
              <w:rPr>
                <w:sz w:val="12"/>
              </w:rPr>
            </w:pPr>
          </w:p>
          <w:p>
            <w:pPr>
              <w:pStyle w:val="TableParagraph"/>
              <w:spacing w:before="1"/>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6"/>
              <w:jc w:val="left"/>
              <w:rPr>
                <w:sz w:val="21"/>
              </w:rPr>
            </w:pPr>
            <w:r>
              <w:rPr>
                <w:sz w:val="21"/>
              </w:rPr>
              <w:t>健康危害：本品有强烈腐蚀性。吸入后强烈刺激呼吸道或造成灼伤。皮肤和眼直接接触可引起灼伤；口服灼伤消化道，可致死。</w:t>
            </w:r>
          </w:p>
          <w:p>
            <w:pPr>
              <w:pStyle w:val="TableParagraph"/>
              <w:spacing w:line="266" w:lineRule="exact"/>
              <w:ind w:left="114"/>
              <w:jc w:val="left"/>
              <w:rPr>
                <w:sz w:val="21"/>
              </w:rPr>
            </w:pPr>
            <w:r>
              <w:rPr>
                <w:sz w:val="21"/>
              </w:rPr>
              <w:t>慢性影响：肺损害。</w:t>
            </w:r>
          </w:p>
        </w:tc>
      </w:tr>
      <w:tr>
        <w:trPr>
          <w:trHeight w:val="640" w:hRule="atLeast"/>
        </w:trPr>
        <w:tc>
          <w:tcPr>
            <w:tcW w:w="1188" w:type="dxa"/>
            <w:tcBorders>
              <w:top w:val="single" w:sz="6" w:space="0" w:color="000000"/>
              <w:bottom w:val="single" w:sz="6" w:space="0" w:color="000000"/>
              <w:right w:val="single" w:sz="6" w:space="0" w:color="000000"/>
            </w:tcBorders>
          </w:tcPr>
          <w:p>
            <w:pPr>
              <w:pStyle w:val="TableParagraph"/>
              <w:spacing w:before="106"/>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30"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273mg/kg(</w:t>
            </w:r>
            <w:r>
              <w:rPr>
                <w:position w:val="2"/>
                <w:sz w:val="21"/>
              </w:rPr>
              <w:t>大鼠经口</w:t>
            </w:r>
            <w:r>
              <w:rPr>
                <w:rFonts w:ascii="Times New Roman" w:eastAsia="Times New Roman"/>
                <w:position w:val="2"/>
                <w:sz w:val="21"/>
              </w:rPr>
              <w:t>)</w:t>
            </w:r>
          </w:p>
          <w:p>
            <w:pPr>
              <w:pStyle w:val="TableParagraph"/>
              <w:spacing w:line="290" w:lineRule="exact"/>
              <w:ind w:left="114"/>
              <w:jc w:val="left"/>
              <w:rPr>
                <w:sz w:val="21"/>
              </w:rPr>
            </w:pPr>
            <w:r>
              <w:rPr>
                <w:sz w:val="21"/>
              </w:rPr>
              <w:t>刺激性：家兔经眼：</w:t>
            </w:r>
            <w:r>
              <w:rPr>
                <w:rFonts w:ascii="Times New Roman" w:eastAsia="Times New Roman"/>
                <w:sz w:val="21"/>
              </w:rPr>
              <w:t>1%</w:t>
            </w:r>
            <w:r>
              <w:rPr>
                <w:sz w:val="21"/>
              </w:rPr>
              <w:t>重度刺激。家兔经皮：</w:t>
            </w:r>
            <w:r>
              <w:rPr>
                <w:rFonts w:ascii="Times New Roman" w:eastAsia="Times New Roman"/>
                <w:sz w:val="21"/>
              </w:rPr>
              <w:t>50mg(24 </w:t>
            </w:r>
            <w:r>
              <w:rPr>
                <w:sz w:val="21"/>
              </w:rPr>
              <w:t>小时</w:t>
            </w:r>
            <w:r>
              <w:rPr>
                <w:rFonts w:ascii="Times New Roman" w:eastAsia="Times New Roman"/>
                <w:sz w:val="21"/>
              </w:rPr>
              <w:t>)</w:t>
            </w:r>
            <w:r>
              <w:rPr>
                <w:sz w:val="21"/>
              </w:rPr>
              <w:t>，重度刺激。</w:t>
            </w:r>
          </w:p>
        </w:tc>
      </w:tr>
      <w:tr>
        <w:trPr>
          <w:trHeight w:val="962" w:hRule="atLeast"/>
        </w:trPr>
        <w:tc>
          <w:tcPr>
            <w:tcW w:w="1188" w:type="dxa"/>
            <w:tcBorders>
              <w:top w:val="single" w:sz="6" w:space="0" w:color="000000"/>
              <w:bottom w:val="single" w:sz="6" w:space="0" w:color="000000"/>
              <w:right w:val="single" w:sz="6" w:space="0" w:color="000000"/>
            </w:tcBorders>
          </w:tcPr>
          <w:p>
            <w:pPr>
              <w:pStyle w:val="TableParagraph"/>
              <w:spacing w:before="13"/>
              <w:jc w:val="left"/>
              <w:rPr>
                <w:sz w:val="12"/>
              </w:rPr>
            </w:pPr>
          </w:p>
          <w:p>
            <w:pPr>
              <w:pStyle w:val="TableParagraph"/>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5"/>
              <w:ind w:left="114" w:right="76"/>
              <w:jc w:val="left"/>
              <w:rPr>
                <w:sz w:val="21"/>
              </w:rPr>
            </w:pPr>
            <w:r>
              <w:rPr>
                <w:sz w:val="21"/>
              </w:rPr>
              <w:t>危险特性：本品不会燃烧，遇水和水蒸气大量放热，形成腐蚀性溶液。与酸发生中和反应并放热。具有强腐蚀性。</w:t>
            </w:r>
          </w:p>
          <w:p>
            <w:pPr>
              <w:pStyle w:val="TableParagraph"/>
              <w:spacing w:line="266" w:lineRule="exact"/>
              <w:ind w:left="114"/>
              <w:jc w:val="left"/>
              <w:rPr>
                <w:sz w:val="21"/>
              </w:rPr>
            </w:pPr>
            <w:r>
              <w:rPr>
                <w:sz w:val="21"/>
              </w:rPr>
              <w:t>燃烧</w:t>
            </w:r>
            <w:r>
              <w:rPr>
                <w:rFonts w:ascii="Times New Roman" w:eastAsia="Times New Roman"/>
                <w:sz w:val="21"/>
              </w:rPr>
              <w:t>(</w:t>
            </w:r>
            <w:r>
              <w:rPr>
                <w:sz w:val="21"/>
              </w:rPr>
              <w:t>分解</w:t>
            </w:r>
            <w:r>
              <w:rPr>
                <w:rFonts w:ascii="Times New Roman" w:eastAsia="Times New Roman"/>
                <w:sz w:val="21"/>
              </w:rPr>
              <w:t>)</w:t>
            </w:r>
            <w:r>
              <w:rPr>
                <w:sz w:val="21"/>
              </w:rPr>
              <w:t>产物：可能产生有害的毒性烟雾。</w:t>
            </w:r>
          </w:p>
        </w:tc>
      </w:tr>
      <w:tr>
        <w:trPr>
          <w:trHeight w:val="1278" w:hRule="atLeast"/>
        </w:trPr>
        <w:tc>
          <w:tcPr>
            <w:tcW w:w="1188" w:type="dxa"/>
            <w:tcBorders>
              <w:top w:val="single" w:sz="6" w:space="0" w:color="000000"/>
              <w:bottom w:val="single" w:sz="6" w:space="0" w:color="000000"/>
              <w:right w:val="single" w:sz="6" w:space="0" w:color="000000"/>
            </w:tcBorders>
          </w:tcPr>
          <w:p>
            <w:pPr>
              <w:pStyle w:val="TableParagraph"/>
              <w:spacing w:before="12"/>
              <w:jc w:val="left"/>
              <w:rPr>
                <w:sz w:val="16"/>
              </w:rPr>
            </w:pPr>
          </w:p>
          <w:p>
            <w:pPr>
              <w:pStyle w:val="TableParagraph"/>
              <w:spacing w:line="172"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72" w:lineRule="auto" w:before="32"/>
              <w:ind w:left="114" w:right="76"/>
              <w:jc w:val="both"/>
              <w:rPr>
                <w:sz w:val="21"/>
              </w:rPr>
            </w:pPr>
            <w:r>
              <w:rPr>
                <w:sz w:val="21"/>
              </w:rPr>
              <w:t>隔离泄漏污染区，周围设警告标志，建议应急处理人员戴好防毒面具，穿化学防护服。不要直接接触泄漏物，用洁清的铲子收集于干燥净洁有盖的容器中，以少量加入大量水中，调节至中性，再放入废水系统。也可以用大量水冲洗，经稀释的洗水</w:t>
            </w:r>
          </w:p>
          <w:p>
            <w:pPr>
              <w:pStyle w:val="TableParagraph"/>
              <w:spacing w:line="264" w:lineRule="exact"/>
              <w:ind w:left="114"/>
              <w:jc w:val="both"/>
              <w:rPr>
                <w:sz w:val="21"/>
              </w:rPr>
            </w:pPr>
            <w:r>
              <w:rPr>
                <w:sz w:val="21"/>
              </w:rPr>
              <w:t>放入废水系统。如大量泄漏，收集回收或无害处理后废弃。</w:t>
            </w:r>
          </w:p>
        </w:tc>
      </w:tr>
      <w:tr>
        <w:trPr>
          <w:trHeight w:val="1600" w:hRule="atLeast"/>
        </w:trPr>
        <w:tc>
          <w:tcPr>
            <w:tcW w:w="1188" w:type="dxa"/>
            <w:tcBorders>
              <w:top w:val="single" w:sz="6" w:space="0" w:color="000000"/>
              <w:right w:val="single" w:sz="6" w:space="0" w:color="000000"/>
            </w:tcBorders>
          </w:tcPr>
          <w:p>
            <w:pPr>
              <w:pStyle w:val="TableParagraph"/>
              <w:spacing w:before="14"/>
              <w:jc w:val="left"/>
              <w:rPr>
                <w:sz w:val="27"/>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tcBorders>
          </w:tcPr>
          <w:p>
            <w:pPr>
              <w:pStyle w:val="TableParagraph"/>
              <w:spacing w:line="172" w:lineRule="auto" w:before="32"/>
              <w:ind w:left="114" w:right="4107"/>
              <w:jc w:val="left"/>
              <w:rPr>
                <w:sz w:val="21"/>
              </w:rPr>
            </w:pPr>
            <w:r>
              <w:rPr>
                <w:sz w:val="21"/>
              </w:rPr>
              <w:t>呼吸系统防护：必要时佩带防毒口罩。眼睛防护：戴化学安全防护眼镜。</w:t>
            </w:r>
          </w:p>
          <w:p>
            <w:pPr>
              <w:pStyle w:val="TableParagraph"/>
              <w:spacing w:line="172" w:lineRule="auto"/>
              <w:ind w:left="114" w:right="4388"/>
              <w:jc w:val="left"/>
              <w:rPr>
                <w:sz w:val="21"/>
              </w:rPr>
            </w:pPr>
            <w:r>
              <w:rPr>
                <w:sz w:val="21"/>
              </w:rPr>
              <w:t>防护服：穿工作服</w:t>
            </w:r>
            <w:r>
              <w:rPr>
                <w:rFonts w:ascii="Times New Roman" w:eastAsia="Times New Roman"/>
                <w:sz w:val="21"/>
              </w:rPr>
              <w:t>(</w:t>
            </w:r>
            <w:r>
              <w:rPr>
                <w:sz w:val="21"/>
              </w:rPr>
              <w:t>防腐材料制作</w:t>
            </w:r>
            <w:r>
              <w:rPr>
                <w:rFonts w:ascii="Times New Roman" w:eastAsia="Times New Roman"/>
                <w:sz w:val="21"/>
              </w:rPr>
              <w:t>)</w:t>
            </w:r>
            <w:r>
              <w:rPr>
                <w:sz w:val="21"/>
              </w:rPr>
              <w:t>。手防护：戴橡皮手套。</w:t>
            </w:r>
          </w:p>
          <w:p>
            <w:pPr>
              <w:pStyle w:val="TableParagraph"/>
              <w:spacing w:line="266" w:lineRule="exact"/>
              <w:ind w:left="114"/>
              <w:jc w:val="left"/>
              <w:rPr>
                <w:sz w:val="21"/>
              </w:rPr>
            </w:pPr>
            <w:r>
              <w:rPr>
                <w:sz w:val="21"/>
              </w:rPr>
              <w:t>其它：工作后，淋浴更衣。注意个人清洁卫生。</w:t>
            </w:r>
          </w:p>
        </w:tc>
      </w:tr>
    </w:tbl>
    <w:p>
      <w:pPr>
        <w:spacing w:after="0" w:line="266"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919" w:hRule="atLeast"/>
        </w:trPr>
        <w:tc>
          <w:tcPr>
            <w:tcW w:w="1188" w:type="dxa"/>
            <w:tcBorders>
              <w:right w:val="single" w:sz="6" w:space="0" w:color="000000"/>
            </w:tcBorders>
          </w:tcPr>
          <w:p>
            <w:pPr>
              <w:pStyle w:val="TableParagraph"/>
              <w:jc w:val="left"/>
              <w:rPr>
                <w:sz w:val="20"/>
              </w:rPr>
            </w:pPr>
          </w:p>
          <w:p>
            <w:pPr>
              <w:pStyle w:val="TableParagraph"/>
              <w:spacing w:before="5"/>
              <w:jc w:val="left"/>
              <w:rPr>
                <w:sz w:val="15"/>
              </w:rPr>
            </w:pPr>
          </w:p>
          <w:p>
            <w:pPr>
              <w:pStyle w:val="TableParagraph"/>
              <w:ind w:left="172"/>
              <w:jc w:val="left"/>
              <w:rPr>
                <w:sz w:val="21"/>
              </w:rPr>
            </w:pPr>
            <w:r>
              <w:rPr>
                <w:sz w:val="21"/>
              </w:rPr>
              <w:t>急救措施</w:t>
            </w:r>
          </w:p>
        </w:tc>
        <w:tc>
          <w:tcPr>
            <w:tcW w:w="7821" w:type="dxa"/>
            <w:tcBorders>
              <w:left w:val="single" w:sz="6" w:space="0" w:color="000000"/>
            </w:tcBorders>
          </w:tcPr>
          <w:p>
            <w:pPr>
              <w:pStyle w:val="TableParagraph"/>
              <w:spacing w:line="330" w:lineRule="exact"/>
              <w:ind w:left="114"/>
              <w:jc w:val="left"/>
              <w:rPr>
                <w:sz w:val="21"/>
              </w:rPr>
            </w:pPr>
            <w:r>
              <w:rPr>
                <w:sz w:val="21"/>
              </w:rPr>
              <w:t>皮肤接触：立即用水冲洗至少 </w:t>
            </w:r>
            <w:r>
              <w:rPr>
                <w:rFonts w:ascii="Times New Roman" w:eastAsia="Times New Roman"/>
                <w:sz w:val="21"/>
              </w:rPr>
              <w:t>15 </w:t>
            </w:r>
            <w:r>
              <w:rPr>
                <w:sz w:val="21"/>
              </w:rPr>
              <w:t>分钟。若有灼伤，就医治疗。</w:t>
            </w:r>
          </w:p>
          <w:p>
            <w:pPr>
              <w:pStyle w:val="TableParagraph"/>
              <w:spacing w:line="172" w:lineRule="auto" w:before="24"/>
              <w:ind w:left="114" w:right="74"/>
              <w:jc w:val="left"/>
              <w:rPr>
                <w:sz w:val="21"/>
              </w:rPr>
            </w:pPr>
            <w:r>
              <w:rPr>
                <w:sz w:val="21"/>
              </w:rPr>
              <w:t>眼睛接触：立即提起眼睑，用流动清水或生理盐水冲洗至少 </w:t>
            </w:r>
            <w:r>
              <w:rPr>
                <w:rFonts w:ascii="Times New Roman" w:eastAsia="Times New Roman"/>
                <w:sz w:val="21"/>
              </w:rPr>
              <w:t>15 </w:t>
            </w:r>
            <w:r>
              <w:rPr>
                <w:sz w:val="21"/>
              </w:rPr>
              <w:t>分钟。或用 </w:t>
            </w:r>
            <w:r>
              <w:rPr>
                <w:rFonts w:ascii="Times New Roman" w:eastAsia="Times New Roman"/>
                <w:sz w:val="21"/>
              </w:rPr>
              <w:t>3%</w:t>
            </w:r>
            <w:r>
              <w:rPr>
                <w:sz w:val="21"/>
              </w:rPr>
              <w:t>硼酸溶液冲洗。就医。</w:t>
            </w:r>
          </w:p>
          <w:p>
            <w:pPr>
              <w:pStyle w:val="TableParagraph"/>
              <w:spacing w:line="295" w:lineRule="exact"/>
              <w:ind w:left="114"/>
              <w:jc w:val="left"/>
              <w:rPr>
                <w:sz w:val="21"/>
              </w:rPr>
            </w:pPr>
            <w:r>
              <w:rPr>
                <w:sz w:val="21"/>
              </w:rPr>
              <w:t>吸入：迅速脱离现场至空气新鲜处。必要时进行人工呼吸。就医。</w:t>
            </w:r>
          </w:p>
          <w:p>
            <w:pPr>
              <w:pStyle w:val="TableParagraph"/>
              <w:spacing w:line="319" w:lineRule="exact"/>
              <w:ind w:left="114"/>
              <w:jc w:val="left"/>
              <w:rPr>
                <w:sz w:val="21"/>
              </w:rPr>
            </w:pPr>
            <w:r>
              <w:rPr>
                <w:sz w:val="21"/>
              </w:rPr>
              <w:t>食入：患者清醒时立即漱口，口服稀释的醋或柠檬汁，就医。灭火方法：雾状水、</w:t>
            </w:r>
          </w:p>
          <w:p>
            <w:pPr>
              <w:pStyle w:val="TableParagraph"/>
              <w:spacing w:line="290" w:lineRule="exact"/>
              <w:ind w:left="114"/>
              <w:jc w:val="left"/>
              <w:rPr>
                <w:sz w:val="21"/>
              </w:rPr>
            </w:pPr>
            <w:r>
              <w:rPr>
                <w:sz w:val="21"/>
              </w:rPr>
              <w:t>砂土</w:t>
            </w:r>
          </w:p>
        </w:tc>
      </w:tr>
    </w:tbl>
    <w:p>
      <w:pPr>
        <w:tabs>
          <w:tab w:pos="4663" w:val="left" w:leader="none"/>
        </w:tabs>
        <w:spacing w:line="370" w:lineRule="exact" w:before="0"/>
        <w:ind w:left="3648" w:right="0" w:firstLine="0"/>
        <w:jc w:val="left"/>
        <w:rPr>
          <w:sz w:val="21"/>
        </w:rPr>
      </w:pPr>
      <w:r>
        <w:rPr>
          <w:sz w:val="21"/>
        </w:rPr>
        <w:t>表</w:t>
      </w:r>
      <w:r>
        <w:rPr>
          <w:spacing w:val="5"/>
          <w:sz w:val="21"/>
        </w:rPr>
        <w:t> </w:t>
      </w:r>
      <w:r>
        <w:rPr>
          <w:rFonts w:ascii="Times New Roman" w:eastAsia="Times New Roman"/>
          <w:sz w:val="21"/>
        </w:rPr>
        <w:t>7.1-28</w:t>
        <w:tab/>
      </w:r>
      <w:r>
        <w:rPr>
          <w:sz w:val="21"/>
        </w:rPr>
        <w:t>环</w:t>
      </w:r>
      <w:r>
        <w:rPr>
          <w:spacing w:val="-3"/>
          <w:sz w:val="21"/>
        </w:rPr>
        <w:t>氧</w:t>
      </w:r>
      <w:r>
        <w:rPr>
          <w:sz w:val="21"/>
        </w:rPr>
        <w:t>氯</w:t>
      </w:r>
      <w:r>
        <w:rPr>
          <w:spacing w:val="-3"/>
          <w:sz w:val="21"/>
        </w:rPr>
        <w:t>丙</w:t>
      </w:r>
      <w:r>
        <w:rPr>
          <w:sz w:val="21"/>
        </w:rPr>
        <w:t>烷</w:t>
      </w:r>
      <w:r>
        <w:rPr>
          <w:spacing w:val="-3"/>
          <w:sz w:val="21"/>
        </w:rPr>
        <w:t>理</w:t>
      </w:r>
      <w:r>
        <w:rPr>
          <w:sz w:val="21"/>
        </w:rPr>
        <w:t>化性质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61052</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13" w:right="82"/>
              <w:rPr>
                <w:rFonts w:ascii="Times New Roman"/>
                <w:sz w:val="21"/>
              </w:rPr>
            </w:pPr>
            <w:r>
              <w:rPr>
                <w:rFonts w:ascii="Times New Roman"/>
                <w:sz w:val="21"/>
              </w:rPr>
              <w:t>106-89-8</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12" w:right="181"/>
              <w:rPr>
                <w:sz w:val="21"/>
              </w:rPr>
            </w:pPr>
            <w:r>
              <w:rPr>
                <w:sz w:val="21"/>
              </w:rPr>
              <w:t>环氧氯丙烷</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6"/>
              <w:ind w:left="115" w:right="82"/>
              <w:rPr>
                <w:rFonts w:ascii="Times New Roman"/>
                <w:sz w:val="21"/>
              </w:rPr>
            </w:pPr>
            <w:r>
              <w:rPr>
                <w:rFonts w:ascii="Times New Roman"/>
                <w:sz w:val="21"/>
              </w:rPr>
              <w:t>3-Chloro-1,2-epoxypropane</w:t>
            </w:r>
          </w:p>
        </w:tc>
      </w:tr>
      <w:tr>
        <w:trPr>
          <w:trHeight w:val="900" w:hRule="atLeast"/>
        </w:trPr>
        <w:tc>
          <w:tcPr>
            <w:tcW w:w="1188" w:type="dxa"/>
            <w:tcBorders>
              <w:top w:val="single" w:sz="6" w:space="0" w:color="000000"/>
              <w:bottom w:val="single" w:sz="6" w:space="0" w:color="000000"/>
              <w:right w:val="single" w:sz="6" w:space="0" w:color="000000"/>
            </w:tcBorders>
          </w:tcPr>
          <w:p>
            <w:pPr>
              <w:pStyle w:val="TableParagraph"/>
              <w:spacing w:before="17"/>
              <w:jc w:val="left"/>
              <w:rPr>
                <w:sz w:val="10"/>
              </w:rPr>
            </w:pPr>
          </w:p>
          <w:p>
            <w:pPr>
              <w:pStyle w:val="TableParagraph"/>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7"/>
              <w:jc w:val="left"/>
              <w:rPr>
                <w:sz w:val="10"/>
              </w:rPr>
            </w:pPr>
          </w:p>
          <w:p>
            <w:pPr>
              <w:pStyle w:val="TableParagraph"/>
              <w:ind w:left="212" w:right="181"/>
              <w:rPr>
                <w:rFonts w:ascii="Times New Roman" w:eastAsia="Times New Roman"/>
                <w:sz w:val="21"/>
              </w:rPr>
            </w:pPr>
            <w:r>
              <w:rPr>
                <w:rFonts w:ascii="Times New Roman" w:eastAsia="Times New Roman"/>
                <w:sz w:val="21"/>
              </w:rPr>
              <w:t>14(</w:t>
            </w:r>
            <w:r>
              <w:rPr>
                <w:sz w:val="21"/>
              </w:rPr>
              <w:t>有毒品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7"/>
              <w:jc w:val="left"/>
              <w:rPr>
                <w:sz w:val="10"/>
              </w:rPr>
            </w:pPr>
          </w:p>
          <w:p>
            <w:pPr>
              <w:pStyle w:val="TableParagraph"/>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163" w:lineRule="auto" w:before="28"/>
              <w:ind w:left="134" w:right="98"/>
              <w:rPr>
                <w:sz w:val="21"/>
              </w:rPr>
            </w:pPr>
            <w:r>
              <w:rPr>
                <w:sz w:val="21"/>
              </w:rPr>
              <w:t>于制环氧树脂，也是一种含氧物质的稳定剂和化学中间</w:t>
            </w:r>
          </w:p>
          <w:p>
            <w:pPr>
              <w:pStyle w:val="TableParagraph"/>
              <w:spacing w:line="246" w:lineRule="exact"/>
              <w:ind w:left="36"/>
              <w:rPr>
                <w:sz w:val="21"/>
              </w:rPr>
            </w:pPr>
            <w:r>
              <w:rPr>
                <w:w w:val="100"/>
                <w:sz w:val="21"/>
              </w:rPr>
              <w:t>体</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1199"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17"/>
              </w:rPr>
            </w:pPr>
          </w:p>
          <w:p>
            <w:pPr>
              <w:pStyle w:val="TableParagraph"/>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both"/>
              <w:rPr>
                <w:sz w:val="21"/>
              </w:rPr>
            </w:pPr>
            <w:r>
              <w:rPr>
                <w:sz w:val="21"/>
              </w:rPr>
              <w:t>蒸气对呼吸道有强烈刺激性。反复和长时间吸入能引起肺、肝和肾损害。高浓度吸入致中枢神经系统抑制可致死。蒸气对眼有强烈刺激性，液体可致眼灼伤。皮肤直接接触液体可致灼伤。口服引起肝、肾损害，可致死。慢性中毒：长期少量吸入可</w:t>
            </w:r>
          </w:p>
          <w:p>
            <w:pPr>
              <w:pStyle w:val="TableParagraph"/>
              <w:spacing w:line="253" w:lineRule="exact"/>
              <w:ind w:left="114"/>
              <w:jc w:val="both"/>
              <w:rPr>
                <w:sz w:val="21"/>
              </w:rPr>
            </w:pPr>
            <w:r>
              <w:rPr>
                <w:sz w:val="21"/>
              </w:rPr>
              <w:t>出现神经衰弱综合征和周围神经病变。</w:t>
            </w:r>
          </w:p>
        </w:tc>
      </w:tr>
      <w:tr>
        <w:trPr>
          <w:trHeight w:val="901"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9"/>
              <w:ind w:left="114" w:right="7"/>
              <w:jc w:val="left"/>
              <w:rPr>
                <w:sz w:val="21"/>
              </w:rPr>
            </w:pPr>
            <w:r>
              <w:rPr>
                <w:spacing w:val="19"/>
                <w:position w:val="2"/>
                <w:sz w:val="21"/>
              </w:rPr>
              <w:t>急性毒性： </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90mg/kg( </w:t>
            </w:r>
            <w:r>
              <w:rPr>
                <w:spacing w:val="33"/>
                <w:position w:val="2"/>
                <w:sz w:val="21"/>
              </w:rPr>
              <w:t>大鼠经口</w:t>
            </w:r>
            <w:r>
              <w:rPr>
                <w:rFonts w:ascii="Times New Roman" w:eastAsia="Times New Roman"/>
                <w:spacing w:val="-11"/>
                <w:position w:val="2"/>
                <w:sz w:val="21"/>
              </w:rPr>
              <w:t>) </w:t>
            </w:r>
            <w:r>
              <w:rPr>
                <w:spacing w:val="-7"/>
                <w:position w:val="2"/>
                <w:sz w:val="21"/>
              </w:rPr>
              <w:t>； </w:t>
            </w:r>
            <w:r>
              <w:rPr>
                <w:rFonts w:ascii="Times New Roman" w:eastAsia="Times New Roman"/>
                <w:position w:val="2"/>
                <w:sz w:val="21"/>
              </w:rPr>
              <w:t>238mg/kg( </w:t>
            </w:r>
            <w:r>
              <w:rPr>
                <w:spacing w:val="32"/>
                <w:position w:val="2"/>
                <w:sz w:val="21"/>
              </w:rPr>
              <w:t>小鼠经口</w:t>
            </w:r>
            <w:r>
              <w:rPr>
                <w:rFonts w:ascii="Times New Roman" w:eastAsia="Times New Roman"/>
                <w:spacing w:val="-10"/>
                <w:position w:val="2"/>
                <w:sz w:val="21"/>
              </w:rPr>
              <w:t>) </w:t>
            </w:r>
            <w:r>
              <w:rPr>
                <w:spacing w:val="-6"/>
                <w:position w:val="2"/>
                <w:sz w:val="21"/>
              </w:rPr>
              <w:t>； </w:t>
            </w:r>
            <w:r>
              <w:rPr>
                <w:rFonts w:ascii="Times New Roman" w:eastAsia="Times New Roman"/>
                <w:position w:val="2"/>
                <w:sz w:val="21"/>
              </w:rPr>
              <w:t>1500mg/kg( </w:t>
            </w:r>
            <w:r>
              <w:rPr>
                <w:spacing w:val="33"/>
                <w:position w:val="2"/>
                <w:sz w:val="21"/>
              </w:rPr>
              <w:t>兔经</w:t>
            </w:r>
            <w:r>
              <w:rPr>
                <w:position w:val="2"/>
                <w:sz w:val="21"/>
              </w:rPr>
              <w:t>皮</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500ppm(2065mg/m</w:t>
            </w:r>
            <w:r>
              <w:rPr>
                <w:rFonts w:ascii="Times New Roman" w:eastAsia="Times New Roman"/>
                <w:position w:val="2"/>
                <w:sz w:val="21"/>
                <w:vertAlign w:val="superscript"/>
              </w:rPr>
              <w:t>3</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4 </w:t>
            </w:r>
            <w:r>
              <w:rPr>
                <w:position w:val="2"/>
                <w:sz w:val="21"/>
                <w:vertAlign w:val="baseline"/>
              </w:rPr>
              <w:t>小时</w:t>
            </w:r>
            <w:r>
              <w:rPr>
                <w:rFonts w:ascii="Times New Roman" w:eastAsia="Times New Roman"/>
                <w:position w:val="2"/>
                <w:sz w:val="21"/>
                <w:vertAlign w:val="baseline"/>
              </w:rPr>
              <w:t>(</w:t>
            </w:r>
            <w:r>
              <w:rPr>
                <w:spacing w:val="-3"/>
                <w:position w:val="2"/>
                <w:sz w:val="21"/>
                <w:vertAlign w:val="baseline"/>
              </w:rPr>
              <w:t>大鼠吸入</w:t>
            </w:r>
            <w:r>
              <w:rPr>
                <w:rFonts w:ascii="Times New Roman" w:eastAsia="Times New Roman"/>
                <w:spacing w:val="-20"/>
                <w:position w:val="2"/>
                <w:sz w:val="21"/>
                <w:vertAlign w:val="baseline"/>
              </w:rPr>
              <w:t>)</w:t>
            </w:r>
            <w:r>
              <w:rPr>
                <w:spacing w:val="-5"/>
                <w:position w:val="2"/>
                <w:sz w:val="21"/>
                <w:vertAlign w:val="baseline"/>
              </w:rPr>
              <w:t>；人吸入 </w:t>
            </w:r>
            <w:r>
              <w:rPr>
                <w:rFonts w:ascii="Times New Roman" w:eastAsia="Times New Roman"/>
                <w:spacing w:val="-7"/>
                <w:position w:val="2"/>
                <w:sz w:val="21"/>
                <w:vertAlign w:val="baseline"/>
              </w:rPr>
              <w:t>20ppm</w:t>
            </w:r>
            <w:r>
              <w:rPr>
                <w:spacing w:val="-4"/>
                <w:position w:val="2"/>
                <w:sz w:val="21"/>
                <w:vertAlign w:val="baseline"/>
              </w:rPr>
              <w:t>，最小中毒浓度</w:t>
            </w:r>
            <w:r>
              <w:rPr>
                <w:rFonts w:ascii="Times New Roman" w:eastAsia="Times New Roman"/>
                <w:position w:val="2"/>
                <w:sz w:val="21"/>
                <w:vertAlign w:val="baseline"/>
              </w:rPr>
              <w:t>(</w:t>
            </w:r>
            <w:r>
              <w:rPr>
                <w:position w:val="2"/>
                <w:sz w:val="21"/>
                <w:vertAlign w:val="baseline"/>
              </w:rPr>
              <w:t>对</w:t>
            </w:r>
          </w:p>
          <w:p>
            <w:pPr>
              <w:pStyle w:val="TableParagraph"/>
              <w:spacing w:line="246" w:lineRule="exact"/>
              <w:ind w:left="114"/>
              <w:jc w:val="left"/>
              <w:rPr>
                <w:sz w:val="21"/>
              </w:rPr>
            </w:pPr>
            <w:r>
              <w:rPr>
                <w:sz w:val="21"/>
              </w:rPr>
              <w:t>眼刺激</w:t>
            </w:r>
            <w:r>
              <w:rPr>
                <w:rFonts w:ascii="Times New Roman" w:eastAsia="Times New Roman"/>
                <w:sz w:val="21"/>
              </w:rPr>
              <w:t>)</w:t>
            </w:r>
            <w:r>
              <w:rPr>
                <w:sz w:val="21"/>
              </w:rPr>
              <w:t>；人经口 </w:t>
            </w:r>
            <w:r>
              <w:rPr>
                <w:rFonts w:ascii="Times New Roman" w:eastAsia="Times New Roman"/>
                <w:sz w:val="21"/>
              </w:rPr>
              <w:t>50mg/kg</w:t>
            </w:r>
            <w:r>
              <w:rPr>
                <w:sz w:val="21"/>
              </w:rPr>
              <w:t>，最小致死剂量。</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78"/>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2" w:lineRule="exact"/>
              <w:ind w:left="114"/>
              <w:jc w:val="left"/>
              <w:rPr>
                <w:sz w:val="21"/>
              </w:rPr>
            </w:pPr>
            <w:r>
              <w:rPr>
                <w:sz w:val="21"/>
              </w:rPr>
              <w:t>其蒸气与空气形成爆炸性混合物，遇明火、高温能引起分解爆炸和燃烧。若遇高热</w:t>
            </w:r>
          </w:p>
          <w:p>
            <w:pPr>
              <w:pStyle w:val="TableParagraph"/>
              <w:spacing w:line="278" w:lineRule="exact"/>
              <w:ind w:left="114"/>
              <w:jc w:val="left"/>
              <w:rPr>
                <w:sz w:val="21"/>
              </w:rPr>
            </w:pPr>
            <w:r>
              <w:rPr>
                <w:sz w:val="21"/>
              </w:rPr>
              <w:t>可发生剧烈分解，引起容器破裂或爆炸事故。</w:t>
            </w:r>
          </w:p>
        </w:tc>
      </w:tr>
      <w:tr>
        <w:trPr>
          <w:trHeight w:val="17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29"/>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5"/>
              <w:jc w:val="both"/>
              <w:rPr>
                <w:sz w:val="21"/>
              </w:rPr>
            </w:pPr>
            <w:r>
              <w:rPr>
                <w:sz w:val="21"/>
              </w:rPr>
              <w:t>疏散泄漏污染区人员至安全区，禁止无关人员进入污染区，切断火源。应急处理人员戴自给式呼吸器，穿防护服。不要直接接触泄漏物，不确保安全情况下堵漏。喷水雾可减少蒸发。用砂土或其它不燃性吸附剂混合吸收，然后收集运至废物处理场所。如大量泄漏，利用围堤收容，然后收集、转移、回收或无害处理后废弃。</w:t>
            </w:r>
          </w:p>
          <w:p>
            <w:pPr>
              <w:pStyle w:val="TableParagraph"/>
              <w:spacing w:line="277" w:lineRule="exact"/>
              <w:ind w:left="275"/>
              <w:jc w:val="left"/>
              <w:rPr>
                <w:sz w:val="21"/>
              </w:rPr>
            </w:pPr>
            <w:r>
              <w:rPr>
                <w:sz w:val="21"/>
              </w:rPr>
              <w:t>废弃物处置方法：用焚烧法。废料同其它燃料混合后焚烧，燃烧要充分，防止生</w:t>
            </w:r>
          </w:p>
          <w:p>
            <w:pPr>
              <w:pStyle w:val="TableParagraph"/>
              <w:spacing w:line="278" w:lineRule="exact"/>
              <w:ind w:left="114"/>
              <w:jc w:val="both"/>
              <w:rPr>
                <w:sz w:val="21"/>
              </w:rPr>
            </w:pPr>
            <w:r>
              <w:rPr>
                <w:sz w:val="21"/>
              </w:rPr>
              <w:t>成光气。焚烧炉排出的卤化氢要通过酸洗涤器除去。</w:t>
            </w:r>
          </w:p>
        </w:tc>
      </w:tr>
      <w:tr>
        <w:trPr>
          <w:trHeight w:val="179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
              <w:jc w:val="left"/>
              <w:rPr>
                <w:sz w:val="12"/>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left"/>
              <w:rPr>
                <w:sz w:val="21"/>
              </w:rPr>
            </w:pPr>
            <w:r>
              <w:rPr>
                <w:sz w:val="21"/>
              </w:rPr>
              <w:t>呼吸系统防护：空气中浓度超标时，戴面具式呼吸器。紧急事态抢救或撤离时，建议佩戴自给式呼吸器。</w:t>
            </w:r>
          </w:p>
          <w:p>
            <w:pPr>
              <w:pStyle w:val="TableParagraph"/>
              <w:spacing w:line="160" w:lineRule="auto" w:before="4"/>
              <w:ind w:left="273" w:right="4099"/>
              <w:jc w:val="left"/>
              <w:rPr>
                <w:sz w:val="21"/>
              </w:rPr>
            </w:pPr>
            <w:r>
              <w:rPr>
                <w:sz w:val="21"/>
              </w:rPr>
              <w:t>眼睛防护：戴化学安全防护眼镜。 防护服：穿紧袖工作服，长筒胶鞋。手防护：戴防化学品手套。</w:t>
            </w:r>
          </w:p>
          <w:p>
            <w:pPr>
              <w:pStyle w:val="TableParagraph"/>
              <w:spacing w:line="254" w:lineRule="exact"/>
              <w:ind w:left="273"/>
              <w:jc w:val="left"/>
              <w:rPr>
                <w:sz w:val="21"/>
              </w:rPr>
            </w:pPr>
            <w:r>
              <w:rPr>
                <w:sz w:val="21"/>
              </w:rPr>
              <w:t>其它：工作后，淋浴更衣。保持良好的卫生习惯。防止皮肤和粘膜的损害。</w:t>
            </w:r>
          </w:p>
        </w:tc>
      </w:tr>
      <w:tr>
        <w:trPr>
          <w:trHeight w:val="17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1"/>
              <w:jc w:val="left"/>
              <w:rPr>
                <w:sz w:val="12"/>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304" w:lineRule="exact"/>
              <w:ind w:left="114"/>
              <w:jc w:val="left"/>
              <w:rPr>
                <w:sz w:val="21"/>
              </w:rPr>
            </w:pPr>
            <w:r>
              <w:rPr>
                <w:sz w:val="21"/>
              </w:rPr>
              <w:t>皮肤接触：脱去污染的衣着，立即用大量流动清水彻底冲洗至少 </w:t>
            </w:r>
            <w:r>
              <w:rPr>
                <w:rFonts w:ascii="Times New Roman" w:eastAsia="Times New Roman"/>
                <w:sz w:val="21"/>
              </w:rPr>
              <w:t>15 </w:t>
            </w:r>
            <w:r>
              <w:rPr>
                <w:sz w:val="21"/>
              </w:rPr>
              <w:t>分钟。就医。</w:t>
            </w:r>
          </w:p>
          <w:p>
            <w:pPr>
              <w:pStyle w:val="TableParagraph"/>
              <w:spacing w:line="160" w:lineRule="auto" w:before="30"/>
              <w:ind w:left="114" w:right="64" w:firstLine="158"/>
              <w:jc w:val="both"/>
              <w:rPr>
                <w:sz w:val="21"/>
              </w:rPr>
            </w:pPr>
            <w:r>
              <w:rPr>
                <w:spacing w:val="-3"/>
                <w:sz w:val="21"/>
              </w:rPr>
              <w:t>眼睛接触：立即翻开上下眼睑，用流动清水或生理盐水冲洗至少 </w:t>
            </w:r>
            <w:r>
              <w:rPr>
                <w:rFonts w:ascii="Times New Roman" w:eastAsia="Times New Roman"/>
                <w:sz w:val="21"/>
              </w:rPr>
              <w:t>15 </w:t>
            </w:r>
            <w:r>
              <w:rPr>
                <w:spacing w:val="-3"/>
                <w:sz w:val="21"/>
              </w:rPr>
              <w:t>分钟。就医。吸入：迅速脱离现场至空气新鲜处。保持呼吸道通畅。呼吸困难时输氧。呼吸停  止时，立即进行人工呼吸。就医。</w:t>
            </w:r>
          </w:p>
          <w:p>
            <w:pPr>
              <w:pStyle w:val="TableParagraph"/>
              <w:spacing w:line="275" w:lineRule="exact"/>
              <w:ind w:left="167"/>
              <w:jc w:val="left"/>
              <w:rPr>
                <w:sz w:val="21"/>
              </w:rPr>
            </w:pPr>
            <w:r>
              <w:rPr>
                <w:sz w:val="21"/>
              </w:rPr>
              <w:t>食入：立即用水漱口，给饮牛奶或蛋清。就医。</w:t>
            </w:r>
          </w:p>
          <w:p>
            <w:pPr>
              <w:pStyle w:val="TableParagraph"/>
              <w:spacing w:line="275" w:lineRule="exact"/>
              <w:ind w:left="167"/>
              <w:jc w:val="left"/>
              <w:rPr>
                <w:sz w:val="21"/>
              </w:rPr>
            </w:pPr>
            <w:r>
              <w:rPr>
                <w:sz w:val="21"/>
              </w:rPr>
              <w:t>灭火方法：泡沫、二氧化碳、干粉、砂土。</w:t>
            </w:r>
          </w:p>
        </w:tc>
      </w:tr>
    </w:tbl>
    <w:p>
      <w:pPr>
        <w:tabs>
          <w:tab w:pos="4084" w:val="left" w:leader="none"/>
        </w:tabs>
        <w:spacing w:before="59" w:after="48"/>
        <w:ind w:left="3069" w:right="0" w:firstLine="0"/>
        <w:jc w:val="left"/>
        <w:rPr>
          <w:sz w:val="21"/>
        </w:rPr>
      </w:pPr>
      <w:r>
        <w:rPr>
          <w:sz w:val="21"/>
        </w:rPr>
        <w:t>表</w:t>
      </w:r>
      <w:r>
        <w:rPr>
          <w:spacing w:val="5"/>
          <w:sz w:val="21"/>
        </w:rPr>
        <w:t> </w:t>
      </w:r>
      <w:r>
        <w:rPr>
          <w:rFonts w:ascii="Times New Roman" w:eastAsia="Times New Roman"/>
          <w:sz w:val="21"/>
        </w:rPr>
        <w:t>7.1-29</w:t>
        <w:tab/>
      </w:r>
      <w:r>
        <w:rPr>
          <w:sz w:val="21"/>
        </w:rPr>
        <w:t>正</w:t>
      </w:r>
      <w:r>
        <w:rPr>
          <w:spacing w:val="-3"/>
          <w:sz w:val="21"/>
        </w:rPr>
        <w:t>丙</w:t>
      </w:r>
      <w:r>
        <w:rPr>
          <w:sz w:val="21"/>
        </w:rPr>
        <w:t>胺</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31047</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13" w:right="82"/>
              <w:rPr>
                <w:rFonts w:ascii="Times New Roman"/>
                <w:sz w:val="21"/>
              </w:rPr>
            </w:pPr>
            <w:r>
              <w:rPr>
                <w:rFonts w:ascii="Times New Roman"/>
                <w:sz w:val="21"/>
              </w:rPr>
              <w:t>107-10-8</w:t>
            </w:r>
          </w:p>
        </w:tc>
      </w:tr>
      <w:tr>
        <w:trPr>
          <w:trHeight w:val="299" w:hRule="atLeast"/>
        </w:trPr>
        <w:tc>
          <w:tcPr>
            <w:tcW w:w="1188" w:type="dxa"/>
            <w:tcBorders>
              <w:top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right w:val="single" w:sz="6" w:space="0" w:color="000000"/>
            </w:tcBorders>
          </w:tcPr>
          <w:p>
            <w:pPr>
              <w:pStyle w:val="TableParagraph"/>
              <w:spacing w:line="279" w:lineRule="exact"/>
              <w:ind w:left="212" w:right="184"/>
              <w:rPr>
                <w:sz w:val="21"/>
              </w:rPr>
            </w:pPr>
            <w:r>
              <w:rPr>
                <w:sz w:val="21"/>
              </w:rPr>
              <w:t>正丙胺</w:t>
            </w:r>
          </w:p>
        </w:tc>
        <w:tc>
          <w:tcPr>
            <w:tcW w:w="1440" w:type="dxa"/>
            <w:tcBorders>
              <w:top w:val="single" w:sz="6" w:space="0" w:color="000000"/>
              <w:left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tcBorders>
          </w:tcPr>
          <w:p>
            <w:pPr>
              <w:pStyle w:val="TableParagraph"/>
              <w:spacing w:line="235" w:lineRule="exact" w:before="43"/>
              <w:ind w:left="115" w:right="79"/>
              <w:rPr>
                <w:rFonts w:ascii="Times New Roman"/>
                <w:sz w:val="21"/>
              </w:rPr>
            </w:pPr>
            <w:r>
              <w:rPr>
                <w:rFonts w:ascii="Times New Roman"/>
                <w:sz w:val="21"/>
              </w:rPr>
              <w:t>propylamine</w:t>
            </w:r>
          </w:p>
        </w:tc>
      </w:tr>
    </w:tbl>
    <w:p>
      <w:pPr>
        <w:spacing w:after="0" w:line="235" w:lineRule="exact"/>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601" w:hRule="atLeast"/>
        </w:trPr>
        <w:tc>
          <w:tcPr>
            <w:tcW w:w="1188" w:type="dxa"/>
            <w:tcBorders>
              <w:bottom w:val="single" w:sz="6" w:space="0" w:color="000000"/>
              <w:right w:val="single" w:sz="6" w:space="0" w:color="000000"/>
            </w:tcBorders>
          </w:tcPr>
          <w:p>
            <w:pPr>
              <w:pStyle w:val="TableParagraph"/>
              <w:spacing w:before="80"/>
              <w:ind w:left="105" w:right="84"/>
              <w:rPr>
                <w:sz w:val="21"/>
              </w:rPr>
            </w:pPr>
            <w:r>
              <w:rPr>
                <w:sz w:val="21"/>
              </w:rPr>
              <w:t>危险标记</w:t>
            </w:r>
          </w:p>
        </w:tc>
        <w:tc>
          <w:tcPr>
            <w:tcW w:w="3601" w:type="dxa"/>
            <w:tcBorders>
              <w:left w:val="single" w:sz="6" w:space="0" w:color="000000"/>
              <w:bottom w:val="single" w:sz="6" w:space="0" w:color="000000"/>
              <w:right w:val="single" w:sz="6" w:space="0" w:color="000000"/>
            </w:tcBorders>
          </w:tcPr>
          <w:p>
            <w:pPr>
              <w:pStyle w:val="TableParagraph"/>
              <w:spacing w:before="80"/>
              <w:ind w:left="948"/>
              <w:jc w:val="left"/>
              <w:rPr>
                <w:rFonts w:ascii="Times New Roman" w:eastAsia="Times New Roman"/>
                <w:sz w:val="21"/>
              </w:rPr>
            </w:pPr>
            <w:r>
              <w:rPr>
                <w:rFonts w:ascii="Times New Roman" w:eastAsia="Times New Roman"/>
                <w:sz w:val="21"/>
              </w:rPr>
              <w:t>7(</w:t>
            </w:r>
            <w:r>
              <w:rPr>
                <w:sz w:val="21"/>
              </w:rPr>
              <w:t>低闪点易燃液体</w:t>
            </w:r>
            <w:r>
              <w:rPr>
                <w:rFonts w:ascii="Times New Roman" w:eastAsia="Times New Roman"/>
                <w:sz w:val="21"/>
              </w:rPr>
              <w:t>)</w:t>
            </w:r>
          </w:p>
        </w:tc>
        <w:tc>
          <w:tcPr>
            <w:tcW w:w="1440" w:type="dxa"/>
            <w:tcBorders>
              <w:left w:val="single" w:sz="6" w:space="0" w:color="000000"/>
              <w:bottom w:val="single" w:sz="6" w:space="0" w:color="000000"/>
              <w:right w:val="single" w:sz="6" w:space="0" w:color="000000"/>
            </w:tcBorders>
          </w:tcPr>
          <w:p>
            <w:pPr>
              <w:pStyle w:val="TableParagraph"/>
              <w:spacing w:before="80"/>
              <w:ind w:left="306"/>
              <w:jc w:val="left"/>
              <w:rPr>
                <w:sz w:val="21"/>
              </w:rPr>
            </w:pPr>
            <w:r>
              <w:rPr>
                <w:sz w:val="21"/>
              </w:rPr>
              <w:t>主要用途</w:t>
            </w:r>
          </w:p>
        </w:tc>
        <w:tc>
          <w:tcPr>
            <w:tcW w:w="2780" w:type="dxa"/>
            <w:tcBorders>
              <w:left w:val="single" w:sz="6" w:space="0" w:color="000000"/>
              <w:bottom w:val="single" w:sz="6" w:space="0" w:color="000000"/>
            </w:tcBorders>
          </w:tcPr>
          <w:p>
            <w:pPr>
              <w:pStyle w:val="TableParagraph"/>
              <w:spacing w:line="304" w:lineRule="exact"/>
              <w:ind w:left="115" w:right="82"/>
              <w:rPr>
                <w:sz w:val="21"/>
              </w:rPr>
            </w:pPr>
            <w:r>
              <w:rPr>
                <w:sz w:val="21"/>
              </w:rPr>
              <w:t>用作有机合成中间体、实验</w:t>
            </w:r>
          </w:p>
          <w:p>
            <w:pPr>
              <w:pStyle w:val="TableParagraph"/>
              <w:spacing w:line="278" w:lineRule="exact"/>
              <w:ind w:left="115" w:right="76"/>
              <w:rPr>
                <w:sz w:val="21"/>
              </w:rPr>
            </w:pPr>
            <w:r>
              <w:rPr>
                <w:sz w:val="21"/>
              </w:rPr>
              <w:t>试剂及溶剂</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right="-44"/>
              <w:jc w:val="left"/>
              <w:rPr>
                <w:sz w:val="21"/>
              </w:rPr>
            </w:pPr>
            <w:r>
              <w:rPr>
                <w:spacing w:val="-8"/>
                <w:sz w:val="21"/>
              </w:rPr>
              <w:t>吸入本品对呼吸道有刺激性，引起支气管炎、肺炎、肺水肿。能引起眼部严重损害。</w:t>
            </w:r>
          </w:p>
          <w:p>
            <w:pPr>
              <w:pStyle w:val="TableParagraph"/>
              <w:spacing w:line="278" w:lineRule="exact"/>
              <w:ind w:left="114"/>
              <w:jc w:val="left"/>
              <w:rPr>
                <w:sz w:val="21"/>
              </w:rPr>
            </w:pPr>
            <w:r>
              <w:rPr>
                <w:sz w:val="21"/>
              </w:rPr>
              <w:t>皮肤接触可致灼伤。口服腐蚀胃肠道。</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pacing w:val="-3"/>
                <w:position w:val="2"/>
                <w:sz w:val="21"/>
              </w:rPr>
              <w:t>急性毒性：</w:t>
            </w:r>
            <w:r>
              <w:rPr>
                <w:rFonts w:ascii="Times New Roman" w:eastAsia="Times New Roman"/>
                <w:spacing w:val="-5"/>
                <w:position w:val="2"/>
                <w:sz w:val="21"/>
              </w:rPr>
              <w:t>LD</w:t>
            </w:r>
            <w:r>
              <w:rPr>
                <w:rFonts w:ascii="Times New Roman" w:eastAsia="Times New Roman"/>
                <w:spacing w:val="-5"/>
                <w:sz w:val="14"/>
              </w:rPr>
              <w:t>50</w:t>
            </w:r>
            <w:r>
              <w:rPr>
                <w:rFonts w:ascii="Times New Roman" w:eastAsia="Times New Roman"/>
                <w:spacing w:val="-5"/>
                <w:position w:val="2"/>
                <w:sz w:val="21"/>
              </w:rPr>
              <w:t>570mg/kg(</w:t>
            </w:r>
            <w:r>
              <w:rPr>
                <w:spacing w:val="-1"/>
                <w:position w:val="2"/>
                <w:sz w:val="21"/>
              </w:rPr>
              <w:t>大鼠经口</w:t>
            </w:r>
            <w:r>
              <w:rPr>
                <w:rFonts w:ascii="Times New Roman" w:eastAsia="Times New Roman"/>
                <w:spacing w:val="-6"/>
                <w:position w:val="2"/>
                <w:sz w:val="21"/>
              </w:rPr>
              <w:t>)</w:t>
            </w:r>
            <w:r>
              <w:rPr>
                <w:spacing w:val="-6"/>
                <w:position w:val="2"/>
                <w:sz w:val="21"/>
              </w:rPr>
              <w:t>；</w:t>
            </w:r>
            <w:r>
              <w:rPr>
                <w:rFonts w:ascii="Times New Roman" w:eastAsia="Times New Roman"/>
                <w:spacing w:val="-6"/>
                <w:position w:val="2"/>
                <w:sz w:val="21"/>
              </w:rPr>
              <w:t>560mg/kg(</w:t>
            </w:r>
            <w:r>
              <w:rPr>
                <w:spacing w:val="-2"/>
                <w:position w:val="2"/>
                <w:sz w:val="21"/>
              </w:rPr>
              <w:t>兔经皮</w:t>
            </w:r>
            <w:r>
              <w:rPr>
                <w:rFonts w:ascii="Times New Roman" w:eastAsia="Times New Roman"/>
                <w:spacing w:val="-7"/>
                <w:position w:val="2"/>
                <w:sz w:val="21"/>
              </w:rPr>
              <w:t>)</w:t>
            </w:r>
            <w:r>
              <w:rPr>
                <w:spacing w:val="-7"/>
                <w:position w:val="2"/>
                <w:sz w:val="21"/>
              </w:rPr>
              <w:t>；</w:t>
            </w:r>
            <w:r>
              <w:rPr>
                <w:rFonts w:ascii="Times New Roman" w:eastAsia="Times New Roman"/>
                <w:spacing w:val="-7"/>
                <w:position w:val="2"/>
                <w:sz w:val="21"/>
              </w:rPr>
              <w:t>LC</w:t>
            </w:r>
            <w:r>
              <w:rPr>
                <w:rFonts w:ascii="Times New Roman" w:eastAsia="Times New Roman"/>
                <w:spacing w:val="-7"/>
                <w:sz w:val="14"/>
              </w:rPr>
              <w:t>50</w:t>
            </w:r>
            <w:r>
              <w:rPr>
                <w:rFonts w:ascii="Times New Roman" w:eastAsia="Times New Roman"/>
                <w:spacing w:val="-7"/>
                <w:position w:val="2"/>
                <w:sz w:val="21"/>
              </w:rPr>
              <w:t>5586mg/m</w:t>
            </w:r>
            <w:r>
              <w:rPr>
                <w:rFonts w:ascii="Times New Roman" w:eastAsia="Times New Roman"/>
                <w:spacing w:val="-7"/>
                <w:position w:val="2"/>
                <w:sz w:val="21"/>
                <w:vertAlign w:val="superscript"/>
              </w:rPr>
              <w:t>3</w:t>
            </w:r>
            <w:r>
              <w:rPr>
                <w:spacing w:val="-7"/>
                <w:position w:val="2"/>
                <w:sz w:val="21"/>
                <w:vertAlign w:val="baseline"/>
              </w:rPr>
              <w:t>，</w:t>
            </w:r>
            <w:r>
              <w:rPr>
                <w:rFonts w:ascii="Times New Roman" w:eastAsia="Times New Roman"/>
                <w:spacing w:val="-7"/>
                <w:position w:val="2"/>
                <w:sz w:val="21"/>
                <w:vertAlign w:val="baseline"/>
              </w:rPr>
              <w:t>4 </w:t>
            </w:r>
            <w:r>
              <w:rPr>
                <w:position w:val="2"/>
                <w:sz w:val="21"/>
                <w:vertAlign w:val="baseline"/>
              </w:rPr>
              <w:t>小时</w:t>
            </w:r>
            <w:r>
              <w:rPr>
                <w:rFonts w:ascii="Times New Roman" w:eastAsia="Times New Roman"/>
                <w:position w:val="2"/>
                <w:sz w:val="21"/>
                <w:vertAlign w:val="baseline"/>
              </w:rPr>
              <w:t>(</w:t>
            </w:r>
            <w:r>
              <w:rPr>
                <w:position w:val="2"/>
                <w:sz w:val="21"/>
                <w:vertAlign w:val="baseline"/>
              </w:rPr>
              <w:t>大</w:t>
            </w:r>
          </w:p>
          <w:p>
            <w:pPr>
              <w:pStyle w:val="TableParagraph"/>
              <w:spacing w:line="278" w:lineRule="exact"/>
              <w:ind w:left="114"/>
              <w:jc w:val="left"/>
              <w:rPr>
                <w:rFonts w:ascii="Times New Roman" w:eastAsia="Times New Roman"/>
                <w:sz w:val="21"/>
              </w:rPr>
            </w:pPr>
            <w:r>
              <w:rPr>
                <w:sz w:val="21"/>
              </w:rPr>
              <w:t>鼠吸入</w:t>
            </w:r>
            <w:r>
              <w:rPr>
                <w:rFonts w:ascii="Times New Roman" w:eastAsia="Times New Roman"/>
                <w:sz w:val="21"/>
              </w:rPr>
              <w:t>)</w:t>
            </w:r>
          </w:p>
        </w:tc>
      </w:tr>
      <w:tr>
        <w:trPr>
          <w:trHeight w:val="901"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4"/>
              <w:ind w:left="114" w:right="74"/>
              <w:jc w:val="left"/>
              <w:rPr>
                <w:sz w:val="21"/>
              </w:rPr>
            </w:pPr>
            <w:r>
              <w:rPr>
                <w:sz w:val="21"/>
              </w:rPr>
              <w:t>危险特性：其蒸气与空气可形成爆炸性混合物。遇明火、高热能引起燃烧爆炸。与氧化剂能发生强烈反应。其蒸气比空气重，能在较低处扩散到相当远的地方，遇明</w:t>
            </w:r>
          </w:p>
          <w:p>
            <w:pPr>
              <w:pStyle w:val="TableParagraph"/>
              <w:spacing w:line="251" w:lineRule="exact"/>
              <w:ind w:left="114"/>
              <w:jc w:val="left"/>
              <w:rPr>
                <w:sz w:val="21"/>
              </w:rPr>
            </w:pPr>
            <w:r>
              <w:rPr>
                <w:sz w:val="21"/>
              </w:rPr>
              <w:t>火会引着回燃。具有腐蚀性。</w:t>
            </w:r>
          </w:p>
        </w:tc>
      </w:tr>
      <w:tr>
        <w:trPr>
          <w:trHeight w:val="210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7"/>
              <w:jc w:val="left"/>
              <w:rPr>
                <w:sz w:val="16"/>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5"/>
              <w:jc w:val="both"/>
              <w:rPr>
                <w:sz w:val="21"/>
              </w:rPr>
            </w:pPr>
            <w:r>
              <w:rPr>
                <w:sz w:val="21"/>
              </w:rPr>
              <w:t>迅速撤离泄漏污染区人员至安全区，并进行隔离，严格限制出入。切断火源。建议应急处理人员戴自给正压式呼吸器，穿消防防护服。不要直接接触泄漏物。尽可能切断泄漏源。防止进入下水道、排洪沟等限制性空间。小量泄漏：用砂土或其它不燃材料吸附或吸收。也可以用大量水冲洗，洗水稀释后放入废水系统。大量泄漏： 构筑围堤或挖坑收容；用泡沫覆盖，降低蒸气灾害。喷雾状水冷却和稀释蒸气、保护现场人员、把泄漏物稀释成不燃物。用防爆泵转移至槽车或专用收集器内，回收</w:t>
            </w:r>
          </w:p>
          <w:p>
            <w:pPr>
              <w:pStyle w:val="TableParagraph"/>
              <w:spacing w:line="259" w:lineRule="exact"/>
              <w:ind w:left="114"/>
              <w:jc w:val="both"/>
              <w:rPr>
                <w:sz w:val="21"/>
              </w:rPr>
            </w:pPr>
            <w:r>
              <w:rPr>
                <w:sz w:val="21"/>
              </w:rPr>
              <w:t>或运至废物处理场所处置。</w:t>
            </w:r>
          </w:p>
        </w:tc>
      </w:tr>
      <w:tr>
        <w:trPr>
          <w:trHeight w:val="179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
              <w:jc w:val="left"/>
              <w:rPr>
                <w:sz w:val="12"/>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604"/>
              <w:jc w:val="left"/>
              <w:rPr>
                <w:sz w:val="21"/>
              </w:rPr>
            </w:pPr>
            <w:r>
              <w:rPr>
                <w:sz w:val="21"/>
              </w:rPr>
              <w:t>呼吸系统防护：可能接触其蒸气时，应该佩戴自吸过滤式防毒面具</w:t>
            </w:r>
            <w:r>
              <w:rPr>
                <w:rFonts w:ascii="Times New Roman" w:eastAsia="Times New Roman"/>
                <w:sz w:val="21"/>
              </w:rPr>
              <w:t>(</w:t>
            </w:r>
            <w:r>
              <w:rPr>
                <w:sz w:val="21"/>
              </w:rPr>
              <w:t>半面罩</w:t>
            </w:r>
            <w:r>
              <w:rPr>
                <w:rFonts w:ascii="Times New Roman" w:eastAsia="Times New Roman"/>
                <w:sz w:val="21"/>
              </w:rPr>
              <w:t>)</w:t>
            </w:r>
            <w:r>
              <w:rPr>
                <w:sz w:val="21"/>
              </w:rPr>
              <w:t>。眼睛防护：戴化学安全防护眼镜。</w:t>
            </w:r>
          </w:p>
          <w:p>
            <w:pPr>
              <w:pStyle w:val="TableParagraph"/>
              <w:spacing w:line="160" w:lineRule="auto" w:before="4"/>
              <w:ind w:left="114" w:right="4947"/>
              <w:jc w:val="left"/>
              <w:rPr>
                <w:sz w:val="21"/>
              </w:rPr>
            </w:pPr>
            <w:r>
              <w:rPr>
                <w:sz w:val="21"/>
              </w:rPr>
              <w:t>身体防护：穿防静电工作服。手防护：戴防苯耐油手套。</w:t>
            </w:r>
          </w:p>
          <w:p>
            <w:pPr>
              <w:pStyle w:val="TableParagraph"/>
              <w:spacing w:line="274" w:lineRule="exact"/>
              <w:ind w:left="114"/>
              <w:jc w:val="left"/>
              <w:rPr>
                <w:sz w:val="21"/>
              </w:rPr>
            </w:pPr>
            <w:r>
              <w:rPr>
                <w:sz w:val="21"/>
              </w:rPr>
              <w:t>其它：工作现场禁止吸烟、进食和饮水。工作毕，淋浴更衣。实行就业前和定期的</w:t>
            </w:r>
          </w:p>
          <w:p>
            <w:pPr>
              <w:pStyle w:val="TableParagraph"/>
              <w:spacing w:line="278" w:lineRule="exact"/>
              <w:ind w:left="114"/>
              <w:jc w:val="left"/>
              <w:rPr>
                <w:sz w:val="21"/>
              </w:rPr>
            </w:pPr>
            <w:r>
              <w:rPr>
                <w:sz w:val="21"/>
              </w:rPr>
              <w:t>体检。</w:t>
            </w:r>
          </w:p>
        </w:tc>
      </w:tr>
      <w:tr>
        <w:trPr>
          <w:trHeight w:val="23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4"/>
              <w:jc w:val="left"/>
              <w:rPr>
                <w:sz w:val="26"/>
              </w:rPr>
            </w:pPr>
          </w:p>
          <w:p>
            <w:pPr>
              <w:pStyle w:val="TableParagraph"/>
              <w:spacing w:before="1"/>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301" w:lineRule="exact"/>
              <w:ind w:left="114"/>
              <w:jc w:val="left"/>
              <w:rPr>
                <w:sz w:val="21"/>
              </w:rPr>
            </w:pPr>
            <w:r>
              <w:rPr>
                <w:sz w:val="21"/>
              </w:rPr>
              <w:t>皮肤接触：立即脱去被污染的衣着，用大量流动清水冲洗，至少 </w:t>
            </w:r>
            <w:r>
              <w:rPr>
                <w:rFonts w:ascii="Times New Roman" w:eastAsia="Times New Roman"/>
                <w:sz w:val="21"/>
              </w:rPr>
              <w:t>15 </w:t>
            </w:r>
            <w:r>
              <w:rPr>
                <w:sz w:val="21"/>
              </w:rPr>
              <w:t>分钟。就医。</w:t>
            </w:r>
          </w:p>
          <w:p>
            <w:pPr>
              <w:pStyle w:val="TableParagraph"/>
              <w:spacing w:line="160" w:lineRule="auto" w:before="30"/>
              <w:ind w:left="114" w:right="-44"/>
              <w:jc w:val="both"/>
              <w:rPr>
                <w:sz w:val="21"/>
              </w:rPr>
            </w:pPr>
            <w:r>
              <w:rPr>
                <w:spacing w:val="-12"/>
                <w:sz w:val="21"/>
              </w:rPr>
              <w:t>眼睛接触：立即提起眼睑，用大量流动清水或生理盐水彻底冲洗至少 </w:t>
            </w:r>
            <w:r>
              <w:rPr>
                <w:rFonts w:ascii="Times New Roman" w:eastAsia="Times New Roman"/>
                <w:sz w:val="21"/>
              </w:rPr>
              <w:t>15 </w:t>
            </w:r>
            <w:r>
              <w:rPr>
                <w:spacing w:val="-12"/>
                <w:sz w:val="21"/>
              </w:rPr>
              <w:t>分钟。就医。吸入：迅速脱离现场至空气新鲜处。保持呼吸道通畅。如呼吸困难，给输氧。如呼</w:t>
            </w:r>
            <w:r>
              <w:rPr>
                <w:spacing w:val="-6"/>
                <w:sz w:val="21"/>
              </w:rPr>
              <w:t>吸停止，立即进行人工呼吸。就医。</w:t>
            </w:r>
          </w:p>
          <w:p>
            <w:pPr>
              <w:pStyle w:val="TableParagraph"/>
              <w:spacing w:line="275" w:lineRule="exact"/>
              <w:ind w:left="114"/>
              <w:jc w:val="left"/>
              <w:rPr>
                <w:sz w:val="21"/>
              </w:rPr>
            </w:pPr>
            <w:r>
              <w:rPr>
                <w:sz w:val="21"/>
              </w:rPr>
              <w:t>食入：误服者用水漱口，给饮牛奶或蛋清。就医。</w:t>
            </w:r>
          </w:p>
          <w:p>
            <w:pPr>
              <w:pStyle w:val="TableParagraph"/>
              <w:spacing w:line="160" w:lineRule="auto" w:before="30"/>
              <w:ind w:left="114" w:right="76"/>
              <w:jc w:val="left"/>
              <w:rPr>
                <w:sz w:val="21"/>
              </w:rPr>
            </w:pPr>
            <w:r>
              <w:rPr>
                <w:sz w:val="21"/>
              </w:rPr>
              <w:t>灭火方法：喷水冷却容器，可能的话将容器从火场移至空旷处。处在火场中的容器若已变色或从安全泄压装置中产生声音，必须马上撤离。灭火剂：抗溶性泡沫、干</w:t>
            </w:r>
          </w:p>
          <w:p>
            <w:pPr>
              <w:pStyle w:val="TableParagraph"/>
              <w:spacing w:line="251" w:lineRule="exact"/>
              <w:ind w:left="114"/>
              <w:jc w:val="both"/>
              <w:rPr>
                <w:sz w:val="21"/>
              </w:rPr>
            </w:pPr>
            <w:r>
              <w:rPr>
                <w:sz w:val="21"/>
              </w:rPr>
              <w:t>粉、二氧化碳、砂土。用水灭火无效。</w:t>
            </w:r>
          </w:p>
        </w:tc>
      </w:tr>
    </w:tbl>
    <w:p>
      <w:pPr>
        <w:pStyle w:val="BodyText"/>
        <w:spacing w:before="18"/>
        <w:rPr>
          <w:sz w:val="4"/>
        </w:rPr>
      </w:pPr>
    </w:p>
    <w:p>
      <w:pPr>
        <w:tabs>
          <w:tab w:pos="4190" w:val="left" w:leader="none"/>
        </w:tabs>
        <w:spacing w:line="423" w:lineRule="exact" w:before="0"/>
        <w:ind w:left="3175" w:right="0" w:firstLine="0"/>
        <w:jc w:val="left"/>
        <w:rPr>
          <w:sz w:val="21"/>
        </w:rPr>
      </w:pPr>
      <w:r>
        <w:rPr>
          <w:sz w:val="21"/>
        </w:rPr>
        <w:t>表</w:t>
      </w:r>
      <w:r>
        <w:rPr>
          <w:spacing w:val="5"/>
          <w:sz w:val="21"/>
        </w:rPr>
        <w:t> </w:t>
      </w:r>
      <w:r>
        <w:rPr>
          <w:rFonts w:ascii="Times New Roman" w:eastAsia="Times New Roman"/>
          <w:sz w:val="21"/>
        </w:rPr>
        <w:t>7.1-30</w:t>
        <w:tab/>
      </w:r>
      <w:r>
        <w:rPr>
          <w:sz w:val="21"/>
        </w:rPr>
        <w:t>醋</w:t>
      </w:r>
      <w:r>
        <w:rPr>
          <w:spacing w:val="-3"/>
          <w:sz w:val="21"/>
        </w:rPr>
        <w:t>酐</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81602</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13" w:right="82"/>
              <w:rPr>
                <w:rFonts w:ascii="Times New Roman"/>
                <w:sz w:val="21"/>
              </w:rPr>
            </w:pPr>
            <w:r>
              <w:rPr>
                <w:rFonts w:ascii="Times New Roman"/>
                <w:sz w:val="21"/>
              </w:rPr>
              <w:t>108-24-7</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4"/>
              <w:rPr>
                <w:sz w:val="21"/>
              </w:rPr>
            </w:pPr>
            <w:r>
              <w:rPr>
                <w:sz w:val="21"/>
              </w:rPr>
              <w:t>醋酐</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5" w:right="80"/>
              <w:rPr>
                <w:rFonts w:ascii="Times New Roman"/>
                <w:sz w:val="21"/>
              </w:rPr>
            </w:pPr>
            <w:r>
              <w:rPr>
                <w:rFonts w:ascii="Times New Roman"/>
                <w:sz w:val="21"/>
              </w:rPr>
              <w:t>Acetic anhydride</w:t>
            </w:r>
          </w:p>
        </w:tc>
      </w:tr>
      <w:tr>
        <w:trPr>
          <w:trHeight w:val="601"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80"/>
              <w:ind w:left="212" w:right="183"/>
              <w:rPr>
                <w:rFonts w:ascii="Times New Roman" w:eastAsia="Times New Roman"/>
                <w:sz w:val="21"/>
              </w:rPr>
            </w:pPr>
            <w:r>
              <w:rPr>
                <w:rFonts w:ascii="Times New Roman" w:eastAsia="Times New Roman"/>
                <w:sz w:val="21"/>
              </w:rPr>
              <w:t>20(</w:t>
            </w:r>
            <w:r>
              <w:rPr>
                <w:sz w:val="21"/>
              </w:rPr>
              <w:t>酸性腐蚀品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80"/>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04" w:lineRule="exact"/>
              <w:ind w:left="115" w:right="82"/>
              <w:rPr>
                <w:sz w:val="21"/>
              </w:rPr>
            </w:pPr>
            <w:r>
              <w:rPr>
                <w:sz w:val="21"/>
              </w:rPr>
              <w:t>用作乙酰化剂，以及用于药</w:t>
            </w:r>
          </w:p>
          <w:p>
            <w:pPr>
              <w:pStyle w:val="TableParagraph"/>
              <w:spacing w:line="278" w:lineRule="exact"/>
              <w:ind w:left="115" w:right="80"/>
              <w:rPr>
                <w:sz w:val="21"/>
              </w:rPr>
            </w:pPr>
            <w:r>
              <w:rPr>
                <w:sz w:val="21"/>
              </w:rPr>
              <w:t>物、染料、醋酸纤维制造</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left"/>
              <w:rPr>
                <w:sz w:val="21"/>
              </w:rPr>
            </w:pPr>
            <w:r>
              <w:rPr>
                <w:sz w:val="21"/>
              </w:rPr>
              <w:t>吸入后对有刺激作用，引起咳嗽、胸痛、呼吸困难。眼直接接触可致灼伤；蒸气对眼有刺激性。皮肤接触可引起灼伤。口服灼伤口腔和消化道，出现腹痛、恶心、呕</w:t>
            </w:r>
          </w:p>
          <w:p>
            <w:pPr>
              <w:pStyle w:val="TableParagraph"/>
              <w:spacing w:line="251" w:lineRule="exact"/>
              <w:ind w:left="114"/>
              <w:jc w:val="left"/>
              <w:rPr>
                <w:sz w:val="21"/>
              </w:rPr>
            </w:pPr>
            <w:r>
              <w:rPr>
                <w:sz w:val="21"/>
              </w:rPr>
              <w:t>吐和休克等。</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pacing w:val="-12"/>
                <w:w w:val="100"/>
                <w:position w:val="2"/>
                <w:sz w:val="21"/>
              </w:rPr>
              <w:t>急性毒性：</w:t>
            </w:r>
            <w:r>
              <w:rPr>
                <w:rFonts w:ascii="Times New Roman" w:eastAsia="Times New Roman"/>
                <w:spacing w:val="-5"/>
                <w:w w:val="100"/>
                <w:position w:val="2"/>
                <w:sz w:val="21"/>
              </w:rPr>
              <w:t>L</w:t>
            </w:r>
            <w:r>
              <w:rPr>
                <w:rFonts w:ascii="Times New Roman" w:eastAsia="Times New Roman"/>
                <w:spacing w:val="1"/>
                <w:w w:val="100"/>
                <w:position w:val="2"/>
                <w:sz w:val="21"/>
              </w:rPr>
              <w:t>D</w:t>
            </w:r>
            <w:r>
              <w:rPr>
                <w:rFonts w:ascii="Times New Roman" w:eastAsia="Times New Roman"/>
                <w:w w:val="99"/>
                <w:sz w:val="14"/>
              </w:rPr>
              <w:t>50</w:t>
            </w:r>
            <w:r>
              <w:rPr>
                <w:rFonts w:ascii="Times New Roman" w:eastAsia="Times New Roman"/>
                <w:w w:val="100"/>
                <w:position w:val="2"/>
                <w:sz w:val="21"/>
              </w:rPr>
              <w:t>1780</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rFonts w:ascii="Times New Roman" w:eastAsia="Times New Roman"/>
                <w:spacing w:val="-1"/>
                <w:w w:val="100"/>
                <w:position w:val="2"/>
                <w:sz w:val="21"/>
              </w:rPr>
              <w:t>(</w:t>
            </w:r>
            <w:r>
              <w:rPr>
                <w:spacing w:val="-1"/>
                <w:w w:val="100"/>
                <w:position w:val="2"/>
                <w:sz w:val="21"/>
              </w:rPr>
              <w:t>大鼠经口</w:t>
            </w:r>
            <w:r>
              <w:rPr>
                <w:rFonts w:ascii="Times New Roman" w:eastAsia="Times New Roman"/>
                <w:spacing w:val="-1"/>
                <w:w w:val="100"/>
                <w:position w:val="2"/>
                <w:sz w:val="21"/>
              </w:rPr>
              <w:t>)</w:t>
            </w:r>
            <w:r>
              <w:rPr>
                <w:spacing w:val="-56"/>
                <w:w w:val="100"/>
                <w:position w:val="2"/>
                <w:sz w:val="21"/>
              </w:rPr>
              <w:t>；</w:t>
            </w:r>
            <w:r>
              <w:rPr>
                <w:rFonts w:ascii="Times New Roman" w:eastAsia="Times New Roman"/>
                <w:spacing w:val="-3"/>
                <w:w w:val="100"/>
                <w:position w:val="2"/>
                <w:sz w:val="21"/>
              </w:rPr>
              <w:t>4</w:t>
            </w:r>
            <w:r>
              <w:rPr>
                <w:rFonts w:ascii="Times New Roman" w:eastAsia="Times New Roman"/>
                <w:w w:val="100"/>
                <w:position w:val="2"/>
                <w:sz w:val="21"/>
              </w:rPr>
              <w:t>000</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rFonts w:ascii="Times New Roman" w:eastAsia="Times New Roman"/>
                <w:spacing w:val="-1"/>
                <w:w w:val="100"/>
                <w:position w:val="2"/>
                <w:sz w:val="21"/>
              </w:rPr>
              <w:t>(</w:t>
            </w:r>
            <w:r>
              <w:rPr>
                <w:spacing w:val="-2"/>
                <w:w w:val="100"/>
                <w:position w:val="2"/>
                <w:sz w:val="21"/>
              </w:rPr>
              <w:t>兔经皮</w:t>
            </w:r>
            <w:r>
              <w:rPr>
                <w:rFonts w:ascii="Times New Roman" w:eastAsia="Times New Roman"/>
                <w:spacing w:val="-1"/>
                <w:w w:val="100"/>
                <w:position w:val="2"/>
                <w:sz w:val="21"/>
              </w:rPr>
              <w:t>)</w:t>
            </w:r>
            <w:r>
              <w:rPr>
                <w:spacing w:val="-56"/>
                <w:w w:val="100"/>
                <w:position w:val="2"/>
                <w:sz w:val="21"/>
              </w:rPr>
              <w:t>；</w:t>
            </w:r>
            <w:r>
              <w:rPr>
                <w:rFonts w:ascii="Times New Roman" w:eastAsia="Times New Roman"/>
                <w:spacing w:val="-5"/>
                <w:w w:val="100"/>
                <w:position w:val="2"/>
                <w:sz w:val="21"/>
              </w:rPr>
              <w:t>L</w:t>
            </w:r>
            <w:r>
              <w:rPr>
                <w:rFonts w:ascii="Times New Roman" w:eastAsia="Times New Roman"/>
                <w:spacing w:val="1"/>
                <w:w w:val="100"/>
                <w:position w:val="2"/>
                <w:sz w:val="21"/>
              </w:rPr>
              <w:t>C</w:t>
            </w:r>
            <w:r>
              <w:rPr>
                <w:rFonts w:ascii="Times New Roman" w:eastAsia="Times New Roman"/>
                <w:w w:val="99"/>
                <w:sz w:val="14"/>
              </w:rPr>
              <w:t>50</w:t>
            </w:r>
            <w:r>
              <w:rPr>
                <w:rFonts w:ascii="Times New Roman" w:eastAsia="Times New Roman"/>
                <w:w w:val="100"/>
                <w:position w:val="2"/>
                <w:sz w:val="21"/>
              </w:rPr>
              <w:t>1000pp</w:t>
            </w:r>
            <w:r>
              <w:rPr>
                <w:rFonts w:ascii="Times New Roman" w:eastAsia="Times New Roman"/>
                <w:spacing w:val="-4"/>
                <w:w w:val="100"/>
                <w:position w:val="2"/>
                <w:sz w:val="21"/>
              </w:rPr>
              <w:t>m</w:t>
            </w:r>
            <w:r>
              <w:rPr>
                <w:spacing w:val="-56"/>
                <w:w w:val="100"/>
                <w:position w:val="2"/>
                <w:sz w:val="21"/>
              </w:rPr>
              <w:t>，</w:t>
            </w:r>
            <w:r>
              <w:rPr>
                <w:rFonts w:ascii="Times New Roman" w:eastAsia="Times New Roman"/>
                <w:w w:val="100"/>
                <w:position w:val="2"/>
                <w:sz w:val="21"/>
              </w:rPr>
              <w:t>4</w:t>
            </w:r>
            <w:r>
              <w:rPr>
                <w:rFonts w:ascii="Times New Roman" w:eastAsia="Times New Roman"/>
                <w:position w:val="2"/>
                <w:sz w:val="21"/>
              </w:rPr>
              <w:t> </w:t>
            </w:r>
            <w:r>
              <w:rPr>
                <w:spacing w:val="-2"/>
                <w:w w:val="100"/>
                <w:position w:val="2"/>
                <w:sz w:val="21"/>
              </w:rPr>
              <w:t>小时</w:t>
            </w:r>
            <w:r>
              <w:rPr>
                <w:rFonts w:ascii="Times New Roman" w:eastAsia="Times New Roman"/>
                <w:spacing w:val="-1"/>
                <w:w w:val="100"/>
                <w:position w:val="2"/>
                <w:sz w:val="21"/>
              </w:rPr>
              <w:t>(</w:t>
            </w:r>
            <w:r>
              <w:rPr>
                <w:w w:val="100"/>
                <w:position w:val="2"/>
                <w:sz w:val="21"/>
              </w:rPr>
              <w:t>大</w:t>
            </w:r>
          </w:p>
          <w:p>
            <w:pPr>
              <w:pStyle w:val="TableParagraph"/>
              <w:spacing w:line="278" w:lineRule="exact"/>
              <w:ind w:left="114"/>
              <w:jc w:val="left"/>
              <w:rPr>
                <w:rFonts w:ascii="Times New Roman" w:eastAsia="Times New Roman"/>
                <w:sz w:val="21"/>
              </w:rPr>
            </w:pPr>
            <w:r>
              <w:rPr>
                <w:sz w:val="21"/>
              </w:rPr>
              <w:t>鼠吸入</w:t>
            </w:r>
            <w:r>
              <w:rPr>
                <w:rFonts w:ascii="Times New Roman" w:eastAsia="Times New Roman"/>
                <w:sz w:val="21"/>
              </w:rPr>
              <w:t>)</w:t>
            </w:r>
          </w:p>
        </w:tc>
      </w:tr>
      <w:tr>
        <w:trPr>
          <w:trHeight w:val="599" w:hRule="atLeast"/>
        </w:trPr>
        <w:tc>
          <w:tcPr>
            <w:tcW w:w="1188" w:type="dxa"/>
            <w:tcBorders>
              <w:top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tcBorders>
          </w:tcPr>
          <w:p>
            <w:pPr>
              <w:pStyle w:val="TableParagraph"/>
              <w:spacing w:line="304" w:lineRule="exact"/>
              <w:ind w:left="114"/>
              <w:jc w:val="left"/>
              <w:rPr>
                <w:sz w:val="21"/>
              </w:rPr>
            </w:pPr>
            <w:r>
              <w:rPr>
                <w:sz w:val="21"/>
              </w:rPr>
              <w:t>其蒸气与空气形成爆炸性混合物，遇明火、高热能引起燃烧爆炸。与强氧化剂可发</w:t>
            </w:r>
          </w:p>
          <w:p>
            <w:pPr>
              <w:pStyle w:val="TableParagraph"/>
              <w:spacing w:line="275" w:lineRule="exact"/>
              <w:ind w:left="114"/>
              <w:jc w:val="left"/>
              <w:rPr>
                <w:sz w:val="21"/>
              </w:rPr>
            </w:pPr>
            <w:r>
              <w:rPr>
                <w:sz w:val="21"/>
              </w:rPr>
              <w:t>生反应。</w:t>
            </w:r>
          </w:p>
        </w:tc>
      </w:tr>
    </w:tbl>
    <w:p>
      <w:pPr>
        <w:spacing w:after="0" w:line="275"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801" w:hRule="atLeast"/>
        </w:trPr>
        <w:tc>
          <w:tcPr>
            <w:tcW w:w="1188" w:type="dxa"/>
            <w:tcBorders>
              <w:bottom w:val="single" w:sz="6" w:space="0" w:color="000000"/>
              <w:right w:val="single" w:sz="6" w:space="0" w:color="000000"/>
            </w:tcBorders>
          </w:tcPr>
          <w:p>
            <w:pPr>
              <w:pStyle w:val="TableParagraph"/>
              <w:spacing w:before="19"/>
              <w:jc w:val="left"/>
              <w:rPr>
                <w:sz w:val="29"/>
              </w:rPr>
            </w:pPr>
          </w:p>
          <w:p>
            <w:pPr>
              <w:pStyle w:val="TableParagraph"/>
              <w:spacing w:line="160" w:lineRule="auto"/>
              <w:ind w:left="383" w:right="148" w:hanging="212"/>
              <w:jc w:val="left"/>
              <w:rPr>
                <w:sz w:val="21"/>
              </w:rPr>
            </w:pPr>
            <w:r>
              <w:rPr>
                <w:sz w:val="21"/>
              </w:rPr>
              <w:t>泄漏应急处理</w:t>
            </w:r>
          </w:p>
        </w:tc>
        <w:tc>
          <w:tcPr>
            <w:tcW w:w="7821" w:type="dxa"/>
            <w:tcBorders>
              <w:left w:val="single" w:sz="6" w:space="0" w:color="000000"/>
              <w:bottom w:val="single" w:sz="6" w:space="0" w:color="000000"/>
            </w:tcBorders>
          </w:tcPr>
          <w:p>
            <w:pPr>
              <w:pStyle w:val="TableParagraph"/>
              <w:spacing w:line="160" w:lineRule="auto" w:before="34"/>
              <w:ind w:left="114" w:right="-29"/>
              <w:jc w:val="both"/>
              <w:rPr>
                <w:sz w:val="21"/>
              </w:rPr>
            </w:pPr>
            <w:r>
              <w:rPr>
                <w:sz w:val="21"/>
              </w:rPr>
              <w:t>疏散泄漏污染区人员至安全区，禁止无关人员进入污染区，切断火源。建议应急处理人员戴自给式呼吸器，穿化学防护服。合理通风，不要直接接触泄漏物，在确保</w:t>
            </w:r>
            <w:r>
              <w:rPr>
                <w:spacing w:val="-3"/>
                <w:sz w:val="21"/>
              </w:rPr>
              <w:t>安全情况下堵漏。喷水雾能减慢挥发</w:t>
            </w:r>
            <w:r>
              <w:rPr>
                <w:rFonts w:ascii="Times New Roman" w:eastAsia="Times New Roman"/>
                <w:spacing w:val="-4"/>
                <w:sz w:val="21"/>
              </w:rPr>
              <w:t>(</w:t>
            </w:r>
            <w:r>
              <w:rPr>
                <w:spacing w:val="-2"/>
                <w:sz w:val="21"/>
              </w:rPr>
              <w:t>或扩散</w:t>
            </w:r>
            <w:r>
              <w:rPr>
                <w:rFonts w:ascii="Times New Roman" w:eastAsia="Times New Roman"/>
                <w:sz w:val="21"/>
              </w:rPr>
              <w:t>)</w:t>
            </w:r>
            <w:r>
              <w:rPr>
                <w:spacing w:val="-3"/>
                <w:sz w:val="21"/>
              </w:rPr>
              <w:t>，但不要对泄漏物或泄漏点直接喷水。用活性炭或其它惰性材料吸收，然后收集运至废物处理场所处置。如大量泄漏，利用围堤收容，最好不用水处理，然后收集、转移、回收或无害处理后废弃。</w:t>
            </w:r>
          </w:p>
          <w:p>
            <w:pPr>
              <w:pStyle w:val="TableParagraph"/>
              <w:spacing w:line="257" w:lineRule="exact"/>
              <w:ind w:left="273"/>
              <w:jc w:val="left"/>
              <w:rPr>
                <w:sz w:val="21"/>
              </w:rPr>
            </w:pPr>
            <w:r>
              <w:rPr>
                <w:sz w:val="21"/>
              </w:rPr>
              <w:t>废弃物处置方法：建议用焚烧法处置。</w:t>
            </w:r>
          </w:p>
        </w:tc>
      </w:tr>
      <w:tr>
        <w:trPr>
          <w:trHeight w:val="180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0"/>
              <w:jc w:val="left"/>
              <w:rPr>
                <w:sz w:val="11"/>
              </w:rPr>
            </w:pPr>
          </w:p>
          <w:p>
            <w:pPr>
              <w:pStyle w:val="TableParagraph"/>
              <w:ind w:left="105" w:right="84"/>
              <w:rPr>
                <w:sz w:val="21"/>
              </w:rPr>
            </w:pPr>
            <w:r>
              <w:rPr>
                <w:sz w:val="21"/>
              </w:rPr>
              <w:t>防护措施</w:t>
            </w:r>
          </w:p>
        </w:tc>
        <w:tc>
          <w:tcPr>
            <w:tcW w:w="7821" w:type="dxa"/>
            <w:tcBorders>
              <w:top w:val="single" w:sz="6" w:space="0" w:color="000000"/>
              <w:left w:val="single" w:sz="6" w:space="0" w:color="000000"/>
              <w:bottom w:val="single" w:sz="6" w:space="0" w:color="000000"/>
            </w:tcBorders>
          </w:tcPr>
          <w:p>
            <w:pPr>
              <w:pStyle w:val="TableParagraph"/>
              <w:spacing w:line="160" w:lineRule="auto" w:before="31"/>
              <w:ind w:left="114" w:right="76"/>
              <w:jc w:val="left"/>
              <w:rPr>
                <w:sz w:val="21"/>
              </w:rPr>
            </w:pPr>
            <w:r>
              <w:rPr>
                <w:sz w:val="21"/>
              </w:rPr>
              <w:t>呼吸系统防护：空气中浓度超标时，应该佩带防毒面具。紧急事态抢救或逃生时， 佩带自给式呼吸器。</w:t>
            </w:r>
          </w:p>
          <w:p>
            <w:pPr>
              <w:pStyle w:val="TableParagraph"/>
              <w:spacing w:line="160" w:lineRule="auto" w:before="4"/>
              <w:ind w:left="273" w:right="4229"/>
              <w:jc w:val="left"/>
              <w:rPr>
                <w:sz w:val="21"/>
              </w:rPr>
            </w:pPr>
            <w:r>
              <w:rPr>
                <w:sz w:val="21"/>
              </w:rPr>
              <w:t>眼睛防护：戴化学安全防护眼镜。防护服：穿工作服</w:t>
            </w:r>
            <w:r>
              <w:rPr>
                <w:rFonts w:ascii="Times New Roman" w:eastAsia="Times New Roman"/>
                <w:sz w:val="21"/>
              </w:rPr>
              <w:t>(</w:t>
            </w:r>
            <w:r>
              <w:rPr>
                <w:sz w:val="21"/>
              </w:rPr>
              <w:t>防腐材料制作</w:t>
            </w:r>
            <w:r>
              <w:rPr>
                <w:rFonts w:ascii="Times New Roman" w:eastAsia="Times New Roman"/>
                <w:sz w:val="21"/>
              </w:rPr>
              <w:t>)</w:t>
            </w:r>
            <w:r>
              <w:rPr>
                <w:sz w:val="21"/>
              </w:rPr>
              <w:t>。手防护：戴橡皮手套。</w:t>
            </w:r>
          </w:p>
          <w:p>
            <w:pPr>
              <w:pStyle w:val="TableParagraph"/>
              <w:spacing w:line="254" w:lineRule="exact"/>
              <w:ind w:left="273"/>
              <w:jc w:val="left"/>
              <w:rPr>
                <w:sz w:val="21"/>
              </w:rPr>
            </w:pPr>
            <w:r>
              <w:rPr>
                <w:sz w:val="21"/>
              </w:rPr>
              <w:t>其它：工作后，淋浴更衣。注意个人清洁卫生。</w:t>
            </w:r>
          </w:p>
        </w:tc>
      </w:tr>
      <w:tr>
        <w:trPr>
          <w:trHeight w:val="1499" w:hRule="atLeast"/>
        </w:trPr>
        <w:tc>
          <w:tcPr>
            <w:tcW w:w="1188" w:type="dxa"/>
            <w:tcBorders>
              <w:top w:val="single" w:sz="6" w:space="0" w:color="000000"/>
              <w:right w:val="single" w:sz="6" w:space="0" w:color="000000"/>
            </w:tcBorders>
          </w:tcPr>
          <w:p>
            <w:pPr>
              <w:pStyle w:val="TableParagraph"/>
              <w:spacing w:before="20"/>
              <w:jc w:val="left"/>
              <w:rPr>
                <w:sz w:val="24"/>
              </w:rPr>
            </w:pPr>
          </w:p>
          <w:p>
            <w:pPr>
              <w:pStyle w:val="TableParagraph"/>
              <w:ind w:left="105" w:right="84"/>
              <w:rPr>
                <w:sz w:val="21"/>
              </w:rPr>
            </w:pPr>
            <w:r>
              <w:rPr>
                <w:sz w:val="21"/>
              </w:rPr>
              <w:t>急救措施</w:t>
            </w:r>
          </w:p>
        </w:tc>
        <w:tc>
          <w:tcPr>
            <w:tcW w:w="7821" w:type="dxa"/>
            <w:tcBorders>
              <w:top w:val="single" w:sz="6" w:space="0" w:color="000000"/>
              <w:left w:val="single" w:sz="6" w:space="0" w:color="000000"/>
            </w:tcBorders>
          </w:tcPr>
          <w:p>
            <w:pPr>
              <w:pStyle w:val="TableParagraph"/>
              <w:spacing w:line="302" w:lineRule="exact"/>
              <w:ind w:left="114"/>
              <w:jc w:val="left"/>
              <w:rPr>
                <w:sz w:val="21"/>
              </w:rPr>
            </w:pPr>
            <w:r>
              <w:rPr>
                <w:sz w:val="21"/>
              </w:rPr>
              <w:t>皮肤接触：脱去污染的衣着，立即用水冲洗至少 </w:t>
            </w:r>
            <w:r>
              <w:rPr>
                <w:rFonts w:ascii="Times New Roman" w:eastAsia="Times New Roman"/>
                <w:sz w:val="21"/>
              </w:rPr>
              <w:t>15 </w:t>
            </w:r>
            <w:r>
              <w:rPr>
                <w:sz w:val="21"/>
              </w:rPr>
              <w:t>分钟。若有灼伤，就医治疗。</w:t>
            </w:r>
          </w:p>
          <w:p>
            <w:pPr>
              <w:pStyle w:val="TableParagraph"/>
              <w:spacing w:line="300" w:lineRule="exact"/>
              <w:ind w:left="114"/>
              <w:jc w:val="left"/>
              <w:rPr>
                <w:sz w:val="21"/>
              </w:rPr>
            </w:pPr>
            <w:r>
              <w:rPr>
                <w:sz w:val="21"/>
              </w:rPr>
              <w:t>眼睛接触：立即提起眼睑，用流动清水或生理盐水冲洗至少 </w:t>
            </w:r>
            <w:r>
              <w:rPr>
                <w:rFonts w:ascii="Times New Roman" w:eastAsia="Times New Roman"/>
                <w:sz w:val="21"/>
              </w:rPr>
              <w:t>15 </w:t>
            </w:r>
            <w:r>
              <w:rPr>
                <w:sz w:val="21"/>
              </w:rPr>
              <w:t>分钟。就医。</w:t>
            </w:r>
          </w:p>
          <w:p>
            <w:pPr>
              <w:pStyle w:val="TableParagraph"/>
              <w:spacing w:line="160" w:lineRule="auto" w:before="30"/>
              <w:ind w:left="114" w:right="-44"/>
              <w:jc w:val="left"/>
              <w:rPr>
                <w:sz w:val="21"/>
              </w:rPr>
            </w:pPr>
            <w:r>
              <w:rPr>
                <w:spacing w:val="-8"/>
                <w:sz w:val="21"/>
              </w:rPr>
              <w:t>吸入：迅速脱离现场至空气新鲜处。保持呼吸道通畅。必要时进行人工呼吸。就医。</w:t>
            </w:r>
            <w:r>
              <w:rPr>
                <w:spacing w:val="-5"/>
                <w:sz w:val="21"/>
              </w:rPr>
              <w:t>食入：误服者立即漱口，给饮牛奶或蛋清。就医。</w:t>
            </w:r>
          </w:p>
          <w:p>
            <w:pPr>
              <w:pStyle w:val="TableParagraph"/>
              <w:spacing w:line="251" w:lineRule="exact"/>
              <w:ind w:left="114"/>
              <w:jc w:val="left"/>
              <w:rPr>
                <w:sz w:val="21"/>
              </w:rPr>
            </w:pPr>
            <w:r>
              <w:rPr>
                <w:sz w:val="21"/>
              </w:rPr>
              <w:t>灭火方法：雾状水、抗溶性泡沫、二氧化碳、砂土。</w:t>
            </w:r>
          </w:p>
        </w:tc>
      </w:tr>
    </w:tbl>
    <w:p>
      <w:pPr>
        <w:pStyle w:val="BodyText"/>
        <w:spacing w:before="18"/>
        <w:rPr>
          <w:sz w:val="4"/>
        </w:rPr>
      </w:pPr>
    </w:p>
    <w:p>
      <w:pPr>
        <w:tabs>
          <w:tab w:pos="4190" w:val="left" w:leader="none"/>
        </w:tabs>
        <w:spacing w:line="423" w:lineRule="exact" w:before="0"/>
        <w:ind w:left="3175" w:right="0" w:firstLine="0"/>
        <w:jc w:val="left"/>
        <w:rPr>
          <w:sz w:val="21"/>
        </w:rPr>
      </w:pPr>
      <w:r>
        <w:rPr>
          <w:sz w:val="21"/>
        </w:rPr>
        <w:t>表</w:t>
      </w:r>
      <w:r>
        <w:rPr>
          <w:spacing w:val="5"/>
          <w:sz w:val="21"/>
        </w:rPr>
        <w:t> </w:t>
      </w:r>
      <w:r>
        <w:rPr>
          <w:rFonts w:ascii="Times New Roman" w:eastAsia="Times New Roman"/>
          <w:sz w:val="21"/>
        </w:rPr>
        <w:t>7.1-31</w:t>
        <w:tab/>
      </w:r>
      <w:r>
        <w:rPr>
          <w:sz w:val="21"/>
        </w:rPr>
        <w:t>硝</w:t>
      </w:r>
      <w:r>
        <w:rPr>
          <w:spacing w:val="-3"/>
          <w:sz w:val="21"/>
        </w:rPr>
        <w:t>酸</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20"/>
        <w:rPr>
          <w:sz w:val="2"/>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01" w:hRule="atLeast"/>
        </w:trPr>
        <w:tc>
          <w:tcPr>
            <w:tcW w:w="1188" w:type="dxa"/>
            <w:tcBorders>
              <w:bottom w:val="single" w:sz="6" w:space="0" w:color="000000"/>
              <w:right w:val="single" w:sz="6" w:space="0" w:color="000000"/>
            </w:tcBorders>
          </w:tcPr>
          <w:p>
            <w:pPr>
              <w:pStyle w:val="TableParagraph"/>
              <w:spacing w:line="281" w:lineRule="exact"/>
              <w:ind w:left="79"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5"/>
              <w:ind w:left="212" w:right="184"/>
              <w:rPr>
                <w:rFonts w:ascii="Times New Roman"/>
                <w:sz w:val="21"/>
              </w:rPr>
            </w:pPr>
            <w:r>
              <w:rPr>
                <w:rFonts w:ascii="Times New Roman"/>
                <w:sz w:val="21"/>
              </w:rPr>
              <w:t>81002</w:t>
            </w:r>
          </w:p>
        </w:tc>
        <w:tc>
          <w:tcPr>
            <w:tcW w:w="1440" w:type="dxa"/>
            <w:tcBorders>
              <w:left w:val="single" w:sz="6" w:space="0" w:color="000000"/>
              <w:bottom w:val="single" w:sz="6" w:space="0" w:color="000000"/>
              <w:right w:val="single" w:sz="6" w:space="0" w:color="000000"/>
            </w:tcBorders>
          </w:tcPr>
          <w:p>
            <w:pPr>
              <w:pStyle w:val="TableParagraph"/>
              <w:spacing w:line="28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5"/>
              <w:ind w:left="113" w:right="82"/>
              <w:rPr>
                <w:rFonts w:ascii="Times New Roman"/>
                <w:sz w:val="21"/>
              </w:rPr>
            </w:pPr>
            <w:r>
              <w:rPr>
                <w:rFonts w:ascii="Times New Roman"/>
                <w:sz w:val="21"/>
              </w:rPr>
              <w:t>7697-37-2</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4"/>
              <w:rPr>
                <w:sz w:val="21"/>
              </w:rPr>
            </w:pPr>
            <w:r>
              <w:rPr>
                <w:sz w:val="21"/>
              </w:rPr>
              <w:t>硝酸</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5" w:right="79"/>
              <w:rPr>
                <w:rFonts w:ascii="Times New Roman"/>
                <w:sz w:val="21"/>
              </w:rPr>
            </w:pPr>
            <w:r>
              <w:rPr>
                <w:rFonts w:ascii="Times New Roman"/>
                <w:sz w:val="21"/>
              </w:rPr>
              <w:t>Nitric acid</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80"/>
              <w:ind w:left="212" w:right="183"/>
              <w:rPr>
                <w:rFonts w:ascii="Times New Roman" w:eastAsia="Times New Roman"/>
                <w:sz w:val="21"/>
              </w:rPr>
            </w:pPr>
            <w:r>
              <w:rPr>
                <w:rFonts w:ascii="Times New Roman" w:eastAsia="Times New Roman"/>
                <w:sz w:val="21"/>
              </w:rPr>
              <w:t>20(</w:t>
            </w:r>
            <w:r>
              <w:rPr>
                <w:sz w:val="21"/>
              </w:rPr>
              <w:t>酸性腐蚀品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80"/>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02" w:lineRule="exact"/>
              <w:ind w:left="114" w:right="-29"/>
              <w:rPr>
                <w:sz w:val="21"/>
              </w:rPr>
            </w:pPr>
            <w:r>
              <w:rPr>
                <w:spacing w:val="-10"/>
                <w:sz w:val="21"/>
              </w:rPr>
              <w:t>主要用于化肥、染料、国防、</w:t>
            </w:r>
          </w:p>
          <w:p>
            <w:pPr>
              <w:pStyle w:val="TableParagraph"/>
              <w:spacing w:line="278" w:lineRule="exact"/>
              <w:ind w:left="115" w:right="80"/>
              <w:rPr>
                <w:sz w:val="21"/>
              </w:rPr>
            </w:pPr>
            <w:r>
              <w:rPr>
                <w:sz w:val="21"/>
              </w:rPr>
              <w:t>炸药、冶金、医药等工业</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82" w:lineRule="exact"/>
              <w:ind w:left="956" w:right="921"/>
              <w:rPr>
                <w:sz w:val="21"/>
              </w:rPr>
            </w:pPr>
            <w:r>
              <w:rPr>
                <w:sz w:val="21"/>
              </w:rPr>
              <w:t>吸入、食入、</w:t>
            </w:r>
          </w:p>
        </w:tc>
      </w:tr>
      <w:tr>
        <w:trPr>
          <w:trHeight w:val="1199" w:hRule="atLeast"/>
        </w:trPr>
        <w:tc>
          <w:tcPr>
            <w:tcW w:w="1188" w:type="dxa"/>
            <w:tcBorders>
              <w:top w:val="single" w:sz="6" w:space="0" w:color="000000"/>
              <w:bottom w:val="single" w:sz="6" w:space="0" w:color="000000"/>
              <w:right w:val="single" w:sz="6" w:space="0" w:color="000000"/>
            </w:tcBorders>
          </w:tcPr>
          <w:p>
            <w:pPr>
              <w:pStyle w:val="TableParagraph"/>
              <w:spacing w:before="17"/>
              <w:jc w:val="left"/>
              <w:rPr>
                <w:sz w:val="17"/>
              </w:rPr>
            </w:pPr>
          </w:p>
          <w:p>
            <w:pPr>
              <w:pStyle w:val="TableParagraph"/>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44"/>
              <w:jc w:val="left"/>
              <w:rPr>
                <w:sz w:val="21"/>
              </w:rPr>
            </w:pPr>
            <w:r>
              <w:rPr>
                <w:spacing w:val="-8"/>
                <w:sz w:val="21"/>
              </w:rPr>
              <w:t>其蒸气有刺激作用，引起粘膜和上呼吸道的刺激症状。如流泪、咽喉刺激感、呛咳、</w:t>
            </w:r>
            <w:r>
              <w:rPr>
                <w:spacing w:val="-5"/>
                <w:sz w:val="21"/>
              </w:rPr>
              <w:t>并伴有头痛、头晕、胸闷等。长期接触可引起牙齿酸蚀症，皮肤接触引起灼伤。</w:t>
            </w:r>
          </w:p>
          <w:p>
            <w:pPr>
              <w:pStyle w:val="TableParagraph"/>
              <w:spacing w:line="273" w:lineRule="exact"/>
              <w:ind w:left="114"/>
              <w:jc w:val="left"/>
              <w:rPr>
                <w:sz w:val="21"/>
              </w:rPr>
            </w:pPr>
            <w:r>
              <w:rPr>
                <w:sz w:val="21"/>
              </w:rPr>
              <w:t>口服硝酸，引起上消化道剧痛、烧灼伤以至形成溃疡；严重者可能有胃穿孔、腹膜</w:t>
            </w:r>
          </w:p>
          <w:p>
            <w:pPr>
              <w:pStyle w:val="TableParagraph"/>
              <w:spacing w:line="278" w:lineRule="exact"/>
              <w:ind w:left="114"/>
              <w:jc w:val="left"/>
              <w:rPr>
                <w:sz w:val="21"/>
              </w:rPr>
            </w:pPr>
            <w:r>
              <w:rPr>
                <w:sz w:val="21"/>
              </w:rPr>
              <w:t>炎、喉痉挛、肾损害、休克以至窒息等。</w:t>
            </w:r>
          </w:p>
        </w:tc>
      </w:tr>
      <w:tr>
        <w:trPr>
          <w:trHeight w:val="1499" w:hRule="atLeast"/>
        </w:trPr>
        <w:tc>
          <w:tcPr>
            <w:tcW w:w="1188" w:type="dxa"/>
            <w:tcBorders>
              <w:top w:val="single" w:sz="6" w:space="0" w:color="000000"/>
              <w:bottom w:val="single" w:sz="6" w:space="0" w:color="000000"/>
              <w:right w:val="single" w:sz="6" w:space="0" w:color="000000"/>
            </w:tcBorders>
          </w:tcPr>
          <w:p>
            <w:pPr>
              <w:pStyle w:val="TableParagraph"/>
              <w:spacing w:before="20"/>
              <w:jc w:val="left"/>
              <w:rPr>
                <w:sz w:val="24"/>
              </w:rPr>
            </w:pPr>
          </w:p>
          <w:p>
            <w:pPr>
              <w:pStyle w:val="TableParagraph"/>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2"/>
              <w:jc w:val="both"/>
              <w:rPr>
                <w:sz w:val="21"/>
              </w:rPr>
            </w:pPr>
            <w:r>
              <w:rPr>
                <w:sz w:val="21"/>
              </w:rPr>
              <w:t>毒性：属高毒类。硝酸液及硝酸蒸气对皮肤和粘膜有强刺激和腐蚀作用。浓硝酸烟雾可释放出五氧化二氮（硝酐）遇水蒸气形成酸雾，可迅速分解而形成二氧化氮， 浓硝酸加热时产生硝酸蒸气，也可分解产生二氧化氮，吸入后可引起急性氮氧化物中毒。人在低于 </w:t>
            </w:r>
            <w:r>
              <w:rPr>
                <w:rFonts w:ascii="Times New Roman" w:eastAsia="Times New Roman"/>
                <w:sz w:val="21"/>
              </w:rPr>
              <w:t>12 ppm(30 mg/m</w:t>
            </w:r>
            <w:r>
              <w:rPr>
                <w:rFonts w:ascii="Times New Roman" w:eastAsia="Times New Roman"/>
                <w:position w:val="7"/>
                <w:sz w:val="14"/>
              </w:rPr>
              <w:t>3</w:t>
            </w:r>
            <w:r>
              <w:rPr>
                <w:rFonts w:ascii="Times New Roman" w:eastAsia="Times New Roman"/>
                <w:sz w:val="21"/>
              </w:rPr>
              <w:t>)</w:t>
            </w:r>
            <w:r>
              <w:rPr>
                <w:sz w:val="21"/>
              </w:rPr>
              <w:t>左右时未见明显的损害。吸入可引起肺炎。大鼠</w:t>
            </w:r>
          </w:p>
          <w:p>
            <w:pPr>
              <w:pStyle w:val="TableParagraph"/>
              <w:spacing w:line="255" w:lineRule="exact"/>
              <w:ind w:left="114"/>
              <w:jc w:val="both"/>
              <w:rPr>
                <w:sz w:val="21"/>
              </w:rPr>
            </w:pPr>
            <w:r>
              <w:rPr>
                <w:position w:val="2"/>
                <w:sz w:val="21"/>
              </w:rPr>
              <w:t>吸入 </w:t>
            </w:r>
            <w:r>
              <w:rPr>
                <w:rFonts w:ascii="Times New Roman" w:eastAsia="Times New Roman"/>
                <w:position w:val="2"/>
                <w:sz w:val="21"/>
              </w:rPr>
              <w:t>LC</w:t>
            </w:r>
            <w:r>
              <w:rPr>
                <w:rFonts w:ascii="Times New Roman" w:eastAsia="Times New Roman"/>
                <w:sz w:val="14"/>
              </w:rPr>
              <w:t>50 </w:t>
            </w:r>
            <w:r>
              <w:rPr>
                <w:rFonts w:ascii="Times New Roman" w:eastAsia="Times New Roman"/>
                <w:position w:val="2"/>
                <w:sz w:val="21"/>
              </w:rPr>
              <w:t>49 ppm(138mg/m</w:t>
            </w:r>
            <w:r>
              <w:rPr>
                <w:rFonts w:ascii="Times New Roman" w:eastAsia="Times New Roman"/>
                <w:position w:val="2"/>
                <w:sz w:val="21"/>
                <w:vertAlign w:val="superscript"/>
              </w:rPr>
              <w:t>3</w:t>
            </w:r>
            <w:r>
              <w:rPr>
                <w:rFonts w:ascii="Times New Roman" w:eastAsia="Times New Roman"/>
                <w:position w:val="2"/>
                <w:sz w:val="21"/>
                <w:vertAlign w:val="baseline"/>
              </w:rPr>
              <w:t>)/4 </w:t>
            </w:r>
            <w:r>
              <w:rPr>
                <w:position w:val="2"/>
                <w:sz w:val="21"/>
                <w:vertAlign w:val="baseline"/>
              </w:rPr>
              <w:t>小时。</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27"/>
              <w:jc w:val="left"/>
              <w:rPr>
                <w:sz w:val="21"/>
              </w:rPr>
            </w:pPr>
            <w:r>
              <w:rPr>
                <w:sz w:val="21"/>
              </w:rPr>
              <w:t>危险特性：具有强氧化性。与易燃物</w:t>
            </w:r>
            <w:r>
              <w:rPr>
                <w:rFonts w:ascii="Times New Roman" w:eastAsia="Times New Roman"/>
                <w:sz w:val="21"/>
              </w:rPr>
              <w:t>(</w:t>
            </w:r>
            <w:r>
              <w:rPr>
                <w:sz w:val="21"/>
              </w:rPr>
              <w:t>如苯</w:t>
            </w:r>
            <w:r>
              <w:rPr>
                <w:rFonts w:ascii="Times New Roman" w:eastAsia="Times New Roman"/>
                <w:sz w:val="21"/>
              </w:rPr>
              <w:t>)</w:t>
            </w:r>
            <w:r>
              <w:rPr>
                <w:sz w:val="21"/>
              </w:rPr>
              <w:t>和有机物</w:t>
            </w:r>
            <w:r>
              <w:rPr>
                <w:rFonts w:ascii="Times New Roman" w:eastAsia="Times New Roman"/>
                <w:sz w:val="21"/>
              </w:rPr>
              <w:t>(</w:t>
            </w:r>
            <w:r>
              <w:rPr>
                <w:sz w:val="21"/>
              </w:rPr>
              <w:t>如糖、纤维素等</w:t>
            </w:r>
            <w:r>
              <w:rPr>
                <w:rFonts w:ascii="Times New Roman" w:eastAsia="Times New Roman"/>
                <w:sz w:val="21"/>
              </w:rPr>
              <w:t>)</w:t>
            </w:r>
            <w:r>
              <w:rPr>
                <w:sz w:val="21"/>
              </w:rPr>
              <w:t>接触会发生剧烈反应，甚至引起燃烧。与碱金属能发生剧烈反应。具有强腐蚀性。</w:t>
            </w:r>
          </w:p>
          <w:p>
            <w:pPr>
              <w:pStyle w:val="TableParagraph"/>
              <w:tabs>
                <w:tab w:pos="3670" w:val="left" w:leader="none"/>
              </w:tabs>
              <w:spacing w:line="251" w:lineRule="exact"/>
              <w:ind w:left="114"/>
              <w:jc w:val="left"/>
              <w:rPr>
                <w:sz w:val="21"/>
              </w:rPr>
            </w:pPr>
            <w:r>
              <w:rPr>
                <w:sz w:val="21"/>
              </w:rPr>
              <w:t>燃烧</w:t>
            </w:r>
            <w:r>
              <w:rPr>
                <w:rFonts w:ascii="Times New Roman" w:eastAsia="Times New Roman"/>
                <w:sz w:val="21"/>
              </w:rPr>
              <w:t>(</w:t>
            </w:r>
            <w:r>
              <w:rPr>
                <w:spacing w:val="-3"/>
                <w:sz w:val="21"/>
              </w:rPr>
              <w:t>分</w:t>
            </w:r>
            <w:r>
              <w:rPr>
                <w:sz w:val="21"/>
              </w:rPr>
              <w:t>解</w:t>
            </w:r>
            <w:r>
              <w:rPr>
                <w:rFonts w:ascii="Times New Roman" w:eastAsia="Times New Roman"/>
                <w:sz w:val="21"/>
              </w:rPr>
              <w:t>)</w:t>
            </w:r>
            <w:r>
              <w:rPr>
                <w:spacing w:val="-3"/>
                <w:sz w:val="21"/>
              </w:rPr>
              <w:t>产</w:t>
            </w:r>
            <w:r>
              <w:rPr>
                <w:sz w:val="21"/>
              </w:rPr>
              <w:t>物</w:t>
            </w:r>
            <w:r>
              <w:rPr>
                <w:spacing w:val="-3"/>
                <w:sz w:val="21"/>
              </w:rPr>
              <w:t>：</w:t>
            </w:r>
            <w:r>
              <w:rPr>
                <w:sz w:val="21"/>
              </w:rPr>
              <w:t>氧</w:t>
            </w:r>
            <w:r>
              <w:rPr>
                <w:spacing w:val="-3"/>
                <w:sz w:val="21"/>
              </w:rPr>
              <w:t>化</w:t>
            </w:r>
            <w:r>
              <w:rPr>
                <w:sz w:val="21"/>
              </w:rPr>
              <w:t>氮</w:t>
            </w:r>
            <w:r>
              <w:rPr>
                <w:spacing w:val="-3"/>
                <w:sz w:val="21"/>
              </w:rPr>
              <w:t>。</w:t>
            </w:r>
            <w:r>
              <w:rPr>
                <w:sz w:val="21"/>
              </w:rPr>
              <w:t>第</w:t>
            </w:r>
            <w:r>
              <w:rPr>
                <w:spacing w:val="7"/>
                <w:sz w:val="21"/>
              </w:rPr>
              <w:t> </w:t>
            </w:r>
            <w:r>
              <w:rPr>
                <w:rFonts w:ascii="Times New Roman" w:eastAsia="Times New Roman"/>
                <w:sz w:val="21"/>
              </w:rPr>
              <w:t>8.1</w:t>
            </w:r>
            <w:r>
              <w:rPr>
                <w:rFonts w:ascii="Times New Roman" w:eastAsia="Times New Roman"/>
                <w:spacing w:val="-1"/>
                <w:sz w:val="21"/>
              </w:rPr>
              <w:t> </w:t>
            </w:r>
            <w:r>
              <w:rPr>
                <w:sz w:val="21"/>
              </w:rPr>
              <w:t>类</w:t>
              <w:tab/>
            </w:r>
            <w:r>
              <w:rPr>
                <w:spacing w:val="-3"/>
                <w:sz w:val="21"/>
              </w:rPr>
              <w:t>酸</w:t>
            </w:r>
            <w:r>
              <w:rPr>
                <w:sz w:val="21"/>
              </w:rPr>
              <w:t>性</w:t>
            </w:r>
            <w:r>
              <w:rPr>
                <w:spacing w:val="-3"/>
                <w:sz w:val="21"/>
              </w:rPr>
              <w:t>腐</w:t>
            </w:r>
            <w:r>
              <w:rPr>
                <w:sz w:val="21"/>
              </w:rPr>
              <w:t>蚀品</w:t>
            </w:r>
          </w:p>
        </w:tc>
      </w:tr>
      <w:tr>
        <w:trPr>
          <w:trHeight w:val="1801"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29"/>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4"/>
              <w:ind w:left="114" w:right="-44"/>
              <w:jc w:val="both"/>
              <w:rPr>
                <w:sz w:val="21"/>
              </w:rPr>
            </w:pPr>
            <w:r>
              <w:rPr>
                <w:sz w:val="21"/>
              </w:rPr>
              <w:t>疏散泄漏污染区人员至安全区，禁止无关人员进入污染区，建议应急处理人员戴好</w:t>
            </w:r>
            <w:r>
              <w:rPr>
                <w:spacing w:val="-12"/>
                <w:sz w:val="21"/>
              </w:rPr>
              <w:t>防毒面具，穿化学防护服。不要直接接触泄漏物，勿使泄漏物与可燃物质</w:t>
            </w:r>
            <w:r>
              <w:rPr>
                <w:rFonts w:ascii="Times New Roman" w:eastAsia="Times New Roman"/>
                <w:spacing w:val="-4"/>
                <w:sz w:val="21"/>
              </w:rPr>
              <w:t>(</w:t>
            </w:r>
            <w:r>
              <w:rPr>
                <w:spacing w:val="-8"/>
                <w:sz w:val="21"/>
              </w:rPr>
              <w:t>木材、纸、油等</w:t>
            </w:r>
            <w:r>
              <w:rPr>
                <w:rFonts w:ascii="Times New Roman" w:eastAsia="Times New Roman"/>
                <w:spacing w:val="-8"/>
                <w:sz w:val="21"/>
              </w:rPr>
              <w:t>)</w:t>
            </w:r>
            <w:r>
              <w:rPr>
                <w:spacing w:val="-14"/>
                <w:sz w:val="21"/>
              </w:rPr>
              <w:t>接触，在确保安全情况下堵漏。喷水雾能减少蒸发但不要使水进入储存容器内。将地面洒上苏打灰，然后收集运至废物处理场所处置。也可以用大量水冲洗，经稀释的洗水放入废水系统。如大量泄漏，利用围堤收容，然后收集、转移、回收或无</w:t>
            </w:r>
          </w:p>
          <w:p>
            <w:pPr>
              <w:pStyle w:val="TableParagraph"/>
              <w:spacing w:line="257" w:lineRule="exact"/>
              <w:ind w:left="114"/>
              <w:jc w:val="both"/>
              <w:rPr>
                <w:sz w:val="21"/>
              </w:rPr>
            </w:pPr>
            <w:r>
              <w:rPr>
                <w:sz w:val="21"/>
              </w:rPr>
              <w:t>害处理后废弃</w:t>
            </w:r>
          </w:p>
        </w:tc>
      </w:tr>
      <w:tr>
        <w:trPr>
          <w:trHeight w:val="897" w:hRule="atLeast"/>
        </w:trPr>
        <w:tc>
          <w:tcPr>
            <w:tcW w:w="1188" w:type="dxa"/>
            <w:tcBorders>
              <w:top w:val="single" w:sz="6" w:space="0" w:color="000000"/>
              <w:right w:val="single" w:sz="6" w:space="0" w:color="000000"/>
            </w:tcBorders>
          </w:tcPr>
          <w:p>
            <w:pPr>
              <w:pStyle w:val="TableParagraph"/>
              <w:spacing w:before="16"/>
              <w:jc w:val="left"/>
              <w:rPr>
                <w:sz w:val="10"/>
              </w:rPr>
            </w:pPr>
          </w:p>
          <w:p>
            <w:pPr>
              <w:pStyle w:val="TableParagraph"/>
              <w:spacing w:before="1"/>
              <w:ind w:left="105" w:right="84"/>
              <w:rPr>
                <w:sz w:val="21"/>
              </w:rPr>
            </w:pPr>
            <w:r>
              <w:rPr>
                <w:sz w:val="21"/>
              </w:rPr>
              <w:t>防护措施</w:t>
            </w:r>
          </w:p>
        </w:tc>
        <w:tc>
          <w:tcPr>
            <w:tcW w:w="7821" w:type="dxa"/>
            <w:gridSpan w:val="3"/>
            <w:tcBorders>
              <w:top w:val="single" w:sz="6" w:space="0" w:color="000000"/>
              <w:left w:val="single" w:sz="6" w:space="0" w:color="000000"/>
            </w:tcBorders>
          </w:tcPr>
          <w:p>
            <w:pPr>
              <w:pStyle w:val="TableParagraph"/>
              <w:spacing w:line="160" w:lineRule="auto" w:before="31"/>
              <w:ind w:left="114" w:right="76"/>
              <w:jc w:val="left"/>
              <w:rPr>
                <w:sz w:val="21"/>
              </w:rPr>
            </w:pPr>
            <w:r>
              <w:rPr>
                <w:sz w:val="21"/>
              </w:rPr>
              <w:t>呼吸系统防护：可能接触其蒸气或烟雾时，必须佩戴防毒面具或供气式头盔。紧急事态抢救或逃生时，建议佩带自给式呼吸器。</w:t>
            </w:r>
          </w:p>
          <w:p>
            <w:pPr>
              <w:pStyle w:val="TableParagraph"/>
              <w:spacing w:line="249" w:lineRule="exact"/>
              <w:ind w:left="114"/>
              <w:jc w:val="left"/>
              <w:rPr>
                <w:sz w:val="21"/>
              </w:rPr>
            </w:pPr>
            <w:r>
              <w:rPr>
                <w:sz w:val="21"/>
              </w:rPr>
              <w:t>眼睛防护：戴化学安全防护眼镜。</w:t>
            </w:r>
          </w:p>
        </w:tc>
      </w:tr>
    </w:tbl>
    <w:p>
      <w:pPr>
        <w:spacing w:after="0" w:line="249"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201"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7821" w:type="dxa"/>
            <w:tcBorders>
              <w:left w:val="single" w:sz="6" w:space="0" w:color="000000"/>
              <w:bottom w:val="single" w:sz="6" w:space="0" w:color="000000"/>
            </w:tcBorders>
          </w:tcPr>
          <w:p>
            <w:pPr>
              <w:pStyle w:val="TableParagraph"/>
              <w:spacing w:line="160" w:lineRule="auto" w:before="34"/>
              <w:ind w:left="114" w:right="4388"/>
              <w:jc w:val="left"/>
              <w:rPr>
                <w:sz w:val="21"/>
              </w:rPr>
            </w:pPr>
            <w:r>
              <w:rPr>
                <w:sz w:val="21"/>
              </w:rPr>
              <w:t>防护服：穿工作服</w:t>
            </w:r>
            <w:r>
              <w:rPr>
                <w:rFonts w:ascii="Times New Roman" w:eastAsia="Times New Roman"/>
                <w:sz w:val="21"/>
              </w:rPr>
              <w:t>(</w:t>
            </w:r>
            <w:r>
              <w:rPr>
                <w:sz w:val="21"/>
              </w:rPr>
              <w:t>防腐材料制作</w:t>
            </w:r>
            <w:r>
              <w:rPr>
                <w:rFonts w:ascii="Times New Roman" w:eastAsia="Times New Roman"/>
                <w:sz w:val="21"/>
              </w:rPr>
              <w:t>)</w:t>
            </w:r>
            <w:r>
              <w:rPr>
                <w:sz w:val="21"/>
              </w:rPr>
              <w:t>。手防护：戴橡皮手套。</w:t>
            </w:r>
          </w:p>
          <w:p>
            <w:pPr>
              <w:pStyle w:val="TableParagraph"/>
              <w:spacing w:line="273" w:lineRule="exact"/>
              <w:ind w:left="114"/>
              <w:jc w:val="left"/>
              <w:rPr>
                <w:sz w:val="21"/>
              </w:rPr>
            </w:pPr>
            <w:r>
              <w:rPr>
                <w:sz w:val="21"/>
              </w:rPr>
              <w:t>其它：工作后，淋浴更衣。单独存放被毒物污染的衣服，洗后再用。保持良好的卫</w:t>
            </w:r>
          </w:p>
          <w:p>
            <w:pPr>
              <w:pStyle w:val="TableParagraph"/>
              <w:spacing w:line="278" w:lineRule="exact"/>
              <w:ind w:left="114"/>
              <w:jc w:val="left"/>
              <w:rPr>
                <w:sz w:val="21"/>
              </w:rPr>
            </w:pPr>
            <w:r>
              <w:rPr>
                <w:sz w:val="21"/>
              </w:rPr>
              <w:t>生习惯。</w:t>
            </w:r>
          </w:p>
        </w:tc>
      </w:tr>
      <w:tr>
        <w:trPr>
          <w:trHeight w:val="2096"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72"/>
              <w:jc w:val="left"/>
              <w:rPr>
                <w:sz w:val="21"/>
              </w:rPr>
            </w:pPr>
            <w:r>
              <w:rPr>
                <w:sz w:val="21"/>
              </w:rPr>
              <w:t>急救措施</w:t>
            </w:r>
          </w:p>
        </w:tc>
        <w:tc>
          <w:tcPr>
            <w:tcW w:w="7821" w:type="dxa"/>
            <w:tcBorders>
              <w:top w:val="single" w:sz="6" w:space="0" w:color="000000"/>
              <w:left w:val="single" w:sz="6" w:space="0" w:color="000000"/>
            </w:tcBorders>
          </w:tcPr>
          <w:p>
            <w:pPr>
              <w:pStyle w:val="TableParagraph"/>
              <w:spacing w:line="160" w:lineRule="auto" w:before="31"/>
              <w:ind w:left="114" w:right="72"/>
              <w:jc w:val="left"/>
              <w:rPr>
                <w:sz w:val="21"/>
              </w:rPr>
            </w:pPr>
            <w:r>
              <w:rPr>
                <w:sz w:val="21"/>
              </w:rPr>
              <w:t>皮肤接触：立即用水冲洗至少 </w:t>
            </w:r>
            <w:r>
              <w:rPr>
                <w:rFonts w:ascii="Times New Roman" w:eastAsia="Times New Roman"/>
                <w:sz w:val="21"/>
              </w:rPr>
              <w:t>15 </w:t>
            </w:r>
            <w:r>
              <w:rPr>
                <w:sz w:val="21"/>
              </w:rPr>
              <w:t>分钟。或用 </w:t>
            </w:r>
            <w:r>
              <w:rPr>
                <w:rFonts w:ascii="Times New Roman" w:eastAsia="Times New Roman"/>
                <w:sz w:val="21"/>
              </w:rPr>
              <w:t>2%</w:t>
            </w:r>
            <w:r>
              <w:rPr>
                <w:sz w:val="21"/>
              </w:rPr>
              <w:t>碳酸氢钠溶液冲洗。若有灼伤，就医治疗。</w:t>
            </w:r>
          </w:p>
          <w:p>
            <w:pPr>
              <w:pStyle w:val="TableParagraph"/>
              <w:spacing w:line="273" w:lineRule="exact"/>
              <w:ind w:left="114"/>
              <w:jc w:val="left"/>
              <w:rPr>
                <w:sz w:val="21"/>
              </w:rPr>
            </w:pPr>
            <w:r>
              <w:rPr>
                <w:sz w:val="21"/>
              </w:rPr>
              <w:t>眼睛接触：立即提起眼睑，用流动清水或生理盐水冲洗至少 </w:t>
            </w:r>
            <w:r>
              <w:rPr>
                <w:rFonts w:ascii="Times New Roman" w:eastAsia="Times New Roman"/>
                <w:sz w:val="21"/>
              </w:rPr>
              <w:t>15 </w:t>
            </w:r>
            <w:r>
              <w:rPr>
                <w:sz w:val="21"/>
              </w:rPr>
              <w:t>分钟。就医。</w:t>
            </w:r>
          </w:p>
          <w:p>
            <w:pPr>
              <w:pStyle w:val="TableParagraph"/>
              <w:spacing w:line="160" w:lineRule="auto" w:before="30"/>
              <w:ind w:left="114" w:right="33"/>
              <w:jc w:val="left"/>
              <w:rPr>
                <w:sz w:val="21"/>
              </w:rPr>
            </w:pPr>
            <w:r>
              <w:rPr>
                <w:sz w:val="21"/>
              </w:rPr>
              <w:t>吸入：迅速脱离现场至空气新鲜处。呼吸困难时给输氧。给予 </w:t>
            </w:r>
            <w:r>
              <w:rPr>
                <w:rFonts w:ascii="Times New Roman" w:eastAsia="Times New Roman"/>
                <w:sz w:val="21"/>
              </w:rPr>
              <w:t>2-4%</w:t>
            </w:r>
            <w:r>
              <w:rPr>
                <w:sz w:val="21"/>
              </w:rPr>
              <w:t>碳酸氢钠溶液雾化吸入。就医。</w:t>
            </w:r>
          </w:p>
          <w:p>
            <w:pPr>
              <w:pStyle w:val="TableParagraph"/>
              <w:spacing w:line="273" w:lineRule="exact"/>
              <w:ind w:left="114"/>
              <w:jc w:val="left"/>
              <w:rPr>
                <w:sz w:val="21"/>
              </w:rPr>
            </w:pPr>
            <w:r>
              <w:rPr>
                <w:sz w:val="21"/>
              </w:rPr>
              <w:t>食入：误服者给牛奶、蛋清、植物油等口服，不可催吐。立即就医。</w:t>
            </w:r>
          </w:p>
          <w:p>
            <w:pPr>
              <w:pStyle w:val="TableParagraph"/>
              <w:spacing w:line="275" w:lineRule="exact"/>
              <w:ind w:left="114"/>
              <w:jc w:val="left"/>
              <w:rPr>
                <w:sz w:val="21"/>
              </w:rPr>
            </w:pPr>
            <w:r>
              <w:rPr>
                <w:sz w:val="21"/>
              </w:rPr>
              <w:t>灭火方法：二氧化碳、砂土、雾状水、火场周围可用的灭火介质。</w:t>
            </w:r>
          </w:p>
        </w:tc>
      </w:tr>
    </w:tbl>
    <w:p>
      <w:pPr>
        <w:pStyle w:val="BodyText"/>
        <w:spacing w:before="19"/>
        <w:rPr>
          <w:sz w:val="4"/>
        </w:rPr>
      </w:pPr>
    </w:p>
    <w:p>
      <w:pPr>
        <w:tabs>
          <w:tab w:pos="4137" w:val="left" w:leader="none"/>
        </w:tabs>
        <w:spacing w:line="423" w:lineRule="exact" w:before="0"/>
        <w:ind w:left="3122" w:right="0" w:firstLine="0"/>
        <w:jc w:val="left"/>
        <w:rPr>
          <w:sz w:val="21"/>
        </w:rPr>
      </w:pPr>
      <w:r>
        <w:rPr>
          <w:sz w:val="21"/>
        </w:rPr>
        <w:t>表</w:t>
      </w:r>
      <w:r>
        <w:rPr>
          <w:spacing w:val="5"/>
          <w:sz w:val="21"/>
        </w:rPr>
        <w:t> </w:t>
      </w:r>
      <w:r>
        <w:rPr>
          <w:rFonts w:ascii="Times New Roman" w:eastAsia="Times New Roman"/>
          <w:sz w:val="21"/>
        </w:rPr>
        <w:t>7.1-32</w:t>
        <w:tab/>
      </w:r>
      <w:r>
        <w:rPr>
          <w:sz w:val="21"/>
        </w:rPr>
        <w:t>乙</w:t>
      </w:r>
      <w:r>
        <w:rPr>
          <w:spacing w:val="-3"/>
          <w:sz w:val="21"/>
        </w:rPr>
        <w:t>酸</w:t>
      </w:r>
      <w:r>
        <w:rPr>
          <w:sz w:val="21"/>
        </w:rPr>
        <w:t>乙</w:t>
      </w:r>
      <w:r>
        <w:rPr>
          <w:spacing w:val="-3"/>
          <w:sz w:val="21"/>
        </w:rPr>
        <w:t>酯</w:t>
      </w:r>
      <w:r>
        <w:rPr>
          <w:sz w:val="21"/>
        </w:rPr>
        <w:t>危</w:t>
      </w:r>
      <w:r>
        <w:rPr>
          <w:spacing w:val="-3"/>
          <w:sz w:val="21"/>
        </w:rPr>
        <w:t>险</w:t>
      </w:r>
      <w:r>
        <w:rPr>
          <w:sz w:val="21"/>
        </w:rPr>
        <w:t>特性</w:t>
      </w:r>
      <w:r>
        <w:rPr>
          <w:spacing w:val="-3"/>
          <w:sz w:val="21"/>
        </w:rPr>
        <w:t>及</w:t>
      </w:r>
      <w:r>
        <w:rPr>
          <w:sz w:val="21"/>
        </w:rPr>
        <w:t>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79"/>
        <w:gridCol w:w="348"/>
        <w:gridCol w:w="2677"/>
        <w:gridCol w:w="1061"/>
        <w:gridCol w:w="127"/>
        <w:gridCol w:w="1065"/>
        <w:gridCol w:w="1157"/>
        <w:gridCol w:w="1221"/>
      </w:tblGrid>
      <w:tr>
        <w:trPr>
          <w:trHeight w:val="339" w:hRule="atLeast"/>
        </w:trPr>
        <w:tc>
          <w:tcPr>
            <w:tcW w:w="1279" w:type="dxa"/>
            <w:tcBorders>
              <w:bottom w:val="single" w:sz="6" w:space="0" w:color="000000"/>
              <w:right w:val="single" w:sz="6" w:space="0" w:color="000000"/>
            </w:tcBorders>
          </w:tcPr>
          <w:p>
            <w:pPr>
              <w:pStyle w:val="TableParagraph"/>
              <w:spacing w:line="320" w:lineRule="exact"/>
              <w:ind w:left="107"/>
              <w:jc w:val="left"/>
              <w:rPr>
                <w:sz w:val="21"/>
              </w:rPr>
            </w:pPr>
            <w:r>
              <w:rPr>
                <w:sz w:val="21"/>
              </w:rPr>
              <w:t>中文名称</w:t>
            </w:r>
          </w:p>
        </w:tc>
        <w:tc>
          <w:tcPr>
            <w:tcW w:w="3025" w:type="dxa"/>
            <w:gridSpan w:val="2"/>
            <w:tcBorders>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sz w:val="21"/>
              </w:rPr>
              <w:t>乙酸乙酯</w:t>
            </w:r>
          </w:p>
        </w:tc>
        <w:tc>
          <w:tcPr>
            <w:tcW w:w="1188" w:type="dxa"/>
            <w:gridSpan w:val="2"/>
            <w:tcBorders>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sz w:val="21"/>
              </w:rPr>
              <w:t>英文名称</w:t>
            </w:r>
          </w:p>
        </w:tc>
        <w:tc>
          <w:tcPr>
            <w:tcW w:w="3443" w:type="dxa"/>
            <w:gridSpan w:val="3"/>
            <w:tcBorders>
              <w:left w:val="single" w:sz="6" w:space="0" w:color="000000"/>
              <w:bottom w:val="single" w:sz="6" w:space="0" w:color="000000"/>
            </w:tcBorders>
          </w:tcPr>
          <w:p>
            <w:pPr>
              <w:pStyle w:val="TableParagraph"/>
              <w:spacing w:line="320" w:lineRule="exact"/>
              <w:ind w:left="115"/>
              <w:jc w:val="left"/>
              <w:rPr>
                <w:rFonts w:ascii="Times New Roman" w:eastAsia="Times New Roman"/>
                <w:sz w:val="21"/>
              </w:rPr>
            </w:pPr>
            <w:r>
              <w:rPr>
                <w:rFonts w:ascii="Times New Roman" w:eastAsia="Times New Roman"/>
                <w:sz w:val="21"/>
              </w:rPr>
              <w:t>ethyl acetate</w:t>
            </w:r>
            <w:r>
              <w:rPr>
                <w:sz w:val="21"/>
              </w:rPr>
              <w:t>；</w:t>
            </w:r>
            <w:r>
              <w:rPr>
                <w:rFonts w:ascii="Times New Roman" w:eastAsia="Times New Roman"/>
                <w:sz w:val="21"/>
              </w:rPr>
              <w:t>acetic ester</w:t>
            </w:r>
          </w:p>
        </w:tc>
      </w:tr>
      <w:tr>
        <w:trPr>
          <w:trHeight w:val="680" w:hRule="atLeast"/>
        </w:trPr>
        <w:tc>
          <w:tcPr>
            <w:tcW w:w="1279" w:type="dxa"/>
            <w:tcBorders>
              <w:top w:val="single" w:sz="6" w:space="0" w:color="000000"/>
              <w:bottom w:val="single" w:sz="6" w:space="0" w:color="000000"/>
              <w:right w:val="single" w:sz="6" w:space="0" w:color="000000"/>
            </w:tcBorders>
          </w:tcPr>
          <w:p>
            <w:pPr>
              <w:pStyle w:val="TableParagraph"/>
              <w:spacing w:line="408" w:lineRule="exact"/>
              <w:ind w:left="107"/>
              <w:jc w:val="left"/>
              <w:rPr>
                <w:sz w:val="21"/>
              </w:rPr>
            </w:pPr>
            <w:r>
              <w:rPr>
                <w:sz w:val="21"/>
              </w:rPr>
              <w:t>外观与性状</w:t>
            </w:r>
          </w:p>
        </w:tc>
        <w:tc>
          <w:tcPr>
            <w:tcW w:w="30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54" w:lineRule="exact"/>
              <w:ind w:left="115"/>
              <w:jc w:val="left"/>
              <w:rPr>
                <w:sz w:val="21"/>
              </w:rPr>
            </w:pPr>
            <w:r>
              <w:rPr>
                <w:sz w:val="21"/>
              </w:rPr>
              <w:t>无色澄清液体，有芳香气味，</w:t>
            </w:r>
          </w:p>
          <w:p>
            <w:pPr>
              <w:pStyle w:val="TableParagraph"/>
              <w:spacing w:line="307" w:lineRule="exact"/>
              <w:ind w:left="115"/>
              <w:jc w:val="left"/>
              <w:rPr>
                <w:sz w:val="21"/>
              </w:rPr>
            </w:pPr>
            <w:r>
              <w:rPr>
                <w:sz w:val="21"/>
              </w:rPr>
              <w:t>易挥发</w:t>
            </w:r>
          </w:p>
        </w:tc>
        <w:tc>
          <w:tcPr>
            <w:tcW w:w="1188" w:type="dxa"/>
            <w:gridSpan w:val="2"/>
            <w:tcBorders>
              <w:top w:val="single" w:sz="6" w:space="0" w:color="000000"/>
              <w:left w:val="single" w:sz="6" w:space="0" w:color="000000"/>
              <w:bottom w:val="single" w:sz="6" w:space="0" w:color="000000"/>
              <w:right w:val="single" w:sz="6" w:space="0" w:color="000000"/>
            </w:tcBorders>
          </w:tcPr>
          <w:p>
            <w:pPr>
              <w:pStyle w:val="TableParagraph"/>
              <w:spacing w:line="408" w:lineRule="exact"/>
              <w:ind w:left="115"/>
              <w:jc w:val="left"/>
              <w:rPr>
                <w:sz w:val="21"/>
              </w:rPr>
            </w:pPr>
            <w:r>
              <w:rPr>
                <w:sz w:val="21"/>
              </w:rPr>
              <w:t>侵入途径</w:t>
            </w:r>
          </w:p>
        </w:tc>
        <w:tc>
          <w:tcPr>
            <w:tcW w:w="3443" w:type="dxa"/>
            <w:gridSpan w:val="3"/>
            <w:tcBorders>
              <w:top w:val="single" w:sz="6" w:space="0" w:color="000000"/>
              <w:left w:val="single" w:sz="6" w:space="0" w:color="000000"/>
              <w:bottom w:val="single" w:sz="6" w:space="0" w:color="000000"/>
            </w:tcBorders>
          </w:tcPr>
          <w:p>
            <w:pPr>
              <w:pStyle w:val="TableParagraph"/>
              <w:spacing w:line="408" w:lineRule="exact"/>
              <w:ind w:left="115"/>
              <w:jc w:val="left"/>
              <w:rPr>
                <w:sz w:val="21"/>
              </w:rPr>
            </w:pPr>
            <w:r>
              <w:rPr>
                <w:sz w:val="21"/>
              </w:rPr>
              <w:t>吸入、食入、经皮吸收</w:t>
            </w:r>
          </w:p>
        </w:tc>
      </w:tr>
      <w:tr>
        <w:trPr>
          <w:trHeight w:val="681" w:hRule="atLeast"/>
        </w:trPr>
        <w:tc>
          <w:tcPr>
            <w:tcW w:w="1279" w:type="dxa"/>
            <w:tcBorders>
              <w:top w:val="single" w:sz="6" w:space="0" w:color="000000"/>
              <w:bottom w:val="single" w:sz="6" w:space="0" w:color="000000"/>
              <w:right w:val="single" w:sz="6" w:space="0" w:color="000000"/>
            </w:tcBorders>
          </w:tcPr>
          <w:p>
            <w:pPr>
              <w:pStyle w:val="TableParagraph"/>
              <w:spacing w:line="353" w:lineRule="exact"/>
              <w:ind w:left="107"/>
              <w:jc w:val="left"/>
              <w:rPr>
                <w:sz w:val="21"/>
              </w:rPr>
            </w:pPr>
            <w:r>
              <w:rPr>
                <w:spacing w:val="-1"/>
                <w:sz w:val="21"/>
              </w:rPr>
              <w:t>爆炸极限</w:t>
            </w:r>
          </w:p>
          <w:p>
            <w:pPr>
              <w:pStyle w:val="TableParagraph"/>
              <w:spacing w:line="308" w:lineRule="exact"/>
              <w:ind w:left="107"/>
              <w:jc w:val="left"/>
              <w:rPr>
                <w:sz w:val="21"/>
              </w:rPr>
            </w:pPr>
            <w:r>
              <w:rPr>
                <w:sz w:val="21"/>
              </w:rPr>
              <w:t>（</w:t>
            </w:r>
            <w:r>
              <w:rPr>
                <w:rFonts w:ascii="Times New Roman" w:eastAsia="Times New Roman"/>
                <w:sz w:val="21"/>
              </w:rPr>
              <w:t>vol%</w:t>
            </w:r>
            <w:r>
              <w:rPr>
                <w:sz w:val="21"/>
              </w:rPr>
              <w:t>）</w:t>
            </w:r>
          </w:p>
        </w:tc>
        <w:tc>
          <w:tcPr>
            <w:tcW w:w="3025" w:type="dxa"/>
            <w:gridSpan w:val="2"/>
            <w:tcBorders>
              <w:top w:val="single" w:sz="6" w:space="0" w:color="000000"/>
              <w:left w:val="single" w:sz="6" w:space="0" w:color="000000"/>
              <w:bottom w:val="single" w:sz="6" w:space="0" w:color="000000"/>
              <w:right w:val="single" w:sz="6" w:space="0" w:color="000000"/>
            </w:tcBorders>
          </w:tcPr>
          <w:p>
            <w:pPr>
              <w:pStyle w:val="TableParagraph"/>
              <w:spacing w:line="353" w:lineRule="exact"/>
              <w:ind w:left="115"/>
              <w:jc w:val="left"/>
              <w:rPr>
                <w:rFonts w:ascii="Times New Roman" w:eastAsia="Times New Roman"/>
                <w:sz w:val="21"/>
              </w:rPr>
            </w:pPr>
            <w:r>
              <w:rPr>
                <w:sz w:val="21"/>
              </w:rPr>
              <w:t>下限：</w:t>
            </w:r>
            <w:r>
              <w:rPr>
                <w:rFonts w:ascii="Times New Roman" w:eastAsia="Times New Roman"/>
                <w:sz w:val="21"/>
              </w:rPr>
              <w:t>2.0</w:t>
            </w:r>
          </w:p>
          <w:p>
            <w:pPr>
              <w:pStyle w:val="TableParagraph"/>
              <w:spacing w:line="308" w:lineRule="exact"/>
              <w:ind w:left="115"/>
              <w:jc w:val="left"/>
              <w:rPr>
                <w:rFonts w:ascii="Times New Roman" w:eastAsia="Times New Roman"/>
                <w:sz w:val="21"/>
              </w:rPr>
            </w:pPr>
            <w:r>
              <w:rPr>
                <w:sz w:val="21"/>
              </w:rPr>
              <w:t>上限：</w:t>
            </w:r>
            <w:r>
              <w:rPr>
                <w:rFonts w:ascii="Times New Roman" w:eastAsia="Times New Roman"/>
                <w:sz w:val="21"/>
              </w:rPr>
              <w:t>11.5</w:t>
            </w:r>
          </w:p>
        </w:tc>
        <w:tc>
          <w:tcPr>
            <w:tcW w:w="1188" w:type="dxa"/>
            <w:gridSpan w:val="2"/>
            <w:tcBorders>
              <w:top w:val="single" w:sz="6" w:space="0" w:color="000000"/>
              <w:left w:val="single" w:sz="6" w:space="0" w:color="000000"/>
              <w:bottom w:val="single" w:sz="6" w:space="0" w:color="000000"/>
              <w:right w:val="single" w:sz="6" w:space="0" w:color="000000"/>
            </w:tcBorders>
          </w:tcPr>
          <w:p>
            <w:pPr>
              <w:pStyle w:val="TableParagraph"/>
              <w:spacing w:line="405" w:lineRule="exact"/>
              <w:ind w:left="115"/>
              <w:jc w:val="left"/>
              <w:rPr>
                <w:sz w:val="21"/>
              </w:rPr>
            </w:pPr>
            <w:r>
              <w:rPr>
                <w:sz w:val="21"/>
              </w:rPr>
              <w:t>灭火剂</w:t>
            </w:r>
          </w:p>
        </w:tc>
        <w:tc>
          <w:tcPr>
            <w:tcW w:w="3443" w:type="dxa"/>
            <w:gridSpan w:val="3"/>
            <w:tcBorders>
              <w:top w:val="single" w:sz="6" w:space="0" w:color="000000"/>
              <w:left w:val="single" w:sz="6" w:space="0" w:color="000000"/>
              <w:bottom w:val="single" w:sz="6" w:space="0" w:color="000000"/>
            </w:tcBorders>
          </w:tcPr>
          <w:p>
            <w:pPr>
              <w:pStyle w:val="TableParagraph"/>
              <w:spacing w:line="353" w:lineRule="exact"/>
              <w:ind w:left="115"/>
              <w:jc w:val="left"/>
              <w:rPr>
                <w:sz w:val="21"/>
              </w:rPr>
            </w:pPr>
            <w:r>
              <w:rPr>
                <w:sz w:val="21"/>
              </w:rPr>
              <w:t>抗溶性泡沫、二氧化碳、干粉、砂</w:t>
            </w:r>
          </w:p>
          <w:p>
            <w:pPr>
              <w:pStyle w:val="TableParagraph"/>
              <w:spacing w:line="308" w:lineRule="exact"/>
              <w:ind w:left="115"/>
              <w:jc w:val="left"/>
              <w:rPr>
                <w:sz w:val="21"/>
              </w:rPr>
            </w:pPr>
            <w:r>
              <w:rPr>
                <w:sz w:val="21"/>
              </w:rPr>
              <w:t>土。</w:t>
            </w:r>
          </w:p>
        </w:tc>
      </w:tr>
      <w:tr>
        <w:trPr>
          <w:trHeight w:val="337" w:hRule="atLeast"/>
        </w:trPr>
        <w:tc>
          <w:tcPr>
            <w:tcW w:w="1627" w:type="dxa"/>
            <w:gridSpan w:val="2"/>
            <w:tcBorders>
              <w:top w:val="single" w:sz="6" w:space="0" w:color="000000"/>
              <w:bottom w:val="single" w:sz="6" w:space="0" w:color="000000"/>
              <w:right w:val="single" w:sz="6" w:space="0" w:color="000000"/>
            </w:tcBorders>
          </w:tcPr>
          <w:p>
            <w:pPr>
              <w:pStyle w:val="TableParagraph"/>
              <w:spacing w:line="318" w:lineRule="exact"/>
              <w:ind w:left="107"/>
              <w:jc w:val="left"/>
              <w:rPr>
                <w:sz w:val="21"/>
              </w:rPr>
            </w:pPr>
            <w:r>
              <w:rPr>
                <w:sz w:val="21"/>
              </w:rPr>
              <w:t>主要用途</w:t>
            </w:r>
          </w:p>
        </w:tc>
        <w:tc>
          <w:tcPr>
            <w:tcW w:w="7308" w:type="dxa"/>
            <w:gridSpan w:val="6"/>
            <w:tcBorders>
              <w:top w:val="single" w:sz="6" w:space="0" w:color="000000"/>
              <w:left w:val="single" w:sz="6" w:space="0" w:color="000000"/>
              <w:bottom w:val="single" w:sz="6" w:space="0" w:color="000000"/>
            </w:tcBorders>
          </w:tcPr>
          <w:p>
            <w:pPr>
              <w:pStyle w:val="TableParagraph"/>
              <w:spacing w:line="318" w:lineRule="exact"/>
              <w:ind w:left="112"/>
              <w:jc w:val="left"/>
              <w:rPr>
                <w:sz w:val="21"/>
              </w:rPr>
            </w:pPr>
            <w:r>
              <w:rPr>
                <w:sz w:val="21"/>
              </w:rPr>
              <w:t>用途很广，主要用作溶剂，及用于染料和一些医药中间体的合成。</w:t>
            </w:r>
          </w:p>
        </w:tc>
      </w:tr>
      <w:tr>
        <w:trPr>
          <w:trHeight w:val="340" w:hRule="atLeast"/>
        </w:trPr>
        <w:tc>
          <w:tcPr>
            <w:tcW w:w="1627" w:type="dxa"/>
            <w:gridSpan w:val="2"/>
            <w:tcBorders>
              <w:top w:val="single" w:sz="6" w:space="0" w:color="000000"/>
              <w:bottom w:val="single" w:sz="6" w:space="0" w:color="000000"/>
              <w:right w:val="single" w:sz="6" w:space="0" w:color="000000"/>
            </w:tcBorders>
          </w:tcPr>
          <w:p>
            <w:pPr>
              <w:pStyle w:val="TableParagraph"/>
              <w:spacing w:line="320" w:lineRule="exact"/>
              <w:ind w:left="107"/>
              <w:jc w:val="left"/>
              <w:rPr>
                <w:sz w:val="21"/>
              </w:rPr>
            </w:pPr>
            <w:r>
              <w:rPr>
                <w:sz w:val="21"/>
              </w:rPr>
              <w:t>物质危险类别</w:t>
            </w: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2"/>
              <w:jc w:val="left"/>
              <w:rPr>
                <w:sz w:val="21"/>
              </w:rPr>
            </w:pPr>
            <w:r>
              <w:rPr>
                <w:sz w:val="21"/>
              </w:rPr>
              <w:t>易燃液体</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sz w:val="21"/>
              </w:rPr>
              <w:t>燃烧性</w:t>
            </w:r>
          </w:p>
        </w:tc>
        <w:tc>
          <w:tcPr>
            <w:tcW w:w="3570" w:type="dxa"/>
            <w:gridSpan w:val="4"/>
            <w:tcBorders>
              <w:top w:val="single" w:sz="6" w:space="0" w:color="000000"/>
              <w:left w:val="single" w:sz="6" w:space="0" w:color="000000"/>
              <w:bottom w:val="single" w:sz="6" w:space="0" w:color="000000"/>
            </w:tcBorders>
          </w:tcPr>
          <w:p>
            <w:pPr>
              <w:pStyle w:val="TableParagraph"/>
              <w:spacing w:line="320" w:lineRule="exact"/>
              <w:ind w:left="114"/>
              <w:jc w:val="left"/>
              <w:rPr>
                <w:sz w:val="21"/>
              </w:rPr>
            </w:pPr>
            <w:r>
              <w:rPr>
                <w:sz w:val="21"/>
              </w:rPr>
              <w:t>易燃</w:t>
            </w:r>
          </w:p>
        </w:tc>
      </w:tr>
      <w:tr>
        <w:trPr>
          <w:trHeight w:val="681" w:hRule="atLeast"/>
        </w:trPr>
        <w:tc>
          <w:tcPr>
            <w:tcW w:w="1627" w:type="dxa"/>
            <w:gridSpan w:val="2"/>
            <w:tcBorders>
              <w:top w:val="single" w:sz="6" w:space="0" w:color="000000"/>
              <w:bottom w:val="single" w:sz="6" w:space="0" w:color="000000"/>
              <w:right w:val="single" w:sz="6" w:space="0" w:color="000000"/>
            </w:tcBorders>
          </w:tcPr>
          <w:p>
            <w:pPr>
              <w:pStyle w:val="TableParagraph"/>
              <w:spacing w:line="408" w:lineRule="exact"/>
              <w:ind w:left="107"/>
              <w:jc w:val="left"/>
              <w:rPr>
                <w:sz w:val="21"/>
              </w:rPr>
            </w:pPr>
            <w:r>
              <w:rPr>
                <w:sz w:val="21"/>
              </w:rPr>
              <w:t>禁忌物</w:t>
            </w: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line="408" w:lineRule="exact"/>
              <w:ind w:left="112"/>
              <w:jc w:val="left"/>
              <w:rPr>
                <w:sz w:val="21"/>
              </w:rPr>
            </w:pPr>
            <w:r>
              <w:rPr>
                <w:sz w:val="21"/>
              </w:rPr>
              <w:t>强酸、强碱、强氧化剂</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408" w:lineRule="exact"/>
              <w:ind w:left="115"/>
              <w:jc w:val="left"/>
              <w:rPr>
                <w:sz w:val="21"/>
              </w:rPr>
            </w:pPr>
            <w:r>
              <w:rPr>
                <w:sz w:val="21"/>
              </w:rPr>
              <w:t>溶解性</w:t>
            </w:r>
          </w:p>
        </w:tc>
        <w:tc>
          <w:tcPr>
            <w:tcW w:w="3570" w:type="dxa"/>
            <w:gridSpan w:val="4"/>
            <w:tcBorders>
              <w:top w:val="single" w:sz="6" w:space="0" w:color="000000"/>
              <w:left w:val="single" w:sz="6" w:space="0" w:color="000000"/>
              <w:bottom w:val="single" w:sz="6" w:space="0" w:color="000000"/>
            </w:tcBorders>
          </w:tcPr>
          <w:p>
            <w:pPr>
              <w:pStyle w:val="TableParagraph"/>
              <w:spacing w:line="355" w:lineRule="exact"/>
              <w:ind w:left="114"/>
              <w:jc w:val="left"/>
              <w:rPr>
                <w:sz w:val="21"/>
              </w:rPr>
            </w:pPr>
            <w:r>
              <w:rPr>
                <w:sz w:val="21"/>
              </w:rPr>
              <w:t>微溶于水，溶于醇、酮、醚、氯仿等</w:t>
            </w:r>
          </w:p>
          <w:p>
            <w:pPr>
              <w:pStyle w:val="TableParagraph"/>
              <w:spacing w:line="307" w:lineRule="exact"/>
              <w:ind w:left="114"/>
              <w:jc w:val="left"/>
              <w:rPr>
                <w:sz w:val="21"/>
              </w:rPr>
            </w:pPr>
            <w:r>
              <w:rPr>
                <w:sz w:val="21"/>
              </w:rPr>
              <w:t>多数有机溶剂</w:t>
            </w:r>
          </w:p>
        </w:tc>
      </w:tr>
      <w:tr>
        <w:trPr>
          <w:trHeight w:val="340" w:hRule="atLeast"/>
        </w:trPr>
        <w:tc>
          <w:tcPr>
            <w:tcW w:w="1627" w:type="dxa"/>
            <w:gridSpan w:val="2"/>
            <w:tcBorders>
              <w:top w:val="single" w:sz="6" w:space="0" w:color="000000"/>
              <w:bottom w:val="single" w:sz="6" w:space="0" w:color="000000"/>
              <w:right w:val="single" w:sz="6" w:space="0" w:color="000000"/>
            </w:tcBorders>
          </w:tcPr>
          <w:p>
            <w:pPr>
              <w:pStyle w:val="TableParagraph"/>
              <w:spacing w:line="320" w:lineRule="exact"/>
              <w:ind w:left="107"/>
              <w:jc w:val="left"/>
              <w:rPr>
                <w:sz w:val="21"/>
              </w:rPr>
            </w:pPr>
            <w:r>
              <w:rPr>
                <w:sz w:val="21"/>
              </w:rPr>
              <w:t>燃烧分解产物</w:t>
            </w: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2"/>
              <w:jc w:val="left"/>
              <w:rPr>
                <w:sz w:val="21"/>
              </w:rPr>
            </w:pPr>
            <w:r>
              <w:rPr>
                <w:sz w:val="21"/>
              </w:rPr>
              <w:t>一氧化碳、二氧化碳</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rFonts w:ascii="Times New Roman" w:eastAsia="Times New Roman"/>
                <w:sz w:val="21"/>
              </w:rPr>
              <w:t>UN </w:t>
            </w:r>
            <w:r>
              <w:rPr>
                <w:sz w:val="21"/>
              </w:rPr>
              <w:t>编号</w:t>
            </w:r>
          </w:p>
        </w:tc>
        <w:tc>
          <w:tcPr>
            <w:tcW w:w="119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5"/>
              <w:ind w:left="114"/>
              <w:jc w:val="left"/>
              <w:rPr>
                <w:rFonts w:ascii="Times New Roman"/>
                <w:sz w:val="21"/>
              </w:rPr>
            </w:pPr>
            <w:r>
              <w:rPr>
                <w:rFonts w:ascii="Times New Roman"/>
                <w:sz w:val="21"/>
              </w:rPr>
              <w:t>1173</w:t>
            </w:r>
          </w:p>
        </w:tc>
        <w:tc>
          <w:tcPr>
            <w:tcW w:w="1157" w:type="dxa"/>
            <w:tcBorders>
              <w:top w:val="single" w:sz="6" w:space="0" w:color="000000"/>
              <w:left w:val="single" w:sz="6" w:space="0" w:color="000000"/>
              <w:bottom w:val="single" w:sz="6" w:space="0" w:color="000000"/>
              <w:right w:val="single" w:sz="6" w:space="0" w:color="000000"/>
            </w:tcBorders>
          </w:tcPr>
          <w:p>
            <w:pPr>
              <w:pStyle w:val="TableParagraph"/>
              <w:spacing w:before="75"/>
              <w:ind w:left="113"/>
              <w:jc w:val="left"/>
              <w:rPr>
                <w:rFonts w:ascii="Times New Roman"/>
                <w:sz w:val="21"/>
              </w:rPr>
            </w:pPr>
            <w:r>
              <w:rPr>
                <w:rFonts w:ascii="Times New Roman"/>
                <w:sz w:val="21"/>
              </w:rPr>
              <w:t>CAS NO.</w:t>
            </w:r>
          </w:p>
        </w:tc>
        <w:tc>
          <w:tcPr>
            <w:tcW w:w="1221" w:type="dxa"/>
            <w:tcBorders>
              <w:top w:val="single" w:sz="6" w:space="0" w:color="000000"/>
              <w:left w:val="single" w:sz="6" w:space="0" w:color="000000"/>
              <w:bottom w:val="single" w:sz="6" w:space="0" w:color="000000"/>
            </w:tcBorders>
          </w:tcPr>
          <w:p>
            <w:pPr>
              <w:pStyle w:val="TableParagraph"/>
              <w:spacing w:before="75"/>
              <w:ind w:left="116"/>
              <w:jc w:val="left"/>
              <w:rPr>
                <w:rFonts w:ascii="Times New Roman"/>
                <w:sz w:val="21"/>
              </w:rPr>
            </w:pPr>
            <w:r>
              <w:rPr>
                <w:rFonts w:ascii="Times New Roman"/>
                <w:sz w:val="21"/>
              </w:rPr>
              <w:t>141-78-6</w:t>
            </w:r>
          </w:p>
        </w:tc>
      </w:tr>
      <w:tr>
        <w:trPr>
          <w:trHeight w:val="340" w:hRule="atLeast"/>
        </w:trPr>
        <w:tc>
          <w:tcPr>
            <w:tcW w:w="1627" w:type="dxa"/>
            <w:gridSpan w:val="2"/>
            <w:tcBorders>
              <w:top w:val="single" w:sz="6" w:space="0" w:color="000000"/>
              <w:bottom w:val="single" w:sz="6" w:space="0" w:color="000000"/>
              <w:right w:val="single" w:sz="6" w:space="0" w:color="000000"/>
            </w:tcBorders>
          </w:tcPr>
          <w:p>
            <w:pPr>
              <w:pStyle w:val="TableParagraph"/>
              <w:spacing w:line="320" w:lineRule="exact"/>
              <w:ind w:left="107"/>
              <w:jc w:val="left"/>
              <w:rPr>
                <w:sz w:val="21"/>
              </w:rPr>
            </w:pPr>
            <w:r>
              <w:rPr>
                <w:sz w:val="21"/>
              </w:rPr>
              <w:t>危险货物编号</w:t>
            </w: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before="75"/>
              <w:ind w:left="112"/>
              <w:jc w:val="left"/>
              <w:rPr>
                <w:rFonts w:ascii="Times New Roman"/>
                <w:sz w:val="21"/>
              </w:rPr>
            </w:pPr>
            <w:r>
              <w:rPr>
                <w:rFonts w:ascii="Times New Roman"/>
                <w:sz w:val="21"/>
              </w:rPr>
              <w:t>32127</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sz w:val="21"/>
              </w:rPr>
              <w:t>包装类别</w:t>
            </w:r>
          </w:p>
        </w:tc>
        <w:tc>
          <w:tcPr>
            <w:tcW w:w="1192"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
              <w:jc w:val="left"/>
              <w:rPr>
                <w:sz w:val="21"/>
              </w:rPr>
            </w:pPr>
            <w:r>
              <w:rPr>
                <w:w w:val="100"/>
                <w:sz w:val="21"/>
              </w:rPr>
              <w:t>Ⅱ</w:t>
            </w:r>
          </w:p>
        </w:tc>
        <w:tc>
          <w:tcPr>
            <w:tcW w:w="115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3"/>
              <w:jc w:val="left"/>
              <w:rPr>
                <w:sz w:val="21"/>
              </w:rPr>
            </w:pPr>
            <w:r>
              <w:rPr>
                <w:sz w:val="21"/>
              </w:rPr>
              <w:t>包装标志</w:t>
            </w:r>
          </w:p>
        </w:tc>
        <w:tc>
          <w:tcPr>
            <w:tcW w:w="1221" w:type="dxa"/>
            <w:tcBorders>
              <w:top w:val="single" w:sz="6" w:space="0" w:color="000000"/>
              <w:left w:val="single" w:sz="6" w:space="0" w:color="000000"/>
              <w:bottom w:val="single" w:sz="6" w:space="0" w:color="000000"/>
            </w:tcBorders>
          </w:tcPr>
          <w:p>
            <w:pPr>
              <w:pStyle w:val="TableParagraph"/>
              <w:spacing w:before="75"/>
              <w:ind w:left="116"/>
              <w:jc w:val="left"/>
              <w:rPr>
                <w:rFonts w:ascii="Times New Roman"/>
                <w:sz w:val="21"/>
              </w:rPr>
            </w:pPr>
            <w:r>
              <w:rPr>
                <w:rFonts w:ascii="Times New Roman"/>
                <w:w w:val="100"/>
                <w:sz w:val="21"/>
              </w:rPr>
              <w:t>7</w:t>
            </w:r>
          </w:p>
        </w:tc>
      </w:tr>
      <w:tr>
        <w:trPr>
          <w:trHeight w:val="678" w:hRule="atLeast"/>
        </w:trPr>
        <w:tc>
          <w:tcPr>
            <w:tcW w:w="1627" w:type="dxa"/>
            <w:gridSpan w:val="2"/>
            <w:tcBorders>
              <w:top w:val="single" w:sz="6" w:space="0" w:color="000000"/>
              <w:bottom w:val="single" w:sz="6" w:space="0" w:color="000000"/>
              <w:right w:val="single" w:sz="6" w:space="0" w:color="000000"/>
            </w:tcBorders>
          </w:tcPr>
          <w:p>
            <w:pPr>
              <w:pStyle w:val="TableParagraph"/>
              <w:spacing w:line="405" w:lineRule="exact"/>
              <w:ind w:left="107"/>
              <w:jc w:val="left"/>
              <w:rPr>
                <w:sz w:val="21"/>
              </w:rPr>
            </w:pPr>
            <w:r>
              <w:rPr>
                <w:sz w:val="21"/>
              </w:rPr>
              <w:t>危险特性</w:t>
            </w:r>
          </w:p>
        </w:tc>
        <w:tc>
          <w:tcPr>
            <w:tcW w:w="7308" w:type="dxa"/>
            <w:gridSpan w:val="6"/>
            <w:tcBorders>
              <w:top w:val="single" w:sz="6" w:space="0" w:color="000000"/>
              <w:left w:val="single" w:sz="6" w:space="0" w:color="000000"/>
              <w:bottom w:val="single" w:sz="6" w:space="0" w:color="000000"/>
            </w:tcBorders>
          </w:tcPr>
          <w:p>
            <w:pPr>
              <w:pStyle w:val="TableParagraph"/>
              <w:spacing w:line="353" w:lineRule="exact"/>
              <w:ind w:left="112"/>
              <w:jc w:val="left"/>
              <w:rPr>
                <w:sz w:val="21"/>
              </w:rPr>
            </w:pPr>
            <w:r>
              <w:rPr>
                <w:sz w:val="21"/>
              </w:rPr>
              <w:t>易燃，其蒸气与空气可形成爆炸性混合物。遇明火、高热能引起燃烧爆炸。与</w:t>
            </w:r>
          </w:p>
          <w:p>
            <w:pPr>
              <w:pStyle w:val="TableParagraph"/>
              <w:spacing w:line="305" w:lineRule="exact"/>
              <w:ind w:left="112"/>
              <w:jc w:val="left"/>
              <w:rPr>
                <w:sz w:val="21"/>
              </w:rPr>
            </w:pPr>
            <w:r>
              <w:rPr>
                <w:sz w:val="21"/>
              </w:rPr>
              <w:t>氧化剂接触会猛烈反应。在火场中，受热的容器有爆炸危险。</w:t>
            </w:r>
          </w:p>
        </w:tc>
      </w:tr>
      <w:tr>
        <w:trPr>
          <w:trHeight w:val="680" w:hRule="atLeast"/>
        </w:trPr>
        <w:tc>
          <w:tcPr>
            <w:tcW w:w="1627" w:type="dxa"/>
            <w:gridSpan w:val="2"/>
            <w:tcBorders>
              <w:top w:val="single" w:sz="6" w:space="0" w:color="000000"/>
              <w:bottom w:val="single" w:sz="6" w:space="0" w:color="000000"/>
              <w:right w:val="single" w:sz="6" w:space="0" w:color="000000"/>
            </w:tcBorders>
          </w:tcPr>
          <w:p>
            <w:pPr>
              <w:pStyle w:val="TableParagraph"/>
              <w:spacing w:line="408" w:lineRule="exact"/>
              <w:ind w:left="107"/>
              <w:jc w:val="left"/>
              <w:rPr>
                <w:sz w:val="21"/>
              </w:rPr>
            </w:pPr>
            <w:r>
              <w:rPr>
                <w:sz w:val="21"/>
              </w:rPr>
              <w:t>灭火方法</w:t>
            </w:r>
          </w:p>
        </w:tc>
        <w:tc>
          <w:tcPr>
            <w:tcW w:w="7308" w:type="dxa"/>
            <w:gridSpan w:val="6"/>
            <w:tcBorders>
              <w:top w:val="single" w:sz="6" w:space="0" w:color="000000"/>
              <w:left w:val="single" w:sz="6" w:space="0" w:color="000000"/>
              <w:bottom w:val="single" w:sz="6" w:space="0" w:color="000000"/>
            </w:tcBorders>
          </w:tcPr>
          <w:p>
            <w:pPr>
              <w:pStyle w:val="TableParagraph"/>
              <w:spacing w:line="354" w:lineRule="exact"/>
              <w:ind w:left="112"/>
              <w:jc w:val="left"/>
              <w:rPr>
                <w:sz w:val="21"/>
              </w:rPr>
            </w:pPr>
            <w:r>
              <w:rPr>
                <w:sz w:val="21"/>
              </w:rPr>
              <w:t>灭火剂：抗溶性泡沫、二氧化碳、干粉、砂土。用水灭火无效，但可用水保持</w:t>
            </w:r>
          </w:p>
          <w:p>
            <w:pPr>
              <w:pStyle w:val="TableParagraph"/>
              <w:spacing w:line="307" w:lineRule="exact"/>
              <w:ind w:left="112"/>
              <w:jc w:val="left"/>
              <w:rPr>
                <w:sz w:val="21"/>
              </w:rPr>
            </w:pPr>
            <w:r>
              <w:rPr>
                <w:sz w:val="21"/>
              </w:rPr>
              <w:t>火场中容器冷却。</w:t>
            </w:r>
          </w:p>
        </w:tc>
      </w:tr>
      <w:tr>
        <w:trPr>
          <w:trHeight w:val="1020" w:hRule="atLeast"/>
        </w:trPr>
        <w:tc>
          <w:tcPr>
            <w:tcW w:w="1627" w:type="dxa"/>
            <w:gridSpan w:val="2"/>
            <w:tcBorders>
              <w:top w:val="single" w:sz="6" w:space="0" w:color="000000"/>
              <w:bottom w:val="single" w:sz="6" w:space="0" w:color="000000"/>
              <w:right w:val="single" w:sz="6" w:space="0" w:color="000000"/>
            </w:tcBorders>
          </w:tcPr>
          <w:p>
            <w:pPr>
              <w:pStyle w:val="TableParagraph"/>
              <w:spacing w:line="405" w:lineRule="exact"/>
              <w:ind w:left="107"/>
              <w:jc w:val="left"/>
              <w:rPr>
                <w:sz w:val="21"/>
              </w:rPr>
            </w:pPr>
            <w:r>
              <w:rPr>
                <w:sz w:val="21"/>
              </w:rPr>
              <w:t>健康危害</w:t>
            </w:r>
          </w:p>
        </w:tc>
        <w:tc>
          <w:tcPr>
            <w:tcW w:w="7308" w:type="dxa"/>
            <w:gridSpan w:val="6"/>
            <w:tcBorders>
              <w:top w:val="single" w:sz="6" w:space="0" w:color="000000"/>
              <w:left w:val="single" w:sz="6" w:space="0" w:color="000000"/>
              <w:bottom w:val="single" w:sz="6" w:space="0" w:color="000000"/>
            </w:tcBorders>
          </w:tcPr>
          <w:p>
            <w:pPr>
              <w:pStyle w:val="TableParagraph"/>
              <w:spacing w:line="184" w:lineRule="auto" w:before="31"/>
              <w:ind w:left="112" w:right="-29"/>
              <w:jc w:val="left"/>
              <w:rPr>
                <w:sz w:val="21"/>
              </w:rPr>
            </w:pPr>
            <w:r>
              <w:rPr>
                <w:spacing w:val="-14"/>
                <w:sz w:val="21"/>
              </w:rPr>
              <w:t>对眼、鼻、咽喉有刺激作用。高浓度吸入可引起进行性麻醉作用，急性肺水肿， </w:t>
            </w:r>
            <w:r>
              <w:rPr>
                <w:spacing w:val="-15"/>
                <w:sz w:val="21"/>
              </w:rPr>
              <w:t>肝、肾损害。持续大量吸入，可致呼吸麻痹。误服者可产生恶心、呕吐、腹痛、</w:t>
            </w:r>
          </w:p>
          <w:p>
            <w:pPr>
              <w:pStyle w:val="TableParagraph"/>
              <w:spacing w:line="283" w:lineRule="exact"/>
              <w:ind w:left="112" w:right="-29"/>
              <w:jc w:val="left"/>
              <w:rPr>
                <w:sz w:val="21"/>
              </w:rPr>
            </w:pPr>
            <w:r>
              <w:rPr>
                <w:spacing w:val="-14"/>
                <w:sz w:val="21"/>
              </w:rPr>
              <w:t>腹痛、腹泻等。有致敏作用，因血管神经障碍而致牙龈出血；可致湿疹样皮炎。</w:t>
            </w:r>
          </w:p>
        </w:tc>
      </w:tr>
      <w:tr>
        <w:trPr>
          <w:trHeight w:val="1360" w:hRule="atLeast"/>
        </w:trPr>
        <w:tc>
          <w:tcPr>
            <w:tcW w:w="1627" w:type="dxa"/>
            <w:gridSpan w:val="2"/>
            <w:tcBorders>
              <w:top w:val="single" w:sz="6" w:space="0" w:color="000000"/>
              <w:bottom w:val="single" w:sz="6" w:space="0" w:color="000000"/>
              <w:right w:val="single" w:sz="6" w:space="0" w:color="000000"/>
            </w:tcBorders>
          </w:tcPr>
          <w:p>
            <w:pPr>
              <w:pStyle w:val="TableParagraph"/>
              <w:spacing w:line="405" w:lineRule="exact"/>
              <w:ind w:left="107"/>
              <w:jc w:val="left"/>
              <w:rPr>
                <w:sz w:val="21"/>
              </w:rPr>
            </w:pPr>
            <w:r>
              <w:rPr>
                <w:sz w:val="21"/>
              </w:rPr>
              <w:t>急救措施</w:t>
            </w:r>
          </w:p>
        </w:tc>
        <w:tc>
          <w:tcPr>
            <w:tcW w:w="7308" w:type="dxa"/>
            <w:gridSpan w:val="6"/>
            <w:tcBorders>
              <w:top w:val="single" w:sz="6" w:space="0" w:color="000000"/>
              <w:left w:val="single" w:sz="6" w:space="0" w:color="000000"/>
              <w:bottom w:val="single" w:sz="6" w:space="0" w:color="000000"/>
            </w:tcBorders>
          </w:tcPr>
          <w:p>
            <w:pPr>
              <w:pStyle w:val="TableParagraph"/>
              <w:spacing w:line="184" w:lineRule="auto" w:before="31"/>
              <w:ind w:left="112" w:right="653"/>
              <w:jc w:val="left"/>
              <w:rPr>
                <w:sz w:val="21"/>
              </w:rPr>
            </w:pPr>
            <w:r>
              <w:rPr>
                <w:sz w:val="21"/>
              </w:rPr>
              <w:t>皮肤接触：脱去被污染的衣着，用肥皂水和清水彻底冲洗皮肤。就医。眼睛接触：提起眼睑，用流动清水或生理盐水冲洗。就医。</w:t>
            </w:r>
          </w:p>
          <w:p>
            <w:pPr>
              <w:pStyle w:val="TableParagraph"/>
              <w:spacing w:line="316" w:lineRule="exact"/>
              <w:ind w:left="112"/>
              <w:jc w:val="left"/>
              <w:rPr>
                <w:sz w:val="21"/>
              </w:rPr>
            </w:pPr>
            <w:r>
              <w:rPr>
                <w:sz w:val="21"/>
              </w:rPr>
              <w:t>吸入：迅速脱离现场至空气新鲜处。保持呼吸道通畅。</w:t>
            </w:r>
          </w:p>
          <w:p>
            <w:pPr>
              <w:pStyle w:val="TableParagraph"/>
              <w:spacing w:line="307" w:lineRule="exact"/>
              <w:ind w:left="112"/>
              <w:jc w:val="left"/>
              <w:rPr>
                <w:sz w:val="21"/>
              </w:rPr>
            </w:pPr>
            <w:r>
              <w:rPr>
                <w:sz w:val="21"/>
              </w:rPr>
              <w:t>食入：饮足量温水，催吐，就医。</w:t>
            </w:r>
          </w:p>
        </w:tc>
      </w:tr>
      <w:tr>
        <w:trPr>
          <w:trHeight w:val="2039" w:hRule="atLeast"/>
        </w:trPr>
        <w:tc>
          <w:tcPr>
            <w:tcW w:w="1627" w:type="dxa"/>
            <w:gridSpan w:val="2"/>
            <w:tcBorders>
              <w:top w:val="single" w:sz="6" w:space="0" w:color="000000"/>
              <w:right w:val="single" w:sz="6" w:space="0" w:color="000000"/>
            </w:tcBorders>
          </w:tcPr>
          <w:p>
            <w:pPr>
              <w:pStyle w:val="TableParagraph"/>
              <w:spacing w:line="405" w:lineRule="exact"/>
              <w:ind w:left="107"/>
              <w:jc w:val="left"/>
              <w:rPr>
                <w:sz w:val="21"/>
              </w:rPr>
            </w:pPr>
            <w:r>
              <w:rPr>
                <w:sz w:val="21"/>
              </w:rPr>
              <w:t>防护措施</w:t>
            </w:r>
          </w:p>
        </w:tc>
        <w:tc>
          <w:tcPr>
            <w:tcW w:w="7308" w:type="dxa"/>
            <w:gridSpan w:val="6"/>
            <w:tcBorders>
              <w:top w:val="single" w:sz="6" w:space="0" w:color="000000"/>
              <w:left w:val="single" w:sz="6" w:space="0" w:color="000000"/>
            </w:tcBorders>
          </w:tcPr>
          <w:p>
            <w:pPr>
              <w:pStyle w:val="TableParagraph"/>
              <w:spacing w:line="184" w:lineRule="auto" w:before="31"/>
              <w:ind w:left="112" w:right="43" w:firstLine="52"/>
              <w:jc w:val="both"/>
              <w:rPr>
                <w:sz w:val="21"/>
              </w:rPr>
            </w:pPr>
            <w:r>
              <w:rPr>
                <w:spacing w:val="-3"/>
                <w:sz w:val="21"/>
              </w:rPr>
              <w:t>呼吸系统防护：可能接触其蒸气时，应该佩戴自吸过滤式防毒面具</w:t>
            </w:r>
            <w:r>
              <w:rPr>
                <w:rFonts w:ascii="Times New Roman" w:eastAsia="Times New Roman"/>
                <w:spacing w:val="-4"/>
                <w:sz w:val="21"/>
              </w:rPr>
              <w:t>(</w:t>
            </w:r>
            <w:r>
              <w:rPr>
                <w:spacing w:val="-2"/>
                <w:sz w:val="21"/>
              </w:rPr>
              <w:t>半面罩</w:t>
            </w:r>
            <w:r>
              <w:rPr>
                <w:rFonts w:ascii="Times New Roman" w:eastAsia="Times New Roman"/>
                <w:sz w:val="21"/>
              </w:rPr>
              <w:t>)</w:t>
            </w:r>
            <w:r>
              <w:rPr>
                <w:sz w:val="21"/>
              </w:rPr>
              <w:t>。</w:t>
            </w:r>
            <w:r>
              <w:rPr>
                <w:spacing w:val="-7"/>
                <w:sz w:val="21"/>
              </w:rPr>
              <w:t>紧急事态抢救或撤离时，建议佩戴空气呼吸器。眼睛防护：戴化学安全防护眼镜。</w:t>
            </w:r>
          </w:p>
          <w:p>
            <w:pPr>
              <w:pStyle w:val="TableParagraph"/>
              <w:spacing w:line="184" w:lineRule="auto"/>
              <w:ind w:left="112" w:right="4436"/>
              <w:jc w:val="left"/>
              <w:rPr>
                <w:sz w:val="21"/>
              </w:rPr>
            </w:pPr>
            <w:r>
              <w:rPr>
                <w:sz w:val="21"/>
              </w:rPr>
              <w:t>身体防护：穿防静电工作服。手防护：戴橡胶手套。</w:t>
            </w:r>
          </w:p>
          <w:p>
            <w:pPr>
              <w:pStyle w:val="TableParagraph"/>
              <w:spacing w:line="282" w:lineRule="exact"/>
              <w:ind w:left="112"/>
              <w:jc w:val="both"/>
              <w:rPr>
                <w:sz w:val="21"/>
              </w:rPr>
            </w:pPr>
            <w:r>
              <w:rPr>
                <w:sz w:val="21"/>
              </w:rPr>
              <w:t>其它：工作现场严禁吸烟。工作毕，淋浴更衣。注意个人清洁卫生。</w:t>
            </w:r>
          </w:p>
        </w:tc>
      </w:tr>
    </w:tbl>
    <w:p>
      <w:pPr>
        <w:spacing w:after="0" w:line="282" w:lineRule="exact"/>
        <w:jc w:val="both"/>
        <w:rPr>
          <w:sz w:val="21"/>
        </w:rPr>
        <w:sectPr>
          <w:pgSz w:w="11910" w:h="16840"/>
          <w:pgMar w:header="877" w:footer="973" w:top="1340" w:bottom="1160" w:left="1220" w:right="1040"/>
        </w:sectPr>
      </w:pPr>
    </w:p>
    <w:p>
      <w:pPr>
        <w:pStyle w:val="BodyText"/>
        <w:spacing w:before="19"/>
        <w:rPr>
          <w:sz w:val="3"/>
        </w:rPr>
      </w:pPr>
    </w:p>
    <w:p>
      <w:pPr>
        <w:pStyle w:val="BodyText"/>
        <w:ind w:left="484"/>
        <w:rPr>
          <w:sz w:val="20"/>
        </w:rPr>
      </w:pPr>
      <w:r>
        <w:rPr>
          <w:sz w:val="20"/>
        </w:rPr>
        <w:pict>
          <v:group style="width:446.85pt;height:121.95pt;mso-position-horizontal-relative:char;mso-position-vertical-relative:line" coordorigin="0,0" coordsize="8937,2439">
            <v:rect style="position:absolute;left:1605;top:28;width:15;height:3" filled="true" fillcolor="#000000" stroked="false">
              <v:fill type="solid"/>
            </v:rect>
            <v:rect style="position:absolute;left:1605;top:0;width:29;height:29" filled="true" fillcolor="#000000" stroked="false">
              <v:fill type="solid"/>
            </v:rect>
            <v:line style="position:absolute" from="1634,14" to="8908,14" stroked="true" strokeweight="1.44pt" strokecolor="#000000">
              <v:stroke dashstyle="solid"/>
            </v:line>
            <v:rect style="position:absolute;left:8907;top:0;width:29;height:32" filled="true" fillcolor="#000000" stroked="false">
              <v:fill type="solid"/>
            </v:rect>
            <v:rect style="position:absolute;left:8907;top:0;width:29;height:29" filled="true" fillcolor="#000000" stroked="false">
              <v:fill type="solid"/>
            </v:rect>
            <v:line style="position:absolute" from="1613,31" to="1613,2410" stroked="true" strokeweight=".72pt" strokecolor="#000000">
              <v:stroke dashstyle="solid"/>
            </v:line>
            <v:rect style="position:absolute;left:1605;top:2410;width:29;height:29" filled="true" fillcolor="#000000" stroked="false">
              <v:fill type="solid"/>
            </v:rect>
            <v:line style="position:absolute" from="1634,2424" to="8908,2424" stroked="true" strokeweight="1.44pt" strokecolor="#000000">
              <v:stroke dashstyle="solid"/>
            </v:line>
            <v:line style="position:absolute" from="8922,31" to="8922,2439" stroked="true" strokeweight="1.44pt" strokecolor="#000000">
              <v:stroke dashstyle="solid"/>
            </v:line>
            <v:shape style="position:absolute;left:1619;top:28;width:7288;height:2382" type="#_x0000_t202" filled="false" stroked="false">
              <v:textbox inset="0,0,0,0">
                <w:txbxContent>
                  <w:p>
                    <w:pPr>
                      <w:spacing w:line="182" w:lineRule="auto" w:before="37"/>
                      <w:ind w:left="98" w:right="-15" w:firstLine="0"/>
                      <w:jc w:val="both"/>
                      <w:rPr>
                        <w:sz w:val="21"/>
                      </w:rPr>
                    </w:pPr>
                    <w:r>
                      <w:rPr>
                        <w:spacing w:val="-3"/>
                        <w:sz w:val="21"/>
                      </w:rPr>
                      <w:t>迅速撤离泄漏污染区人员至安全区，并进行隔离，严格限制出入。切断火源。建议应急处理人员戴自给正压式呼吸器，穿消防防护服。尽可能切断泄漏源， </w:t>
                    </w:r>
                    <w:r>
                      <w:rPr>
                        <w:spacing w:val="-8"/>
                        <w:sz w:val="21"/>
                      </w:rPr>
                      <w:t>防止进入下水道、排洪沟等限制性空间。小量泄漏：用活性炭或其它惰性材料吸收。也可以用大量水冲洗，洗水稀释后放入废水系统。大量泄漏：构筑围堤或挖</w:t>
                    </w:r>
                    <w:r>
                      <w:rPr>
                        <w:spacing w:val="-11"/>
                        <w:sz w:val="21"/>
                      </w:rPr>
                      <w:t>坑收容；用泡沫覆盖，降低蒸气灾害。用防爆泵转移至槽车或专用收集器内，回收或运至废物处理场所处置。或挖坑收容；用泡沫覆盖，降低蒸气灾害。用防爆泵转至槽车或专用收集器内，回收或运至废物处理场所处置。</w:t>
                    </w:r>
                  </w:p>
                </w:txbxContent>
              </v:textbox>
              <w10:wrap type="none"/>
            </v:shape>
            <v:shape style="position:absolute;left:0;top:28;width:1606;height:2382" type="#_x0000_t202" filled="false" stroked="false">
              <v:textbox inset="0,0,0,0">
                <w:txbxContent>
                  <w:p>
                    <w:pPr>
                      <w:spacing w:line="408" w:lineRule="exact" w:before="0"/>
                      <w:ind w:left="93" w:right="0" w:firstLine="0"/>
                      <w:jc w:val="left"/>
                      <w:rPr>
                        <w:sz w:val="21"/>
                      </w:rPr>
                    </w:pPr>
                    <w:r>
                      <w:rPr>
                        <w:sz w:val="21"/>
                      </w:rPr>
                      <w:t>泄漏应急措施</w:t>
                    </w:r>
                  </w:p>
                </w:txbxContent>
              </v:textbox>
              <w10:wrap type="none"/>
            </v:shape>
          </v:group>
        </w:pict>
      </w:r>
      <w:r>
        <w:rPr>
          <w:sz w:val="20"/>
        </w:rPr>
      </w:r>
    </w:p>
    <w:p>
      <w:pPr>
        <w:tabs>
          <w:tab w:pos="4348" w:val="left" w:leader="none"/>
        </w:tabs>
        <w:spacing w:before="45"/>
        <w:ind w:left="3333" w:right="0" w:firstLine="0"/>
        <w:jc w:val="left"/>
        <w:rPr>
          <w:sz w:val="21"/>
        </w:rPr>
      </w:pPr>
      <w:r>
        <w:rPr/>
        <w:pict>
          <v:line style="position:absolute;mso-position-horizontal-relative:page;mso-position-vertical-relative:paragraph;z-index:1480" from="84.503998pt,-122.150017pt" to="84.503998pt,-1.770017pt" stroked="true" strokeweight="1.44pt" strokecolor="#000000">
            <v:stroke dashstyle="solid"/>
            <w10:wrap type="none"/>
          </v:line>
        </w:pict>
      </w:r>
      <w:r>
        <w:rPr>
          <w:sz w:val="21"/>
        </w:rPr>
        <w:t>表</w:t>
      </w:r>
      <w:r>
        <w:rPr>
          <w:spacing w:val="5"/>
          <w:sz w:val="21"/>
        </w:rPr>
        <w:t> </w:t>
      </w:r>
      <w:r>
        <w:rPr>
          <w:rFonts w:ascii="Times New Roman" w:eastAsia="Times New Roman"/>
          <w:sz w:val="21"/>
        </w:rPr>
        <w:t>7.1-33</w:t>
        <w:tab/>
      </w:r>
      <w:r>
        <w:rPr>
          <w:sz w:val="21"/>
        </w:rPr>
        <w:t>氯</w:t>
      </w:r>
      <w:r>
        <w:rPr>
          <w:spacing w:val="-3"/>
          <w:sz w:val="21"/>
        </w:rPr>
        <w:t>仿</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61553</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13" w:right="82"/>
              <w:rPr>
                <w:rFonts w:ascii="Times New Roman"/>
                <w:sz w:val="21"/>
              </w:rPr>
            </w:pPr>
            <w:r>
              <w:rPr>
                <w:rFonts w:ascii="Times New Roman"/>
                <w:sz w:val="21"/>
              </w:rPr>
              <w:t>67-66-3</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80"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212" w:right="184"/>
              <w:rPr>
                <w:sz w:val="21"/>
              </w:rPr>
            </w:pPr>
            <w:r>
              <w:rPr>
                <w:sz w:val="21"/>
              </w:rPr>
              <w:t>氯仿</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4"/>
              <w:ind w:left="115" w:right="78"/>
              <w:rPr>
                <w:rFonts w:ascii="Times New Roman"/>
                <w:sz w:val="21"/>
              </w:rPr>
            </w:pPr>
            <w:r>
              <w:rPr>
                <w:rFonts w:ascii="Times New Roman"/>
                <w:sz w:val="21"/>
              </w:rPr>
              <w:t>chloroform</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12" w:right="181"/>
              <w:rPr>
                <w:rFonts w:ascii="Times New Roman" w:eastAsia="Times New Roman"/>
                <w:sz w:val="21"/>
              </w:rPr>
            </w:pPr>
            <w:r>
              <w:rPr>
                <w:rFonts w:ascii="Times New Roman" w:eastAsia="Times New Roman"/>
                <w:sz w:val="21"/>
              </w:rPr>
              <w:t>14(</w:t>
            </w:r>
            <w:r>
              <w:rPr>
                <w:sz w:val="21"/>
              </w:rPr>
              <w:t>有毒品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282" w:lineRule="exact"/>
              <w:ind w:left="115" w:right="80"/>
              <w:rPr>
                <w:sz w:val="21"/>
              </w:rPr>
            </w:pPr>
            <w:r>
              <w:rPr>
                <w:sz w:val="21"/>
              </w:rPr>
              <w:t>用于有机合成及麻醉剂等</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1499" w:hRule="atLeast"/>
        </w:trPr>
        <w:tc>
          <w:tcPr>
            <w:tcW w:w="1188" w:type="dxa"/>
            <w:tcBorders>
              <w:top w:val="single" w:sz="6" w:space="0" w:color="000000"/>
              <w:bottom w:val="single" w:sz="6" w:space="0" w:color="000000"/>
              <w:right w:val="single" w:sz="6" w:space="0" w:color="000000"/>
            </w:tcBorders>
          </w:tcPr>
          <w:p>
            <w:pPr>
              <w:pStyle w:val="TableParagraph"/>
              <w:spacing w:before="20"/>
              <w:jc w:val="left"/>
              <w:rPr>
                <w:sz w:val="24"/>
              </w:rPr>
            </w:pPr>
          </w:p>
          <w:p>
            <w:pPr>
              <w:pStyle w:val="TableParagraph"/>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both"/>
              <w:rPr>
                <w:sz w:val="21"/>
              </w:rPr>
            </w:pPr>
            <w:r>
              <w:rPr>
                <w:sz w:val="21"/>
              </w:rPr>
              <w:t>主要作用于中枢神经系统，具有麻醉作用，对心、肝、肾有损害。吸入或经皮肤吸收引起急性中毒，初期有头痛、头晕、恶心、呕吐、兴奋、皮肤粘膜有刺激症状， 以后呈现精神紊乱、呼吸表浅、反向消失、昏迷等，重者发生呼吸麻痹、心室纤维性颤动、并可有肝、肾损害。误服中毒时，胃有烧灼感、伴恶心、呕吐、腹痛、腹</w:t>
            </w:r>
          </w:p>
          <w:p>
            <w:pPr>
              <w:pStyle w:val="TableParagraph"/>
              <w:spacing w:line="255" w:lineRule="exact"/>
              <w:ind w:left="114"/>
              <w:jc w:val="both"/>
              <w:rPr>
                <w:sz w:val="21"/>
              </w:rPr>
            </w:pPr>
            <w:r>
              <w:rPr>
                <w:sz w:val="21"/>
              </w:rPr>
              <w:t>泻以后出现麻醉症状。</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pacing w:val="-1"/>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908mg/kg(</w:t>
            </w:r>
            <w:r>
              <w:rPr>
                <w:spacing w:val="-1"/>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47702mg/m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4</w:t>
            </w:r>
            <w:r>
              <w:rPr>
                <w:rFonts w:ascii="Times New Roman" w:eastAsia="Times New Roman"/>
                <w:spacing w:val="1"/>
                <w:position w:val="2"/>
                <w:sz w:val="21"/>
                <w:vertAlign w:val="baseline"/>
              </w:rPr>
              <w:t> </w:t>
            </w:r>
            <w:r>
              <w:rPr>
                <w:position w:val="2"/>
                <w:sz w:val="21"/>
                <w:vertAlign w:val="baseline"/>
              </w:rPr>
              <w:t>小时</w:t>
            </w:r>
            <w:r>
              <w:rPr>
                <w:rFonts w:ascii="Times New Roman" w:eastAsia="Times New Roman"/>
                <w:position w:val="2"/>
                <w:sz w:val="21"/>
                <w:vertAlign w:val="baseline"/>
              </w:rPr>
              <w:t>(</w:t>
            </w:r>
            <w:r>
              <w:rPr>
                <w:spacing w:val="-2"/>
                <w:position w:val="2"/>
                <w:sz w:val="21"/>
                <w:vertAlign w:val="baseline"/>
              </w:rPr>
              <w:t>大鼠吸入</w:t>
            </w:r>
            <w:r>
              <w:rPr>
                <w:rFonts w:ascii="Times New Roman" w:eastAsia="Times New Roman"/>
                <w:spacing w:val="-4"/>
                <w:position w:val="2"/>
                <w:sz w:val="21"/>
                <w:vertAlign w:val="baseline"/>
              </w:rPr>
              <w:t>)</w:t>
            </w:r>
            <w:r>
              <w:rPr>
                <w:spacing w:val="-3"/>
                <w:position w:val="2"/>
                <w:sz w:val="21"/>
                <w:vertAlign w:val="baseline"/>
              </w:rPr>
              <w:t>；人吸入</w:t>
            </w:r>
          </w:p>
          <w:p>
            <w:pPr>
              <w:pStyle w:val="TableParagraph"/>
              <w:spacing w:line="300" w:lineRule="exact"/>
              <w:ind w:left="114"/>
              <w:jc w:val="left"/>
              <w:rPr>
                <w:sz w:val="21"/>
              </w:rPr>
            </w:pPr>
            <w:r>
              <w:rPr>
                <w:rFonts w:ascii="Times New Roman" w:eastAsia="Times New Roman"/>
                <w:sz w:val="21"/>
              </w:rPr>
              <w:t>120g/m</w:t>
            </w:r>
            <w:r>
              <w:rPr>
                <w:rFonts w:ascii="Times New Roman" w:eastAsia="Times New Roman"/>
                <w:position w:val="7"/>
                <w:sz w:val="14"/>
              </w:rPr>
              <w:t>3</w:t>
            </w:r>
            <w:r>
              <w:rPr>
                <w:spacing w:val="2"/>
                <w:sz w:val="21"/>
              </w:rPr>
              <w:t>，吸入  </w:t>
            </w:r>
            <w:r>
              <w:rPr>
                <w:rFonts w:ascii="Times New Roman" w:eastAsia="Times New Roman"/>
                <w:sz w:val="21"/>
              </w:rPr>
              <w:t>5</w:t>
            </w:r>
            <w:r>
              <w:rPr>
                <w:sz w:val="21"/>
              </w:rPr>
              <w:t>～</w:t>
            </w:r>
            <w:r>
              <w:rPr>
                <w:rFonts w:ascii="Times New Roman" w:eastAsia="Times New Roman"/>
                <w:sz w:val="21"/>
              </w:rPr>
              <w:t>10  </w:t>
            </w:r>
            <w:r>
              <w:rPr>
                <w:spacing w:val="-2"/>
                <w:sz w:val="21"/>
              </w:rPr>
              <w:t>分钟死亡；人吸入  </w:t>
            </w:r>
            <w:r>
              <w:rPr>
                <w:rFonts w:ascii="Times New Roman" w:eastAsia="Times New Roman"/>
                <w:sz w:val="21"/>
              </w:rPr>
              <w:t>30</w:t>
            </w:r>
            <w:r>
              <w:rPr>
                <w:sz w:val="21"/>
              </w:rPr>
              <w:t>～</w:t>
            </w:r>
            <w:r>
              <w:rPr>
                <w:rFonts w:ascii="Times New Roman" w:eastAsia="Times New Roman"/>
                <w:sz w:val="21"/>
              </w:rPr>
              <w:t>40g/m</w:t>
            </w:r>
            <w:r>
              <w:rPr>
                <w:rFonts w:ascii="Times New Roman" w:eastAsia="Times New Roman"/>
                <w:position w:val="7"/>
                <w:sz w:val="14"/>
              </w:rPr>
              <w:t>3</w:t>
            </w:r>
            <w:r>
              <w:rPr>
                <w:spacing w:val="-3"/>
                <w:sz w:val="21"/>
              </w:rPr>
              <w:t>，呕吐，眩晕的感觉；人吸入</w:t>
            </w:r>
          </w:p>
          <w:p>
            <w:pPr>
              <w:pStyle w:val="TableParagraph"/>
              <w:spacing w:line="278" w:lineRule="exact"/>
              <w:ind w:left="114"/>
              <w:jc w:val="left"/>
              <w:rPr>
                <w:sz w:val="21"/>
              </w:rPr>
            </w:pPr>
            <w:r>
              <w:rPr>
                <w:rFonts w:ascii="Times New Roman" w:eastAsia="Times New Roman"/>
                <w:sz w:val="21"/>
              </w:rPr>
              <w:t>10g/m</w:t>
            </w:r>
            <w:r>
              <w:rPr>
                <w:rFonts w:ascii="Times New Roman" w:eastAsia="Times New Roman"/>
                <w:position w:val="7"/>
                <w:sz w:val="14"/>
              </w:rPr>
              <w:t>3</w:t>
            </w:r>
            <w:r>
              <w:rPr>
                <w:sz w:val="21"/>
              </w:rPr>
              <w:t>，</w:t>
            </w:r>
            <w:r>
              <w:rPr>
                <w:rFonts w:ascii="Times New Roman" w:eastAsia="Times New Roman"/>
                <w:sz w:val="21"/>
              </w:rPr>
              <w:t>15 </w:t>
            </w:r>
            <w:r>
              <w:rPr>
                <w:sz w:val="21"/>
              </w:rPr>
              <w:t>分钟后眩晕和轻度恶心；人吸入 </w:t>
            </w:r>
            <w:r>
              <w:rPr>
                <w:rFonts w:ascii="Times New Roman" w:eastAsia="Times New Roman"/>
                <w:sz w:val="21"/>
              </w:rPr>
              <w:t>1.9g/m</w:t>
            </w:r>
            <w:r>
              <w:rPr>
                <w:rFonts w:ascii="Times New Roman" w:eastAsia="Times New Roman"/>
                <w:position w:val="7"/>
                <w:sz w:val="14"/>
              </w:rPr>
              <w:t>3</w:t>
            </w:r>
            <w:r>
              <w:rPr>
                <w:sz w:val="21"/>
              </w:rPr>
              <w:t>，能耐受 </w:t>
            </w:r>
            <w:r>
              <w:rPr>
                <w:rFonts w:ascii="Times New Roman" w:eastAsia="Times New Roman"/>
                <w:sz w:val="21"/>
              </w:rPr>
              <w:t>30 </w:t>
            </w:r>
            <w:r>
              <w:rPr>
                <w:sz w:val="21"/>
              </w:rPr>
              <w:t>分钟，无不适。</w:t>
            </w:r>
          </w:p>
        </w:tc>
      </w:tr>
      <w:tr>
        <w:trPr>
          <w:trHeight w:val="602"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4" w:lineRule="exact"/>
              <w:ind w:left="114"/>
              <w:jc w:val="left"/>
              <w:rPr>
                <w:sz w:val="21"/>
              </w:rPr>
            </w:pPr>
            <w:r>
              <w:rPr>
                <w:sz w:val="21"/>
              </w:rPr>
              <w:t>与明火或灼热的物体接触时能产生剧毒的光气。在空气、水分和光的作用下，酸度</w:t>
            </w:r>
          </w:p>
          <w:p>
            <w:pPr>
              <w:pStyle w:val="TableParagraph"/>
              <w:spacing w:line="278" w:lineRule="exact"/>
              <w:ind w:left="114"/>
              <w:jc w:val="left"/>
              <w:rPr>
                <w:sz w:val="21"/>
              </w:rPr>
            </w:pPr>
            <w:r>
              <w:rPr>
                <w:sz w:val="21"/>
              </w:rPr>
              <w:t>增加，因而对金属有强烈的腐蚀性。</w:t>
            </w:r>
          </w:p>
        </w:tc>
      </w:tr>
      <w:tr>
        <w:trPr>
          <w:trHeight w:val="600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8"/>
              <w:jc w:val="left"/>
              <w:rPr>
                <w:sz w:val="28"/>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z w:val="21"/>
              </w:rPr>
              <w:t>迅速撤离泄漏污染区人员至安全检查区，并进行隔离，严格限制出入。</w:t>
            </w:r>
          </w:p>
          <w:p>
            <w:pPr>
              <w:pStyle w:val="TableParagraph"/>
              <w:spacing w:line="300" w:lineRule="exact"/>
              <w:ind w:left="114" w:right="-44"/>
              <w:jc w:val="left"/>
              <w:rPr>
                <w:sz w:val="21"/>
              </w:rPr>
            </w:pPr>
            <w:r>
              <w:rPr>
                <w:spacing w:val="-7"/>
                <w:sz w:val="21"/>
              </w:rPr>
              <w:t>⑴常温下的三氯甲烷为无色液体。对于发生在地面上的污染事故及处置技术主要有：</w:t>
            </w:r>
          </w:p>
          <w:p>
            <w:pPr>
              <w:pStyle w:val="TableParagraph"/>
              <w:spacing w:line="160" w:lineRule="auto" w:before="30"/>
              <w:ind w:left="114" w:right="-44"/>
              <w:jc w:val="both"/>
              <w:rPr>
                <w:sz w:val="21"/>
              </w:rPr>
            </w:pPr>
            <w:r>
              <w:rPr>
                <w:sz w:val="21"/>
              </w:rPr>
              <w:t>①迅速用土、沙子或其它可以取到的材料筑成坝以阻止液体的流动，特别要防止其</w:t>
            </w:r>
            <w:r>
              <w:rPr>
                <w:spacing w:val="-9"/>
                <w:sz w:val="21"/>
              </w:rPr>
              <w:t>流入附近的水体中，用土壤将其覆盖并将其吸收。也可以在其流动的下方向挖一坑， </w:t>
            </w:r>
            <w:r>
              <w:rPr>
                <w:spacing w:val="-5"/>
                <w:sz w:val="21"/>
              </w:rPr>
              <w:t>将其收集在坑内以防四处扩散，然后将液体收集到合适的容器中。</w:t>
            </w:r>
          </w:p>
          <w:p>
            <w:pPr>
              <w:pStyle w:val="TableParagraph"/>
              <w:spacing w:line="160" w:lineRule="auto" w:before="5"/>
              <w:ind w:left="114" w:right="72"/>
              <w:jc w:val="both"/>
              <w:rPr>
                <w:sz w:val="21"/>
              </w:rPr>
            </w:pPr>
            <w:r>
              <w:rPr>
                <w:spacing w:val="-3"/>
                <w:sz w:val="21"/>
              </w:rPr>
              <w:t>②在处理过程中不要用铁器</w:t>
            </w:r>
            <w:r>
              <w:rPr>
                <w:rFonts w:ascii="Times New Roman" w:hAnsi="Times New Roman" w:eastAsia="Times New Roman"/>
                <w:sz w:val="21"/>
              </w:rPr>
              <w:t>(</w:t>
            </w:r>
            <w:r>
              <w:rPr>
                <w:spacing w:val="-9"/>
                <w:sz w:val="21"/>
              </w:rPr>
              <w:t>如铁勺、铁容器、铁铲等</w:t>
            </w:r>
            <w:r>
              <w:rPr>
                <w:rFonts w:ascii="Times New Roman" w:hAnsi="Times New Roman" w:eastAsia="Times New Roman"/>
                <w:spacing w:val="-13"/>
                <w:sz w:val="21"/>
              </w:rPr>
              <w:t>)</w:t>
            </w:r>
            <w:r>
              <w:rPr>
                <w:spacing w:val="-8"/>
                <w:sz w:val="21"/>
              </w:rPr>
              <w:t>，应改用其它工具，因为铁有助于三氯甲烷分解生成毒性更大的光气。有条件的话，操作人员在处理过程中应戴</w:t>
            </w:r>
            <w:r>
              <w:rPr>
                <w:spacing w:val="-5"/>
                <w:sz w:val="21"/>
              </w:rPr>
              <w:t>上防毒面具，或其它防护设备。</w:t>
            </w:r>
          </w:p>
          <w:p>
            <w:pPr>
              <w:pStyle w:val="TableParagraph"/>
              <w:spacing w:line="275" w:lineRule="exact"/>
              <w:ind w:left="114"/>
              <w:jc w:val="left"/>
              <w:rPr>
                <w:sz w:val="21"/>
              </w:rPr>
            </w:pPr>
            <w:r>
              <w:rPr>
                <w:sz w:val="21"/>
              </w:rPr>
              <w:t>③将受污染的土壤清除剥离后集中进行处理，有以下几种方法可视情况选用：</w:t>
            </w:r>
          </w:p>
          <w:p>
            <w:pPr>
              <w:pStyle w:val="TableParagraph"/>
              <w:spacing w:line="300" w:lineRule="exact"/>
              <w:ind w:left="273"/>
              <w:jc w:val="left"/>
              <w:rPr>
                <w:sz w:val="21"/>
              </w:rPr>
            </w:pPr>
            <w:r>
              <w:rPr>
                <w:rFonts w:ascii="Times New Roman" w:eastAsia="Times New Roman"/>
                <w:spacing w:val="-1"/>
                <w:sz w:val="21"/>
              </w:rPr>
              <w:t>a.</w:t>
            </w:r>
            <w:r>
              <w:rPr>
                <w:spacing w:val="-3"/>
                <w:sz w:val="21"/>
              </w:rPr>
              <w:t>加热土壤并加水，使三氯甲烷生成甲酸、一氧化碳和盐酸；</w:t>
            </w:r>
          </w:p>
          <w:p>
            <w:pPr>
              <w:pStyle w:val="TableParagraph"/>
              <w:spacing w:line="300" w:lineRule="exact"/>
              <w:ind w:left="273"/>
              <w:jc w:val="left"/>
              <w:rPr>
                <w:sz w:val="21"/>
              </w:rPr>
            </w:pPr>
            <w:r>
              <w:rPr>
                <w:rFonts w:ascii="Times New Roman" w:eastAsia="Times New Roman"/>
                <w:sz w:val="21"/>
              </w:rPr>
              <w:t>b.</w:t>
            </w:r>
            <w:r>
              <w:rPr>
                <w:spacing w:val="-3"/>
                <w:sz w:val="21"/>
              </w:rPr>
              <w:t>将浓碱液加入到土壤中使其与三氯甲烷反应生成一氧化碳；</w:t>
            </w:r>
          </w:p>
          <w:p>
            <w:pPr>
              <w:pStyle w:val="TableParagraph"/>
              <w:spacing w:line="160" w:lineRule="auto" w:before="30"/>
              <w:ind w:left="114" w:right="72" w:firstLine="158"/>
              <w:jc w:val="left"/>
              <w:rPr>
                <w:sz w:val="21"/>
              </w:rPr>
            </w:pPr>
            <w:r>
              <w:rPr>
                <w:rFonts w:ascii="Times New Roman" w:eastAsia="Times New Roman"/>
                <w:sz w:val="21"/>
              </w:rPr>
              <w:t>c.</w:t>
            </w:r>
            <w:r>
              <w:rPr>
                <w:spacing w:val="-6"/>
                <w:sz w:val="21"/>
              </w:rPr>
              <w:t>将稀的氢氧化钠或氢氧化钾加入土壤中，使其与三氯甲烷反应生成甲酸钠或甲酸钾；</w:t>
            </w:r>
          </w:p>
          <w:p>
            <w:pPr>
              <w:pStyle w:val="TableParagraph"/>
              <w:spacing w:line="273" w:lineRule="exact"/>
              <w:ind w:left="114"/>
              <w:jc w:val="left"/>
              <w:rPr>
                <w:sz w:val="21"/>
              </w:rPr>
            </w:pPr>
            <w:r>
              <w:rPr>
                <w:sz w:val="21"/>
              </w:rPr>
              <w:t>以上操作应避免在光照条件下进行。</w:t>
            </w:r>
          </w:p>
          <w:p>
            <w:pPr>
              <w:pStyle w:val="TableParagraph"/>
              <w:spacing w:line="160" w:lineRule="auto" w:before="30"/>
              <w:ind w:left="114" w:right="72"/>
              <w:jc w:val="both"/>
              <w:rPr>
                <w:sz w:val="21"/>
              </w:rPr>
            </w:pPr>
            <w:r>
              <w:rPr>
                <w:sz w:val="21"/>
              </w:rPr>
              <w:t>⑵当三氯甲烷液体进入水体后，应设法阻断受污染水域与其它水域的通道，其方法</w:t>
            </w:r>
            <w:r>
              <w:rPr>
                <w:spacing w:val="-8"/>
                <w:sz w:val="21"/>
              </w:rPr>
              <w:t>为筑坝使其停止流动；开沟使其流向另一水体</w:t>
            </w:r>
            <w:r>
              <w:rPr>
                <w:rFonts w:ascii="Times New Roman" w:hAnsi="Times New Roman" w:eastAsia="Times New Roman"/>
                <w:spacing w:val="-4"/>
                <w:sz w:val="21"/>
              </w:rPr>
              <w:t>(</w:t>
            </w:r>
            <w:r>
              <w:rPr>
                <w:spacing w:val="-2"/>
                <w:sz w:val="21"/>
              </w:rPr>
              <w:t>如排污渠</w:t>
            </w:r>
            <w:r>
              <w:rPr>
                <w:rFonts w:ascii="Times New Roman" w:hAnsi="Times New Roman" w:eastAsia="Times New Roman"/>
                <w:sz w:val="21"/>
              </w:rPr>
              <w:t>)</w:t>
            </w:r>
            <w:r>
              <w:rPr>
                <w:spacing w:val="-9"/>
                <w:sz w:val="21"/>
              </w:rPr>
              <w:t>等等。由于三氯甲烷属挥发性卤代烃类，对受其污染的水体最为简便易行处理方法是使用曝气</w:t>
            </w:r>
            <w:r>
              <w:rPr>
                <w:rFonts w:ascii="Times New Roman" w:hAnsi="Times New Roman" w:eastAsia="Times New Roman"/>
                <w:sz w:val="21"/>
              </w:rPr>
              <w:t>(</w:t>
            </w:r>
            <w:r>
              <w:rPr>
                <w:sz w:val="21"/>
              </w:rPr>
              <w:t>包括深进曝气</w:t>
            </w:r>
            <w:r>
              <w:rPr>
                <w:rFonts w:ascii="Times New Roman" w:hAnsi="Times New Roman" w:eastAsia="Times New Roman"/>
                <w:sz w:val="21"/>
              </w:rPr>
              <w:t>) </w:t>
            </w:r>
            <w:r>
              <w:rPr>
                <w:sz w:val="21"/>
              </w:rPr>
              <w:t>法，使其迅速从水体中逸散到大气中。另外，处理土壤的几种方法也可酌情使用。废弃物处置方法：用焚烧法。废料同其它燃料混合后焚烧，燃烧要充分，防止生成</w:t>
            </w:r>
          </w:p>
          <w:p>
            <w:pPr>
              <w:pStyle w:val="TableParagraph"/>
              <w:spacing w:line="257" w:lineRule="exact"/>
              <w:ind w:left="114"/>
              <w:jc w:val="both"/>
              <w:rPr>
                <w:sz w:val="21"/>
              </w:rPr>
            </w:pPr>
            <w:r>
              <w:rPr>
                <w:spacing w:val="-12"/>
                <w:sz w:val="21"/>
              </w:rPr>
              <w:t>光气。焚烧炉排气中的卤化氢通过酸洗涤器除去</w:t>
            </w:r>
            <w:r>
              <w:rPr>
                <w:rFonts w:ascii="Times New Roman" w:eastAsia="Times New Roman"/>
                <w:spacing w:val="-4"/>
                <w:sz w:val="21"/>
              </w:rPr>
              <w:t>(</w:t>
            </w:r>
            <w:r>
              <w:rPr>
                <w:spacing w:val="-12"/>
                <w:sz w:val="21"/>
              </w:rPr>
              <w:t>可能的话，应考虑氯仿的回收使用</w:t>
            </w:r>
            <w:r>
              <w:rPr>
                <w:rFonts w:ascii="Times New Roman" w:eastAsia="Times New Roman"/>
                <w:sz w:val="21"/>
              </w:rPr>
              <w:t>)</w:t>
            </w:r>
            <w:r>
              <w:rPr>
                <w:spacing w:val="-26"/>
                <w:sz w:val="21"/>
              </w:rPr>
              <w:t>。</w:t>
            </w:r>
          </w:p>
        </w:tc>
      </w:tr>
      <w:tr>
        <w:trPr>
          <w:trHeight w:val="299" w:hRule="atLeast"/>
        </w:trPr>
        <w:tc>
          <w:tcPr>
            <w:tcW w:w="1188" w:type="dxa"/>
            <w:tcBorders>
              <w:top w:val="single" w:sz="6" w:space="0" w:color="000000"/>
              <w:right w:val="single" w:sz="6" w:space="0" w:color="000000"/>
            </w:tcBorders>
          </w:tcPr>
          <w:p>
            <w:pPr>
              <w:pStyle w:val="TableParagraph"/>
              <w:spacing w:line="279" w:lineRule="exact"/>
              <w:ind w:left="105" w:right="84"/>
              <w:rPr>
                <w:sz w:val="21"/>
              </w:rPr>
            </w:pPr>
            <w:r>
              <w:rPr>
                <w:sz w:val="21"/>
              </w:rPr>
              <w:t>防护措施</w:t>
            </w:r>
          </w:p>
        </w:tc>
        <w:tc>
          <w:tcPr>
            <w:tcW w:w="7821" w:type="dxa"/>
            <w:gridSpan w:val="3"/>
            <w:tcBorders>
              <w:top w:val="single" w:sz="6" w:space="0" w:color="000000"/>
              <w:left w:val="single" w:sz="6" w:space="0" w:color="000000"/>
            </w:tcBorders>
          </w:tcPr>
          <w:p>
            <w:pPr>
              <w:pStyle w:val="TableParagraph"/>
              <w:spacing w:line="279" w:lineRule="exact"/>
              <w:ind w:left="114"/>
              <w:jc w:val="left"/>
              <w:rPr>
                <w:sz w:val="21"/>
              </w:rPr>
            </w:pPr>
            <w:r>
              <w:rPr>
                <w:spacing w:val="-10"/>
                <w:sz w:val="21"/>
              </w:rPr>
              <w:t>呼吸系统防护：空气中浓度超标时，应该佩戴直接式防毒面具</w:t>
            </w:r>
            <w:r>
              <w:rPr>
                <w:rFonts w:ascii="Times New Roman" w:eastAsia="Times New Roman"/>
                <w:spacing w:val="-3"/>
                <w:sz w:val="21"/>
              </w:rPr>
              <w:t>(</w:t>
            </w:r>
            <w:r>
              <w:rPr>
                <w:spacing w:val="-2"/>
                <w:sz w:val="21"/>
              </w:rPr>
              <w:t>半面罩</w:t>
            </w:r>
            <w:r>
              <w:rPr>
                <w:rFonts w:ascii="Times New Roman" w:eastAsia="Times New Roman"/>
                <w:sz w:val="21"/>
              </w:rPr>
              <w:t>)</w:t>
            </w:r>
            <w:r>
              <w:rPr>
                <w:spacing w:val="-7"/>
                <w:sz w:val="21"/>
              </w:rPr>
              <w:t>。紧急事态抢</w:t>
            </w:r>
          </w:p>
        </w:tc>
      </w:tr>
    </w:tbl>
    <w:p>
      <w:pPr>
        <w:spacing w:after="0" w:line="279"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801"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7821" w:type="dxa"/>
            <w:tcBorders>
              <w:left w:val="single" w:sz="6" w:space="0" w:color="000000"/>
              <w:bottom w:val="single" w:sz="6" w:space="0" w:color="000000"/>
            </w:tcBorders>
          </w:tcPr>
          <w:p>
            <w:pPr>
              <w:pStyle w:val="TableParagraph"/>
              <w:spacing w:line="160" w:lineRule="auto" w:before="34"/>
              <w:ind w:left="114" w:right="4467"/>
              <w:jc w:val="left"/>
              <w:rPr>
                <w:sz w:val="21"/>
              </w:rPr>
            </w:pPr>
            <w:r>
              <w:rPr>
                <w:sz w:val="21"/>
              </w:rPr>
              <w:t>救或撤离时，佩戴空气呼吸器。 眼睛防护：戴化学安全防护眼镜。身体防护：穿防毒物渗透工作服。手防护：戴防化学品手套。</w:t>
            </w:r>
          </w:p>
          <w:p>
            <w:pPr>
              <w:pStyle w:val="TableParagraph"/>
              <w:spacing w:line="277" w:lineRule="exact"/>
              <w:ind w:left="114"/>
              <w:jc w:val="left"/>
              <w:rPr>
                <w:sz w:val="21"/>
              </w:rPr>
            </w:pPr>
            <w:r>
              <w:rPr>
                <w:sz w:val="21"/>
              </w:rPr>
              <w:t>其它：工作现场禁止吸烟、进食和饮水。工作毕，沐浴更衣。单独存放被毒物污染</w:t>
            </w:r>
          </w:p>
          <w:p>
            <w:pPr>
              <w:pStyle w:val="TableParagraph"/>
              <w:spacing w:line="278" w:lineRule="exact"/>
              <w:ind w:left="114"/>
              <w:jc w:val="left"/>
              <w:rPr>
                <w:sz w:val="21"/>
              </w:rPr>
            </w:pPr>
            <w:r>
              <w:rPr>
                <w:sz w:val="21"/>
              </w:rPr>
              <w:t>的衣服，洗后备用。注意个人清洁卫生。</w:t>
            </w:r>
          </w:p>
        </w:tc>
      </w:tr>
      <w:tr>
        <w:trPr>
          <w:trHeight w:val="2097"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72"/>
              <w:jc w:val="left"/>
              <w:rPr>
                <w:sz w:val="21"/>
              </w:rPr>
            </w:pPr>
            <w:r>
              <w:rPr>
                <w:sz w:val="21"/>
              </w:rPr>
              <w:t>急救措施</w:t>
            </w:r>
          </w:p>
        </w:tc>
        <w:tc>
          <w:tcPr>
            <w:tcW w:w="7821" w:type="dxa"/>
            <w:tcBorders>
              <w:top w:val="single" w:sz="6" w:space="0" w:color="000000"/>
              <w:left w:val="single" w:sz="6" w:space="0" w:color="000000"/>
            </w:tcBorders>
          </w:tcPr>
          <w:p>
            <w:pPr>
              <w:pStyle w:val="TableParagraph"/>
              <w:spacing w:line="302" w:lineRule="exact"/>
              <w:ind w:left="114" w:right="-44"/>
              <w:jc w:val="left"/>
              <w:rPr>
                <w:sz w:val="21"/>
              </w:rPr>
            </w:pPr>
            <w:r>
              <w:rPr>
                <w:spacing w:val="-7"/>
                <w:sz w:val="21"/>
              </w:rPr>
              <w:t>皮肤接触：立即脱去被污染的衣着，用大量流动清水冲洗，至少数派 </w:t>
            </w:r>
            <w:r>
              <w:rPr>
                <w:rFonts w:ascii="Times New Roman" w:eastAsia="Times New Roman"/>
                <w:sz w:val="21"/>
              </w:rPr>
              <w:t>5</w:t>
            </w:r>
            <w:r>
              <w:rPr>
                <w:rFonts w:ascii="Times New Roman" w:eastAsia="Times New Roman"/>
                <w:spacing w:val="17"/>
                <w:sz w:val="21"/>
              </w:rPr>
              <w:t> </w:t>
            </w:r>
            <w:r>
              <w:rPr>
                <w:spacing w:val="-5"/>
                <w:sz w:val="21"/>
              </w:rPr>
              <w:t>分钟。就医。</w:t>
            </w:r>
          </w:p>
          <w:p>
            <w:pPr>
              <w:pStyle w:val="TableParagraph"/>
              <w:spacing w:line="160" w:lineRule="auto" w:before="30"/>
              <w:ind w:left="114" w:right="-44"/>
              <w:jc w:val="both"/>
              <w:rPr>
                <w:sz w:val="21"/>
              </w:rPr>
            </w:pPr>
            <w:r>
              <w:rPr>
                <w:spacing w:val="-12"/>
                <w:sz w:val="21"/>
              </w:rPr>
              <w:t>眼睛接触：立即提起眼睑，用大量流动清水或生理盐水彻底冲洗至少 </w:t>
            </w:r>
            <w:r>
              <w:rPr>
                <w:rFonts w:ascii="Times New Roman" w:eastAsia="Times New Roman"/>
                <w:sz w:val="21"/>
              </w:rPr>
              <w:t>15 </w:t>
            </w:r>
            <w:r>
              <w:rPr>
                <w:spacing w:val="-12"/>
                <w:sz w:val="21"/>
              </w:rPr>
              <w:t>分钟。就医。吸入：迅速脱离现场至空气新鲜处。保持呼吸道通畅。如呼吸困难，给输氧。如呼</w:t>
            </w:r>
            <w:r>
              <w:rPr>
                <w:spacing w:val="-6"/>
                <w:sz w:val="21"/>
              </w:rPr>
              <w:t>吸停止，立即进行人工呼吸。就医。</w:t>
            </w:r>
          </w:p>
          <w:p>
            <w:pPr>
              <w:pStyle w:val="TableParagraph"/>
              <w:spacing w:line="275" w:lineRule="exact"/>
              <w:ind w:left="114"/>
              <w:jc w:val="both"/>
              <w:rPr>
                <w:sz w:val="21"/>
              </w:rPr>
            </w:pPr>
            <w:r>
              <w:rPr>
                <w:sz w:val="21"/>
              </w:rPr>
              <w:t>食入：饮足量温水，催吐，就医。</w:t>
            </w:r>
          </w:p>
          <w:p>
            <w:pPr>
              <w:pStyle w:val="TableParagraph"/>
              <w:spacing w:line="300" w:lineRule="exact"/>
              <w:ind w:left="114"/>
              <w:jc w:val="both"/>
              <w:rPr>
                <w:sz w:val="21"/>
              </w:rPr>
            </w:pPr>
            <w:r>
              <w:rPr>
                <w:spacing w:val="-8"/>
                <w:sz w:val="21"/>
              </w:rPr>
              <w:t>灭火方法：消防人员必须佩戴过滤式防毒面具</w:t>
            </w:r>
            <w:r>
              <w:rPr>
                <w:rFonts w:ascii="Times New Roman" w:eastAsia="Times New Roman"/>
                <w:spacing w:val="-4"/>
                <w:sz w:val="21"/>
              </w:rPr>
              <w:t>(</w:t>
            </w:r>
            <w:r>
              <w:rPr>
                <w:spacing w:val="-2"/>
                <w:sz w:val="21"/>
              </w:rPr>
              <w:t>全面罩</w:t>
            </w:r>
            <w:r>
              <w:rPr>
                <w:rFonts w:ascii="Times New Roman" w:eastAsia="Times New Roman"/>
                <w:sz w:val="21"/>
              </w:rPr>
              <w:t>)</w:t>
            </w:r>
            <w:r>
              <w:rPr>
                <w:spacing w:val="-8"/>
                <w:sz w:val="21"/>
              </w:rPr>
              <w:t>或隔离式呼吸器、穿全身防火</w:t>
            </w:r>
          </w:p>
          <w:p>
            <w:pPr>
              <w:pStyle w:val="TableParagraph"/>
              <w:spacing w:line="275" w:lineRule="exact"/>
              <w:ind w:left="114"/>
              <w:jc w:val="both"/>
              <w:rPr>
                <w:sz w:val="21"/>
              </w:rPr>
            </w:pPr>
            <w:r>
              <w:rPr>
                <w:sz w:val="21"/>
              </w:rPr>
              <w:t>防毒服，在上风处灭火。灭火剂：雾状、二氧化碳、砂土。</w:t>
            </w:r>
          </w:p>
        </w:tc>
      </w:tr>
    </w:tbl>
    <w:p>
      <w:pPr>
        <w:pStyle w:val="BodyText"/>
        <w:spacing w:before="18"/>
        <w:rPr>
          <w:sz w:val="4"/>
        </w:rPr>
      </w:pPr>
    </w:p>
    <w:p>
      <w:pPr>
        <w:tabs>
          <w:tab w:pos="4084" w:val="left" w:leader="none"/>
        </w:tabs>
        <w:spacing w:line="423" w:lineRule="exact" w:before="0"/>
        <w:ind w:left="3069" w:right="0" w:firstLine="0"/>
        <w:jc w:val="left"/>
        <w:rPr>
          <w:sz w:val="21"/>
        </w:rPr>
      </w:pPr>
      <w:r>
        <w:rPr>
          <w:sz w:val="21"/>
        </w:rPr>
        <w:t>表</w:t>
      </w:r>
      <w:r>
        <w:rPr>
          <w:spacing w:val="5"/>
          <w:sz w:val="21"/>
        </w:rPr>
        <w:t> </w:t>
      </w:r>
      <w:r>
        <w:rPr>
          <w:rFonts w:ascii="Times New Roman" w:eastAsia="Times New Roman"/>
          <w:sz w:val="21"/>
        </w:rPr>
        <w:t>7.1-34</w:t>
        <w:tab/>
      </w:r>
      <w:r>
        <w:rPr>
          <w:sz w:val="21"/>
        </w:rPr>
        <w:t>苯</w:t>
      </w:r>
      <w:r>
        <w:rPr>
          <w:spacing w:val="-3"/>
          <w:sz w:val="21"/>
        </w:rPr>
        <w:t>甲</w:t>
      </w:r>
      <w:r>
        <w:rPr>
          <w:sz w:val="21"/>
        </w:rPr>
        <w:t>醛</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01" w:hRule="atLeast"/>
        </w:trPr>
        <w:tc>
          <w:tcPr>
            <w:tcW w:w="1188" w:type="dxa"/>
            <w:tcBorders>
              <w:bottom w:val="single" w:sz="6" w:space="0" w:color="000000"/>
              <w:right w:val="single" w:sz="6" w:space="0" w:color="000000"/>
            </w:tcBorders>
          </w:tcPr>
          <w:p>
            <w:pPr>
              <w:pStyle w:val="TableParagraph"/>
              <w:spacing w:line="28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5"/>
              <w:ind w:left="208" w:right="184"/>
              <w:rPr>
                <w:rFonts w:ascii="Times New Roman"/>
                <w:sz w:val="21"/>
              </w:rPr>
            </w:pPr>
            <w:r>
              <w:rPr>
                <w:rFonts w:ascii="Times New Roman"/>
                <w:sz w:val="21"/>
              </w:rPr>
              <w:t>----</w:t>
            </w:r>
          </w:p>
        </w:tc>
        <w:tc>
          <w:tcPr>
            <w:tcW w:w="1440" w:type="dxa"/>
            <w:tcBorders>
              <w:left w:val="single" w:sz="6" w:space="0" w:color="000000"/>
              <w:bottom w:val="single" w:sz="6" w:space="0" w:color="000000"/>
              <w:right w:val="single" w:sz="6" w:space="0" w:color="000000"/>
            </w:tcBorders>
          </w:tcPr>
          <w:p>
            <w:pPr>
              <w:pStyle w:val="TableParagraph"/>
              <w:spacing w:line="28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5"/>
              <w:ind w:left="113" w:right="82"/>
              <w:rPr>
                <w:rFonts w:ascii="Times New Roman"/>
                <w:sz w:val="21"/>
              </w:rPr>
            </w:pPr>
            <w:r>
              <w:rPr>
                <w:rFonts w:ascii="Times New Roman"/>
                <w:sz w:val="21"/>
              </w:rPr>
              <w:t>100-52-7</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4"/>
              <w:rPr>
                <w:sz w:val="21"/>
              </w:rPr>
            </w:pPr>
            <w:r>
              <w:rPr>
                <w:sz w:val="21"/>
              </w:rPr>
              <w:t>苯甲醛</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5" w:right="80"/>
              <w:rPr>
                <w:rFonts w:ascii="Times New Roman"/>
                <w:sz w:val="21"/>
              </w:rPr>
            </w:pPr>
            <w:r>
              <w:rPr>
                <w:rFonts w:ascii="Times New Roman"/>
                <w:sz w:val="21"/>
              </w:rPr>
              <w:t>Benzoic aldehyde</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95"/>
              <w:ind w:left="208" w:right="184"/>
              <w:rPr>
                <w:rFonts w:ascii="Times New Roman"/>
                <w:sz w:val="21"/>
              </w:rPr>
            </w:pPr>
            <w:r>
              <w:rPr>
                <w:rFonts w:ascii="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80"/>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02" w:lineRule="exact"/>
              <w:ind w:left="134"/>
              <w:jc w:val="left"/>
              <w:rPr>
                <w:sz w:val="21"/>
              </w:rPr>
            </w:pPr>
            <w:r>
              <w:rPr>
                <w:spacing w:val="-3"/>
                <w:sz w:val="21"/>
              </w:rPr>
              <w:t>用于制月桂醛、苯乙醛和苯</w:t>
            </w:r>
          </w:p>
          <w:p>
            <w:pPr>
              <w:pStyle w:val="TableParagraph"/>
              <w:spacing w:line="278" w:lineRule="exact"/>
              <w:ind w:left="134"/>
              <w:jc w:val="left"/>
              <w:rPr>
                <w:sz w:val="21"/>
              </w:rPr>
            </w:pPr>
            <w:r>
              <w:rPr>
                <w:spacing w:val="-3"/>
                <w:sz w:val="21"/>
              </w:rPr>
              <w:t>酸苄酯等，也用作食品香料</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w:t>
            </w:r>
          </w:p>
        </w:tc>
      </w:tr>
      <w:tr>
        <w:trPr>
          <w:trHeight w:val="602"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04" w:lineRule="exact"/>
              <w:ind w:left="114"/>
              <w:jc w:val="left"/>
              <w:rPr>
                <w:sz w:val="21"/>
              </w:rPr>
            </w:pPr>
            <w:r>
              <w:rPr>
                <w:sz w:val="21"/>
              </w:rPr>
              <w:t>本品对眼睛、呼吸道粘膜有一定的刺激作用。由于其挥发性低，其刺激作用亦不足</w:t>
            </w:r>
          </w:p>
          <w:p>
            <w:pPr>
              <w:pStyle w:val="TableParagraph"/>
              <w:spacing w:line="278" w:lineRule="exact"/>
              <w:ind w:left="114"/>
              <w:jc w:val="left"/>
              <w:rPr>
                <w:sz w:val="21"/>
              </w:rPr>
            </w:pPr>
            <w:r>
              <w:rPr>
                <w:sz w:val="21"/>
              </w:rPr>
              <w:t>以引致严重危害。</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1300mg/kg(</w:t>
            </w:r>
            <w:r>
              <w:rPr>
                <w:position w:val="2"/>
                <w:sz w:val="21"/>
              </w:rPr>
              <w:t>大鼠经口</w:t>
            </w:r>
            <w:r>
              <w:rPr>
                <w:rFonts w:ascii="Times New Roman" w:eastAsia="Times New Roman"/>
                <w:position w:val="2"/>
                <w:sz w:val="21"/>
              </w:rPr>
              <w:t>)</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z w:val="21"/>
              </w:rPr>
              <w:t>遇高热、明火或与氧化剂接触，有引起燃烧的危险。若遇高热，容器内压增大，有</w:t>
            </w:r>
          </w:p>
          <w:p>
            <w:pPr>
              <w:pStyle w:val="TableParagraph"/>
              <w:spacing w:line="278" w:lineRule="exact"/>
              <w:ind w:left="114"/>
              <w:jc w:val="left"/>
              <w:rPr>
                <w:sz w:val="21"/>
              </w:rPr>
            </w:pPr>
            <w:r>
              <w:rPr>
                <w:sz w:val="21"/>
              </w:rPr>
              <w:t>开裂和爆炸的危险。</w:t>
            </w:r>
          </w:p>
        </w:tc>
      </w:tr>
      <w:tr>
        <w:trPr>
          <w:trHeight w:val="1199" w:hRule="atLeast"/>
        </w:trPr>
        <w:tc>
          <w:tcPr>
            <w:tcW w:w="1188" w:type="dxa"/>
            <w:tcBorders>
              <w:top w:val="single" w:sz="6" w:space="0" w:color="000000"/>
              <w:bottom w:val="single" w:sz="6" w:space="0" w:color="000000"/>
              <w:right w:val="single" w:sz="6" w:space="0" w:color="000000"/>
            </w:tcBorders>
          </w:tcPr>
          <w:p>
            <w:pPr>
              <w:pStyle w:val="TableParagraph"/>
              <w:spacing w:before="13"/>
              <w:jc w:val="left"/>
              <w:rPr>
                <w:sz w:val="15"/>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both"/>
              <w:rPr>
                <w:sz w:val="21"/>
              </w:rPr>
            </w:pPr>
            <w:r>
              <w:rPr>
                <w:sz w:val="21"/>
              </w:rPr>
              <w:t>疏散泄漏污染区人员至安全区，禁止无关人员进入污染区，切断火源。应急处理人员戴自给式呼吸器，穿一般消防防护服。在确保安全情况下堵漏。喷水雾可减少蒸发。用不燃性分散剂制成的乳液刷洗，经稀释的洗液放入废水系统。如大量泄漏，</w:t>
            </w:r>
          </w:p>
          <w:p>
            <w:pPr>
              <w:pStyle w:val="TableParagraph"/>
              <w:spacing w:line="253" w:lineRule="exact"/>
              <w:ind w:left="114"/>
              <w:jc w:val="both"/>
              <w:rPr>
                <w:sz w:val="21"/>
              </w:rPr>
            </w:pPr>
            <w:r>
              <w:rPr>
                <w:sz w:val="21"/>
              </w:rPr>
              <w:t>利用围堤收容，然后收集、转移、回收或无害处理后废弃。</w:t>
            </w:r>
          </w:p>
        </w:tc>
      </w:tr>
      <w:tr>
        <w:trPr>
          <w:trHeight w:val="1802"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
              <w:jc w:val="left"/>
              <w:rPr>
                <w:sz w:val="12"/>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4"/>
              <w:ind w:left="114" w:right="76"/>
              <w:jc w:val="left"/>
              <w:rPr>
                <w:sz w:val="21"/>
              </w:rPr>
            </w:pPr>
            <w:r>
              <w:rPr>
                <w:sz w:val="21"/>
              </w:rPr>
              <w:t>呼吸系统防护：可能接触其蒸气时，应该佩戴防毒口罩。必要时建议佩戴自给式呼吸器。</w:t>
            </w:r>
          </w:p>
          <w:p>
            <w:pPr>
              <w:pStyle w:val="TableParagraph"/>
              <w:spacing w:line="160" w:lineRule="auto" w:before="3"/>
              <w:ind w:left="114" w:right="4527"/>
              <w:jc w:val="left"/>
              <w:rPr>
                <w:sz w:val="21"/>
              </w:rPr>
            </w:pPr>
            <w:r>
              <w:rPr>
                <w:sz w:val="21"/>
              </w:rPr>
              <w:t>眼睛防护：戴化学安全防护眼镜。防护服：穿防静电工作服。</w:t>
            </w:r>
          </w:p>
          <w:p>
            <w:pPr>
              <w:pStyle w:val="TableParagraph"/>
              <w:spacing w:line="274" w:lineRule="exact"/>
              <w:ind w:left="114"/>
              <w:jc w:val="left"/>
              <w:rPr>
                <w:sz w:val="21"/>
              </w:rPr>
            </w:pPr>
            <w:r>
              <w:rPr>
                <w:sz w:val="21"/>
              </w:rPr>
              <w:t>手防护：戴防护手套。</w:t>
            </w:r>
          </w:p>
          <w:p>
            <w:pPr>
              <w:pStyle w:val="TableParagraph"/>
              <w:spacing w:line="278" w:lineRule="exact"/>
              <w:ind w:left="114"/>
              <w:jc w:val="left"/>
              <w:rPr>
                <w:sz w:val="21"/>
              </w:rPr>
            </w:pPr>
            <w:r>
              <w:rPr>
                <w:sz w:val="21"/>
              </w:rPr>
              <w:t>其它：工作现场严禁吸烟。工作后，淋浴更衣。定期体检。</w:t>
            </w:r>
          </w:p>
        </w:tc>
      </w:tr>
      <w:tr>
        <w:trPr>
          <w:trHeight w:val="1496" w:hRule="atLeast"/>
        </w:trPr>
        <w:tc>
          <w:tcPr>
            <w:tcW w:w="1188" w:type="dxa"/>
            <w:tcBorders>
              <w:top w:val="single" w:sz="6" w:space="0" w:color="000000"/>
              <w:right w:val="single" w:sz="6" w:space="0" w:color="000000"/>
            </w:tcBorders>
          </w:tcPr>
          <w:p>
            <w:pPr>
              <w:pStyle w:val="TableParagraph"/>
              <w:spacing w:before="20"/>
              <w:jc w:val="left"/>
              <w:rPr>
                <w:sz w:val="24"/>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302" w:lineRule="exact"/>
              <w:ind w:left="114"/>
              <w:jc w:val="left"/>
              <w:rPr>
                <w:sz w:val="21"/>
              </w:rPr>
            </w:pPr>
            <w:r>
              <w:rPr>
                <w:sz w:val="21"/>
              </w:rPr>
              <w:t>皮肤接触：脱去污染的衣着，用流动清水冲洗。</w:t>
            </w:r>
          </w:p>
          <w:p>
            <w:pPr>
              <w:pStyle w:val="TableParagraph"/>
              <w:spacing w:line="160" w:lineRule="auto" w:before="30"/>
              <w:ind w:left="114" w:right="1692"/>
              <w:jc w:val="left"/>
              <w:rPr>
                <w:sz w:val="21"/>
              </w:rPr>
            </w:pPr>
            <w:r>
              <w:rPr>
                <w:sz w:val="21"/>
              </w:rPr>
              <w:t>眼睛接触：立即翻开上下眼睑，用流动清水冲洗 </w:t>
            </w:r>
            <w:r>
              <w:rPr>
                <w:rFonts w:ascii="Times New Roman" w:eastAsia="Times New Roman"/>
                <w:sz w:val="21"/>
              </w:rPr>
              <w:t>15 </w:t>
            </w:r>
            <w:r>
              <w:rPr>
                <w:sz w:val="21"/>
              </w:rPr>
              <w:t>分钟。就医。吸入：脱离现场至空气新鲜处。就医。</w:t>
            </w:r>
          </w:p>
          <w:p>
            <w:pPr>
              <w:pStyle w:val="TableParagraph"/>
              <w:spacing w:line="273" w:lineRule="exact"/>
              <w:ind w:left="114"/>
              <w:jc w:val="left"/>
              <w:rPr>
                <w:sz w:val="21"/>
              </w:rPr>
            </w:pPr>
            <w:r>
              <w:rPr>
                <w:sz w:val="21"/>
              </w:rPr>
              <w:t>食入：误服者给饮足量温水，催吐，就医。</w:t>
            </w:r>
          </w:p>
          <w:p>
            <w:pPr>
              <w:pStyle w:val="TableParagraph"/>
              <w:spacing w:line="275" w:lineRule="exact"/>
              <w:ind w:left="114"/>
              <w:jc w:val="left"/>
              <w:rPr>
                <w:sz w:val="21"/>
              </w:rPr>
            </w:pPr>
            <w:r>
              <w:rPr>
                <w:sz w:val="21"/>
              </w:rPr>
              <w:t>灭火方法：雾状水、泡沫、二氧化碳、干粉、砂土。</w:t>
            </w:r>
          </w:p>
        </w:tc>
      </w:tr>
    </w:tbl>
    <w:p>
      <w:pPr>
        <w:tabs>
          <w:tab w:pos="4084" w:val="left" w:leader="none"/>
        </w:tabs>
        <w:spacing w:before="80"/>
        <w:ind w:left="3069" w:right="0" w:firstLine="0"/>
        <w:jc w:val="left"/>
        <w:rPr>
          <w:sz w:val="21"/>
        </w:rPr>
      </w:pPr>
      <w:r>
        <w:rPr>
          <w:sz w:val="21"/>
        </w:rPr>
        <w:t>表</w:t>
      </w:r>
      <w:r>
        <w:rPr>
          <w:spacing w:val="5"/>
          <w:sz w:val="21"/>
        </w:rPr>
        <w:t> </w:t>
      </w:r>
      <w:r>
        <w:rPr>
          <w:rFonts w:ascii="Times New Roman" w:eastAsia="Times New Roman"/>
          <w:sz w:val="21"/>
        </w:rPr>
        <w:t>7.1-35</w:t>
        <w:tab/>
      </w:r>
      <w:r>
        <w:rPr>
          <w:sz w:val="21"/>
        </w:rPr>
        <w:t>乙</w:t>
      </w:r>
      <w:r>
        <w:rPr>
          <w:spacing w:val="-3"/>
          <w:sz w:val="21"/>
        </w:rPr>
        <w:t>醇</w:t>
      </w:r>
      <w:r>
        <w:rPr>
          <w:sz w:val="21"/>
        </w:rPr>
        <w:t>胺</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01" w:hRule="atLeast"/>
        </w:trPr>
        <w:tc>
          <w:tcPr>
            <w:tcW w:w="1188" w:type="dxa"/>
            <w:tcBorders>
              <w:bottom w:val="single" w:sz="6" w:space="0" w:color="000000"/>
              <w:right w:val="single" w:sz="6" w:space="0" w:color="000000"/>
            </w:tcBorders>
          </w:tcPr>
          <w:p>
            <w:pPr>
              <w:pStyle w:val="TableParagraph"/>
              <w:spacing w:line="28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5"/>
              <w:ind w:left="212" w:right="184"/>
              <w:rPr>
                <w:rFonts w:ascii="Times New Roman"/>
                <w:sz w:val="21"/>
              </w:rPr>
            </w:pPr>
            <w:r>
              <w:rPr>
                <w:rFonts w:ascii="Times New Roman"/>
                <w:sz w:val="21"/>
              </w:rPr>
              <w:t>82504</w:t>
            </w:r>
          </w:p>
        </w:tc>
        <w:tc>
          <w:tcPr>
            <w:tcW w:w="1440" w:type="dxa"/>
            <w:tcBorders>
              <w:left w:val="single" w:sz="6" w:space="0" w:color="000000"/>
              <w:bottom w:val="single" w:sz="6" w:space="0" w:color="000000"/>
              <w:right w:val="single" w:sz="6" w:space="0" w:color="000000"/>
            </w:tcBorders>
          </w:tcPr>
          <w:p>
            <w:pPr>
              <w:pStyle w:val="TableParagraph"/>
              <w:spacing w:line="28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5"/>
              <w:ind w:left="113" w:right="82"/>
              <w:rPr>
                <w:rFonts w:ascii="Times New Roman"/>
                <w:sz w:val="21"/>
              </w:rPr>
            </w:pPr>
            <w:r>
              <w:rPr>
                <w:rFonts w:ascii="Times New Roman"/>
                <w:sz w:val="21"/>
              </w:rPr>
              <w:t>141-43-5</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80"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212" w:right="184"/>
              <w:rPr>
                <w:sz w:val="21"/>
              </w:rPr>
            </w:pPr>
            <w:r>
              <w:rPr>
                <w:sz w:val="21"/>
              </w:rPr>
              <w:t>乙醇胺</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4"/>
              <w:ind w:left="115" w:right="81"/>
              <w:rPr>
                <w:rFonts w:ascii="Times New Roman"/>
                <w:sz w:val="21"/>
              </w:rPr>
            </w:pPr>
            <w:r>
              <w:rPr>
                <w:rFonts w:ascii="Times New Roman"/>
                <w:sz w:val="21"/>
              </w:rPr>
              <w:t>2-Aminoethanol</w:t>
            </w:r>
          </w:p>
        </w:tc>
      </w:tr>
      <w:tr>
        <w:trPr>
          <w:trHeight w:val="299" w:hRule="atLeast"/>
        </w:trPr>
        <w:tc>
          <w:tcPr>
            <w:tcW w:w="1188" w:type="dxa"/>
            <w:tcBorders>
              <w:top w:val="single" w:sz="6" w:space="0" w:color="000000"/>
              <w:right w:val="single" w:sz="6" w:space="0" w:color="000000"/>
            </w:tcBorders>
          </w:tcPr>
          <w:p>
            <w:pPr>
              <w:pStyle w:val="TableParagraph"/>
              <w:spacing w:line="279" w:lineRule="exact"/>
              <w:ind w:left="105" w:right="84"/>
              <w:rPr>
                <w:sz w:val="21"/>
              </w:rPr>
            </w:pPr>
            <w:r>
              <w:rPr>
                <w:sz w:val="21"/>
              </w:rPr>
              <w:t>危险标记</w:t>
            </w:r>
          </w:p>
        </w:tc>
        <w:tc>
          <w:tcPr>
            <w:tcW w:w="3601" w:type="dxa"/>
            <w:tcBorders>
              <w:top w:val="single" w:sz="6" w:space="0" w:color="000000"/>
              <w:left w:val="single" w:sz="6" w:space="0" w:color="000000"/>
              <w:right w:val="single" w:sz="6" w:space="0" w:color="000000"/>
            </w:tcBorders>
          </w:tcPr>
          <w:p>
            <w:pPr>
              <w:pStyle w:val="TableParagraph"/>
              <w:spacing w:line="279" w:lineRule="exact"/>
              <w:ind w:left="212" w:right="183"/>
              <w:rPr>
                <w:rFonts w:ascii="Times New Roman" w:eastAsia="Times New Roman"/>
                <w:sz w:val="21"/>
              </w:rPr>
            </w:pPr>
            <w:r>
              <w:rPr>
                <w:rFonts w:ascii="Times New Roman" w:eastAsia="Times New Roman"/>
                <w:sz w:val="21"/>
              </w:rPr>
              <w:t>20(</w:t>
            </w:r>
            <w:r>
              <w:rPr>
                <w:sz w:val="21"/>
              </w:rPr>
              <w:t>碱性腐蚀品</w:t>
            </w:r>
            <w:r>
              <w:rPr>
                <w:rFonts w:ascii="Times New Roman" w:eastAsia="Times New Roman"/>
                <w:sz w:val="21"/>
              </w:rPr>
              <w:t>)</w:t>
            </w:r>
          </w:p>
        </w:tc>
        <w:tc>
          <w:tcPr>
            <w:tcW w:w="1440" w:type="dxa"/>
            <w:tcBorders>
              <w:top w:val="single" w:sz="6" w:space="0" w:color="000000"/>
              <w:left w:val="single" w:sz="6" w:space="0" w:color="000000"/>
              <w:right w:val="single" w:sz="6" w:space="0" w:color="000000"/>
            </w:tcBorders>
          </w:tcPr>
          <w:p>
            <w:pPr>
              <w:pStyle w:val="TableParagraph"/>
              <w:spacing w:line="279" w:lineRule="exact"/>
              <w:ind w:left="183" w:right="152"/>
              <w:rPr>
                <w:sz w:val="21"/>
              </w:rPr>
            </w:pPr>
            <w:r>
              <w:rPr>
                <w:sz w:val="21"/>
              </w:rPr>
              <w:t>主要用途</w:t>
            </w:r>
          </w:p>
        </w:tc>
        <w:tc>
          <w:tcPr>
            <w:tcW w:w="2780" w:type="dxa"/>
            <w:tcBorders>
              <w:top w:val="single" w:sz="6" w:space="0" w:color="000000"/>
              <w:left w:val="single" w:sz="6" w:space="0" w:color="000000"/>
            </w:tcBorders>
          </w:tcPr>
          <w:p>
            <w:pPr>
              <w:pStyle w:val="TableParagraph"/>
              <w:spacing w:line="279" w:lineRule="exact"/>
              <w:ind w:left="115" w:right="82"/>
              <w:rPr>
                <w:sz w:val="21"/>
              </w:rPr>
            </w:pPr>
            <w:r>
              <w:rPr>
                <w:sz w:val="21"/>
              </w:rPr>
              <w:t>用作化学试剂、溶剂、乳化</w:t>
            </w:r>
          </w:p>
        </w:tc>
      </w:tr>
    </w:tbl>
    <w:p>
      <w:pPr>
        <w:spacing w:after="0" w:line="279"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601"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3601"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440"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2780" w:type="dxa"/>
            <w:tcBorders>
              <w:left w:val="single" w:sz="6" w:space="0" w:color="000000"/>
              <w:bottom w:val="single" w:sz="6" w:space="0" w:color="000000"/>
            </w:tcBorders>
          </w:tcPr>
          <w:p>
            <w:pPr>
              <w:pStyle w:val="TableParagraph"/>
              <w:spacing w:line="304" w:lineRule="exact"/>
              <w:ind w:left="115" w:right="82"/>
              <w:rPr>
                <w:sz w:val="21"/>
              </w:rPr>
            </w:pPr>
            <w:r>
              <w:rPr>
                <w:sz w:val="21"/>
              </w:rPr>
              <w:t>剂、橡胶促进剂、腐蚀抑制</w:t>
            </w:r>
          </w:p>
          <w:p>
            <w:pPr>
              <w:pStyle w:val="TableParagraph"/>
              <w:spacing w:line="278" w:lineRule="exact"/>
              <w:ind w:left="115" w:right="79"/>
              <w:rPr>
                <w:sz w:val="21"/>
              </w:rPr>
            </w:pPr>
            <w:r>
              <w:rPr>
                <w:sz w:val="21"/>
              </w:rPr>
              <w:t>剂等</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right="-29"/>
              <w:jc w:val="left"/>
              <w:rPr>
                <w:sz w:val="21"/>
              </w:rPr>
            </w:pPr>
            <w:r>
              <w:rPr>
                <w:spacing w:val="-9"/>
                <w:sz w:val="21"/>
              </w:rPr>
              <w:t>蒸气对眼、鼻有刺激性。眼接触液状本品，造成眼损害；皮肤接触引起刺痛和灼伤。</w:t>
            </w:r>
          </w:p>
          <w:p>
            <w:pPr>
              <w:pStyle w:val="TableParagraph"/>
              <w:spacing w:line="278" w:lineRule="exact"/>
              <w:ind w:left="114"/>
              <w:jc w:val="left"/>
              <w:rPr>
                <w:sz w:val="21"/>
              </w:rPr>
            </w:pPr>
            <w:r>
              <w:rPr>
                <w:sz w:val="21"/>
              </w:rPr>
              <w:t>口服损害口腔和消化道。</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114"/>
              <w:jc w:val="left"/>
              <w:rPr>
                <w:rFonts w:ascii="Times New Roman" w:eastAsia="Times New Roman"/>
                <w:sz w:val="21"/>
              </w:rPr>
            </w:pP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2050mg/kg(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1000mg/kg(</w:t>
            </w:r>
            <w:r>
              <w:rPr>
                <w:position w:val="2"/>
                <w:sz w:val="21"/>
              </w:rPr>
              <w:t>兔经皮</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2120mg/m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4 </w:t>
            </w:r>
            <w:r>
              <w:rPr>
                <w:position w:val="2"/>
                <w:sz w:val="21"/>
                <w:vertAlign w:val="baseline"/>
              </w:rPr>
              <w:t>小时</w:t>
            </w:r>
            <w:r>
              <w:rPr>
                <w:rFonts w:ascii="Times New Roman" w:eastAsia="Times New Roman"/>
                <w:position w:val="2"/>
                <w:sz w:val="21"/>
                <w:vertAlign w:val="baseline"/>
              </w:rPr>
              <w:t>(</w:t>
            </w:r>
            <w:r>
              <w:rPr>
                <w:position w:val="2"/>
                <w:sz w:val="21"/>
                <w:vertAlign w:val="baseline"/>
              </w:rPr>
              <w:t>大鼠吸入</w:t>
            </w:r>
            <w:r>
              <w:rPr>
                <w:rFonts w:ascii="Times New Roman" w:eastAsia="Times New Roman"/>
                <w:position w:val="2"/>
                <w:sz w:val="21"/>
                <w:vertAlign w:val="baseline"/>
              </w:rPr>
              <w:t>)</w:t>
            </w:r>
          </w:p>
        </w:tc>
      </w:tr>
      <w:tr>
        <w:trPr>
          <w:trHeight w:val="601"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4" w:lineRule="exact"/>
              <w:ind w:left="114"/>
              <w:jc w:val="left"/>
              <w:rPr>
                <w:sz w:val="21"/>
              </w:rPr>
            </w:pPr>
            <w:r>
              <w:rPr>
                <w:sz w:val="21"/>
              </w:rPr>
              <w:t>遇高热、明火或与氧化剂接触，有引起燃烧的危险。与硫酸、硝酸、盐酸等强酸发</w:t>
            </w:r>
          </w:p>
          <w:p>
            <w:pPr>
              <w:pStyle w:val="TableParagraph"/>
              <w:spacing w:line="278" w:lineRule="exact"/>
              <w:ind w:left="114"/>
              <w:jc w:val="left"/>
              <w:rPr>
                <w:sz w:val="21"/>
              </w:rPr>
            </w:pPr>
            <w:r>
              <w:rPr>
                <w:sz w:val="21"/>
              </w:rPr>
              <w:t>生剧烈反应。</w:t>
            </w:r>
          </w:p>
        </w:tc>
      </w:tr>
      <w:tr>
        <w:trPr>
          <w:trHeight w:val="1500" w:hRule="atLeast"/>
        </w:trPr>
        <w:tc>
          <w:tcPr>
            <w:tcW w:w="1188" w:type="dxa"/>
            <w:tcBorders>
              <w:top w:val="single" w:sz="6" w:space="0" w:color="000000"/>
              <w:bottom w:val="single" w:sz="6" w:space="0" w:color="000000"/>
              <w:right w:val="single" w:sz="6" w:space="0" w:color="000000"/>
            </w:tcBorders>
          </w:tcPr>
          <w:p>
            <w:pPr>
              <w:pStyle w:val="TableParagraph"/>
              <w:spacing w:before="10"/>
              <w:jc w:val="left"/>
              <w:rPr>
                <w:sz w:val="22"/>
              </w:rPr>
            </w:pPr>
          </w:p>
          <w:p>
            <w:pPr>
              <w:pStyle w:val="TableParagraph"/>
              <w:spacing w:line="163"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29"/>
              <w:jc w:val="both"/>
              <w:rPr>
                <w:sz w:val="21"/>
              </w:rPr>
            </w:pPr>
            <w:r>
              <w:rPr>
                <w:sz w:val="21"/>
              </w:rPr>
              <w:t>疏散泄漏污染区人员至安全区，禁止无关人员进入污染区，建议应急处理人员戴好防毒面具，穿化学防护服。不要直接接触泄漏物，在确保安全情况下堵漏。用沙土或其它不燃性吸附剂混合吸收，然后收集运至废物处理场所处置。也可以用大量水</w:t>
            </w:r>
            <w:r>
              <w:rPr>
                <w:spacing w:val="-9"/>
                <w:sz w:val="21"/>
              </w:rPr>
              <w:t>冲洗，经稀释的洗水放入废水系统。如大量泄漏，利用围堤收容，然后收集、转移、</w:t>
            </w:r>
          </w:p>
          <w:p>
            <w:pPr>
              <w:pStyle w:val="TableParagraph"/>
              <w:spacing w:line="255" w:lineRule="exact"/>
              <w:ind w:left="114"/>
              <w:jc w:val="both"/>
              <w:rPr>
                <w:sz w:val="21"/>
              </w:rPr>
            </w:pPr>
            <w:r>
              <w:rPr>
                <w:sz w:val="21"/>
              </w:rPr>
              <w:t>回收或无害处理后废弃。</w:t>
            </w:r>
          </w:p>
        </w:tc>
      </w:tr>
      <w:tr>
        <w:trPr>
          <w:trHeight w:val="209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left"/>
              <w:rPr>
                <w:sz w:val="21"/>
              </w:rPr>
            </w:pPr>
            <w:r>
              <w:rPr>
                <w:sz w:val="21"/>
              </w:rPr>
              <w:t>呼吸系统防护：可能接触其蒸气时，佩带防毒面具。紧急事态抢救或逃生时，建议佩带自给式呼吸器。</w:t>
            </w:r>
          </w:p>
          <w:p>
            <w:pPr>
              <w:pStyle w:val="TableParagraph"/>
              <w:spacing w:line="160" w:lineRule="auto" w:before="4"/>
              <w:ind w:left="114" w:right="4388"/>
              <w:jc w:val="left"/>
              <w:rPr>
                <w:sz w:val="21"/>
              </w:rPr>
            </w:pPr>
            <w:r>
              <w:rPr>
                <w:sz w:val="21"/>
              </w:rPr>
              <w:t>眼睛防护：戴化学安全防护眼镜。防护服：穿工作服</w:t>
            </w:r>
            <w:r>
              <w:rPr>
                <w:rFonts w:ascii="Times New Roman" w:eastAsia="Times New Roman"/>
                <w:sz w:val="21"/>
              </w:rPr>
              <w:t>(</w:t>
            </w:r>
            <w:r>
              <w:rPr>
                <w:sz w:val="21"/>
              </w:rPr>
              <w:t>防腐材料制作</w:t>
            </w:r>
            <w:r>
              <w:rPr>
                <w:rFonts w:ascii="Times New Roman" w:eastAsia="Times New Roman"/>
                <w:sz w:val="21"/>
              </w:rPr>
              <w:t>)</w:t>
            </w:r>
            <w:r>
              <w:rPr>
                <w:sz w:val="21"/>
              </w:rPr>
              <w:t>。手防护：戴橡皮手套。</w:t>
            </w:r>
          </w:p>
          <w:p>
            <w:pPr>
              <w:pStyle w:val="TableParagraph"/>
              <w:spacing w:line="275" w:lineRule="exact"/>
              <w:ind w:left="114"/>
              <w:jc w:val="left"/>
              <w:rPr>
                <w:sz w:val="21"/>
              </w:rPr>
            </w:pPr>
            <w:r>
              <w:rPr>
                <w:sz w:val="21"/>
              </w:rPr>
              <w:t>其它：工作现场禁止吸烟、进食和饮水。工作后，淋浴更衣。进行就业前和定期的</w:t>
            </w:r>
          </w:p>
          <w:p>
            <w:pPr>
              <w:pStyle w:val="TableParagraph"/>
              <w:spacing w:line="278" w:lineRule="exact"/>
              <w:ind w:left="114"/>
              <w:jc w:val="left"/>
              <w:rPr>
                <w:sz w:val="21"/>
              </w:rPr>
            </w:pPr>
            <w:r>
              <w:rPr>
                <w:sz w:val="21"/>
              </w:rPr>
              <w:t>体检。</w:t>
            </w:r>
          </w:p>
        </w:tc>
      </w:tr>
      <w:tr>
        <w:trPr>
          <w:trHeight w:val="17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2"/>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302" w:lineRule="exact"/>
              <w:ind w:left="114"/>
              <w:jc w:val="left"/>
              <w:rPr>
                <w:sz w:val="21"/>
              </w:rPr>
            </w:pPr>
            <w:r>
              <w:rPr>
                <w:sz w:val="21"/>
              </w:rPr>
              <w:t>皮肤接触：脱去污染的衣着，立即用流动清水彻底冲洗。</w:t>
            </w:r>
          </w:p>
          <w:p>
            <w:pPr>
              <w:pStyle w:val="TableParagraph"/>
              <w:spacing w:line="160" w:lineRule="auto" w:before="30"/>
              <w:ind w:left="114" w:right="74"/>
              <w:jc w:val="left"/>
              <w:rPr>
                <w:sz w:val="21"/>
              </w:rPr>
            </w:pPr>
            <w:r>
              <w:rPr>
                <w:sz w:val="21"/>
              </w:rPr>
              <w:t>眼睛接触：立即提起眼睑，用流动清水或生理盐水冲洗至少 </w:t>
            </w:r>
            <w:r>
              <w:rPr>
                <w:rFonts w:ascii="Times New Roman" w:eastAsia="Times New Roman"/>
                <w:sz w:val="21"/>
              </w:rPr>
              <w:t>15 </w:t>
            </w:r>
            <w:r>
              <w:rPr>
                <w:sz w:val="21"/>
              </w:rPr>
              <w:t>分钟。或用 </w:t>
            </w:r>
            <w:r>
              <w:rPr>
                <w:rFonts w:ascii="Times New Roman" w:eastAsia="Times New Roman"/>
                <w:sz w:val="21"/>
              </w:rPr>
              <w:t>3%</w:t>
            </w:r>
            <w:r>
              <w:rPr>
                <w:sz w:val="21"/>
              </w:rPr>
              <w:t>硼酸溶液冲洗。立即就医。</w:t>
            </w:r>
          </w:p>
          <w:p>
            <w:pPr>
              <w:pStyle w:val="TableParagraph"/>
              <w:spacing w:line="160" w:lineRule="auto" w:before="3"/>
              <w:ind w:left="114" w:right="1584"/>
              <w:jc w:val="left"/>
              <w:rPr>
                <w:sz w:val="21"/>
              </w:rPr>
            </w:pPr>
            <w:r>
              <w:rPr>
                <w:sz w:val="21"/>
              </w:rPr>
              <w:t>吸入：迅速脱离现场至空气新鲜处。必要时进行人工呼吸。就医。食入：误服者立即漱口，给饮牛奶或蛋清。就医。</w:t>
            </w:r>
          </w:p>
          <w:p>
            <w:pPr>
              <w:pStyle w:val="TableParagraph"/>
              <w:spacing w:line="251" w:lineRule="exact"/>
              <w:ind w:left="114"/>
              <w:jc w:val="left"/>
              <w:rPr>
                <w:sz w:val="21"/>
              </w:rPr>
            </w:pPr>
            <w:r>
              <w:rPr>
                <w:sz w:val="21"/>
              </w:rPr>
              <w:t>灭火方法：雾状水、二氧化碳、砂土、泡沫、干粉。</w:t>
            </w:r>
          </w:p>
        </w:tc>
      </w:tr>
    </w:tbl>
    <w:p>
      <w:pPr>
        <w:pStyle w:val="BodyText"/>
        <w:spacing w:before="18"/>
        <w:rPr>
          <w:sz w:val="4"/>
        </w:rPr>
      </w:pPr>
    </w:p>
    <w:p>
      <w:pPr>
        <w:tabs>
          <w:tab w:pos="3981" w:val="left" w:leader="none"/>
        </w:tabs>
        <w:spacing w:line="423" w:lineRule="exact" w:before="0"/>
        <w:ind w:left="2966" w:right="0" w:firstLine="0"/>
        <w:jc w:val="left"/>
        <w:rPr>
          <w:sz w:val="21"/>
        </w:rPr>
      </w:pPr>
      <w:r>
        <w:rPr>
          <w:sz w:val="21"/>
        </w:rPr>
        <w:t>表</w:t>
      </w:r>
      <w:r>
        <w:rPr>
          <w:spacing w:val="5"/>
          <w:sz w:val="21"/>
        </w:rPr>
        <w:t> </w:t>
      </w:r>
      <w:r>
        <w:rPr>
          <w:rFonts w:ascii="Times New Roman" w:eastAsia="Times New Roman"/>
          <w:sz w:val="21"/>
        </w:rPr>
        <w:t>7.1-36</w:t>
        <w:tab/>
      </w:r>
      <w:r>
        <w:rPr>
          <w:sz w:val="21"/>
        </w:rPr>
        <w:t>硼</w:t>
      </w:r>
      <w:r>
        <w:rPr>
          <w:spacing w:val="-3"/>
          <w:sz w:val="21"/>
        </w:rPr>
        <w:t>氢</w:t>
      </w:r>
      <w:r>
        <w:rPr>
          <w:sz w:val="21"/>
        </w:rPr>
        <w:t>化</w:t>
      </w:r>
      <w:r>
        <w:rPr>
          <w:spacing w:val="-3"/>
          <w:sz w:val="21"/>
        </w:rPr>
        <w:t>钾</w:t>
      </w:r>
      <w:r>
        <w:rPr>
          <w:sz w:val="21"/>
        </w:rPr>
        <w:t>危</w:t>
      </w:r>
      <w:r>
        <w:rPr>
          <w:spacing w:val="-3"/>
          <w:sz w:val="21"/>
        </w:rPr>
        <w:t>险</w:t>
      </w:r>
      <w:r>
        <w:rPr>
          <w:sz w:val="21"/>
        </w:rPr>
        <w:t>特性</w:t>
      </w:r>
      <w:r>
        <w:rPr>
          <w:spacing w:val="-3"/>
          <w:sz w:val="21"/>
        </w:rPr>
        <w:t>及</w:t>
      </w:r>
      <w:r>
        <w:rPr>
          <w:sz w:val="21"/>
        </w:rPr>
        <w:t>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299" w:hRule="atLeast"/>
        </w:trPr>
        <w:tc>
          <w:tcPr>
            <w:tcW w:w="1188" w:type="dxa"/>
            <w:tcBorders>
              <w:bottom w:val="single" w:sz="6" w:space="0" w:color="000000"/>
              <w:right w:val="single" w:sz="6" w:space="0" w:color="000000"/>
            </w:tcBorders>
          </w:tcPr>
          <w:p>
            <w:pPr>
              <w:pStyle w:val="TableParagraph"/>
              <w:spacing w:line="279"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3"/>
              <w:ind w:left="212" w:right="184"/>
              <w:rPr>
                <w:rFonts w:ascii="Times New Roman"/>
                <w:sz w:val="21"/>
              </w:rPr>
            </w:pPr>
            <w:r>
              <w:rPr>
                <w:rFonts w:ascii="Times New Roman"/>
                <w:sz w:val="21"/>
              </w:rPr>
              <w:t>43045</w:t>
            </w:r>
          </w:p>
        </w:tc>
        <w:tc>
          <w:tcPr>
            <w:tcW w:w="1440" w:type="dxa"/>
            <w:tcBorders>
              <w:left w:val="single" w:sz="6" w:space="0" w:color="000000"/>
              <w:bottom w:val="single" w:sz="6" w:space="0" w:color="000000"/>
              <w:right w:val="single" w:sz="6" w:space="0" w:color="000000"/>
            </w:tcBorders>
          </w:tcPr>
          <w:p>
            <w:pPr>
              <w:pStyle w:val="TableParagraph"/>
              <w:spacing w:line="279"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3"/>
              <w:ind w:left="115" w:right="79"/>
              <w:rPr>
                <w:rFonts w:ascii="Times New Roman"/>
                <w:sz w:val="21"/>
              </w:rPr>
            </w:pPr>
            <w:r>
              <w:rPr>
                <w:rFonts w:ascii="Times New Roman"/>
                <w:sz w:val="21"/>
              </w:rPr>
              <w:t>13762-51-1</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1"/>
              <w:rPr>
                <w:sz w:val="21"/>
              </w:rPr>
            </w:pPr>
            <w:r>
              <w:rPr>
                <w:sz w:val="21"/>
              </w:rPr>
              <w:t>硼氢化钾</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2" w:right="82"/>
              <w:rPr>
                <w:rFonts w:ascii="Times New Roman"/>
                <w:sz w:val="21"/>
              </w:rPr>
            </w:pPr>
            <w:r>
              <w:rPr>
                <w:rFonts w:ascii="Times New Roman"/>
                <w:sz w:val="21"/>
              </w:rPr>
              <w:t>Potassium borohydrid</w:t>
            </w:r>
          </w:p>
        </w:tc>
      </w:tr>
      <w:tr>
        <w:trPr>
          <w:trHeight w:val="902" w:hRule="atLeast"/>
        </w:trPr>
        <w:tc>
          <w:tcPr>
            <w:tcW w:w="1188" w:type="dxa"/>
            <w:tcBorders>
              <w:top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212" w:right="183"/>
              <w:rPr>
                <w:rFonts w:ascii="Times New Roman" w:eastAsia="Times New Roman"/>
                <w:sz w:val="21"/>
              </w:rPr>
            </w:pPr>
            <w:r>
              <w:rPr>
                <w:rFonts w:ascii="Times New Roman" w:eastAsia="Times New Roman"/>
                <w:sz w:val="21"/>
              </w:rPr>
              <w:t>10(</w:t>
            </w:r>
            <w:r>
              <w:rPr>
                <w:sz w:val="21"/>
              </w:rPr>
              <w:t>遇湿易燃物品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0"/>
              </w:rPr>
            </w:pPr>
          </w:p>
          <w:p>
            <w:pPr>
              <w:pStyle w:val="TableParagraph"/>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160" w:lineRule="auto" w:before="34"/>
              <w:ind w:left="134" w:right="98"/>
              <w:rPr>
                <w:sz w:val="21"/>
              </w:rPr>
            </w:pPr>
            <w:r>
              <w:rPr>
                <w:sz w:val="21"/>
              </w:rPr>
              <w:t>用于醛、酮、酰氯化物的还原剂，以及用于制氢和其他</w:t>
            </w:r>
          </w:p>
          <w:p>
            <w:pPr>
              <w:pStyle w:val="TableParagraph"/>
              <w:spacing w:line="252" w:lineRule="exact"/>
              <w:ind w:left="115" w:right="79"/>
              <w:rPr>
                <w:sz w:val="21"/>
              </w:rPr>
            </w:pPr>
            <w:r>
              <w:rPr>
                <w:sz w:val="21"/>
              </w:rPr>
              <w:t>硼氢盐</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76"/>
              <w:jc w:val="left"/>
              <w:rPr>
                <w:sz w:val="21"/>
              </w:rPr>
            </w:pPr>
            <w:r>
              <w:rPr>
                <w:sz w:val="21"/>
              </w:rPr>
              <w:t>本品对粘膜、上呼吸道、眼睛及皮肤有强烈刺激性。吸入后，可因喉和支气管的痉挛、炎症和水肿，化学性肺炎和肺水肿而致死。中毒表现有烧灼感、咳嗽、喘息、</w:t>
            </w:r>
          </w:p>
          <w:p>
            <w:pPr>
              <w:pStyle w:val="TableParagraph"/>
              <w:spacing w:line="251" w:lineRule="exact"/>
              <w:ind w:left="114"/>
              <w:jc w:val="left"/>
              <w:rPr>
                <w:sz w:val="21"/>
              </w:rPr>
            </w:pPr>
            <w:r>
              <w:rPr>
                <w:sz w:val="21"/>
              </w:rPr>
              <w:t>喉炎、气短、头痛、恶心和呕吐。</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114"/>
              <w:jc w:val="left"/>
              <w:rPr>
                <w:rFonts w:ascii="Times New Roman" w:eastAsia="Times New Roman"/>
                <w:sz w:val="21"/>
              </w:rPr>
            </w:pP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2050mg/kg(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1000mg/kg(</w:t>
            </w:r>
            <w:r>
              <w:rPr>
                <w:position w:val="2"/>
                <w:sz w:val="21"/>
              </w:rPr>
              <w:t>兔经皮</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2120mg/m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4 </w:t>
            </w:r>
            <w:r>
              <w:rPr>
                <w:position w:val="2"/>
                <w:sz w:val="21"/>
                <w:vertAlign w:val="baseline"/>
              </w:rPr>
              <w:t>小时</w:t>
            </w:r>
            <w:r>
              <w:rPr>
                <w:rFonts w:ascii="Times New Roman" w:eastAsia="Times New Roman"/>
                <w:position w:val="2"/>
                <w:sz w:val="21"/>
                <w:vertAlign w:val="baseline"/>
              </w:rPr>
              <w:t>(</w:t>
            </w:r>
            <w:r>
              <w:rPr>
                <w:position w:val="2"/>
                <w:sz w:val="21"/>
                <w:vertAlign w:val="baseline"/>
              </w:rPr>
              <w:t>大鼠吸入</w:t>
            </w:r>
            <w:r>
              <w:rPr>
                <w:rFonts w:ascii="Times New Roman" w:eastAsia="Times New Roman"/>
                <w:position w:val="2"/>
                <w:sz w:val="21"/>
                <w:vertAlign w:val="baseline"/>
              </w:rPr>
              <w:t>)</w:t>
            </w:r>
          </w:p>
        </w:tc>
      </w:tr>
      <w:tr>
        <w:trPr>
          <w:trHeight w:val="601"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4" w:lineRule="exact"/>
              <w:ind w:left="114"/>
              <w:jc w:val="left"/>
              <w:rPr>
                <w:sz w:val="21"/>
              </w:rPr>
            </w:pPr>
            <w:r>
              <w:rPr>
                <w:sz w:val="21"/>
              </w:rPr>
              <w:t>遇明火、高热或与氧化剂接触，有引起燃烧爆炸的危险。遇水或酸发生反应放出氢</w:t>
            </w:r>
          </w:p>
          <w:p>
            <w:pPr>
              <w:pStyle w:val="TableParagraph"/>
              <w:spacing w:line="278" w:lineRule="exact"/>
              <w:ind w:left="114"/>
              <w:jc w:val="left"/>
              <w:rPr>
                <w:sz w:val="21"/>
              </w:rPr>
            </w:pPr>
            <w:r>
              <w:rPr>
                <w:sz w:val="21"/>
              </w:rPr>
              <w:t>气及热量，能引起燃烧。</w:t>
            </w:r>
          </w:p>
        </w:tc>
      </w:tr>
      <w:tr>
        <w:trPr>
          <w:trHeight w:val="1497" w:hRule="atLeast"/>
        </w:trPr>
        <w:tc>
          <w:tcPr>
            <w:tcW w:w="1188" w:type="dxa"/>
            <w:tcBorders>
              <w:top w:val="single" w:sz="6" w:space="0" w:color="000000"/>
              <w:right w:val="single" w:sz="6" w:space="0" w:color="000000"/>
            </w:tcBorders>
          </w:tcPr>
          <w:p>
            <w:pPr>
              <w:pStyle w:val="TableParagraph"/>
              <w:spacing w:before="13"/>
              <w:jc w:val="left"/>
              <w:rPr>
                <w:sz w:val="22"/>
              </w:rPr>
            </w:pPr>
          </w:p>
          <w:p>
            <w:pPr>
              <w:pStyle w:val="TableParagraph"/>
              <w:spacing w:line="160" w:lineRule="auto" w:before="1"/>
              <w:ind w:left="383" w:right="148" w:hanging="212"/>
              <w:jc w:val="left"/>
              <w:rPr>
                <w:sz w:val="21"/>
              </w:rPr>
            </w:pPr>
            <w:r>
              <w:rPr>
                <w:sz w:val="21"/>
              </w:rPr>
              <w:t>泄漏应急处理</w:t>
            </w:r>
          </w:p>
        </w:tc>
        <w:tc>
          <w:tcPr>
            <w:tcW w:w="7821" w:type="dxa"/>
            <w:gridSpan w:val="3"/>
            <w:tcBorders>
              <w:top w:val="single" w:sz="6" w:space="0" w:color="000000"/>
              <w:left w:val="single" w:sz="6" w:space="0" w:color="000000"/>
            </w:tcBorders>
          </w:tcPr>
          <w:p>
            <w:pPr>
              <w:pStyle w:val="TableParagraph"/>
              <w:spacing w:line="160" w:lineRule="auto" w:before="31"/>
              <w:ind w:left="114" w:right="74"/>
              <w:jc w:val="both"/>
              <w:rPr>
                <w:sz w:val="21"/>
              </w:rPr>
            </w:pPr>
            <w:r>
              <w:rPr>
                <w:sz w:val="21"/>
              </w:rPr>
              <w:t>隔离泄漏污染区，周围设警告标志，切断火源。建议应急处理人员戴好防毒面具， </w:t>
            </w:r>
            <w:r>
              <w:rPr>
                <w:spacing w:val="-5"/>
                <w:sz w:val="21"/>
              </w:rPr>
              <w:t>穿化学防护服。 不要直接接触泄漏物，禁止向泄漏物直接喷水，更不要让水进入包装容器内。用清洁的铲子收集于干燥净洁有盖的容器中，移至大量水中，再在其中小心加入醋酸或丙酮的稀溶液，静置中和至中性，然后废弃。如果大量泄漏，收集</w:t>
            </w:r>
          </w:p>
          <w:p>
            <w:pPr>
              <w:pStyle w:val="TableParagraph"/>
              <w:spacing w:line="252" w:lineRule="exact"/>
              <w:ind w:left="114"/>
              <w:jc w:val="both"/>
              <w:rPr>
                <w:sz w:val="21"/>
              </w:rPr>
            </w:pPr>
            <w:r>
              <w:rPr>
                <w:sz w:val="21"/>
              </w:rPr>
              <w:t>于密闭容器中作好标记，等待处理。</w:t>
            </w:r>
          </w:p>
        </w:tc>
      </w:tr>
    </w:tbl>
    <w:p>
      <w:pPr>
        <w:spacing w:after="0" w:line="252" w:lineRule="exact"/>
        <w:jc w:val="both"/>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1501" w:hRule="atLeast"/>
        </w:trPr>
        <w:tc>
          <w:tcPr>
            <w:tcW w:w="1188" w:type="dxa"/>
            <w:tcBorders>
              <w:bottom w:val="single" w:sz="6" w:space="0" w:color="000000"/>
              <w:right w:val="single" w:sz="6" w:space="0" w:color="000000"/>
            </w:tcBorders>
          </w:tcPr>
          <w:p>
            <w:pPr>
              <w:pStyle w:val="TableParagraph"/>
              <w:spacing w:before="1"/>
              <w:jc w:val="left"/>
              <w:rPr>
                <w:sz w:val="25"/>
              </w:rPr>
            </w:pPr>
          </w:p>
          <w:p>
            <w:pPr>
              <w:pStyle w:val="TableParagraph"/>
              <w:ind w:left="105" w:right="84"/>
              <w:rPr>
                <w:sz w:val="21"/>
              </w:rPr>
            </w:pPr>
            <w:r>
              <w:rPr>
                <w:sz w:val="21"/>
              </w:rPr>
              <w:t>防护措施</w:t>
            </w:r>
          </w:p>
        </w:tc>
        <w:tc>
          <w:tcPr>
            <w:tcW w:w="7821" w:type="dxa"/>
            <w:tcBorders>
              <w:left w:val="single" w:sz="6" w:space="0" w:color="000000"/>
              <w:bottom w:val="single" w:sz="6" w:space="0" w:color="000000"/>
            </w:tcBorders>
          </w:tcPr>
          <w:p>
            <w:pPr>
              <w:pStyle w:val="TableParagraph"/>
              <w:spacing w:line="160" w:lineRule="auto" w:before="34"/>
              <w:ind w:left="114" w:right="535"/>
              <w:jc w:val="left"/>
              <w:rPr>
                <w:sz w:val="21"/>
              </w:rPr>
            </w:pPr>
            <w:r>
              <w:rPr>
                <w:sz w:val="21"/>
              </w:rPr>
              <w:t>呼吸系统防护：作业工人应该佩带防尘口罩。必要时建议佩带自给式呼吸器。眼睛防护：戴化学安全防护眼镜。</w:t>
            </w:r>
          </w:p>
          <w:p>
            <w:pPr>
              <w:pStyle w:val="TableParagraph"/>
              <w:spacing w:line="160" w:lineRule="auto" w:before="3"/>
              <w:ind w:left="114" w:right="4947"/>
              <w:jc w:val="left"/>
              <w:rPr>
                <w:sz w:val="21"/>
              </w:rPr>
            </w:pPr>
            <w:r>
              <w:rPr>
                <w:sz w:val="21"/>
              </w:rPr>
              <w:t>身体防护：穿相应的防护服。手防护：戴防护手套。</w:t>
            </w:r>
          </w:p>
          <w:p>
            <w:pPr>
              <w:pStyle w:val="TableParagraph"/>
              <w:spacing w:line="251" w:lineRule="exact"/>
              <w:ind w:left="114"/>
              <w:jc w:val="left"/>
              <w:rPr>
                <w:sz w:val="21"/>
              </w:rPr>
            </w:pPr>
            <w:r>
              <w:rPr>
                <w:sz w:val="21"/>
              </w:rPr>
              <w:t>其它：工作现场严禁吸烟。进行就业前和定期的体检。</w:t>
            </w:r>
          </w:p>
        </w:tc>
      </w:tr>
      <w:tr>
        <w:trPr>
          <w:trHeight w:val="1496" w:hRule="atLeast"/>
        </w:trPr>
        <w:tc>
          <w:tcPr>
            <w:tcW w:w="1188" w:type="dxa"/>
            <w:tcBorders>
              <w:top w:val="single" w:sz="6" w:space="0" w:color="000000"/>
              <w:right w:val="single" w:sz="6" w:space="0" w:color="000000"/>
            </w:tcBorders>
          </w:tcPr>
          <w:p>
            <w:pPr>
              <w:pStyle w:val="TableParagraph"/>
              <w:spacing w:before="20"/>
              <w:jc w:val="left"/>
              <w:rPr>
                <w:sz w:val="24"/>
              </w:rPr>
            </w:pPr>
          </w:p>
          <w:p>
            <w:pPr>
              <w:pStyle w:val="TableParagraph"/>
              <w:ind w:left="105" w:right="84"/>
              <w:rPr>
                <w:sz w:val="21"/>
              </w:rPr>
            </w:pPr>
            <w:r>
              <w:rPr>
                <w:sz w:val="21"/>
              </w:rPr>
              <w:t>急救措施</w:t>
            </w:r>
          </w:p>
        </w:tc>
        <w:tc>
          <w:tcPr>
            <w:tcW w:w="7821" w:type="dxa"/>
            <w:tcBorders>
              <w:top w:val="single" w:sz="6" w:space="0" w:color="000000"/>
              <w:left w:val="single" w:sz="6" w:space="0" w:color="000000"/>
            </w:tcBorders>
          </w:tcPr>
          <w:p>
            <w:pPr>
              <w:pStyle w:val="TableParagraph"/>
              <w:spacing w:line="302" w:lineRule="exact"/>
              <w:ind w:left="114"/>
              <w:jc w:val="left"/>
              <w:rPr>
                <w:sz w:val="21"/>
              </w:rPr>
            </w:pPr>
            <w:r>
              <w:rPr>
                <w:sz w:val="21"/>
              </w:rPr>
              <w:t>皮肤接触：脱去污染的衣着，立即用流动清水彻底冲洗。</w:t>
            </w:r>
          </w:p>
          <w:p>
            <w:pPr>
              <w:pStyle w:val="TableParagraph"/>
              <w:spacing w:line="300" w:lineRule="exact"/>
              <w:ind w:left="114"/>
              <w:jc w:val="left"/>
              <w:rPr>
                <w:sz w:val="21"/>
              </w:rPr>
            </w:pPr>
            <w:r>
              <w:rPr>
                <w:sz w:val="21"/>
              </w:rPr>
              <w:t>眼睛接触：立即提起眼睑，用流动清水或生理盐水冲洗至少 </w:t>
            </w:r>
            <w:r>
              <w:rPr>
                <w:rFonts w:ascii="Times New Roman" w:eastAsia="Times New Roman"/>
                <w:sz w:val="21"/>
              </w:rPr>
              <w:t>15 </w:t>
            </w:r>
            <w:r>
              <w:rPr>
                <w:sz w:val="21"/>
              </w:rPr>
              <w:t>分钟。就医。</w:t>
            </w:r>
          </w:p>
          <w:p>
            <w:pPr>
              <w:pStyle w:val="TableParagraph"/>
              <w:spacing w:line="160" w:lineRule="auto" w:before="30"/>
              <w:ind w:left="114" w:right="324"/>
              <w:jc w:val="left"/>
              <w:rPr>
                <w:sz w:val="21"/>
              </w:rPr>
            </w:pPr>
            <w:r>
              <w:rPr>
                <w:spacing w:val="-3"/>
                <w:sz w:val="21"/>
              </w:rPr>
              <w:t>吸入：脱离现场至空气新鲜处。保持呼吸道通畅。必要时进行人工呼吸。就医。食入：误服者立即漱口，给饮牛奶或蛋清。就医。</w:t>
            </w:r>
          </w:p>
          <w:p>
            <w:pPr>
              <w:pStyle w:val="TableParagraph"/>
              <w:spacing w:line="249" w:lineRule="exact"/>
              <w:ind w:left="114"/>
              <w:jc w:val="left"/>
              <w:rPr>
                <w:sz w:val="21"/>
              </w:rPr>
            </w:pPr>
            <w:r>
              <w:rPr>
                <w:spacing w:val="-3"/>
                <w:sz w:val="21"/>
              </w:rPr>
              <w:t>灭火方法：干粉、砂土。禁止用水。禁止用泡沫。</w:t>
            </w:r>
          </w:p>
        </w:tc>
      </w:tr>
    </w:tbl>
    <w:p>
      <w:pPr>
        <w:pStyle w:val="BodyText"/>
        <w:spacing w:before="19"/>
        <w:rPr>
          <w:sz w:val="4"/>
        </w:rPr>
      </w:pPr>
    </w:p>
    <w:p>
      <w:pPr>
        <w:tabs>
          <w:tab w:pos="1257" w:val="left" w:leader="none"/>
        </w:tabs>
        <w:spacing w:line="423" w:lineRule="exact" w:before="0"/>
        <w:ind w:left="242" w:right="0" w:firstLine="0"/>
        <w:jc w:val="center"/>
        <w:rPr>
          <w:sz w:val="21"/>
        </w:rPr>
      </w:pPr>
      <w:r>
        <w:rPr>
          <w:sz w:val="21"/>
        </w:rPr>
        <w:t>表</w:t>
      </w:r>
      <w:r>
        <w:rPr>
          <w:spacing w:val="5"/>
          <w:sz w:val="21"/>
        </w:rPr>
        <w:t> </w:t>
      </w:r>
      <w:r>
        <w:rPr>
          <w:rFonts w:ascii="Times New Roman" w:eastAsia="Times New Roman"/>
          <w:sz w:val="21"/>
        </w:rPr>
        <w:t>7.1-37</w:t>
        <w:tab/>
      </w:r>
      <w:r>
        <w:rPr>
          <w:sz w:val="21"/>
        </w:rPr>
        <w:t>氯</w:t>
      </w:r>
      <w:r>
        <w:rPr>
          <w:spacing w:val="-3"/>
          <w:sz w:val="21"/>
        </w:rPr>
        <w:t>苯</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01" w:hRule="atLeast"/>
        </w:trPr>
        <w:tc>
          <w:tcPr>
            <w:tcW w:w="1188" w:type="dxa"/>
            <w:tcBorders>
              <w:bottom w:val="single" w:sz="6" w:space="0" w:color="000000"/>
              <w:right w:val="single" w:sz="6" w:space="0" w:color="000000"/>
            </w:tcBorders>
          </w:tcPr>
          <w:p>
            <w:pPr>
              <w:pStyle w:val="TableParagraph"/>
              <w:spacing w:line="28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5"/>
              <w:ind w:left="212" w:right="184"/>
              <w:rPr>
                <w:rFonts w:ascii="Times New Roman"/>
                <w:sz w:val="21"/>
              </w:rPr>
            </w:pPr>
            <w:r>
              <w:rPr>
                <w:rFonts w:ascii="Times New Roman"/>
                <w:sz w:val="21"/>
              </w:rPr>
              <w:t>33546</w:t>
            </w:r>
          </w:p>
        </w:tc>
        <w:tc>
          <w:tcPr>
            <w:tcW w:w="1440" w:type="dxa"/>
            <w:tcBorders>
              <w:left w:val="single" w:sz="6" w:space="0" w:color="000000"/>
              <w:bottom w:val="single" w:sz="6" w:space="0" w:color="000000"/>
              <w:right w:val="single" w:sz="6" w:space="0" w:color="000000"/>
            </w:tcBorders>
          </w:tcPr>
          <w:p>
            <w:pPr>
              <w:pStyle w:val="TableParagraph"/>
              <w:spacing w:line="28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5"/>
              <w:ind w:left="113" w:right="82"/>
              <w:rPr>
                <w:rFonts w:ascii="Times New Roman"/>
                <w:sz w:val="21"/>
              </w:rPr>
            </w:pPr>
            <w:r>
              <w:rPr>
                <w:rFonts w:ascii="Times New Roman"/>
                <w:sz w:val="21"/>
              </w:rPr>
              <w:t>108-90-7</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4"/>
              <w:rPr>
                <w:sz w:val="21"/>
              </w:rPr>
            </w:pPr>
            <w:r>
              <w:rPr>
                <w:sz w:val="21"/>
              </w:rPr>
              <w:t>氯苯</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5" w:right="78"/>
              <w:rPr>
                <w:rFonts w:ascii="Times New Roman"/>
                <w:sz w:val="21"/>
              </w:rPr>
            </w:pPr>
            <w:r>
              <w:rPr>
                <w:rFonts w:ascii="Times New Roman"/>
                <w:sz w:val="21"/>
              </w:rPr>
              <w:t>chlorlbenzene</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1"/>
              <w:rPr>
                <w:rFonts w:ascii="Times New Roman" w:eastAsia="Times New Roman"/>
                <w:sz w:val="21"/>
              </w:rPr>
            </w:pPr>
            <w:r>
              <w:rPr>
                <w:rFonts w:ascii="Times New Roman" w:eastAsia="Times New Roman"/>
                <w:sz w:val="21"/>
              </w:rPr>
              <w:t>7(</w:t>
            </w:r>
            <w:r>
              <w:rPr>
                <w:sz w:val="21"/>
              </w:rPr>
              <w:t>易燃液体</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279" w:lineRule="exact"/>
              <w:ind w:left="115" w:right="80"/>
              <w:rPr>
                <w:sz w:val="21"/>
              </w:rPr>
            </w:pPr>
            <w:r>
              <w:rPr>
                <w:sz w:val="21"/>
              </w:rPr>
              <w:t>作为有机合成的重要原料</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6" w:right="921"/>
              <w:rPr>
                <w:sz w:val="21"/>
              </w:rPr>
            </w:pPr>
            <w:r>
              <w:rPr>
                <w:sz w:val="21"/>
              </w:rPr>
              <w:t>吸入、食入、经皮吸收。</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282" w:lineRule="exact"/>
              <w:ind w:left="114"/>
              <w:jc w:val="left"/>
              <w:rPr>
                <w:sz w:val="21"/>
              </w:rPr>
            </w:pPr>
            <w:r>
              <w:rPr>
                <w:sz w:val="21"/>
              </w:rPr>
              <w:t>对中枢神经系统有抑制和麻醉作用；对皮肤和粘膜有刺激性。</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2290mg/kg (</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1445mg/kg(</w:t>
            </w:r>
            <w:r>
              <w:rPr>
                <w:position w:val="2"/>
                <w:sz w:val="21"/>
              </w:rPr>
              <w:t>小鼠经口</w:t>
            </w:r>
            <w:r>
              <w:rPr>
                <w:rFonts w:ascii="Times New Roman" w:eastAsia="Times New Roman"/>
                <w:position w:val="2"/>
                <w:sz w:val="21"/>
              </w:rPr>
              <w:t>)</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2" w:lineRule="exact"/>
              <w:ind w:left="114"/>
              <w:jc w:val="left"/>
              <w:rPr>
                <w:sz w:val="21"/>
              </w:rPr>
            </w:pPr>
            <w:r>
              <w:rPr>
                <w:sz w:val="21"/>
              </w:rPr>
              <w:t>易燃，遇明火、高热或氧化剂接触，有引起燃烧爆炸的危险。与过氯酸银、二甲亚</w:t>
            </w:r>
          </w:p>
          <w:p>
            <w:pPr>
              <w:pStyle w:val="TableParagraph"/>
              <w:spacing w:line="278" w:lineRule="exact"/>
              <w:ind w:left="114"/>
              <w:jc w:val="left"/>
              <w:rPr>
                <w:sz w:val="21"/>
              </w:rPr>
            </w:pPr>
            <w:r>
              <w:rPr>
                <w:sz w:val="21"/>
              </w:rPr>
              <w:t>砜反应剧烈。</w:t>
            </w:r>
          </w:p>
        </w:tc>
      </w:tr>
      <w:tr>
        <w:trPr>
          <w:trHeight w:val="2399"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0"/>
              <w:jc w:val="left"/>
              <w:rPr>
                <w:sz w:val="23"/>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44"/>
              <w:jc w:val="both"/>
              <w:rPr>
                <w:sz w:val="21"/>
              </w:rPr>
            </w:pPr>
            <w:r>
              <w:rPr>
                <w:sz w:val="21"/>
              </w:rPr>
              <w:t>迅速撤离泄漏污染区人员至安全区，并进行隔离，严格限制出入。切断火源。建议应急处理人员戴自给正压式呼吸器，穿消防防护服。尽可能切断泄漏源。防止进入下水道、排洪沟等限制性空间。小量泄漏：用砂土或其它不燃材料吸附或吸收。也可以用不燃性分散剂制成的乳液刷洗，洗液稀释后放入废水系统。大量泄漏：构筑</w:t>
            </w:r>
            <w:r>
              <w:rPr>
                <w:spacing w:val="-8"/>
                <w:sz w:val="21"/>
              </w:rPr>
              <w:t>围堤或挖坑收容；用泡沫覆盖，降低蒸气灾害。用防爆泵转至槽车或专用收集器内， </w:t>
            </w:r>
            <w:r>
              <w:rPr>
                <w:spacing w:val="-5"/>
                <w:sz w:val="21"/>
              </w:rPr>
              <w:t>回收或运至废物处理场所处置。</w:t>
            </w:r>
          </w:p>
          <w:p>
            <w:pPr>
              <w:pStyle w:val="TableParagraph"/>
              <w:spacing w:line="281" w:lineRule="exact"/>
              <w:ind w:left="275"/>
              <w:jc w:val="left"/>
              <w:rPr>
                <w:sz w:val="21"/>
              </w:rPr>
            </w:pPr>
            <w:r>
              <w:rPr>
                <w:sz w:val="21"/>
              </w:rPr>
              <w:t>废弃物处置方法：用焚烧法。废料同其他燃料混合后再焚烧，燃烧要充分，防止</w:t>
            </w:r>
          </w:p>
          <w:p>
            <w:pPr>
              <w:pStyle w:val="TableParagraph"/>
              <w:spacing w:line="278" w:lineRule="exact"/>
              <w:ind w:left="114"/>
              <w:jc w:val="both"/>
              <w:rPr>
                <w:sz w:val="21"/>
              </w:rPr>
            </w:pPr>
            <w:r>
              <w:rPr>
                <w:sz w:val="21"/>
              </w:rPr>
              <w:t>光气生成。焚烧炉排出的卤化氢通过酸洗涤器除去。</w:t>
            </w:r>
          </w:p>
        </w:tc>
      </w:tr>
      <w:tr>
        <w:trPr>
          <w:trHeight w:val="1502" w:hRule="atLeast"/>
        </w:trPr>
        <w:tc>
          <w:tcPr>
            <w:tcW w:w="1188" w:type="dxa"/>
            <w:tcBorders>
              <w:top w:val="single" w:sz="6" w:space="0" w:color="000000"/>
              <w:bottom w:val="single" w:sz="6" w:space="0" w:color="000000"/>
              <w:right w:val="single" w:sz="6" w:space="0" w:color="000000"/>
            </w:tcBorders>
          </w:tcPr>
          <w:p>
            <w:pPr>
              <w:pStyle w:val="TableParagraph"/>
              <w:spacing w:before="1"/>
              <w:jc w:val="left"/>
              <w:rPr>
                <w:sz w:val="25"/>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4"/>
              <w:ind w:left="220" w:right="539" w:hanging="106"/>
              <w:jc w:val="left"/>
              <w:rPr>
                <w:sz w:val="21"/>
              </w:rPr>
            </w:pPr>
            <w:r>
              <w:rPr>
                <w:sz w:val="21"/>
              </w:rPr>
              <w:t>呼吸系统防护：空气中浓度超标时，应该佩戴自吸过滤式防毒面具</w:t>
            </w:r>
            <w:r>
              <w:rPr>
                <w:rFonts w:ascii="Times New Roman" w:eastAsia="Times New Roman"/>
                <w:sz w:val="21"/>
              </w:rPr>
              <w:t>(</w:t>
            </w:r>
            <w:r>
              <w:rPr>
                <w:sz w:val="21"/>
              </w:rPr>
              <w:t>半面罩</w:t>
            </w:r>
            <w:r>
              <w:rPr>
                <w:rFonts w:ascii="Times New Roman" w:eastAsia="Times New Roman"/>
                <w:sz w:val="21"/>
              </w:rPr>
              <w:t>)</w:t>
            </w:r>
            <w:r>
              <w:rPr>
                <w:sz w:val="21"/>
              </w:rPr>
              <w:t>。眼睛防护：一般不需要特殊防护，高浓度接触时可戴化学安全防护眼镜。  身体防护：穿防毒物渗透工作服。</w:t>
            </w:r>
          </w:p>
          <w:p>
            <w:pPr>
              <w:pStyle w:val="TableParagraph"/>
              <w:spacing w:line="275" w:lineRule="exact"/>
              <w:ind w:left="220"/>
              <w:jc w:val="left"/>
              <w:rPr>
                <w:sz w:val="21"/>
              </w:rPr>
            </w:pPr>
            <w:r>
              <w:rPr>
                <w:sz w:val="21"/>
              </w:rPr>
              <w:t>手防护：戴橡胶手套。</w:t>
            </w:r>
          </w:p>
          <w:p>
            <w:pPr>
              <w:pStyle w:val="TableParagraph"/>
              <w:spacing w:line="278" w:lineRule="exact"/>
              <w:ind w:left="220" w:right="-44"/>
              <w:jc w:val="left"/>
              <w:rPr>
                <w:sz w:val="21"/>
              </w:rPr>
            </w:pPr>
            <w:r>
              <w:rPr>
                <w:spacing w:val="-14"/>
                <w:sz w:val="21"/>
              </w:rPr>
              <w:t>其它：工作现场禁止吸烟、进食和饮水。工作毕，淋浴更衣。保持良好的卫生习惯。</w:t>
            </w:r>
          </w:p>
        </w:tc>
      </w:tr>
      <w:tr>
        <w:trPr>
          <w:trHeight w:val="2096"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160" w:lineRule="auto" w:before="31"/>
              <w:ind w:left="114" w:right="1164"/>
              <w:jc w:val="left"/>
              <w:rPr>
                <w:sz w:val="21"/>
              </w:rPr>
            </w:pPr>
            <w:r>
              <w:rPr>
                <w:sz w:val="21"/>
              </w:rPr>
              <w:t>皮肤接触：脱去被污染的衣着，用肥皂水和清水彻底冲洗皮肤。就医。眼睛接触：提起眼睑，用流动清水或生理盐水冲洗。就医。</w:t>
            </w:r>
          </w:p>
          <w:p>
            <w:pPr>
              <w:pStyle w:val="TableParagraph"/>
              <w:spacing w:line="160" w:lineRule="auto" w:before="4"/>
              <w:ind w:left="114" w:right="76"/>
              <w:jc w:val="left"/>
              <w:rPr>
                <w:sz w:val="21"/>
              </w:rPr>
            </w:pPr>
            <w:r>
              <w:rPr>
                <w:sz w:val="21"/>
              </w:rPr>
              <w:t>吸入：迅速脱离现场至空气新鲜处。保持呼吸道通畅。如呼吸困难，给输氧。如呼吸停止时，立即进行人工呼吸。就医。</w:t>
            </w:r>
          </w:p>
          <w:p>
            <w:pPr>
              <w:pStyle w:val="TableParagraph"/>
              <w:spacing w:line="273" w:lineRule="exact"/>
              <w:ind w:left="114"/>
              <w:jc w:val="left"/>
              <w:rPr>
                <w:sz w:val="21"/>
              </w:rPr>
            </w:pPr>
            <w:r>
              <w:rPr>
                <w:sz w:val="21"/>
              </w:rPr>
              <w:t>食入：饮足量温水，催吐。就医。</w:t>
            </w:r>
          </w:p>
          <w:p>
            <w:pPr>
              <w:pStyle w:val="TableParagraph"/>
              <w:spacing w:line="300" w:lineRule="exact"/>
              <w:ind w:left="114"/>
              <w:jc w:val="left"/>
              <w:rPr>
                <w:sz w:val="21"/>
              </w:rPr>
            </w:pPr>
            <w:r>
              <w:rPr>
                <w:sz w:val="21"/>
              </w:rPr>
              <w:t>灭火方法：喷水冷却容器，可能的疾将容器从火场移至空旷处。灭火剂：雾状水、</w:t>
            </w:r>
          </w:p>
          <w:p>
            <w:pPr>
              <w:pStyle w:val="TableParagraph"/>
              <w:spacing w:line="275" w:lineRule="exact"/>
              <w:ind w:left="114"/>
              <w:jc w:val="left"/>
              <w:rPr>
                <w:sz w:val="21"/>
              </w:rPr>
            </w:pPr>
            <w:r>
              <w:rPr>
                <w:sz w:val="21"/>
              </w:rPr>
              <w:t>泡沫、干粉、二氧化碳、砂土。</w:t>
            </w:r>
          </w:p>
        </w:tc>
      </w:tr>
    </w:tbl>
    <w:p>
      <w:pPr>
        <w:tabs>
          <w:tab w:pos="1259" w:val="left" w:leader="none"/>
        </w:tabs>
        <w:spacing w:before="80"/>
        <w:ind w:left="244" w:right="0" w:firstLine="0"/>
        <w:jc w:val="center"/>
        <w:rPr>
          <w:sz w:val="21"/>
        </w:rPr>
      </w:pPr>
      <w:r>
        <w:rPr>
          <w:sz w:val="21"/>
        </w:rPr>
        <w:t>表</w:t>
      </w:r>
      <w:r>
        <w:rPr>
          <w:spacing w:val="5"/>
          <w:sz w:val="21"/>
        </w:rPr>
        <w:t> </w:t>
      </w:r>
      <w:r>
        <w:rPr>
          <w:rFonts w:ascii="Times New Roman" w:eastAsia="Times New Roman"/>
          <w:sz w:val="21"/>
        </w:rPr>
        <w:t>7.1-38</w:t>
        <w:tab/>
      </w:r>
      <w:r>
        <w:rPr>
          <w:sz w:val="21"/>
        </w:rPr>
        <w:t>氯</w:t>
      </w:r>
      <w:r>
        <w:rPr>
          <w:spacing w:val="-3"/>
          <w:sz w:val="21"/>
        </w:rPr>
        <w:t>化</w:t>
      </w:r>
      <w:r>
        <w:rPr>
          <w:sz w:val="21"/>
        </w:rPr>
        <w:t>亚</w:t>
      </w:r>
      <w:r>
        <w:rPr>
          <w:spacing w:val="-3"/>
          <w:sz w:val="21"/>
        </w:rPr>
        <w:t>砜</w:t>
      </w:r>
      <w:r>
        <w:rPr>
          <w:sz w:val="21"/>
        </w:rPr>
        <w:t>危</w:t>
      </w:r>
      <w:r>
        <w:rPr>
          <w:spacing w:val="-3"/>
          <w:sz w:val="21"/>
        </w:rPr>
        <w:t>险</w:t>
      </w:r>
      <w:r>
        <w:rPr>
          <w:sz w:val="21"/>
        </w:rPr>
        <w:t>特性</w:t>
      </w:r>
      <w:r>
        <w:rPr>
          <w:spacing w:val="-3"/>
          <w:sz w:val="21"/>
        </w:rPr>
        <w:t>及</w:t>
      </w:r>
      <w:r>
        <w:rPr>
          <w:sz w:val="21"/>
        </w:rPr>
        <w:t>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01" w:hRule="atLeast"/>
        </w:trPr>
        <w:tc>
          <w:tcPr>
            <w:tcW w:w="1188" w:type="dxa"/>
            <w:tcBorders>
              <w:bottom w:val="single" w:sz="6" w:space="0" w:color="000000"/>
              <w:right w:val="single" w:sz="6" w:space="0" w:color="000000"/>
            </w:tcBorders>
          </w:tcPr>
          <w:p>
            <w:pPr>
              <w:pStyle w:val="TableParagraph"/>
              <w:spacing w:line="28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5"/>
              <w:ind w:left="212" w:right="184"/>
              <w:rPr>
                <w:rFonts w:ascii="Times New Roman"/>
                <w:sz w:val="21"/>
              </w:rPr>
            </w:pPr>
            <w:r>
              <w:rPr>
                <w:rFonts w:ascii="Times New Roman"/>
                <w:sz w:val="21"/>
              </w:rPr>
              <w:t>81037</w:t>
            </w:r>
          </w:p>
        </w:tc>
        <w:tc>
          <w:tcPr>
            <w:tcW w:w="1440" w:type="dxa"/>
            <w:tcBorders>
              <w:left w:val="single" w:sz="6" w:space="0" w:color="000000"/>
              <w:bottom w:val="single" w:sz="6" w:space="0" w:color="000000"/>
              <w:right w:val="single" w:sz="6" w:space="0" w:color="000000"/>
            </w:tcBorders>
          </w:tcPr>
          <w:p>
            <w:pPr>
              <w:pStyle w:val="TableParagraph"/>
              <w:spacing w:line="28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5"/>
              <w:ind w:left="113" w:right="82"/>
              <w:rPr>
                <w:rFonts w:ascii="Times New Roman"/>
                <w:sz w:val="21"/>
              </w:rPr>
            </w:pPr>
            <w:r>
              <w:rPr>
                <w:rFonts w:ascii="Times New Roman"/>
                <w:sz w:val="21"/>
              </w:rPr>
              <w:t>7719-09-7</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80"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212" w:right="181"/>
              <w:rPr>
                <w:sz w:val="21"/>
              </w:rPr>
            </w:pPr>
            <w:r>
              <w:rPr>
                <w:sz w:val="21"/>
              </w:rPr>
              <w:t>氯化亚砜</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4"/>
              <w:ind w:left="113" w:right="82"/>
              <w:rPr>
                <w:rFonts w:ascii="Times New Roman"/>
                <w:sz w:val="21"/>
              </w:rPr>
            </w:pPr>
            <w:r>
              <w:rPr>
                <w:rFonts w:ascii="Times New Roman"/>
                <w:sz w:val="21"/>
              </w:rPr>
              <w:t>thionyl chloride</w:t>
            </w:r>
          </w:p>
        </w:tc>
      </w:tr>
      <w:tr>
        <w:trPr>
          <w:trHeight w:val="299" w:hRule="atLeast"/>
        </w:trPr>
        <w:tc>
          <w:tcPr>
            <w:tcW w:w="1188" w:type="dxa"/>
            <w:tcBorders>
              <w:top w:val="single" w:sz="6" w:space="0" w:color="000000"/>
              <w:right w:val="single" w:sz="6" w:space="0" w:color="000000"/>
            </w:tcBorders>
          </w:tcPr>
          <w:p>
            <w:pPr>
              <w:pStyle w:val="TableParagraph"/>
              <w:spacing w:line="279" w:lineRule="exact"/>
              <w:ind w:left="105" w:right="84"/>
              <w:rPr>
                <w:sz w:val="21"/>
              </w:rPr>
            </w:pPr>
            <w:r>
              <w:rPr>
                <w:sz w:val="21"/>
              </w:rPr>
              <w:t>危险标记</w:t>
            </w:r>
          </w:p>
        </w:tc>
        <w:tc>
          <w:tcPr>
            <w:tcW w:w="3601" w:type="dxa"/>
            <w:tcBorders>
              <w:top w:val="single" w:sz="6" w:space="0" w:color="000000"/>
              <w:left w:val="single" w:sz="6" w:space="0" w:color="000000"/>
              <w:right w:val="single" w:sz="6" w:space="0" w:color="000000"/>
            </w:tcBorders>
          </w:tcPr>
          <w:p>
            <w:pPr>
              <w:pStyle w:val="TableParagraph"/>
              <w:spacing w:line="279" w:lineRule="exact"/>
              <w:ind w:left="212" w:right="183"/>
              <w:rPr>
                <w:rFonts w:ascii="Times New Roman" w:eastAsia="Times New Roman"/>
                <w:sz w:val="21"/>
              </w:rPr>
            </w:pPr>
            <w:r>
              <w:rPr>
                <w:rFonts w:ascii="Times New Roman" w:eastAsia="Times New Roman"/>
                <w:sz w:val="21"/>
              </w:rPr>
              <w:t>20(</w:t>
            </w:r>
            <w:r>
              <w:rPr>
                <w:sz w:val="21"/>
              </w:rPr>
              <w:t>酸性腐蚀品</w:t>
            </w:r>
            <w:r>
              <w:rPr>
                <w:rFonts w:ascii="Times New Roman" w:eastAsia="Times New Roman"/>
                <w:sz w:val="21"/>
              </w:rPr>
              <w:t>)</w:t>
            </w:r>
          </w:p>
        </w:tc>
        <w:tc>
          <w:tcPr>
            <w:tcW w:w="1440" w:type="dxa"/>
            <w:tcBorders>
              <w:top w:val="single" w:sz="6" w:space="0" w:color="000000"/>
              <w:left w:val="single" w:sz="6" w:space="0" w:color="000000"/>
              <w:right w:val="single" w:sz="6" w:space="0" w:color="000000"/>
            </w:tcBorders>
          </w:tcPr>
          <w:p>
            <w:pPr>
              <w:pStyle w:val="TableParagraph"/>
              <w:spacing w:line="279" w:lineRule="exact"/>
              <w:ind w:left="183" w:right="152"/>
              <w:rPr>
                <w:sz w:val="21"/>
              </w:rPr>
            </w:pPr>
            <w:r>
              <w:rPr>
                <w:sz w:val="21"/>
              </w:rPr>
              <w:t>主要用途</w:t>
            </w:r>
          </w:p>
        </w:tc>
        <w:tc>
          <w:tcPr>
            <w:tcW w:w="2780" w:type="dxa"/>
            <w:tcBorders>
              <w:top w:val="single" w:sz="6" w:space="0" w:color="000000"/>
              <w:left w:val="single" w:sz="6" w:space="0" w:color="000000"/>
            </w:tcBorders>
          </w:tcPr>
          <w:p>
            <w:pPr>
              <w:pStyle w:val="TableParagraph"/>
              <w:spacing w:line="279" w:lineRule="exact"/>
              <w:ind w:left="115" w:right="82"/>
              <w:rPr>
                <w:sz w:val="21"/>
              </w:rPr>
            </w:pPr>
            <w:r>
              <w:rPr>
                <w:sz w:val="21"/>
              </w:rPr>
              <w:t>用于有机合成、农药及医药</w:t>
            </w:r>
          </w:p>
        </w:tc>
      </w:tr>
    </w:tbl>
    <w:p>
      <w:pPr>
        <w:spacing w:after="0" w:line="279"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301" w:hRule="atLeast"/>
        </w:trPr>
        <w:tc>
          <w:tcPr>
            <w:tcW w:w="1188" w:type="dxa"/>
            <w:tcBorders>
              <w:bottom w:val="single" w:sz="6" w:space="0" w:color="000000"/>
              <w:right w:val="single" w:sz="6" w:space="0" w:color="000000"/>
            </w:tcBorders>
          </w:tcPr>
          <w:p>
            <w:pPr>
              <w:pStyle w:val="TableParagraph"/>
              <w:spacing w:line="282" w:lineRule="exact"/>
              <w:ind w:left="105" w:right="84"/>
              <w:rPr>
                <w:sz w:val="21"/>
              </w:rPr>
            </w:pPr>
            <w:r>
              <w:rPr>
                <w:sz w:val="21"/>
              </w:rPr>
              <w:t>侵入途径</w:t>
            </w:r>
          </w:p>
        </w:tc>
        <w:tc>
          <w:tcPr>
            <w:tcW w:w="7821" w:type="dxa"/>
            <w:tcBorders>
              <w:left w:val="single" w:sz="6" w:space="0" w:color="000000"/>
              <w:bottom w:val="single" w:sz="6" w:space="0" w:color="000000"/>
            </w:tcBorders>
          </w:tcPr>
          <w:p>
            <w:pPr>
              <w:pStyle w:val="TableParagraph"/>
              <w:spacing w:line="282" w:lineRule="exact"/>
              <w:ind w:left="956" w:right="921"/>
              <w:rPr>
                <w:sz w:val="21"/>
              </w:rPr>
            </w:pPr>
            <w:r>
              <w:rPr>
                <w:sz w:val="21"/>
              </w:rPr>
              <w:t>吸入、食入、经皮吸收。</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5" w:right="84"/>
              <w:rPr>
                <w:sz w:val="21"/>
              </w:rPr>
            </w:pPr>
            <w:r>
              <w:rPr>
                <w:sz w:val="21"/>
              </w:rPr>
              <w:t>健康危害</w:t>
            </w:r>
          </w:p>
        </w:tc>
        <w:tc>
          <w:tcPr>
            <w:tcW w:w="7821" w:type="dxa"/>
            <w:tcBorders>
              <w:top w:val="single" w:sz="6" w:space="0" w:color="000000"/>
              <w:left w:val="single" w:sz="6" w:space="0" w:color="000000"/>
              <w:bottom w:val="single" w:sz="6" w:space="0" w:color="000000"/>
            </w:tcBorders>
          </w:tcPr>
          <w:p>
            <w:pPr>
              <w:pStyle w:val="TableParagraph"/>
              <w:spacing w:line="160" w:lineRule="auto" w:before="31"/>
              <w:ind w:left="114" w:right="74"/>
              <w:jc w:val="left"/>
              <w:rPr>
                <w:sz w:val="21"/>
              </w:rPr>
            </w:pPr>
            <w:r>
              <w:rPr>
                <w:sz w:val="21"/>
              </w:rPr>
              <w:t>吸入、口服或经皮吸收后对身体有害。对眼睛、皮肤、粘膜和呼吸道有强烈的刺激作用 ，可引起灼伤。吸入后可因喉、支气管的痉挛、水肿而致死。中毒表现有烧灼</w:t>
            </w:r>
          </w:p>
          <w:p>
            <w:pPr>
              <w:pStyle w:val="TableParagraph"/>
              <w:spacing w:line="251" w:lineRule="exact"/>
              <w:ind w:left="114"/>
              <w:jc w:val="left"/>
              <w:rPr>
                <w:sz w:val="21"/>
              </w:rPr>
            </w:pPr>
            <w:r>
              <w:rPr>
                <w:sz w:val="21"/>
              </w:rPr>
              <w:t>感、咳嗽、喘息、头晕、喉炎、气短、头痛、恶心和呕吐。</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6" w:right="83"/>
              <w:rPr>
                <w:sz w:val="21"/>
              </w:rPr>
            </w:pPr>
            <w:r>
              <w:rPr>
                <w:sz w:val="21"/>
              </w:rPr>
              <w:t>毒性</w:t>
            </w:r>
          </w:p>
        </w:tc>
        <w:tc>
          <w:tcPr>
            <w:tcW w:w="7821" w:type="dxa"/>
            <w:tcBorders>
              <w:top w:val="single" w:sz="6" w:space="0" w:color="000000"/>
              <w:left w:val="single" w:sz="6" w:space="0" w:color="000000"/>
              <w:bottom w:val="single" w:sz="6" w:space="0" w:color="000000"/>
            </w:tcBorders>
          </w:tcPr>
          <w:p>
            <w:pPr>
              <w:pStyle w:val="TableParagraph"/>
              <w:spacing w:line="279"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2435mg/m</w:t>
            </w:r>
            <w:r>
              <w:rPr>
                <w:rFonts w:ascii="Times New Roman" w:eastAsia="Times New Roman"/>
                <w:position w:val="2"/>
                <w:sz w:val="21"/>
                <w:vertAlign w:val="superscript"/>
              </w:rPr>
              <w:t>3</w:t>
            </w:r>
            <w:r>
              <w:rPr>
                <w:rFonts w:ascii="Times New Roman" w:eastAsia="Times New Roman"/>
                <w:position w:val="2"/>
                <w:sz w:val="21"/>
                <w:vertAlign w:val="baseline"/>
              </w:rPr>
              <w:t>(</w:t>
            </w:r>
            <w:r>
              <w:rPr>
                <w:position w:val="2"/>
                <w:sz w:val="21"/>
                <w:vertAlign w:val="baseline"/>
              </w:rPr>
              <w:t>大鼠吸入</w:t>
            </w:r>
            <w:r>
              <w:rPr>
                <w:rFonts w:ascii="Times New Roman" w:eastAsia="Times New Roman"/>
                <w:position w:val="2"/>
                <w:sz w:val="21"/>
                <w:vertAlign w:val="baseline"/>
              </w:rPr>
              <w:t>)</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tcBorders>
              <w:top w:val="single" w:sz="6" w:space="0" w:color="000000"/>
              <w:left w:val="single" w:sz="6" w:space="0" w:color="000000"/>
              <w:bottom w:val="single" w:sz="6" w:space="0" w:color="000000"/>
            </w:tcBorders>
          </w:tcPr>
          <w:p>
            <w:pPr>
              <w:pStyle w:val="TableParagraph"/>
              <w:spacing w:line="302" w:lineRule="exact"/>
              <w:ind w:left="114"/>
              <w:jc w:val="left"/>
              <w:rPr>
                <w:sz w:val="21"/>
              </w:rPr>
            </w:pPr>
            <w:r>
              <w:rPr>
                <w:sz w:val="21"/>
              </w:rPr>
              <w:t>本品不燃，遇水或潮气会分解放出二氧化硫、氯化氢等刺激性的有毒烟气。受热分</w:t>
            </w:r>
          </w:p>
          <w:p>
            <w:pPr>
              <w:pStyle w:val="TableParagraph"/>
              <w:spacing w:line="278" w:lineRule="exact"/>
              <w:ind w:left="114"/>
              <w:jc w:val="left"/>
              <w:rPr>
                <w:sz w:val="21"/>
              </w:rPr>
            </w:pPr>
            <w:r>
              <w:rPr>
                <w:sz w:val="21"/>
              </w:rPr>
              <w:t>解也能主生有毒物质。对很多金属尤其是潮湿空气存在下具有腐蚀性。</w:t>
            </w:r>
          </w:p>
        </w:tc>
      </w:tr>
      <w:tr>
        <w:trPr>
          <w:trHeight w:val="1201" w:hRule="atLeast"/>
        </w:trPr>
        <w:tc>
          <w:tcPr>
            <w:tcW w:w="1188" w:type="dxa"/>
            <w:tcBorders>
              <w:top w:val="single" w:sz="6" w:space="0" w:color="000000"/>
              <w:bottom w:val="single" w:sz="6" w:space="0" w:color="000000"/>
              <w:right w:val="single" w:sz="6" w:space="0" w:color="000000"/>
            </w:tcBorders>
          </w:tcPr>
          <w:p>
            <w:pPr>
              <w:pStyle w:val="TableParagraph"/>
              <w:spacing w:before="15"/>
              <w:jc w:val="left"/>
              <w:rPr>
                <w:sz w:val="15"/>
              </w:rPr>
            </w:pPr>
          </w:p>
          <w:p>
            <w:pPr>
              <w:pStyle w:val="TableParagraph"/>
              <w:spacing w:line="160" w:lineRule="auto" w:before="1"/>
              <w:ind w:left="383" w:right="148" w:hanging="212"/>
              <w:jc w:val="left"/>
              <w:rPr>
                <w:sz w:val="21"/>
              </w:rPr>
            </w:pPr>
            <w:r>
              <w:rPr>
                <w:sz w:val="21"/>
              </w:rPr>
              <w:t>泄漏应急处理</w:t>
            </w:r>
          </w:p>
        </w:tc>
        <w:tc>
          <w:tcPr>
            <w:tcW w:w="7821" w:type="dxa"/>
            <w:tcBorders>
              <w:top w:val="single" w:sz="6" w:space="0" w:color="000000"/>
              <w:left w:val="single" w:sz="6" w:space="0" w:color="000000"/>
              <w:bottom w:val="single" w:sz="6" w:space="0" w:color="000000"/>
            </w:tcBorders>
          </w:tcPr>
          <w:p>
            <w:pPr>
              <w:pStyle w:val="TableParagraph"/>
              <w:spacing w:line="160" w:lineRule="auto" w:before="34"/>
              <w:ind w:left="114" w:right="-44"/>
              <w:jc w:val="both"/>
              <w:rPr>
                <w:sz w:val="21"/>
              </w:rPr>
            </w:pPr>
            <w:r>
              <w:rPr>
                <w:sz w:val="21"/>
              </w:rPr>
              <w:t>迅速撤离泄漏污染区人员至安全区，并进行隔离，严格限制出入。建议应急处理人</w:t>
            </w:r>
            <w:r>
              <w:rPr>
                <w:spacing w:val="-7"/>
                <w:sz w:val="21"/>
              </w:rPr>
              <w:t>员戴自给正压式呼吸器，穿防酸碱工作服。从上风处进入现场。尽可能切断泄漏源。防止进入下水道、排洪沟等限制性空间。小量泄漏：用砂土或其它不燃材料吸附或</w:t>
            </w:r>
          </w:p>
          <w:p>
            <w:pPr>
              <w:pStyle w:val="TableParagraph"/>
              <w:spacing w:line="253" w:lineRule="exact"/>
              <w:ind w:left="114"/>
              <w:jc w:val="both"/>
              <w:rPr>
                <w:sz w:val="21"/>
              </w:rPr>
            </w:pPr>
            <w:r>
              <w:rPr>
                <w:sz w:val="21"/>
              </w:rPr>
              <w:t>吸收。大量泄漏：构筑围堤或挖坑收容；在专家指导下清除。</w:t>
            </w:r>
          </w:p>
        </w:tc>
      </w:tr>
      <w:tr>
        <w:trPr>
          <w:trHeight w:val="1800"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1"/>
              <w:jc w:val="left"/>
              <w:rPr>
                <w:sz w:val="11"/>
              </w:rPr>
            </w:pPr>
          </w:p>
          <w:p>
            <w:pPr>
              <w:pStyle w:val="TableParagraph"/>
              <w:ind w:left="105" w:right="84"/>
              <w:rPr>
                <w:sz w:val="21"/>
              </w:rPr>
            </w:pPr>
            <w:r>
              <w:rPr>
                <w:sz w:val="21"/>
              </w:rPr>
              <w:t>防护措施</w:t>
            </w:r>
          </w:p>
        </w:tc>
        <w:tc>
          <w:tcPr>
            <w:tcW w:w="7821" w:type="dxa"/>
            <w:tcBorders>
              <w:top w:val="single" w:sz="6" w:space="0" w:color="000000"/>
              <w:left w:val="single" w:sz="6" w:space="0" w:color="000000"/>
              <w:bottom w:val="single" w:sz="6" w:space="0" w:color="000000"/>
            </w:tcBorders>
          </w:tcPr>
          <w:p>
            <w:pPr>
              <w:pStyle w:val="TableParagraph"/>
              <w:spacing w:line="160" w:lineRule="auto" w:before="32"/>
              <w:ind w:left="114" w:right="71"/>
              <w:jc w:val="left"/>
              <w:rPr>
                <w:sz w:val="21"/>
              </w:rPr>
            </w:pPr>
            <w:r>
              <w:rPr>
                <w:spacing w:val="-11"/>
                <w:sz w:val="21"/>
              </w:rPr>
              <w:t>呼吸系统防护：空气中浓度超标时，必须佩戴自吸过滤式防毒面具</w:t>
            </w:r>
            <w:r>
              <w:rPr>
                <w:rFonts w:ascii="Times New Roman" w:eastAsia="Times New Roman"/>
                <w:spacing w:val="-4"/>
                <w:sz w:val="21"/>
              </w:rPr>
              <w:t>(</w:t>
            </w:r>
            <w:r>
              <w:rPr>
                <w:spacing w:val="-2"/>
                <w:sz w:val="21"/>
              </w:rPr>
              <w:t>全面罩</w:t>
            </w:r>
            <w:r>
              <w:rPr>
                <w:rFonts w:ascii="Times New Roman" w:eastAsia="Times New Roman"/>
                <w:sz w:val="21"/>
              </w:rPr>
              <w:t>)</w:t>
            </w:r>
            <w:r>
              <w:rPr>
                <w:spacing w:val="-3"/>
                <w:sz w:val="21"/>
              </w:rPr>
              <w:t>或隔离式呼吸器。紧急事态抢救或撤离时，佩戴自给式呼吸器。</w:t>
            </w:r>
          </w:p>
          <w:p>
            <w:pPr>
              <w:pStyle w:val="TableParagraph"/>
              <w:spacing w:line="160" w:lineRule="auto" w:before="3"/>
              <w:ind w:left="220" w:right="4004"/>
              <w:jc w:val="left"/>
              <w:rPr>
                <w:sz w:val="21"/>
              </w:rPr>
            </w:pPr>
            <w:r>
              <w:rPr>
                <w:sz w:val="21"/>
              </w:rPr>
              <w:t>眼睛防护：呼吸系统防护中已作防护。防护服：穿橡胶耐酸碱服。</w:t>
            </w:r>
          </w:p>
          <w:p>
            <w:pPr>
              <w:pStyle w:val="TableParagraph"/>
              <w:spacing w:line="273" w:lineRule="exact"/>
              <w:ind w:left="220"/>
              <w:jc w:val="left"/>
              <w:rPr>
                <w:sz w:val="21"/>
              </w:rPr>
            </w:pPr>
            <w:r>
              <w:rPr>
                <w:sz w:val="21"/>
              </w:rPr>
              <w:t>手防护：戴橡胶耐酸碱手套。</w:t>
            </w:r>
          </w:p>
          <w:p>
            <w:pPr>
              <w:pStyle w:val="TableParagraph"/>
              <w:spacing w:line="278" w:lineRule="exact"/>
              <w:ind w:left="220"/>
              <w:jc w:val="left"/>
              <w:rPr>
                <w:sz w:val="21"/>
              </w:rPr>
            </w:pPr>
            <w:r>
              <w:rPr>
                <w:sz w:val="21"/>
              </w:rPr>
              <w:t>其它：工作现场禁止吸烟、进食和饮水。工作毕，淋浴更衣。</w:t>
            </w:r>
          </w:p>
        </w:tc>
      </w:tr>
      <w:tr>
        <w:trPr>
          <w:trHeight w:val="2099"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05" w:right="84"/>
              <w:rPr>
                <w:sz w:val="21"/>
              </w:rPr>
            </w:pPr>
            <w:r>
              <w:rPr>
                <w:sz w:val="21"/>
              </w:rPr>
              <w:t>急救措施</w:t>
            </w:r>
          </w:p>
        </w:tc>
        <w:tc>
          <w:tcPr>
            <w:tcW w:w="7821" w:type="dxa"/>
            <w:tcBorders>
              <w:top w:val="single" w:sz="6" w:space="0" w:color="000000"/>
              <w:left w:val="single" w:sz="6" w:space="0" w:color="000000"/>
            </w:tcBorders>
          </w:tcPr>
          <w:p>
            <w:pPr>
              <w:pStyle w:val="TableParagraph"/>
              <w:spacing w:line="302" w:lineRule="exact"/>
              <w:ind w:left="114"/>
              <w:jc w:val="left"/>
              <w:rPr>
                <w:sz w:val="21"/>
              </w:rPr>
            </w:pPr>
            <w:r>
              <w:rPr>
                <w:sz w:val="21"/>
              </w:rPr>
              <w:t>皮肤接触：立即脱去被污染的衣着，用大量流动清水冲洗，至少 </w:t>
            </w:r>
            <w:r>
              <w:rPr>
                <w:rFonts w:ascii="Times New Roman" w:eastAsia="Times New Roman"/>
                <w:sz w:val="21"/>
              </w:rPr>
              <w:t>15 </w:t>
            </w:r>
            <w:r>
              <w:rPr>
                <w:sz w:val="21"/>
              </w:rPr>
              <w:t>分钟。就医。</w:t>
            </w:r>
          </w:p>
          <w:p>
            <w:pPr>
              <w:pStyle w:val="TableParagraph"/>
              <w:spacing w:line="160" w:lineRule="auto" w:before="30"/>
              <w:ind w:left="114" w:right="-44"/>
              <w:jc w:val="both"/>
              <w:rPr>
                <w:sz w:val="21"/>
              </w:rPr>
            </w:pPr>
            <w:r>
              <w:rPr>
                <w:spacing w:val="-12"/>
                <w:sz w:val="21"/>
              </w:rPr>
              <w:t>眼睛接触：立即提起眼睑，用大量流动清水或生理盐水彻底冲洗至少 </w:t>
            </w:r>
            <w:r>
              <w:rPr>
                <w:rFonts w:ascii="Times New Roman" w:eastAsia="Times New Roman"/>
                <w:sz w:val="21"/>
              </w:rPr>
              <w:t>15 </w:t>
            </w:r>
            <w:r>
              <w:rPr>
                <w:spacing w:val="-12"/>
                <w:sz w:val="21"/>
              </w:rPr>
              <w:t>分钟。就医。</w:t>
            </w:r>
            <w:r>
              <w:rPr>
                <w:spacing w:val="-6"/>
                <w:sz w:val="21"/>
              </w:rPr>
              <w:t>吸入：迅速脱离现场至空气新鲜处。保持呼吸道通畅。如呼吸困难，给输氧。如呼 </w:t>
            </w:r>
            <w:r>
              <w:rPr>
                <w:spacing w:val="-4"/>
                <w:sz w:val="21"/>
              </w:rPr>
              <w:t>吸停止，立即进行人工呼吸。就医。</w:t>
            </w:r>
          </w:p>
          <w:p>
            <w:pPr>
              <w:pStyle w:val="TableParagraph"/>
              <w:spacing w:line="275" w:lineRule="exact"/>
              <w:ind w:left="114"/>
              <w:jc w:val="both"/>
              <w:rPr>
                <w:sz w:val="21"/>
              </w:rPr>
            </w:pPr>
            <w:r>
              <w:rPr>
                <w:sz w:val="21"/>
              </w:rPr>
              <w:t>食入：误服者用水漱口，给饮牛奶或蛋清。就医。</w:t>
            </w:r>
          </w:p>
          <w:p>
            <w:pPr>
              <w:pStyle w:val="TableParagraph"/>
              <w:spacing w:line="300" w:lineRule="exact"/>
              <w:ind w:left="114"/>
              <w:jc w:val="both"/>
              <w:rPr>
                <w:sz w:val="21"/>
              </w:rPr>
            </w:pPr>
            <w:r>
              <w:rPr>
                <w:sz w:val="21"/>
              </w:rPr>
              <w:t>灭火方法：消防人员必须穿全身耐酸碱消防服。灭火剂：二氧化碳、砂土。禁止用</w:t>
            </w:r>
          </w:p>
          <w:p>
            <w:pPr>
              <w:pStyle w:val="TableParagraph"/>
              <w:spacing w:line="278" w:lineRule="exact"/>
              <w:ind w:left="114"/>
              <w:jc w:val="both"/>
              <w:rPr>
                <w:sz w:val="21"/>
              </w:rPr>
            </w:pPr>
            <w:r>
              <w:rPr>
                <w:sz w:val="21"/>
              </w:rPr>
              <w:t>水。</w:t>
            </w:r>
          </w:p>
        </w:tc>
      </w:tr>
    </w:tbl>
    <w:p>
      <w:pPr>
        <w:pStyle w:val="BodyText"/>
        <w:spacing w:before="18"/>
        <w:rPr>
          <w:sz w:val="4"/>
        </w:rPr>
      </w:pPr>
    </w:p>
    <w:p>
      <w:pPr>
        <w:tabs>
          <w:tab w:pos="4084" w:val="left" w:leader="none"/>
        </w:tabs>
        <w:spacing w:line="423" w:lineRule="exact" w:before="0"/>
        <w:ind w:left="3069" w:right="0" w:firstLine="0"/>
        <w:jc w:val="left"/>
        <w:rPr>
          <w:sz w:val="21"/>
        </w:rPr>
      </w:pPr>
      <w:r>
        <w:rPr>
          <w:sz w:val="21"/>
        </w:rPr>
        <w:t>表</w:t>
      </w:r>
      <w:r>
        <w:rPr>
          <w:spacing w:val="5"/>
          <w:sz w:val="21"/>
        </w:rPr>
        <w:t> </w:t>
      </w:r>
      <w:r>
        <w:rPr>
          <w:rFonts w:ascii="Times New Roman" w:eastAsia="Times New Roman"/>
          <w:sz w:val="21"/>
        </w:rPr>
        <w:t>7.1-39</w:t>
        <w:tab/>
      </w:r>
      <w:r>
        <w:rPr>
          <w:sz w:val="21"/>
        </w:rPr>
        <w:t>富</w:t>
      </w:r>
      <w:r>
        <w:rPr>
          <w:spacing w:val="-3"/>
          <w:sz w:val="21"/>
        </w:rPr>
        <w:t>马</w:t>
      </w:r>
      <w:r>
        <w:rPr>
          <w:sz w:val="21"/>
        </w:rPr>
        <w:t>酸</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20"/>
        <w:rPr>
          <w:sz w:val="2"/>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01" w:hRule="atLeast"/>
        </w:trPr>
        <w:tc>
          <w:tcPr>
            <w:tcW w:w="1188" w:type="dxa"/>
            <w:tcBorders>
              <w:bottom w:val="single" w:sz="6" w:space="0" w:color="000000"/>
              <w:right w:val="single" w:sz="6" w:space="0" w:color="000000"/>
            </w:tcBorders>
          </w:tcPr>
          <w:p>
            <w:pPr>
              <w:pStyle w:val="TableParagraph"/>
              <w:spacing w:line="281"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5"/>
              <w:ind w:left="208" w:right="184"/>
              <w:rPr>
                <w:rFonts w:ascii="Times New Roman"/>
                <w:sz w:val="21"/>
              </w:rPr>
            </w:pPr>
            <w:r>
              <w:rPr>
                <w:rFonts w:ascii="Times New Roman"/>
                <w:sz w:val="21"/>
              </w:rPr>
              <w:t>----</w:t>
            </w:r>
          </w:p>
        </w:tc>
        <w:tc>
          <w:tcPr>
            <w:tcW w:w="1440" w:type="dxa"/>
            <w:tcBorders>
              <w:left w:val="single" w:sz="6" w:space="0" w:color="000000"/>
              <w:bottom w:val="single" w:sz="6" w:space="0" w:color="000000"/>
              <w:right w:val="single" w:sz="6" w:space="0" w:color="000000"/>
            </w:tcBorders>
          </w:tcPr>
          <w:p>
            <w:pPr>
              <w:pStyle w:val="TableParagraph"/>
              <w:spacing w:line="281"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5"/>
              <w:ind w:left="66" w:right="82"/>
              <w:rPr>
                <w:rFonts w:ascii="Times New Roman"/>
                <w:sz w:val="21"/>
              </w:rPr>
            </w:pPr>
            <w:r>
              <w:rPr>
                <w:rFonts w:ascii="Times New Roman"/>
                <w:sz w:val="21"/>
              </w:rPr>
              <w:t>110-17-8</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4"/>
              <w:rPr>
                <w:sz w:val="21"/>
              </w:rPr>
            </w:pPr>
            <w:r>
              <w:rPr>
                <w:sz w:val="21"/>
              </w:rPr>
              <w:t>富马酸</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5" w:right="81"/>
              <w:rPr>
                <w:rFonts w:ascii="Times New Roman"/>
                <w:sz w:val="21"/>
              </w:rPr>
            </w:pPr>
            <w:r>
              <w:rPr>
                <w:rFonts w:ascii="Times New Roman"/>
                <w:sz w:val="21"/>
              </w:rPr>
              <w:t>fumaric acid</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95"/>
              <w:ind w:left="208" w:right="184"/>
              <w:rPr>
                <w:rFonts w:ascii="Times New Roman"/>
                <w:sz w:val="21"/>
              </w:rPr>
            </w:pPr>
            <w:r>
              <w:rPr>
                <w:rFonts w:ascii="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80"/>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301" w:lineRule="exact"/>
              <w:ind w:left="115" w:right="80"/>
              <w:rPr>
                <w:sz w:val="21"/>
              </w:rPr>
            </w:pPr>
            <w:r>
              <w:rPr>
                <w:sz w:val="21"/>
              </w:rPr>
              <w:t>用于制合成树脂和松香脂</w:t>
            </w:r>
          </w:p>
          <w:p>
            <w:pPr>
              <w:pStyle w:val="TableParagraph"/>
              <w:spacing w:line="278" w:lineRule="exact"/>
              <w:ind w:left="115" w:right="79"/>
              <w:rPr>
                <w:sz w:val="21"/>
              </w:rPr>
            </w:pPr>
            <w:r>
              <w:rPr>
                <w:sz w:val="21"/>
              </w:rPr>
              <w:t>等。</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82" w:lineRule="exact"/>
              <w:ind w:left="956" w:right="921"/>
              <w:rPr>
                <w:sz w:val="21"/>
              </w:rPr>
            </w:pPr>
            <w:r>
              <w:rPr>
                <w:sz w:val="21"/>
              </w:rPr>
              <w:t>吸入、食入、经皮吸收。</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114"/>
              <w:jc w:val="left"/>
              <w:rPr>
                <w:sz w:val="21"/>
              </w:rPr>
            </w:pPr>
            <w:r>
              <w:rPr>
                <w:sz w:val="21"/>
              </w:rPr>
              <w:t>本品具有轻微刺激作用。在工业使用中，未见职业性损害的报道。</w:t>
            </w:r>
          </w:p>
        </w:tc>
      </w:tr>
      <w:tr>
        <w:trPr>
          <w:trHeight w:val="300" w:hRule="atLeast"/>
        </w:trPr>
        <w:tc>
          <w:tcPr>
            <w:tcW w:w="1188" w:type="dxa"/>
            <w:tcBorders>
              <w:top w:val="single" w:sz="6" w:space="0" w:color="000000"/>
              <w:bottom w:val="single" w:sz="6" w:space="0" w:color="000000"/>
              <w:right w:val="single" w:sz="6" w:space="0" w:color="000000"/>
            </w:tcBorders>
          </w:tcPr>
          <w:p>
            <w:pPr>
              <w:pStyle w:val="TableParagraph"/>
              <w:spacing w:line="280" w:lineRule="exact"/>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280"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position w:val="2"/>
                <w:sz w:val="21"/>
              </w:rPr>
              <w:t>：</w:t>
            </w:r>
            <w:r>
              <w:rPr>
                <w:rFonts w:ascii="Times New Roman" w:eastAsia="Times New Roman"/>
                <w:position w:val="2"/>
                <w:sz w:val="21"/>
              </w:rPr>
              <w:t>10700 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20000 mg/kg(</w:t>
            </w:r>
            <w:r>
              <w:rPr>
                <w:position w:val="2"/>
                <w:sz w:val="21"/>
              </w:rPr>
              <w:t>兔经皮</w:t>
            </w:r>
            <w:r>
              <w:rPr>
                <w:rFonts w:ascii="Times New Roman" w:eastAsia="Times New Roman"/>
                <w:position w:val="2"/>
                <w:sz w:val="21"/>
              </w:rPr>
              <w:t>)</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2" w:lineRule="exact"/>
              <w:ind w:left="114"/>
              <w:jc w:val="left"/>
              <w:rPr>
                <w:sz w:val="21"/>
              </w:rPr>
            </w:pPr>
            <w:r>
              <w:rPr>
                <w:sz w:val="21"/>
              </w:rPr>
              <w:t>遇明火、高热可燃。粉体与空气可形成爆炸性混合物</w:t>
            </w:r>
            <w:r>
              <w:rPr>
                <w:rFonts w:ascii="Times New Roman" w:eastAsia="Times New Roman"/>
                <w:sz w:val="21"/>
              </w:rPr>
              <w:t>, </w:t>
            </w:r>
            <w:r>
              <w:rPr>
                <w:sz w:val="21"/>
              </w:rPr>
              <w:t>当达到一定浓度时</w:t>
            </w:r>
            <w:r>
              <w:rPr>
                <w:rFonts w:ascii="Times New Roman" w:eastAsia="Times New Roman"/>
                <w:sz w:val="21"/>
              </w:rPr>
              <w:t>, </w:t>
            </w:r>
            <w:r>
              <w:rPr>
                <w:sz w:val="21"/>
              </w:rPr>
              <w:t>遇火星会</w:t>
            </w:r>
          </w:p>
          <w:p>
            <w:pPr>
              <w:pStyle w:val="TableParagraph"/>
              <w:spacing w:line="278" w:lineRule="exact"/>
              <w:ind w:left="114"/>
              <w:jc w:val="left"/>
              <w:rPr>
                <w:sz w:val="21"/>
              </w:rPr>
            </w:pPr>
            <w:r>
              <w:rPr>
                <w:sz w:val="21"/>
              </w:rPr>
              <w:t>发生爆炸。受高热分解</w:t>
            </w:r>
            <w:r>
              <w:rPr>
                <w:rFonts w:ascii="Times New Roman" w:eastAsia="Times New Roman"/>
                <w:sz w:val="21"/>
              </w:rPr>
              <w:t>, </w:t>
            </w:r>
            <w:r>
              <w:rPr>
                <w:sz w:val="21"/>
              </w:rPr>
              <w:t>放出刺激性烟气。</w:t>
            </w:r>
          </w:p>
        </w:tc>
      </w:tr>
      <w:tr>
        <w:trPr>
          <w:trHeight w:val="1201" w:hRule="atLeast"/>
        </w:trPr>
        <w:tc>
          <w:tcPr>
            <w:tcW w:w="1188" w:type="dxa"/>
            <w:tcBorders>
              <w:top w:val="single" w:sz="6" w:space="0" w:color="000000"/>
              <w:bottom w:val="single" w:sz="6" w:space="0" w:color="000000"/>
              <w:right w:val="single" w:sz="6" w:space="0" w:color="000000"/>
            </w:tcBorders>
          </w:tcPr>
          <w:p>
            <w:pPr>
              <w:pStyle w:val="TableParagraph"/>
              <w:spacing w:before="15"/>
              <w:jc w:val="left"/>
              <w:rPr>
                <w:sz w:val="15"/>
              </w:rPr>
            </w:pPr>
          </w:p>
          <w:p>
            <w:pPr>
              <w:pStyle w:val="TableParagraph"/>
              <w:spacing w:line="160" w:lineRule="auto" w:before="1"/>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4"/>
              <w:ind w:left="114" w:right="-44"/>
              <w:jc w:val="both"/>
              <w:rPr>
                <w:sz w:val="21"/>
              </w:rPr>
            </w:pPr>
            <w:r>
              <w:rPr>
                <w:spacing w:val="-3"/>
                <w:w w:val="100"/>
                <w:sz w:val="21"/>
              </w:rPr>
              <w:t>隔离泄漏污染区，限制出入。切断火源。建议应急处理人员戴防尘面具</w:t>
            </w:r>
            <w:r>
              <w:rPr>
                <w:w w:val="100"/>
                <w:sz w:val="21"/>
              </w:rPr>
              <w:t>（</w:t>
            </w:r>
            <w:r>
              <w:rPr>
                <w:spacing w:val="-3"/>
                <w:w w:val="100"/>
                <w:sz w:val="21"/>
              </w:rPr>
              <w:t>全面罩</w:t>
            </w:r>
            <w:r>
              <w:rPr>
                <w:spacing w:val="-108"/>
                <w:w w:val="100"/>
                <w:sz w:val="21"/>
              </w:rPr>
              <w:t>）</w:t>
            </w:r>
            <w:r>
              <w:rPr>
                <w:w w:val="100"/>
                <w:sz w:val="21"/>
              </w:rPr>
              <w:t>，</w:t>
            </w:r>
            <w:r>
              <w:rPr>
                <w:spacing w:val="-8"/>
                <w:sz w:val="21"/>
              </w:rPr>
              <w:t>穿防毒服。避免扬尘，小心扫起，置于袋中转移至安全场所。也可以用大量水冲洗， 洗水稀释后放入废水系统。若大量泄漏，用塑料布、帆布覆盖。收集回收或运至废</w:t>
            </w:r>
          </w:p>
          <w:p>
            <w:pPr>
              <w:pStyle w:val="TableParagraph"/>
              <w:spacing w:line="253" w:lineRule="exact"/>
              <w:ind w:left="114"/>
              <w:jc w:val="both"/>
              <w:rPr>
                <w:sz w:val="21"/>
              </w:rPr>
            </w:pPr>
            <w:r>
              <w:rPr>
                <w:sz w:val="21"/>
              </w:rPr>
              <w:t>物处理场所处置。</w:t>
            </w:r>
          </w:p>
        </w:tc>
      </w:tr>
      <w:tr>
        <w:trPr>
          <w:trHeight w:val="1797"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0"/>
              <w:jc w:val="left"/>
              <w:rPr>
                <w:sz w:val="11"/>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tcBorders>
          </w:tcPr>
          <w:p>
            <w:pPr>
              <w:pStyle w:val="TableParagraph"/>
              <w:spacing w:line="160" w:lineRule="auto" w:before="31"/>
              <w:ind w:left="114" w:right="71"/>
              <w:jc w:val="left"/>
              <w:rPr>
                <w:sz w:val="21"/>
              </w:rPr>
            </w:pPr>
            <w:r>
              <w:rPr>
                <w:spacing w:val="-11"/>
                <w:sz w:val="21"/>
              </w:rPr>
              <w:t>呼吸系统防护：空气中浓度超标时，必须佩戴自吸过滤式防毒面具</w:t>
            </w:r>
            <w:r>
              <w:rPr>
                <w:rFonts w:ascii="Times New Roman" w:eastAsia="Times New Roman"/>
                <w:spacing w:val="-4"/>
                <w:sz w:val="21"/>
              </w:rPr>
              <w:t>(</w:t>
            </w:r>
            <w:r>
              <w:rPr>
                <w:spacing w:val="-2"/>
                <w:sz w:val="21"/>
              </w:rPr>
              <w:t>全面罩</w:t>
            </w:r>
            <w:r>
              <w:rPr>
                <w:rFonts w:ascii="Times New Roman" w:eastAsia="Times New Roman"/>
                <w:sz w:val="21"/>
              </w:rPr>
              <w:t>)</w:t>
            </w:r>
            <w:r>
              <w:rPr>
                <w:spacing w:val="-3"/>
                <w:sz w:val="21"/>
              </w:rPr>
              <w:t>或隔离式呼吸器。紧急事态抢救或撤离时，佩戴自给式呼吸器。</w:t>
            </w:r>
          </w:p>
          <w:p>
            <w:pPr>
              <w:pStyle w:val="TableParagraph"/>
              <w:spacing w:line="160" w:lineRule="auto" w:before="4"/>
              <w:ind w:left="114" w:right="4107"/>
              <w:jc w:val="left"/>
              <w:rPr>
                <w:sz w:val="21"/>
              </w:rPr>
            </w:pPr>
            <w:r>
              <w:rPr>
                <w:sz w:val="21"/>
              </w:rPr>
              <w:t>眼睛防护：呼吸系统防护中已作防护。防护服：穿橡胶耐酸碱服。</w:t>
            </w:r>
          </w:p>
          <w:p>
            <w:pPr>
              <w:pStyle w:val="TableParagraph"/>
              <w:spacing w:line="274" w:lineRule="exact"/>
              <w:ind w:left="114"/>
              <w:jc w:val="left"/>
              <w:rPr>
                <w:sz w:val="21"/>
              </w:rPr>
            </w:pPr>
            <w:r>
              <w:rPr>
                <w:sz w:val="21"/>
              </w:rPr>
              <w:t>手防护：戴橡胶耐酸碱手套。</w:t>
            </w:r>
          </w:p>
          <w:p>
            <w:pPr>
              <w:pStyle w:val="TableParagraph"/>
              <w:spacing w:line="275" w:lineRule="exact"/>
              <w:ind w:left="114"/>
              <w:jc w:val="left"/>
              <w:rPr>
                <w:sz w:val="21"/>
              </w:rPr>
            </w:pPr>
            <w:r>
              <w:rPr>
                <w:sz w:val="21"/>
              </w:rPr>
              <w:t>其它：工作现场禁止吸烟、进食和饮水。工作毕，淋浴更衣。</w:t>
            </w:r>
          </w:p>
        </w:tc>
      </w:tr>
    </w:tbl>
    <w:p>
      <w:pPr>
        <w:spacing w:after="0" w:line="275"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821"/>
      </w:tblGrid>
      <w:tr>
        <w:trPr>
          <w:trHeight w:val="2099" w:hRule="atLeast"/>
        </w:trPr>
        <w:tc>
          <w:tcPr>
            <w:tcW w:w="1188" w:type="dxa"/>
            <w:tcBorders>
              <w:right w:val="single" w:sz="6" w:space="0" w:color="000000"/>
            </w:tcBorders>
          </w:tcPr>
          <w:p>
            <w:pPr>
              <w:pStyle w:val="TableParagraph"/>
              <w:jc w:val="left"/>
              <w:rPr>
                <w:sz w:val="20"/>
              </w:rPr>
            </w:pPr>
          </w:p>
          <w:p>
            <w:pPr>
              <w:pStyle w:val="TableParagraph"/>
              <w:spacing w:before="4"/>
              <w:jc w:val="left"/>
              <w:rPr>
                <w:sz w:val="19"/>
              </w:rPr>
            </w:pPr>
          </w:p>
          <w:p>
            <w:pPr>
              <w:pStyle w:val="TableParagraph"/>
              <w:ind w:left="172"/>
              <w:jc w:val="left"/>
              <w:rPr>
                <w:sz w:val="21"/>
              </w:rPr>
            </w:pPr>
            <w:r>
              <w:rPr>
                <w:sz w:val="21"/>
              </w:rPr>
              <w:t>急救措施</w:t>
            </w:r>
          </w:p>
        </w:tc>
        <w:tc>
          <w:tcPr>
            <w:tcW w:w="7821" w:type="dxa"/>
            <w:tcBorders>
              <w:left w:val="single" w:sz="6" w:space="0" w:color="000000"/>
            </w:tcBorders>
          </w:tcPr>
          <w:p>
            <w:pPr>
              <w:pStyle w:val="TableParagraph"/>
              <w:spacing w:line="304" w:lineRule="exact"/>
              <w:ind w:left="114"/>
              <w:jc w:val="left"/>
              <w:rPr>
                <w:sz w:val="21"/>
              </w:rPr>
            </w:pPr>
            <w:r>
              <w:rPr>
                <w:sz w:val="21"/>
              </w:rPr>
              <w:t>皮肤接触：立即脱去被污染的衣着，用大量流动清水冲洗，至少 </w:t>
            </w:r>
            <w:r>
              <w:rPr>
                <w:rFonts w:ascii="Times New Roman" w:eastAsia="Times New Roman"/>
                <w:sz w:val="21"/>
              </w:rPr>
              <w:t>15 </w:t>
            </w:r>
            <w:r>
              <w:rPr>
                <w:sz w:val="21"/>
              </w:rPr>
              <w:t>分钟。就医。</w:t>
            </w:r>
          </w:p>
          <w:p>
            <w:pPr>
              <w:pStyle w:val="TableParagraph"/>
              <w:spacing w:line="160" w:lineRule="auto" w:before="30"/>
              <w:ind w:left="114" w:right="-44"/>
              <w:jc w:val="both"/>
              <w:rPr>
                <w:sz w:val="21"/>
              </w:rPr>
            </w:pPr>
            <w:r>
              <w:rPr>
                <w:spacing w:val="-12"/>
                <w:sz w:val="21"/>
              </w:rPr>
              <w:t>眼睛接触：立即提起眼睑，用大量流动清水或生理盐水彻底冲洗至少 </w:t>
            </w:r>
            <w:r>
              <w:rPr>
                <w:rFonts w:ascii="Times New Roman" w:eastAsia="Times New Roman"/>
                <w:sz w:val="21"/>
              </w:rPr>
              <w:t>15 </w:t>
            </w:r>
            <w:r>
              <w:rPr>
                <w:spacing w:val="-12"/>
                <w:sz w:val="21"/>
              </w:rPr>
              <w:t>分钟。就医。吸入：迅速脱离现场至空气新鲜处。保持呼吸道通畅。如呼吸困难，给输氧。如呼</w:t>
            </w:r>
            <w:r>
              <w:rPr>
                <w:spacing w:val="-6"/>
                <w:sz w:val="21"/>
              </w:rPr>
              <w:t>吸停止，立即进行人工呼吸。就医。</w:t>
            </w:r>
          </w:p>
          <w:p>
            <w:pPr>
              <w:pStyle w:val="TableParagraph"/>
              <w:spacing w:line="275" w:lineRule="exact"/>
              <w:ind w:left="114"/>
              <w:jc w:val="both"/>
              <w:rPr>
                <w:sz w:val="21"/>
              </w:rPr>
            </w:pPr>
            <w:r>
              <w:rPr>
                <w:sz w:val="21"/>
              </w:rPr>
              <w:t>食入：误服者用水漱口，给饮牛奶或蛋清。就医。</w:t>
            </w:r>
          </w:p>
          <w:p>
            <w:pPr>
              <w:pStyle w:val="TableParagraph"/>
              <w:spacing w:line="300" w:lineRule="exact"/>
              <w:ind w:left="114"/>
              <w:jc w:val="both"/>
              <w:rPr>
                <w:sz w:val="21"/>
              </w:rPr>
            </w:pPr>
            <w:r>
              <w:rPr>
                <w:sz w:val="21"/>
              </w:rPr>
              <w:t>灭火方法：消防人员须佩戴防毒面具、穿全身消防服，在上风向灭火。灭火剂：雾</w:t>
            </w:r>
          </w:p>
          <w:p>
            <w:pPr>
              <w:pStyle w:val="TableParagraph"/>
              <w:spacing w:line="275" w:lineRule="exact"/>
              <w:ind w:left="114"/>
              <w:jc w:val="both"/>
              <w:rPr>
                <w:sz w:val="21"/>
              </w:rPr>
            </w:pPr>
            <w:r>
              <w:rPr>
                <w:sz w:val="21"/>
              </w:rPr>
              <w:t>状水、泡沫、干粉、二氧化碳、砂土。</w:t>
            </w:r>
          </w:p>
        </w:tc>
      </w:tr>
    </w:tbl>
    <w:p>
      <w:pPr>
        <w:pStyle w:val="BodyText"/>
        <w:spacing w:before="18"/>
        <w:rPr>
          <w:sz w:val="4"/>
        </w:rPr>
      </w:pPr>
    </w:p>
    <w:p>
      <w:pPr>
        <w:tabs>
          <w:tab w:pos="4084" w:val="left" w:leader="none"/>
        </w:tabs>
        <w:spacing w:line="423" w:lineRule="exact" w:before="0"/>
        <w:ind w:left="3069" w:right="0" w:firstLine="0"/>
        <w:jc w:val="left"/>
        <w:rPr>
          <w:sz w:val="21"/>
        </w:rPr>
      </w:pPr>
      <w:r>
        <w:rPr>
          <w:sz w:val="21"/>
        </w:rPr>
        <w:t>表</w:t>
      </w:r>
      <w:r>
        <w:rPr>
          <w:spacing w:val="5"/>
          <w:sz w:val="21"/>
        </w:rPr>
        <w:t> </w:t>
      </w:r>
      <w:r>
        <w:rPr>
          <w:rFonts w:ascii="Times New Roman" w:eastAsia="Times New Roman"/>
          <w:sz w:val="21"/>
        </w:rPr>
        <w:t>7.1-40</w:t>
        <w:tab/>
      </w:r>
      <w:r>
        <w:rPr>
          <w:sz w:val="21"/>
        </w:rPr>
        <w:t>浓</w:t>
      </w:r>
      <w:r>
        <w:rPr>
          <w:spacing w:val="-3"/>
          <w:sz w:val="21"/>
        </w:rPr>
        <w:t>硫</w:t>
      </w:r>
      <w:r>
        <w:rPr>
          <w:sz w:val="21"/>
        </w:rPr>
        <w:t>酸</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59"/>
        <w:gridCol w:w="1078"/>
        <w:gridCol w:w="139"/>
        <w:gridCol w:w="785"/>
        <w:gridCol w:w="2269"/>
        <w:gridCol w:w="922"/>
        <w:gridCol w:w="2329"/>
      </w:tblGrid>
      <w:tr>
        <w:trPr>
          <w:trHeight w:val="311" w:hRule="atLeast"/>
        </w:trPr>
        <w:tc>
          <w:tcPr>
            <w:tcW w:w="1159" w:type="dxa"/>
            <w:tcBorders>
              <w:bottom w:val="single" w:sz="6" w:space="0" w:color="000000"/>
              <w:right w:val="single" w:sz="6" w:space="0" w:color="000000"/>
            </w:tcBorders>
          </w:tcPr>
          <w:p>
            <w:pPr>
              <w:pStyle w:val="TableParagraph"/>
              <w:spacing w:line="291" w:lineRule="exact"/>
              <w:ind w:left="368"/>
              <w:jc w:val="left"/>
              <w:rPr>
                <w:sz w:val="21"/>
              </w:rPr>
            </w:pPr>
            <w:r>
              <w:rPr>
                <w:sz w:val="21"/>
              </w:rPr>
              <w:t>品名</w:t>
            </w:r>
          </w:p>
        </w:tc>
        <w:tc>
          <w:tcPr>
            <w:tcW w:w="1217" w:type="dxa"/>
            <w:gridSpan w:val="2"/>
            <w:tcBorders>
              <w:left w:val="single" w:sz="6" w:space="0" w:color="000000"/>
              <w:bottom w:val="single" w:sz="6" w:space="0" w:color="000000"/>
              <w:right w:val="single" w:sz="6" w:space="0" w:color="000000"/>
            </w:tcBorders>
          </w:tcPr>
          <w:p>
            <w:pPr>
              <w:pStyle w:val="TableParagraph"/>
              <w:spacing w:line="291" w:lineRule="exact"/>
              <w:ind w:left="403"/>
              <w:jc w:val="left"/>
              <w:rPr>
                <w:sz w:val="21"/>
              </w:rPr>
            </w:pPr>
            <w:r>
              <w:rPr>
                <w:sz w:val="21"/>
              </w:rPr>
              <w:t>硫酸</w:t>
            </w:r>
          </w:p>
        </w:tc>
        <w:tc>
          <w:tcPr>
            <w:tcW w:w="785" w:type="dxa"/>
            <w:tcBorders>
              <w:left w:val="single" w:sz="6" w:space="0" w:color="000000"/>
              <w:bottom w:val="single" w:sz="6" w:space="0" w:color="000000"/>
              <w:right w:val="single" w:sz="6" w:space="0" w:color="000000"/>
            </w:tcBorders>
          </w:tcPr>
          <w:p>
            <w:pPr>
              <w:pStyle w:val="TableParagraph"/>
              <w:spacing w:line="291" w:lineRule="exact"/>
              <w:ind w:left="189"/>
              <w:jc w:val="left"/>
              <w:rPr>
                <w:sz w:val="21"/>
              </w:rPr>
            </w:pPr>
            <w:r>
              <w:rPr>
                <w:sz w:val="21"/>
              </w:rPr>
              <w:t>别名</w:t>
            </w:r>
          </w:p>
        </w:tc>
        <w:tc>
          <w:tcPr>
            <w:tcW w:w="2269"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922" w:type="dxa"/>
            <w:tcBorders>
              <w:left w:val="single" w:sz="6" w:space="0" w:color="000000"/>
              <w:bottom w:val="single" w:sz="6" w:space="0" w:color="000000"/>
              <w:right w:val="single" w:sz="6" w:space="0" w:color="000000"/>
            </w:tcBorders>
          </w:tcPr>
          <w:p>
            <w:pPr>
              <w:pStyle w:val="TableParagraph"/>
              <w:spacing w:line="291" w:lineRule="exact"/>
              <w:ind w:left="150"/>
              <w:jc w:val="left"/>
              <w:rPr>
                <w:sz w:val="21"/>
              </w:rPr>
            </w:pPr>
            <w:r>
              <w:rPr>
                <w:sz w:val="21"/>
              </w:rPr>
              <w:t>英文名</w:t>
            </w:r>
          </w:p>
        </w:tc>
        <w:tc>
          <w:tcPr>
            <w:tcW w:w="2329" w:type="dxa"/>
            <w:tcBorders>
              <w:left w:val="single" w:sz="6" w:space="0" w:color="000000"/>
              <w:bottom w:val="single" w:sz="6" w:space="0" w:color="000000"/>
            </w:tcBorders>
          </w:tcPr>
          <w:p>
            <w:pPr>
              <w:pStyle w:val="TableParagraph"/>
              <w:spacing w:before="33"/>
              <w:ind w:left="647"/>
              <w:jc w:val="left"/>
              <w:rPr>
                <w:rFonts w:ascii="Times New Roman"/>
                <w:sz w:val="21"/>
              </w:rPr>
            </w:pPr>
            <w:r>
              <w:rPr>
                <w:rFonts w:ascii="Times New Roman"/>
                <w:sz w:val="21"/>
              </w:rPr>
              <w:t>sulfuric acid</w:t>
            </w:r>
          </w:p>
        </w:tc>
      </w:tr>
      <w:tr>
        <w:trPr>
          <w:trHeight w:val="1562" w:hRule="atLeast"/>
        </w:trPr>
        <w:tc>
          <w:tcPr>
            <w:tcW w:w="1159" w:type="dxa"/>
            <w:tcBorders>
              <w:top w:val="single" w:sz="6" w:space="0" w:color="000000"/>
              <w:bottom w:val="single" w:sz="6" w:space="0" w:color="000000"/>
              <w:right w:val="single" w:sz="6" w:space="0" w:color="000000"/>
            </w:tcBorders>
          </w:tcPr>
          <w:p>
            <w:pPr>
              <w:pStyle w:val="TableParagraph"/>
              <w:spacing w:before="19"/>
              <w:jc w:val="left"/>
              <w:rPr>
                <w:sz w:val="22"/>
              </w:rPr>
            </w:pPr>
          </w:p>
          <w:p>
            <w:pPr>
              <w:pStyle w:val="TableParagraph"/>
              <w:spacing w:line="168" w:lineRule="auto"/>
              <w:ind w:left="263" w:right="134" w:hanging="106"/>
              <w:jc w:val="left"/>
              <w:rPr>
                <w:sz w:val="21"/>
              </w:rPr>
            </w:pPr>
            <w:r>
              <w:rPr>
                <w:sz w:val="21"/>
              </w:rPr>
              <w:t>稳定性和危险性</w:t>
            </w:r>
          </w:p>
        </w:tc>
        <w:tc>
          <w:tcPr>
            <w:tcW w:w="7522" w:type="dxa"/>
            <w:gridSpan w:val="6"/>
            <w:tcBorders>
              <w:top w:val="single" w:sz="6" w:space="0" w:color="000000"/>
              <w:left w:val="single" w:sz="6" w:space="0" w:color="000000"/>
              <w:bottom w:val="single" w:sz="6" w:space="0" w:color="000000"/>
            </w:tcBorders>
          </w:tcPr>
          <w:p>
            <w:pPr>
              <w:pStyle w:val="TableParagraph"/>
              <w:spacing w:line="303" w:lineRule="exact"/>
              <w:ind w:left="112"/>
              <w:jc w:val="left"/>
              <w:rPr>
                <w:sz w:val="21"/>
              </w:rPr>
            </w:pPr>
            <w:r>
              <w:rPr>
                <w:sz w:val="21"/>
              </w:rPr>
              <w:t>稳定性：稳定。</w:t>
            </w:r>
          </w:p>
          <w:p>
            <w:pPr>
              <w:pStyle w:val="TableParagraph"/>
              <w:spacing w:line="168" w:lineRule="auto" w:before="27"/>
              <w:ind w:left="112" w:right="75"/>
              <w:jc w:val="both"/>
              <w:rPr>
                <w:sz w:val="21"/>
              </w:rPr>
            </w:pPr>
            <w:r>
              <w:rPr>
                <w:spacing w:val="-6"/>
                <w:sz w:val="21"/>
              </w:rPr>
              <w:t>危险特性：遇水大量放热，可发生沸溅，与易燃物</w:t>
            </w:r>
            <w:r>
              <w:rPr>
                <w:sz w:val="21"/>
              </w:rPr>
              <w:t>（如苯</w:t>
            </w:r>
            <w:r>
              <w:rPr>
                <w:spacing w:val="-10"/>
                <w:sz w:val="21"/>
              </w:rPr>
              <w:t>）</w:t>
            </w:r>
            <w:r>
              <w:rPr>
                <w:spacing w:val="-4"/>
                <w:sz w:val="21"/>
              </w:rPr>
              <w:t>和可燃物</w:t>
            </w:r>
            <w:r>
              <w:rPr>
                <w:sz w:val="21"/>
              </w:rPr>
              <w:t>（</w:t>
            </w:r>
            <w:r>
              <w:rPr>
                <w:spacing w:val="-4"/>
                <w:sz w:val="21"/>
              </w:rPr>
              <w:t>如糖、纤维素等</w:t>
            </w:r>
            <w:r>
              <w:rPr>
                <w:spacing w:val="-10"/>
                <w:sz w:val="21"/>
              </w:rPr>
              <w:t>）</w:t>
            </w:r>
            <w:r>
              <w:rPr>
                <w:spacing w:val="-8"/>
                <w:sz w:val="21"/>
              </w:rPr>
              <w:t>接触可发生剧烈反应，甚至引起燃烧。遇电石、高氯酸盐、雷酸盐、硝</w:t>
            </w:r>
            <w:r>
              <w:rPr>
                <w:spacing w:val="-10"/>
                <w:sz w:val="21"/>
              </w:rPr>
              <w:t>酸盐、苦味酸盐、金属粉末等猛烈反应，发生爆炸或燃烧。有强烈的腐蚀性和吸</w:t>
            </w:r>
          </w:p>
          <w:p>
            <w:pPr>
              <w:pStyle w:val="TableParagraph"/>
              <w:spacing w:line="278" w:lineRule="exact"/>
              <w:ind w:left="112"/>
              <w:jc w:val="both"/>
              <w:rPr>
                <w:sz w:val="21"/>
              </w:rPr>
            </w:pPr>
            <w:r>
              <w:rPr>
                <w:sz w:val="21"/>
              </w:rPr>
              <w:t>水性。</w:t>
            </w:r>
          </w:p>
        </w:tc>
      </w:tr>
      <w:tr>
        <w:trPr>
          <w:trHeight w:val="2183" w:hRule="atLeast"/>
        </w:trPr>
        <w:tc>
          <w:tcPr>
            <w:tcW w:w="1159"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0"/>
              <w:jc w:val="left"/>
              <w:rPr>
                <w:sz w:val="17"/>
              </w:rPr>
            </w:pPr>
          </w:p>
          <w:p>
            <w:pPr>
              <w:pStyle w:val="TableParagraph"/>
              <w:spacing w:line="168" w:lineRule="auto"/>
              <w:ind w:left="368" w:right="343"/>
              <w:jc w:val="left"/>
              <w:rPr>
                <w:sz w:val="21"/>
              </w:rPr>
            </w:pPr>
            <w:r>
              <w:rPr>
                <w:sz w:val="21"/>
              </w:rPr>
              <w:t>健康危害</w:t>
            </w:r>
          </w:p>
        </w:tc>
        <w:tc>
          <w:tcPr>
            <w:tcW w:w="7522" w:type="dxa"/>
            <w:gridSpan w:val="6"/>
            <w:tcBorders>
              <w:top w:val="single" w:sz="6" w:space="0" w:color="000000"/>
              <w:left w:val="single" w:sz="6" w:space="0" w:color="000000"/>
              <w:bottom w:val="single" w:sz="6" w:space="0" w:color="000000"/>
            </w:tcBorders>
          </w:tcPr>
          <w:p>
            <w:pPr>
              <w:pStyle w:val="TableParagraph"/>
              <w:spacing w:line="300" w:lineRule="exact"/>
              <w:ind w:left="112"/>
              <w:jc w:val="left"/>
              <w:rPr>
                <w:sz w:val="21"/>
              </w:rPr>
            </w:pPr>
            <w:r>
              <w:rPr>
                <w:sz w:val="21"/>
              </w:rPr>
              <w:t>侵入途径：吸入、食入。</w:t>
            </w:r>
          </w:p>
          <w:p>
            <w:pPr>
              <w:pStyle w:val="TableParagraph"/>
              <w:spacing w:line="168" w:lineRule="auto" w:before="26"/>
              <w:ind w:left="112" w:right="75"/>
              <w:jc w:val="both"/>
              <w:rPr>
                <w:sz w:val="21"/>
              </w:rPr>
            </w:pPr>
            <w:r>
              <w:rPr>
                <w:spacing w:val="-8"/>
                <w:sz w:val="21"/>
              </w:rPr>
              <w:t>健康危害：对皮肤、粘膜等组织有强烈的刺激和腐蚀作用。蒸汽或雾可引起结膜</w:t>
            </w:r>
            <w:r>
              <w:rPr>
                <w:spacing w:val="-10"/>
                <w:sz w:val="21"/>
              </w:rPr>
              <w:t>炎、结膜水肿、角膜浑浊，以致失明；引起呼吸道刺激，重者发生呼吸困难和肺</w:t>
            </w:r>
            <w:r>
              <w:rPr>
                <w:spacing w:val="-9"/>
                <w:sz w:val="21"/>
              </w:rPr>
              <w:t>水肿，高浓度引起喉痉挛或声门水肿而窒息死亡。口服后引起消化道烧伤以致溃</w:t>
            </w:r>
            <w:r>
              <w:rPr>
                <w:spacing w:val="-10"/>
                <w:sz w:val="21"/>
              </w:rPr>
              <w:t>疡形成；严重者可能有胃穿孔、腹膜炎、肾损害、休克等。皮肤灼伤轻者出现红</w:t>
            </w:r>
            <w:r>
              <w:rPr>
                <w:spacing w:val="-9"/>
                <w:sz w:val="21"/>
              </w:rPr>
              <w:t>斑，重者形成溃疡，愈后斑痕收缩影响功能，溅入眼内可造成灼伤，甚至角膜穿</w:t>
            </w:r>
          </w:p>
          <w:p>
            <w:pPr>
              <w:pStyle w:val="TableParagraph"/>
              <w:spacing w:line="279" w:lineRule="exact"/>
              <w:ind w:left="112"/>
              <w:jc w:val="both"/>
              <w:rPr>
                <w:sz w:val="21"/>
              </w:rPr>
            </w:pPr>
            <w:r>
              <w:rPr>
                <w:sz w:val="21"/>
              </w:rPr>
              <w:t>孔、全眼炎以至失明。</w:t>
            </w:r>
          </w:p>
        </w:tc>
      </w:tr>
      <w:tr>
        <w:trPr>
          <w:trHeight w:val="1247" w:hRule="atLeast"/>
        </w:trPr>
        <w:tc>
          <w:tcPr>
            <w:tcW w:w="1159" w:type="dxa"/>
            <w:tcBorders>
              <w:top w:val="single" w:sz="6" w:space="0" w:color="000000"/>
              <w:bottom w:val="single" w:sz="6" w:space="0" w:color="000000"/>
              <w:right w:val="single" w:sz="6" w:space="0" w:color="000000"/>
            </w:tcBorders>
          </w:tcPr>
          <w:p>
            <w:pPr>
              <w:pStyle w:val="TableParagraph"/>
              <w:spacing w:before="8"/>
              <w:jc w:val="left"/>
              <w:rPr>
                <w:sz w:val="15"/>
              </w:rPr>
            </w:pPr>
          </w:p>
          <w:p>
            <w:pPr>
              <w:pStyle w:val="TableParagraph"/>
              <w:spacing w:line="168" w:lineRule="auto" w:before="1"/>
              <w:ind w:left="368" w:right="237" w:hanging="106"/>
              <w:jc w:val="left"/>
              <w:rPr>
                <w:sz w:val="21"/>
              </w:rPr>
            </w:pPr>
            <w:r>
              <w:rPr>
                <w:sz w:val="21"/>
              </w:rPr>
              <w:t>毒理学资料</w:t>
            </w:r>
          </w:p>
        </w:tc>
        <w:tc>
          <w:tcPr>
            <w:tcW w:w="7522" w:type="dxa"/>
            <w:gridSpan w:val="6"/>
            <w:tcBorders>
              <w:top w:val="single" w:sz="6" w:space="0" w:color="000000"/>
              <w:left w:val="single" w:sz="6" w:space="0" w:color="000000"/>
              <w:bottom w:val="single" w:sz="6" w:space="0" w:color="000000"/>
            </w:tcBorders>
          </w:tcPr>
          <w:p>
            <w:pPr>
              <w:pStyle w:val="TableParagraph"/>
              <w:tabs>
                <w:tab w:pos="1795" w:val="left" w:leader="none"/>
                <w:tab w:pos="4855" w:val="left" w:leader="none"/>
              </w:tabs>
              <w:spacing w:line="252" w:lineRule="auto"/>
              <w:ind w:left="112" w:right="77"/>
              <w:jc w:val="left"/>
              <w:rPr>
                <w:sz w:val="21"/>
              </w:rPr>
            </w:pPr>
            <w:r>
              <w:rPr>
                <w:w w:val="100"/>
                <w:position w:val="2"/>
                <w:sz w:val="21"/>
              </w:rPr>
              <w:t>急性</w:t>
            </w:r>
            <w:r>
              <w:rPr>
                <w:spacing w:val="-3"/>
                <w:w w:val="100"/>
                <w:position w:val="2"/>
                <w:sz w:val="21"/>
              </w:rPr>
              <w:t>毒</w:t>
            </w:r>
            <w:r>
              <w:rPr>
                <w:w w:val="100"/>
                <w:position w:val="2"/>
                <w:sz w:val="21"/>
              </w:rPr>
              <w:t>性：</w:t>
            </w:r>
            <w:r>
              <w:rPr>
                <w:rFonts w:ascii="Times New Roman" w:eastAsia="Times New Roman"/>
                <w:spacing w:val="-5"/>
                <w:w w:val="100"/>
                <w:position w:val="2"/>
                <w:sz w:val="21"/>
              </w:rPr>
              <w:t>L</w:t>
            </w:r>
            <w:r>
              <w:rPr>
                <w:rFonts w:ascii="Times New Roman" w:eastAsia="Times New Roman"/>
                <w:spacing w:val="1"/>
                <w:w w:val="100"/>
                <w:position w:val="2"/>
                <w:sz w:val="21"/>
              </w:rPr>
              <w:t>D</w:t>
            </w:r>
            <w:r>
              <w:rPr>
                <w:rFonts w:ascii="Times New Roman" w:eastAsia="Times New Roman"/>
                <w:w w:val="99"/>
                <w:sz w:val="14"/>
              </w:rPr>
              <w:t>50</w:t>
            </w:r>
            <w:r>
              <w:rPr>
                <w:rFonts w:ascii="Times New Roman" w:eastAsia="Times New Roman"/>
                <w:sz w:val="14"/>
              </w:rPr>
              <w:tab/>
            </w:r>
            <w:r>
              <w:rPr>
                <w:rFonts w:ascii="Times New Roman" w:eastAsia="Times New Roman"/>
                <w:w w:val="100"/>
                <w:position w:val="2"/>
                <w:sz w:val="21"/>
              </w:rPr>
              <w:t>2</w:t>
            </w:r>
            <w:r>
              <w:rPr>
                <w:rFonts w:ascii="Times New Roman" w:eastAsia="Times New Roman"/>
                <w:spacing w:val="-3"/>
                <w:w w:val="100"/>
                <w:position w:val="2"/>
                <w:sz w:val="21"/>
              </w:rPr>
              <w:t>1</w:t>
            </w:r>
            <w:r>
              <w:rPr>
                <w:rFonts w:ascii="Times New Roman" w:eastAsia="Times New Roman"/>
                <w:w w:val="100"/>
                <w:position w:val="2"/>
                <w:sz w:val="21"/>
              </w:rPr>
              <w:t>40</w:t>
            </w:r>
            <w:r>
              <w:rPr>
                <w:rFonts w:ascii="Times New Roman" w:eastAsia="Times New Roman"/>
                <w:position w:val="2"/>
                <w:sz w:val="21"/>
              </w:rPr>
              <w:t> </w:t>
            </w:r>
            <w:r>
              <w:rPr>
                <w:rFonts w:ascii="Times New Roman" w:eastAsia="Times New Roman"/>
                <w:spacing w:val="-22"/>
                <w:position w:val="2"/>
                <w:sz w:val="21"/>
              </w:rPr>
              <w:t> </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w w:val="100"/>
                <w:position w:val="2"/>
                <w:sz w:val="21"/>
              </w:rPr>
              <w:t>（</w:t>
            </w:r>
            <w:r>
              <w:rPr>
                <w:spacing w:val="-3"/>
                <w:w w:val="100"/>
                <w:position w:val="2"/>
                <w:sz w:val="21"/>
              </w:rPr>
              <w:t>大</w:t>
            </w:r>
            <w:r>
              <w:rPr>
                <w:w w:val="100"/>
                <w:position w:val="2"/>
                <w:sz w:val="21"/>
              </w:rPr>
              <w:t>鼠</w:t>
            </w:r>
            <w:r>
              <w:rPr>
                <w:spacing w:val="-3"/>
                <w:w w:val="100"/>
                <w:position w:val="2"/>
                <w:sz w:val="21"/>
              </w:rPr>
              <w:t>经</w:t>
            </w:r>
            <w:r>
              <w:rPr>
                <w:w w:val="100"/>
                <w:position w:val="2"/>
                <w:sz w:val="21"/>
              </w:rPr>
              <w:t>口</w:t>
            </w:r>
            <w:r>
              <w:rPr>
                <w:spacing w:val="-106"/>
                <w:w w:val="100"/>
                <w:position w:val="2"/>
                <w:sz w:val="21"/>
              </w:rPr>
              <w:t>）</w:t>
            </w:r>
            <w:r>
              <w:rPr>
                <w:w w:val="100"/>
                <w:position w:val="2"/>
                <w:sz w:val="21"/>
              </w:rPr>
              <w:t>；</w:t>
            </w:r>
            <w:r>
              <w:rPr>
                <w:rFonts w:ascii="Times New Roman" w:eastAsia="Times New Roman"/>
                <w:spacing w:val="-5"/>
                <w:w w:val="100"/>
                <w:position w:val="2"/>
                <w:sz w:val="21"/>
              </w:rPr>
              <w:t>L</w:t>
            </w:r>
            <w:r>
              <w:rPr>
                <w:rFonts w:ascii="Times New Roman" w:eastAsia="Times New Roman"/>
                <w:w w:val="100"/>
                <w:position w:val="2"/>
                <w:sz w:val="21"/>
              </w:rPr>
              <w:t>C</w:t>
            </w:r>
            <w:r>
              <w:rPr>
                <w:rFonts w:ascii="Times New Roman" w:eastAsia="Times New Roman"/>
                <w:w w:val="99"/>
                <w:sz w:val="14"/>
              </w:rPr>
              <w:t>50</w:t>
            </w:r>
            <w:r>
              <w:rPr>
                <w:rFonts w:ascii="Times New Roman" w:eastAsia="Times New Roman"/>
                <w:sz w:val="14"/>
              </w:rPr>
              <w:tab/>
            </w:r>
            <w:r>
              <w:rPr>
                <w:rFonts w:ascii="Times New Roman" w:eastAsia="Times New Roman"/>
                <w:spacing w:val="-3"/>
                <w:w w:val="100"/>
                <w:position w:val="2"/>
                <w:sz w:val="21"/>
              </w:rPr>
              <w:t>5</w:t>
            </w:r>
            <w:r>
              <w:rPr>
                <w:rFonts w:ascii="Times New Roman" w:eastAsia="Times New Roman"/>
                <w:w w:val="100"/>
                <w:position w:val="2"/>
                <w:sz w:val="21"/>
              </w:rPr>
              <w:t>10</w:t>
            </w:r>
            <w:r>
              <w:rPr>
                <w:rFonts w:ascii="Times New Roman" w:eastAsia="Times New Roman"/>
                <w:position w:val="2"/>
                <w:sz w:val="21"/>
              </w:rPr>
              <w:t> </w:t>
            </w:r>
            <w:r>
              <w:rPr>
                <w:rFonts w:ascii="Times New Roman" w:eastAsia="Times New Roman"/>
                <w:spacing w:val="-19"/>
                <w:position w:val="2"/>
                <w:sz w:val="21"/>
              </w:rPr>
              <w:t> </w:t>
            </w:r>
            <w:r>
              <w:rPr>
                <w:rFonts w:ascii="Times New Roman" w:eastAsia="Times New Roman"/>
                <w:spacing w:val="-4"/>
                <w:w w:val="100"/>
                <w:position w:val="2"/>
                <w:sz w:val="21"/>
              </w:rPr>
              <w:t>m</w:t>
            </w:r>
            <w:r>
              <w:rPr>
                <w:rFonts w:ascii="Times New Roman" w:eastAsia="Times New Roman"/>
                <w:w w:val="100"/>
                <w:position w:val="2"/>
                <w:sz w:val="21"/>
              </w:rPr>
              <w:t>g</w:t>
            </w:r>
            <w:r>
              <w:rPr>
                <w:rFonts w:ascii="Times New Roman" w:eastAsia="Times New Roman"/>
                <w:spacing w:val="-2"/>
                <w:w w:val="100"/>
                <w:position w:val="2"/>
                <w:sz w:val="21"/>
              </w:rPr>
              <w:t>/</w:t>
            </w:r>
            <w:r>
              <w:rPr>
                <w:rFonts w:ascii="Times New Roman" w:eastAsia="Times New Roman"/>
                <w:w w:val="100"/>
                <w:position w:val="2"/>
                <w:sz w:val="21"/>
              </w:rPr>
              <w:t>kg</w:t>
            </w:r>
            <w:r>
              <w:rPr>
                <w:w w:val="100"/>
                <w:position w:val="2"/>
                <w:sz w:val="21"/>
              </w:rPr>
              <w:t>，</w:t>
            </w:r>
            <w:r>
              <w:rPr>
                <w:rFonts w:ascii="Times New Roman" w:eastAsia="Times New Roman"/>
                <w:w w:val="100"/>
                <w:position w:val="2"/>
                <w:sz w:val="21"/>
              </w:rPr>
              <w:t>2</w:t>
            </w:r>
            <w:r>
              <w:rPr>
                <w:rFonts w:ascii="Times New Roman" w:eastAsia="Times New Roman"/>
                <w:spacing w:val="-3"/>
                <w:position w:val="2"/>
                <w:sz w:val="21"/>
              </w:rPr>
              <w:t> </w:t>
            </w:r>
            <w:r>
              <w:rPr>
                <w:w w:val="100"/>
                <w:position w:val="2"/>
                <w:sz w:val="21"/>
              </w:rPr>
              <w:t>小</w:t>
            </w:r>
            <w:r>
              <w:rPr>
                <w:spacing w:val="-3"/>
                <w:w w:val="100"/>
                <w:position w:val="2"/>
                <w:sz w:val="21"/>
              </w:rPr>
              <w:t>时</w:t>
            </w:r>
            <w:r>
              <w:rPr>
                <w:w w:val="100"/>
                <w:position w:val="2"/>
                <w:sz w:val="21"/>
              </w:rPr>
              <w:t>（</w:t>
            </w:r>
            <w:r>
              <w:rPr>
                <w:spacing w:val="-3"/>
                <w:w w:val="100"/>
                <w:position w:val="2"/>
                <w:sz w:val="21"/>
              </w:rPr>
              <w:t>大鼠</w:t>
            </w:r>
            <w:r>
              <w:rPr>
                <w:w w:val="100"/>
                <w:position w:val="2"/>
                <w:sz w:val="21"/>
              </w:rPr>
              <w:t>吸</w:t>
            </w:r>
            <w:r>
              <w:rPr>
                <w:sz w:val="21"/>
              </w:rPr>
              <w:t>入）</w:t>
            </w:r>
          </w:p>
          <w:p>
            <w:pPr>
              <w:pStyle w:val="TableParagraph"/>
              <w:spacing w:line="295" w:lineRule="exact"/>
              <w:ind w:left="112"/>
              <w:jc w:val="left"/>
              <w:rPr>
                <w:sz w:val="21"/>
              </w:rPr>
            </w:pPr>
            <w:r>
              <w:rPr>
                <w:sz w:val="21"/>
              </w:rPr>
              <w:t>慢性影响：牙齿酸蚀症、慢性支气管炎、肺气肿和肺硬化。</w:t>
            </w:r>
          </w:p>
        </w:tc>
      </w:tr>
      <w:tr>
        <w:trPr>
          <w:trHeight w:val="623" w:hRule="atLeast"/>
        </w:trPr>
        <w:tc>
          <w:tcPr>
            <w:tcW w:w="1159"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2"/>
              <w:jc w:val="left"/>
              <w:rPr>
                <w:sz w:val="11"/>
              </w:rPr>
            </w:pPr>
          </w:p>
          <w:p>
            <w:pPr>
              <w:pStyle w:val="TableParagraph"/>
              <w:spacing w:line="168" w:lineRule="auto" w:before="1"/>
              <w:ind w:left="368" w:right="343"/>
              <w:jc w:val="both"/>
              <w:rPr>
                <w:sz w:val="21"/>
              </w:rPr>
            </w:pPr>
            <w:r>
              <w:rPr>
                <w:sz w:val="21"/>
              </w:rPr>
              <w:t>安全防护措施</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03" w:right="80"/>
              <w:rPr>
                <w:sz w:val="21"/>
              </w:rPr>
            </w:pPr>
            <w:r>
              <w:rPr>
                <w:sz w:val="21"/>
              </w:rPr>
              <w:t>呼吸防护</w:t>
            </w:r>
          </w:p>
          <w:p>
            <w:pPr>
              <w:pStyle w:val="TableParagraph"/>
              <w:spacing w:line="303" w:lineRule="exact"/>
              <w:ind w:left="103" w:right="77"/>
              <w:rPr>
                <w:sz w:val="21"/>
              </w:rPr>
            </w:pPr>
            <w:r>
              <w:rPr>
                <w:sz w:val="21"/>
              </w:rPr>
              <w:t>系统</w:t>
            </w:r>
          </w:p>
        </w:tc>
        <w:tc>
          <w:tcPr>
            <w:tcW w:w="6444" w:type="dxa"/>
            <w:gridSpan w:val="5"/>
            <w:tcBorders>
              <w:top w:val="single" w:sz="6" w:space="0" w:color="000000"/>
              <w:left w:val="single" w:sz="6" w:space="0" w:color="000000"/>
              <w:bottom w:val="single" w:sz="6" w:space="0" w:color="000000"/>
            </w:tcBorders>
          </w:tcPr>
          <w:p>
            <w:pPr>
              <w:pStyle w:val="TableParagraph"/>
              <w:spacing w:line="300" w:lineRule="exact"/>
              <w:ind w:left="112"/>
              <w:jc w:val="left"/>
              <w:rPr>
                <w:sz w:val="21"/>
              </w:rPr>
            </w:pPr>
            <w:r>
              <w:rPr>
                <w:sz w:val="21"/>
              </w:rPr>
              <w:t>可能接触起烟雾时，佩戴自吸过滤式防毒面具（全面罩）或空气呼吸</w:t>
            </w:r>
          </w:p>
          <w:p>
            <w:pPr>
              <w:pStyle w:val="TableParagraph"/>
              <w:spacing w:line="303" w:lineRule="exact"/>
              <w:ind w:left="112"/>
              <w:jc w:val="left"/>
              <w:rPr>
                <w:sz w:val="21"/>
              </w:rPr>
            </w:pPr>
            <w:r>
              <w:rPr>
                <w:sz w:val="21"/>
              </w:rPr>
              <w:t>器。紧急事态抢救或撤离时，建议佩戴氧气呼吸器。</w:t>
            </w:r>
          </w:p>
        </w:tc>
      </w:tr>
      <w:tr>
        <w:trPr>
          <w:trHeight w:val="313" w:hRule="atLeast"/>
        </w:trPr>
        <w:tc>
          <w:tcPr>
            <w:tcW w:w="1159" w:type="dxa"/>
            <w:vMerge/>
            <w:tcBorders>
              <w:top w:val="nil"/>
              <w:bottom w:val="single" w:sz="6" w:space="0" w:color="000000"/>
              <w:right w:val="single" w:sz="6" w:space="0" w:color="000000"/>
            </w:tcBorders>
          </w:tcPr>
          <w:p>
            <w:pPr>
              <w:rPr>
                <w:sz w:val="2"/>
                <w:szCs w:val="2"/>
              </w:rPr>
            </w:pP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03" w:right="80"/>
              <w:rPr>
                <w:sz w:val="21"/>
              </w:rPr>
            </w:pPr>
            <w:r>
              <w:rPr>
                <w:sz w:val="21"/>
              </w:rPr>
              <w:t>眼睛防护</w:t>
            </w:r>
          </w:p>
        </w:tc>
        <w:tc>
          <w:tcPr>
            <w:tcW w:w="6444" w:type="dxa"/>
            <w:gridSpan w:val="5"/>
            <w:tcBorders>
              <w:top w:val="single" w:sz="6" w:space="0" w:color="000000"/>
              <w:left w:val="single" w:sz="6" w:space="0" w:color="000000"/>
              <w:bottom w:val="single" w:sz="6" w:space="0" w:color="000000"/>
            </w:tcBorders>
          </w:tcPr>
          <w:p>
            <w:pPr>
              <w:pStyle w:val="TableParagraph"/>
              <w:spacing w:line="294" w:lineRule="exact"/>
              <w:ind w:left="112"/>
              <w:jc w:val="left"/>
              <w:rPr>
                <w:sz w:val="21"/>
              </w:rPr>
            </w:pPr>
            <w:r>
              <w:rPr>
                <w:sz w:val="21"/>
              </w:rPr>
              <w:t>呼吸系统防护中已做防护。</w:t>
            </w:r>
          </w:p>
        </w:tc>
      </w:tr>
      <w:tr>
        <w:trPr>
          <w:trHeight w:val="311" w:hRule="atLeast"/>
        </w:trPr>
        <w:tc>
          <w:tcPr>
            <w:tcW w:w="1159" w:type="dxa"/>
            <w:vMerge/>
            <w:tcBorders>
              <w:top w:val="nil"/>
              <w:bottom w:val="single" w:sz="6" w:space="0" w:color="000000"/>
              <w:right w:val="single" w:sz="6" w:space="0" w:color="000000"/>
            </w:tcBorders>
          </w:tcPr>
          <w:p>
            <w:pPr>
              <w:rPr>
                <w:sz w:val="2"/>
                <w:szCs w:val="2"/>
              </w:rPr>
            </w:pP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03" w:right="80"/>
              <w:rPr>
                <w:sz w:val="21"/>
              </w:rPr>
            </w:pPr>
            <w:r>
              <w:rPr>
                <w:sz w:val="21"/>
              </w:rPr>
              <w:t>身体防护</w:t>
            </w:r>
          </w:p>
        </w:tc>
        <w:tc>
          <w:tcPr>
            <w:tcW w:w="6444" w:type="dxa"/>
            <w:gridSpan w:val="5"/>
            <w:tcBorders>
              <w:top w:val="single" w:sz="6" w:space="0" w:color="000000"/>
              <w:left w:val="single" w:sz="6" w:space="0" w:color="000000"/>
              <w:bottom w:val="single" w:sz="6" w:space="0" w:color="000000"/>
            </w:tcBorders>
          </w:tcPr>
          <w:p>
            <w:pPr>
              <w:pStyle w:val="TableParagraph"/>
              <w:spacing w:line="291" w:lineRule="exact"/>
              <w:ind w:left="112"/>
              <w:jc w:val="left"/>
              <w:rPr>
                <w:sz w:val="21"/>
              </w:rPr>
            </w:pPr>
            <w:r>
              <w:rPr>
                <w:sz w:val="21"/>
              </w:rPr>
              <w:t>穿橡胶耐酸碱服。</w:t>
            </w:r>
          </w:p>
        </w:tc>
      </w:tr>
      <w:tr>
        <w:trPr>
          <w:trHeight w:val="311" w:hRule="atLeast"/>
        </w:trPr>
        <w:tc>
          <w:tcPr>
            <w:tcW w:w="1159" w:type="dxa"/>
            <w:vMerge/>
            <w:tcBorders>
              <w:top w:val="nil"/>
              <w:bottom w:val="single" w:sz="6" w:space="0" w:color="000000"/>
              <w:right w:val="single" w:sz="6" w:space="0" w:color="000000"/>
            </w:tcBorders>
          </w:tcPr>
          <w:p>
            <w:pPr>
              <w:rPr>
                <w:sz w:val="2"/>
                <w:szCs w:val="2"/>
              </w:rPr>
            </w:pP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03" w:right="77"/>
              <w:rPr>
                <w:sz w:val="21"/>
              </w:rPr>
            </w:pPr>
            <w:r>
              <w:rPr>
                <w:sz w:val="21"/>
              </w:rPr>
              <w:t>手防护</w:t>
            </w:r>
          </w:p>
        </w:tc>
        <w:tc>
          <w:tcPr>
            <w:tcW w:w="6444" w:type="dxa"/>
            <w:gridSpan w:val="5"/>
            <w:tcBorders>
              <w:top w:val="single" w:sz="6" w:space="0" w:color="000000"/>
              <w:left w:val="single" w:sz="6" w:space="0" w:color="000000"/>
              <w:bottom w:val="single" w:sz="6" w:space="0" w:color="000000"/>
            </w:tcBorders>
          </w:tcPr>
          <w:p>
            <w:pPr>
              <w:pStyle w:val="TableParagraph"/>
              <w:spacing w:line="291" w:lineRule="exact"/>
              <w:ind w:left="112"/>
              <w:jc w:val="left"/>
              <w:rPr>
                <w:sz w:val="21"/>
              </w:rPr>
            </w:pPr>
            <w:r>
              <w:rPr>
                <w:sz w:val="21"/>
              </w:rPr>
              <w:t>戴橡胶耐酸碱手套。</w:t>
            </w:r>
          </w:p>
        </w:tc>
      </w:tr>
      <w:tr>
        <w:trPr>
          <w:trHeight w:val="623" w:hRule="atLeast"/>
        </w:trPr>
        <w:tc>
          <w:tcPr>
            <w:tcW w:w="1159" w:type="dxa"/>
            <w:vMerge/>
            <w:tcBorders>
              <w:top w:val="nil"/>
              <w:bottom w:val="single" w:sz="6" w:space="0" w:color="000000"/>
              <w:right w:val="single" w:sz="6" w:space="0" w:color="000000"/>
            </w:tcBorders>
          </w:tcPr>
          <w:p>
            <w:pPr>
              <w:rPr>
                <w:sz w:val="2"/>
                <w:szCs w:val="2"/>
              </w:rPr>
            </w:pP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78"/>
              <w:ind w:left="103" w:right="77"/>
              <w:rPr>
                <w:sz w:val="21"/>
              </w:rPr>
            </w:pPr>
            <w:r>
              <w:rPr>
                <w:sz w:val="21"/>
              </w:rPr>
              <w:t>其他</w:t>
            </w:r>
          </w:p>
        </w:tc>
        <w:tc>
          <w:tcPr>
            <w:tcW w:w="6444" w:type="dxa"/>
            <w:gridSpan w:val="5"/>
            <w:tcBorders>
              <w:top w:val="single" w:sz="6" w:space="0" w:color="000000"/>
              <w:left w:val="single" w:sz="6" w:space="0" w:color="000000"/>
              <w:bottom w:val="single" w:sz="6" w:space="0" w:color="000000"/>
            </w:tcBorders>
          </w:tcPr>
          <w:p>
            <w:pPr>
              <w:pStyle w:val="TableParagraph"/>
              <w:spacing w:line="301" w:lineRule="exact"/>
              <w:ind w:left="112"/>
              <w:jc w:val="left"/>
              <w:rPr>
                <w:sz w:val="21"/>
              </w:rPr>
            </w:pPr>
            <w:r>
              <w:rPr>
                <w:sz w:val="21"/>
              </w:rPr>
              <w:t>工作现场严禁吸烟、进食和饮水。工作毕，淋浴更衣，单独存放被毒</w:t>
            </w:r>
          </w:p>
          <w:p>
            <w:pPr>
              <w:pStyle w:val="TableParagraph"/>
              <w:spacing w:line="303" w:lineRule="exact"/>
              <w:ind w:left="112"/>
              <w:jc w:val="left"/>
              <w:rPr>
                <w:sz w:val="21"/>
              </w:rPr>
            </w:pPr>
            <w:r>
              <w:rPr>
                <w:sz w:val="21"/>
              </w:rPr>
              <w:t>物污染的衣服，洗后备用，保持良好的卫生习惯。</w:t>
            </w:r>
          </w:p>
        </w:tc>
      </w:tr>
      <w:tr>
        <w:trPr>
          <w:trHeight w:val="2183" w:hRule="atLeast"/>
        </w:trPr>
        <w:tc>
          <w:tcPr>
            <w:tcW w:w="1159" w:type="dxa"/>
            <w:tcBorders>
              <w:top w:val="single" w:sz="6" w:space="0" w:color="000000"/>
              <w:right w:val="single" w:sz="6" w:space="0" w:color="000000"/>
            </w:tcBorders>
          </w:tcPr>
          <w:p>
            <w:pPr>
              <w:pStyle w:val="TableParagraph"/>
              <w:jc w:val="left"/>
              <w:rPr>
                <w:sz w:val="20"/>
              </w:rPr>
            </w:pPr>
          </w:p>
          <w:p>
            <w:pPr>
              <w:pStyle w:val="TableParagraph"/>
              <w:spacing w:before="12"/>
              <w:jc w:val="left"/>
              <w:rPr>
                <w:sz w:val="17"/>
              </w:rPr>
            </w:pPr>
          </w:p>
          <w:p>
            <w:pPr>
              <w:pStyle w:val="TableParagraph"/>
              <w:spacing w:line="168" w:lineRule="auto" w:before="1"/>
              <w:ind w:left="368" w:right="343"/>
              <w:jc w:val="left"/>
              <w:rPr>
                <w:sz w:val="21"/>
              </w:rPr>
            </w:pPr>
            <w:r>
              <w:rPr>
                <w:sz w:val="21"/>
              </w:rPr>
              <w:t>应急措施</w:t>
            </w:r>
          </w:p>
        </w:tc>
        <w:tc>
          <w:tcPr>
            <w:tcW w:w="1078" w:type="dxa"/>
            <w:tcBorders>
              <w:top w:val="single" w:sz="6" w:space="0" w:color="000000"/>
              <w:left w:val="single" w:sz="6" w:space="0" w:color="000000"/>
              <w:right w:val="single" w:sz="6" w:space="0" w:color="000000"/>
            </w:tcBorders>
          </w:tcPr>
          <w:p>
            <w:pPr>
              <w:pStyle w:val="TableParagraph"/>
              <w:jc w:val="left"/>
              <w:rPr>
                <w:sz w:val="20"/>
              </w:rPr>
            </w:pPr>
          </w:p>
          <w:p>
            <w:pPr>
              <w:pStyle w:val="TableParagraph"/>
              <w:spacing w:before="12"/>
              <w:jc w:val="left"/>
              <w:rPr>
                <w:sz w:val="20"/>
              </w:rPr>
            </w:pPr>
          </w:p>
          <w:p>
            <w:pPr>
              <w:pStyle w:val="TableParagraph"/>
              <w:ind w:left="103" w:right="80"/>
              <w:rPr>
                <w:sz w:val="21"/>
              </w:rPr>
            </w:pPr>
            <w:r>
              <w:rPr>
                <w:sz w:val="21"/>
              </w:rPr>
              <w:t>急救措施</w:t>
            </w:r>
          </w:p>
        </w:tc>
        <w:tc>
          <w:tcPr>
            <w:tcW w:w="6444" w:type="dxa"/>
            <w:gridSpan w:val="5"/>
            <w:tcBorders>
              <w:top w:val="single" w:sz="6" w:space="0" w:color="000000"/>
              <w:left w:val="single" w:sz="6" w:space="0" w:color="000000"/>
            </w:tcBorders>
          </w:tcPr>
          <w:p>
            <w:pPr>
              <w:pStyle w:val="TableParagraph"/>
              <w:spacing w:line="303" w:lineRule="exact"/>
              <w:ind w:left="112"/>
              <w:jc w:val="left"/>
              <w:rPr>
                <w:rFonts w:ascii="Times New Roman" w:eastAsia="Times New Roman"/>
                <w:sz w:val="21"/>
              </w:rPr>
            </w:pPr>
            <w:r>
              <w:rPr>
                <w:sz w:val="21"/>
              </w:rPr>
              <w:t>皮肤接触：立即脱去被污染的衣着，用大量流动清水清洗，至少 </w:t>
            </w:r>
            <w:r>
              <w:rPr>
                <w:rFonts w:ascii="Times New Roman" w:eastAsia="Times New Roman"/>
                <w:sz w:val="21"/>
              </w:rPr>
              <w:t>15</w:t>
            </w:r>
          </w:p>
          <w:p>
            <w:pPr>
              <w:pStyle w:val="TableParagraph"/>
              <w:spacing w:line="312" w:lineRule="exact"/>
              <w:ind w:left="112"/>
              <w:jc w:val="left"/>
              <w:rPr>
                <w:sz w:val="21"/>
              </w:rPr>
            </w:pPr>
            <w:r>
              <w:rPr>
                <w:sz w:val="21"/>
              </w:rPr>
              <w:t>分钟，就医。</w:t>
            </w:r>
          </w:p>
          <w:p>
            <w:pPr>
              <w:pStyle w:val="TableParagraph"/>
              <w:spacing w:line="168" w:lineRule="auto" w:before="26"/>
              <w:ind w:left="112" w:right="75"/>
              <w:jc w:val="left"/>
              <w:rPr>
                <w:sz w:val="21"/>
              </w:rPr>
            </w:pPr>
            <w:r>
              <w:rPr>
                <w:spacing w:val="-10"/>
                <w:sz w:val="21"/>
              </w:rPr>
              <w:t>眼睛接触：立即掀起眼睑，用大量的流动清水或生理眼水彻底冲洗至</w:t>
            </w:r>
            <w:r>
              <w:rPr>
                <w:spacing w:val="-3"/>
                <w:sz w:val="21"/>
              </w:rPr>
              <w:t>少 </w:t>
            </w:r>
            <w:r>
              <w:rPr>
                <w:rFonts w:ascii="Times New Roman" w:eastAsia="Times New Roman"/>
                <w:sz w:val="21"/>
              </w:rPr>
              <w:t>15 </w:t>
            </w:r>
            <w:r>
              <w:rPr>
                <w:spacing w:val="-3"/>
                <w:sz w:val="21"/>
              </w:rPr>
              <w:t>分钟。就医。</w:t>
            </w:r>
          </w:p>
          <w:p>
            <w:pPr>
              <w:pStyle w:val="TableParagraph"/>
              <w:spacing w:line="168" w:lineRule="auto" w:before="1"/>
              <w:ind w:left="112"/>
              <w:jc w:val="left"/>
              <w:rPr>
                <w:sz w:val="21"/>
              </w:rPr>
            </w:pPr>
            <w:r>
              <w:rPr>
                <w:spacing w:val="-3"/>
                <w:sz w:val="21"/>
              </w:rPr>
              <w:t>吸入：迅速脱离现场至空气清新处。保持呼吸道通畅。如呼吸困难， 给输氧，如呼吸停止，立即进行人工呼吸。就医。</w:t>
            </w:r>
          </w:p>
          <w:p>
            <w:pPr>
              <w:pStyle w:val="TableParagraph"/>
              <w:spacing w:line="274" w:lineRule="exact"/>
              <w:ind w:left="112"/>
              <w:jc w:val="left"/>
              <w:rPr>
                <w:sz w:val="21"/>
              </w:rPr>
            </w:pPr>
            <w:r>
              <w:rPr>
                <w:spacing w:val="-3"/>
                <w:sz w:val="21"/>
              </w:rPr>
              <w:t>食入：误服者用水漱口，给饮牛奶或蛋清，就医。</w:t>
            </w:r>
          </w:p>
        </w:tc>
      </w:tr>
    </w:tbl>
    <w:p>
      <w:pPr>
        <w:spacing w:after="0" w:line="274"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59"/>
        <w:gridCol w:w="1078"/>
        <w:gridCol w:w="6442"/>
      </w:tblGrid>
      <w:tr>
        <w:trPr>
          <w:trHeight w:val="2183" w:hRule="atLeast"/>
        </w:trPr>
        <w:tc>
          <w:tcPr>
            <w:tcW w:w="1159" w:type="dxa"/>
            <w:tcBorders>
              <w:bottom w:val="single" w:sz="6" w:space="0" w:color="000000"/>
              <w:right w:val="single" w:sz="6" w:space="0" w:color="000000"/>
            </w:tcBorders>
          </w:tcPr>
          <w:p>
            <w:pPr>
              <w:pStyle w:val="TableParagraph"/>
              <w:jc w:val="left"/>
              <w:rPr>
                <w:rFonts w:ascii="Times New Roman"/>
                <w:sz w:val="20"/>
              </w:rPr>
            </w:pPr>
          </w:p>
        </w:tc>
        <w:tc>
          <w:tcPr>
            <w:tcW w:w="1078" w:type="dxa"/>
            <w:tcBorders>
              <w:left w:val="single" w:sz="6" w:space="0" w:color="000000"/>
              <w:bottom w:val="single" w:sz="6" w:space="0" w:color="000000"/>
              <w:right w:val="single" w:sz="6" w:space="0" w:color="000000"/>
            </w:tcBorders>
          </w:tcPr>
          <w:p>
            <w:pPr>
              <w:pStyle w:val="TableParagraph"/>
              <w:jc w:val="left"/>
              <w:rPr>
                <w:sz w:val="20"/>
              </w:rPr>
            </w:pPr>
          </w:p>
          <w:p>
            <w:pPr>
              <w:pStyle w:val="TableParagraph"/>
              <w:spacing w:before="9"/>
              <w:jc w:val="left"/>
              <w:rPr>
                <w:sz w:val="20"/>
              </w:rPr>
            </w:pPr>
          </w:p>
          <w:p>
            <w:pPr>
              <w:pStyle w:val="TableParagraph"/>
              <w:ind w:left="122"/>
              <w:jc w:val="left"/>
              <w:rPr>
                <w:sz w:val="21"/>
              </w:rPr>
            </w:pPr>
            <w:r>
              <w:rPr>
                <w:sz w:val="21"/>
              </w:rPr>
              <w:t>泄漏措施</w:t>
            </w:r>
          </w:p>
        </w:tc>
        <w:tc>
          <w:tcPr>
            <w:tcW w:w="6442" w:type="dxa"/>
            <w:tcBorders>
              <w:left w:val="single" w:sz="6" w:space="0" w:color="000000"/>
              <w:bottom w:val="single" w:sz="6" w:space="0" w:color="000000"/>
            </w:tcBorders>
          </w:tcPr>
          <w:p>
            <w:pPr>
              <w:pStyle w:val="TableParagraph"/>
              <w:spacing w:line="168" w:lineRule="auto" w:before="17"/>
              <w:ind w:left="112"/>
              <w:jc w:val="both"/>
              <w:rPr>
                <w:sz w:val="21"/>
              </w:rPr>
            </w:pPr>
            <w:r>
              <w:rPr>
                <w:spacing w:val="-7"/>
                <w:sz w:val="21"/>
              </w:rPr>
              <w:t>迅速撤离泄漏污染区人员至安全区，并进行隔离，严格限制出入。切</w:t>
            </w:r>
            <w:r>
              <w:rPr>
                <w:spacing w:val="-5"/>
                <w:sz w:val="21"/>
              </w:rPr>
              <w:t>断火源。建议应急处理人员戴自给正压式呼吸器，穿防酸碱工作服。</w:t>
            </w:r>
            <w:r>
              <w:rPr>
                <w:spacing w:val="-10"/>
                <w:sz w:val="21"/>
              </w:rPr>
              <w:t>不要直接接触泄漏物，仅可能切断泄漏源，防止进入下水道、排洪沟</w:t>
            </w:r>
            <w:r>
              <w:rPr>
                <w:spacing w:val="-11"/>
                <w:sz w:val="21"/>
              </w:rPr>
              <w:t>等限制性空间。小量泄漏：用砂土、干燥石灰或苏打灰混合。也可以用大量水冲洗，洗水稀释后放入废水系统。大量泄漏：构筑围堤或挖</w:t>
            </w:r>
            <w:r>
              <w:rPr>
                <w:spacing w:val="-12"/>
                <w:sz w:val="21"/>
              </w:rPr>
              <w:t>坑收容。用泵转移至槽车或专用收集器内，回收或运至废物处理场所</w:t>
            </w:r>
          </w:p>
          <w:p>
            <w:pPr>
              <w:pStyle w:val="TableParagraph"/>
              <w:spacing w:line="276" w:lineRule="exact"/>
              <w:ind w:left="112"/>
              <w:jc w:val="both"/>
              <w:rPr>
                <w:sz w:val="21"/>
              </w:rPr>
            </w:pPr>
            <w:r>
              <w:rPr>
                <w:sz w:val="21"/>
              </w:rPr>
              <w:t>处置。</w:t>
            </w:r>
          </w:p>
        </w:tc>
      </w:tr>
      <w:tr>
        <w:trPr>
          <w:trHeight w:val="313" w:hRule="atLeast"/>
        </w:trPr>
        <w:tc>
          <w:tcPr>
            <w:tcW w:w="2237" w:type="dxa"/>
            <w:gridSpan w:val="2"/>
            <w:tcBorders>
              <w:top w:val="single" w:sz="6" w:space="0" w:color="000000"/>
              <w:right w:val="single" w:sz="6" w:space="0" w:color="000000"/>
            </w:tcBorders>
          </w:tcPr>
          <w:p>
            <w:pPr>
              <w:pStyle w:val="TableParagraph"/>
              <w:spacing w:line="293" w:lineRule="exact"/>
              <w:ind w:left="697"/>
              <w:jc w:val="left"/>
              <w:rPr>
                <w:sz w:val="21"/>
              </w:rPr>
            </w:pPr>
            <w:r>
              <w:rPr>
                <w:sz w:val="21"/>
              </w:rPr>
              <w:t>主要用途</w:t>
            </w:r>
          </w:p>
        </w:tc>
        <w:tc>
          <w:tcPr>
            <w:tcW w:w="6442" w:type="dxa"/>
            <w:tcBorders>
              <w:top w:val="single" w:sz="6" w:space="0" w:color="000000"/>
              <w:left w:val="single" w:sz="6" w:space="0" w:color="000000"/>
            </w:tcBorders>
          </w:tcPr>
          <w:p>
            <w:pPr>
              <w:pStyle w:val="TableParagraph"/>
              <w:spacing w:line="293" w:lineRule="exact"/>
              <w:ind w:left="112" w:right="-29"/>
              <w:jc w:val="left"/>
              <w:rPr>
                <w:sz w:val="21"/>
              </w:rPr>
            </w:pPr>
            <w:r>
              <w:rPr>
                <w:spacing w:val="-16"/>
                <w:sz w:val="21"/>
              </w:rPr>
              <w:t>用于生产化学肥料。在化工、医药、石油提炼等工业也有广泛的应用。</w:t>
            </w:r>
          </w:p>
        </w:tc>
      </w:tr>
    </w:tbl>
    <w:p>
      <w:pPr>
        <w:pStyle w:val="BodyText"/>
        <w:spacing w:before="16"/>
        <w:rPr>
          <w:sz w:val="4"/>
        </w:rPr>
      </w:pPr>
    </w:p>
    <w:p>
      <w:pPr>
        <w:tabs>
          <w:tab w:pos="4032" w:val="left" w:leader="none"/>
        </w:tabs>
        <w:spacing w:line="423" w:lineRule="exact" w:before="0"/>
        <w:ind w:left="3017" w:right="0" w:firstLine="0"/>
        <w:jc w:val="left"/>
        <w:rPr>
          <w:sz w:val="21"/>
        </w:rPr>
      </w:pPr>
      <w:r>
        <w:rPr>
          <w:sz w:val="21"/>
        </w:rPr>
        <w:t>表</w:t>
      </w:r>
      <w:r>
        <w:rPr>
          <w:spacing w:val="5"/>
          <w:sz w:val="21"/>
        </w:rPr>
        <w:t> </w:t>
      </w:r>
      <w:r>
        <w:rPr>
          <w:rFonts w:ascii="Times New Roman" w:eastAsia="Times New Roman"/>
          <w:sz w:val="21"/>
        </w:rPr>
        <w:t>7.1-41</w:t>
        <w:tab/>
      </w:r>
      <w:r>
        <w:rPr>
          <w:sz w:val="21"/>
        </w:rPr>
        <w:t>氯</w:t>
      </w:r>
      <w:r>
        <w:rPr>
          <w:spacing w:val="-3"/>
          <w:sz w:val="21"/>
        </w:rPr>
        <w:t>甲</w:t>
      </w:r>
      <w:r>
        <w:rPr>
          <w:sz w:val="21"/>
        </w:rPr>
        <w:t>酸</w:t>
      </w:r>
      <w:r>
        <w:rPr>
          <w:spacing w:val="-3"/>
          <w:sz w:val="21"/>
        </w:rPr>
        <w:t>乙</w:t>
      </w:r>
      <w:r>
        <w:rPr>
          <w:sz w:val="21"/>
        </w:rPr>
        <w:t>酯</w:t>
      </w:r>
      <w:r>
        <w:rPr>
          <w:spacing w:val="-3"/>
          <w:sz w:val="21"/>
        </w:rPr>
        <w:t>危</w:t>
      </w:r>
      <w:r>
        <w:rPr>
          <w:sz w:val="21"/>
        </w:rPr>
        <w:t>险特</w:t>
      </w:r>
      <w:r>
        <w:rPr>
          <w:spacing w:val="-3"/>
          <w:sz w:val="21"/>
        </w:rPr>
        <w:t>性</w:t>
      </w:r>
      <w:r>
        <w:rPr>
          <w:sz w:val="21"/>
        </w:rPr>
        <w:t>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780"/>
      </w:tblGrid>
      <w:tr>
        <w:trPr>
          <w:trHeight w:val="302" w:hRule="atLeast"/>
        </w:trPr>
        <w:tc>
          <w:tcPr>
            <w:tcW w:w="1188" w:type="dxa"/>
            <w:tcBorders>
              <w:bottom w:val="single" w:sz="6" w:space="0" w:color="000000"/>
              <w:right w:val="single" w:sz="6" w:space="0" w:color="000000"/>
            </w:tcBorders>
          </w:tcPr>
          <w:p>
            <w:pPr>
              <w:pStyle w:val="TableParagraph"/>
              <w:spacing w:line="282" w:lineRule="exact"/>
              <w:ind w:left="105"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6"/>
              <w:ind w:left="212" w:right="184"/>
              <w:rPr>
                <w:rFonts w:ascii="Times New Roman"/>
                <w:sz w:val="21"/>
              </w:rPr>
            </w:pPr>
            <w:r>
              <w:rPr>
                <w:rFonts w:ascii="Times New Roman"/>
                <w:sz w:val="21"/>
              </w:rPr>
              <w:t>32151</w:t>
            </w:r>
          </w:p>
        </w:tc>
        <w:tc>
          <w:tcPr>
            <w:tcW w:w="1440" w:type="dxa"/>
            <w:tcBorders>
              <w:left w:val="single" w:sz="6" w:space="0" w:color="000000"/>
              <w:bottom w:val="single" w:sz="6" w:space="0" w:color="000000"/>
              <w:right w:val="single" w:sz="6" w:space="0" w:color="000000"/>
            </w:tcBorders>
          </w:tcPr>
          <w:p>
            <w:pPr>
              <w:pStyle w:val="TableParagraph"/>
              <w:spacing w:line="282" w:lineRule="exact"/>
              <w:ind w:left="183" w:right="152"/>
              <w:rPr>
                <w:sz w:val="21"/>
              </w:rPr>
            </w:pPr>
            <w:r>
              <w:rPr>
                <w:rFonts w:ascii="Times New Roman" w:eastAsia="Times New Roman"/>
                <w:sz w:val="21"/>
              </w:rPr>
              <w:t>CAS </w:t>
            </w:r>
            <w:r>
              <w:rPr>
                <w:sz w:val="21"/>
              </w:rPr>
              <w:t>号</w:t>
            </w:r>
          </w:p>
        </w:tc>
        <w:tc>
          <w:tcPr>
            <w:tcW w:w="2780" w:type="dxa"/>
            <w:tcBorders>
              <w:left w:val="single" w:sz="6" w:space="0" w:color="000000"/>
              <w:bottom w:val="single" w:sz="6" w:space="0" w:color="000000"/>
            </w:tcBorders>
          </w:tcPr>
          <w:p>
            <w:pPr>
              <w:pStyle w:val="TableParagraph"/>
              <w:spacing w:line="236" w:lineRule="exact" w:before="46"/>
              <w:ind w:left="113" w:right="82"/>
              <w:rPr>
                <w:rFonts w:ascii="Times New Roman"/>
                <w:sz w:val="21"/>
              </w:rPr>
            </w:pPr>
            <w:r>
              <w:rPr>
                <w:rFonts w:ascii="Times New Roman"/>
                <w:sz w:val="21"/>
              </w:rPr>
              <w:t>541-41-3</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1"/>
              <w:rPr>
                <w:sz w:val="21"/>
              </w:rPr>
            </w:pPr>
            <w:r>
              <w:rPr>
                <w:sz w:val="21"/>
              </w:rPr>
              <w:t>氯甲酸乙酯</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英文名称</w:t>
            </w:r>
          </w:p>
        </w:tc>
        <w:tc>
          <w:tcPr>
            <w:tcW w:w="2780" w:type="dxa"/>
            <w:tcBorders>
              <w:top w:val="single" w:sz="6" w:space="0" w:color="000000"/>
              <w:left w:val="single" w:sz="6" w:space="0" w:color="000000"/>
              <w:bottom w:val="single" w:sz="6" w:space="0" w:color="000000"/>
            </w:tcBorders>
          </w:tcPr>
          <w:p>
            <w:pPr>
              <w:pStyle w:val="TableParagraph"/>
              <w:spacing w:line="236" w:lineRule="exact" w:before="43"/>
              <w:ind w:left="115" w:right="78"/>
              <w:rPr>
                <w:rFonts w:ascii="Times New Roman"/>
                <w:sz w:val="21"/>
              </w:rPr>
            </w:pPr>
            <w:r>
              <w:rPr>
                <w:rFonts w:ascii="Times New Roman"/>
                <w:sz w:val="21"/>
              </w:rPr>
              <w:t>ethyl chlorocarbonate</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12" w:right="184"/>
              <w:rPr>
                <w:rFonts w:ascii="Times New Roman" w:eastAsia="Times New Roman"/>
                <w:sz w:val="21"/>
              </w:rPr>
            </w:pPr>
            <w:r>
              <w:rPr>
                <w:rFonts w:ascii="Times New Roman" w:eastAsia="Times New Roman"/>
                <w:sz w:val="21"/>
              </w:rPr>
              <w:t>7(</w:t>
            </w:r>
            <w:r>
              <w:rPr>
                <w:sz w:val="21"/>
              </w:rPr>
              <w:t>易燃液体</w:t>
            </w:r>
            <w:r>
              <w:rPr>
                <w:rFonts w:ascii="Times New Roman" w:eastAsia="Times New Roman"/>
                <w:sz w:val="21"/>
              </w:rPr>
              <w:t>),40(</w:t>
            </w:r>
            <w:r>
              <w:rPr>
                <w:sz w:val="21"/>
              </w:rPr>
              <w:t>有毒品</w:t>
            </w:r>
            <w:r>
              <w:rPr>
                <w:rFonts w:ascii="Times New Roman" w:eastAsia="Times New Roman"/>
                <w:sz w:val="21"/>
              </w:rPr>
              <w:t>),41(</w:t>
            </w:r>
            <w:r>
              <w:rPr>
                <w:sz w:val="21"/>
              </w:rPr>
              <w:t>腐蚀品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83" w:right="152"/>
              <w:rPr>
                <w:sz w:val="21"/>
              </w:rPr>
            </w:pPr>
            <w:r>
              <w:rPr>
                <w:sz w:val="21"/>
              </w:rPr>
              <w:t>主要用途</w:t>
            </w:r>
          </w:p>
        </w:tc>
        <w:tc>
          <w:tcPr>
            <w:tcW w:w="2780" w:type="dxa"/>
            <w:tcBorders>
              <w:top w:val="single" w:sz="6" w:space="0" w:color="000000"/>
              <w:left w:val="single" w:sz="6" w:space="0" w:color="000000"/>
              <w:bottom w:val="single" w:sz="6" w:space="0" w:color="000000"/>
            </w:tcBorders>
          </w:tcPr>
          <w:p>
            <w:pPr>
              <w:pStyle w:val="TableParagraph"/>
              <w:spacing w:line="279" w:lineRule="exact"/>
              <w:ind w:left="115" w:right="80"/>
              <w:rPr>
                <w:sz w:val="21"/>
              </w:rPr>
            </w:pPr>
            <w:r>
              <w:rPr>
                <w:sz w:val="21"/>
              </w:rPr>
              <w:t>用于有机合成及用作溶剂</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5" w:right="84"/>
              <w:rPr>
                <w:sz w:val="21"/>
              </w:rPr>
            </w:pPr>
            <w:r>
              <w:rPr>
                <w:sz w:val="21"/>
              </w:rPr>
              <w:t>侵入途径</w:t>
            </w:r>
          </w:p>
        </w:tc>
        <w:tc>
          <w:tcPr>
            <w:tcW w:w="7821" w:type="dxa"/>
            <w:gridSpan w:val="3"/>
            <w:tcBorders>
              <w:top w:val="single" w:sz="6" w:space="0" w:color="000000"/>
              <w:left w:val="single" w:sz="6" w:space="0" w:color="000000"/>
              <w:bottom w:val="single" w:sz="6" w:space="0" w:color="000000"/>
            </w:tcBorders>
          </w:tcPr>
          <w:p>
            <w:pPr>
              <w:pStyle w:val="TableParagraph"/>
              <w:spacing w:line="279" w:lineRule="exact"/>
              <w:ind w:left="957" w:right="921"/>
              <w:rPr>
                <w:sz w:val="21"/>
              </w:rPr>
            </w:pPr>
            <w:r>
              <w:rPr>
                <w:sz w:val="21"/>
              </w:rPr>
              <w:t>吸入、食入、经皮吸收。</w:t>
            </w:r>
          </w:p>
        </w:tc>
      </w:tr>
      <w:tr>
        <w:trPr>
          <w:trHeight w:val="601"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健康危害</w:t>
            </w:r>
          </w:p>
        </w:tc>
        <w:tc>
          <w:tcPr>
            <w:tcW w:w="7821" w:type="dxa"/>
            <w:gridSpan w:val="3"/>
            <w:tcBorders>
              <w:top w:val="single" w:sz="6" w:space="0" w:color="000000"/>
              <w:left w:val="single" w:sz="6" w:space="0" w:color="000000"/>
              <w:bottom w:val="single" w:sz="6" w:space="0" w:color="000000"/>
            </w:tcBorders>
          </w:tcPr>
          <w:p>
            <w:pPr>
              <w:pStyle w:val="TableParagraph"/>
              <w:spacing w:line="304" w:lineRule="exact"/>
              <w:ind w:left="114"/>
              <w:jc w:val="left"/>
              <w:rPr>
                <w:sz w:val="21"/>
              </w:rPr>
            </w:pPr>
            <w:r>
              <w:rPr>
                <w:sz w:val="21"/>
              </w:rPr>
              <w:t>人接触后主要中毒表现为眼及上呼吸道刺激；高浓度时可发生肺水肿。涂于豚鼠皮</w:t>
            </w:r>
          </w:p>
          <w:p>
            <w:pPr>
              <w:pStyle w:val="TableParagraph"/>
              <w:spacing w:line="278" w:lineRule="exact"/>
              <w:ind w:left="114"/>
              <w:jc w:val="left"/>
              <w:rPr>
                <w:sz w:val="21"/>
              </w:rPr>
            </w:pPr>
            <w:r>
              <w:rPr>
                <w:sz w:val="21"/>
              </w:rPr>
              <w:t>肤引起深度坏死及形成焦痂。与兔眼接触造成永久角膜损害。</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77"/>
              <w:ind w:left="106" w:right="83"/>
              <w:rPr>
                <w:sz w:val="21"/>
              </w:rPr>
            </w:pPr>
            <w:r>
              <w:rPr>
                <w:sz w:val="21"/>
              </w:rPr>
              <w:t>毒性</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pacing w:val="-3"/>
                <w:position w:val="2"/>
                <w:sz w:val="21"/>
              </w:rPr>
              <w:t>急性毒性：</w:t>
            </w:r>
            <w:r>
              <w:rPr>
                <w:rFonts w:ascii="Times New Roman" w:eastAsia="Times New Roman"/>
                <w:spacing w:val="-3"/>
                <w:position w:val="2"/>
                <w:sz w:val="21"/>
              </w:rPr>
              <w:t>LD</w:t>
            </w:r>
            <w:r>
              <w:rPr>
                <w:rFonts w:ascii="Times New Roman" w:eastAsia="Times New Roman"/>
                <w:spacing w:val="-3"/>
                <w:sz w:val="14"/>
              </w:rPr>
              <w:t>50</w:t>
            </w:r>
            <w:r>
              <w:rPr>
                <w:rFonts w:ascii="Times New Roman" w:eastAsia="Times New Roman"/>
                <w:spacing w:val="-3"/>
                <w:position w:val="2"/>
                <w:sz w:val="21"/>
              </w:rPr>
              <w:t>50mg/kg(</w:t>
            </w:r>
            <w:r>
              <w:rPr>
                <w:spacing w:val="-1"/>
                <w:position w:val="2"/>
                <w:sz w:val="21"/>
              </w:rPr>
              <w:t>大鼠经口</w:t>
            </w:r>
            <w:r>
              <w:rPr>
                <w:rFonts w:ascii="Times New Roman" w:eastAsia="Times New Roman"/>
                <w:spacing w:val="-3"/>
                <w:position w:val="2"/>
                <w:sz w:val="21"/>
              </w:rPr>
              <w:t>)</w:t>
            </w:r>
            <w:r>
              <w:rPr>
                <w:spacing w:val="-3"/>
                <w:position w:val="2"/>
                <w:sz w:val="21"/>
              </w:rPr>
              <w:t>；</w:t>
            </w:r>
            <w:r>
              <w:rPr>
                <w:rFonts w:ascii="Times New Roman" w:eastAsia="Times New Roman"/>
                <w:spacing w:val="-3"/>
                <w:position w:val="2"/>
                <w:sz w:val="21"/>
              </w:rPr>
              <w:t>7120mg/kg(</w:t>
            </w:r>
            <w:r>
              <w:rPr>
                <w:position w:val="2"/>
                <w:sz w:val="21"/>
              </w:rPr>
              <w:t>兔经皮</w:t>
            </w:r>
            <w:r>
              <w:rPr>
                <w:rFonts w:ascii="Times New Roman" w:eastAsia="Times New Roman"/>
                <w:spacing w:val="-4"/>
                <w:position w:val="2"/>
                <w:sz w:val="21"/>
              </w:rPr>
              <w:t>)</w:t>
            </w:r>
            <w:r>
              <w:rPr>
                <w:spacing w:val="-4"/>
                <w:position w:val="2"/>
                <w:sz w:val="21"/>
              </w:rPr>
              <w:t>；</w:t>
            </w:r>
            <w:r>
              <w:rPr>
                <w:rFonts w:ascii="Times New Roman" w:eastAsia="Times New Roman"/>
                <w:spacing w:val="-4"/>
                <w:position w:val="2"/>
                <w:sz w:val="21"/>
              </w:rPr>
              <w:t>LC</w:t>
            </w:r>
            <w:r>
              <w:rPr>
                <w:rFonts w:ascii="Times New Roman" w:eastAsia="Times New Roman"/>
                <w:spacing w:val="-4"/>
                <w:sz w:val="14"/>
              </w:rPr>
              <w:t>50</w:t>
            </w:r>
            <w:r>
              <w:rPr>
                <w:rFonts w:ascii="Times New Roman" w:eastAsia="Times New Roman"/>
                <w:spacing w:val="-4"/>
                <w:position w:val="2"/>
                <w:sz w:val="21"/>
              </w:rPr>
              <w:t>646mg/m</w:t>
            </w:r>
            <w:r>
              <w:rPr>
                <w:rFonts w:ascii="Times New Roman" w:eastAsia="Times New Roman"/>
                <w:spacing w:val="-4"/>
                <w:position w:val="2"/>
                <w:sz w:val="21"/>
                <w:vertAlign w:val="superscript"/>
              </w:rPr>
              <w:t>3</w:t>
            </w:r>
            <w:r>
              <w:rPr>
                <w:spacing w:val="-4"/>
                <w:position w:val="2"/>
                <w:sz w:val="21"/>
                <w:vertAlign w:val="baseline"/>
              </w:rPr>
              <w:t>，</w:t>
            </w:r>
            <w:r>
              <w:rPr>
                <w:rFonts w:ascii="Times New Roman" w:eastAsia="Times New Roman"/>
                <w:spacing w:val="-4"/>
                <w:position w:val="2"/>
                <w:sz w:val="21"/>
                <w:vertAlign w:val="baseline"/>
              </w:rPr>
              <w:t>1 </w:t>
            </w:r>
            <w:r>
              <w:rPr>
                <w:position w:val="2"/>
                <w:sz w:val="21"/>
                <w:vertAlign w:val="baseline"/>
              </w:rPr>
              <w:t>小时</w:t>
            </w:r>
            <w:r>
              <w:rPr>
                <w:rFonts w:ascii="Times New Roman" w:eastAsia="Times New Roman"/>
                <w:position w:val="2"/>
                <w:sz w:val="21"/>
                <w:vertAlign w:val="baseline"/>
              </w:rPr>
              <w:t>(</w:t>
            </w:r>
            <w:r>
              <w:rPr>
                <w:position w:val="2"/>
                <w:sz w:val="21"/>
                <w:vertAlign w:val="baseline"/>
              </w:rPr>
              <w:t>大</w:t>
            </w:r>
          </w:p>
          <w:p>
            <w:pPr>
              <w:pStyle w:val="TableParagraph"/>
              <w:spacing w:line="278" w:lineRule="exact"/>
              <w:ind w:left="114"/>
              <w:jc w:val="left"/>
              <w:rPr>
                <w:rFonts w:ascii="Times New Roman" w:eastAsia="Times New Roman"/>
                <w:sz w:val="21"/>
              </w:rPr>
            </w:pPr>
            <w:r>
              <w:rPr>
                <w:sz w:val="21"/>
              </w:rPr>
              <w:t>鼠吸入</w:t>
            </w:r>
            <w:r>
              <w:rPr>
                <w:rFonts w:ascii="Times New Roman" w:eastAsia="Times New Roman"/>
                <w:sz w:val="21"/>
              </w:rPr>
              <w:t>)</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80"/>
              <w:ind w:left="105" w:right="84"/>
              <w:rPr>
                <w:sz w:val="21"/>
              </w:rPr>
            </w:pPr>
            <w:r>
              <w:rPr>
                <w:sz w:val="21"/>
              </w:rPr>
              <w:t>危险特性</w:t>
            </w:r>
          </w:p>
        </w:tc>
        <w:tc>
          <w:tcPr>
            <w:tcW w:w="7821" w:type="dxa"/>
            <w:gridSpan w:val="3"/>
            <w:tcBorders>
              <w:top w:val="single" w:sz="6" w:space="0" w:color="000000"/>
              <w:left w:val="single" w:sz="6" w:space="0" w:color="000000"/>
              <w:bottom w:val="single" w:sz="6" w:space="0" w:color="000000"/>
            </w:tcBorders>
          </w:tcPr>
          <w:p>
            <w:pPr>
              <w:pStyle w:val="TableParagraph"/>
              <w:spacing w:line="301" w:lineRule="exact"/>
              <w:ind w:left="114"/>
              <w:jc w:val="left"/>
              <w:rPr>
                <w:sz w:val="21"/>
              </w:rPr>
            </w:pPr>
            <w:r>
              <w:rPr>
                <w:sz w:val="21"/>
              </w:rPr>
              <w:t>遇明火、高热易引起燃烧，并放出有毒气体。遇水或水蒸气反应放热并产生有毒的</w:t>
            </w:r>
          </w:p>
          <w:p>
            <w:pPr>
              <w:pStyle w:val="TableParagraph"/>
              <w:spacing w:line="278" w:lineRule="exact"/>
              <w:ind w:left="114"/>
              <w:jc w:val="left"/>
              <w:rPr>
                <w:sz w:val="21"/>
              </w:rPr>
            </w:pPr>
            <w:r>
              <w:rPr>
                <w:sz w:val="21"/>
              </w:rPr>
              <w:t>腐蚀性气体。具有腐蚀性。</w:t>
            </w:r>
          </w:p>
        </w:tc>
      </w:tr>
      <w:tr>
        <w:trPr>
          <w:trHeight w:val="1799" w:hRule="atLeast"/>
        </w:trPr>
        <w:tc>
          <w:tcPr>
            <w:tcW w:w="1188" w:type="dxa"/>
            <w:tcBorders>
              <w:top w:val="single" w:sz="6" w:space="0" w:color="000000"/>
              <w:bottom w:val="single" w:sz="6" w:space="0" w:color="000000"/>
              <w:right w:val="single" w:sz="6" w:space="0" w:color="000000"/>
            </w:tcBorders>
          </w:tcPr>
          <w:p>
            <w:pPr>
              <w:pStyle w:val="TableParagraph"/>
              <w:spacing w:before="17"/>
              <w:jc w:val="left"/>
              <w:rPr>
                <w:sz w:val="29"/>
              </w:rPr>
            </w:pPr>
          </w:p>
          <w:p>
            <w:pPr>
              <w:pStyle w:val="TableParagraph"/>
              <w:spacing w:line="160" w:lineRule="auto"/>
              <w:ind w:left="383" w:right="148" w:hanging="212"/>
              <w:jc w:val="left"/>
              <w:rPr>
                <w:sz w:val="21"/>
              </w:rPr>
            </w:pPr>
            <w:r>
              <w:rPr>
                <w:sz w:val="21"/>
              </w:rPr>
              <w:t>泄漏应急处理</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1"/>
              <w:ind w:left="114" w:right="5"/>
              <w:jc w:val="both"/>
              <w:rPr>
                <w:sz w:val="21"/>
              </w:rPr>
            </w:pPr>
            <w:r>
              <w:rPr>
                <w:spacing w:val="-2"/>
                <w:sz w:val="21"/>
              </w:rPr>
              <w:t>迅速撤离泄漏污染区人员至安全区，并立即隔离 </w:t>
            </w:r>
            <w:r>
              <w:rPr>
                <w:rFonts w:ascii="Times New Roman" w:eastAsia="Times New Roman"/>
                <w:sz w:val="21"/>
              </w:rPr>
              <w:t>150m</w:t>
            </w:r>
            <w:r>
              <w:rPr>
                <w:spacing w:val="-3"/>
                <w:sz w:val="21"/>
              </w:rPr>
              <w:t>，严格限制出入。切断火源。建议应急处理人员戴自给正压式呼吸器，穿防毒服。尽可能切断泄漏源，防止进入下水道、排洪沟等限制性空间。小量泄漏：用砂土或其它不燃材料吸附或吸收。也可以用不燃性分散剂制成的乳液刷洗，洗液稀释后放入废水系统。大量泄漏：构筑围堤或挖坑收容；喷雾状水冷却和稀释蒸气、保护现场人员、把泄漏物稀释成不燃</w:t>
            </w:r>
          </w:p>
          <w:p>
            <w:pPr>
              <w:pStyle w:val="TableParagraph"/>
              <w:spacing w:line="257" w:lineRule="exact"/>
              <w:ind w:left="114"/>
              <w:jc w:val="both"/>
              <w:rPr>
                <w:sz w:val="21"/>
              </w:rPr>
            </w:pPr>
            <w:r>
              <w:rPr>
                <w:sz w:val="21"/>
              </w:rPr>
              <w:t>物。用防爆泵转移至槽车或专用收集器内，回收或运至废物处理场所处置。</w:t>
            </w:r>
          </w:p>
        </w:tc>
      </w:tr>
      <w:tr>
        <w:trPr>
          <w:trHeight w:val="1801" w:hRule="atLeast"/>
        </w:trPr>
        <w:tc>
          <w:tcPr>
            <w:tcW w:w="118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
              <w:jc w:val="left"/>
              <w:rPr>
                <w:sz w:val="12"/>
              </w:rPr>
            </w:pPr>
          </w:p>
          <w:p>
            <w:pPr>
              <w:pStyle w:val="TableParagraph"/>
              <w:ind w:left="105" w:right="84"/>
              <w:rPr>
                <w:sz w:val="21"/>
              </w:rPr>
            </w:pPr>
            <w:r>
              <w:rPr>
                <w:sz w:val="21"/>
              </w:rPr>
              <w:t>防护措施</w:t>
            </w:r>
          </w:p>
        </w:tc>
        <w:tc>
          <w:tcPr>
            <w:tcW w:w="7821" w:type="dxa"/>
            <w:gridSpan w:val="3"/>
            <w:tcBorders>
              <w:top w:val="single" w:sz="6" w:space="0" w:color="000000"/>
              <w:left w:val="single" w:sz="6" w:space="0" w:color="000000"/>
              <w:bottom w:val="single" w:sz="6" w:space="0" w:color="000000"/>
            </w:tcBorders>
          </w:tcPr>
          <w:p>
            <w:pPr>
              <w:pStyle w:val="TableParagraph"/>
              <w:spacing w:line="160" w:lineRule="auto" w:before="34"/>
              <w:ind w:left="114" w:right="72"/>
              <w:jc w:val="left"/>
              <w:rPr>
                <w:sz w:val="21"/>
              </w:rPr>
            </w:pPr>
            <w:r>
              <w:rPr>
                <w:spacing w:val="-8"/>
                <w:sz w:val="21"/>
              </w:rPr>
              <w:t>呼吸系统防护：可能接触其蒸气时，佩戴自吸过滤式防毒面具</w:t>
            </w:r>
            <w:r>
              <w:rPr>
                <w:rFonts w:ascii="Times New Roman" w:eastAsia="Times New Roman"/>
                <w:spacing w:val="-4"/>
                <w:sz w:val="21"/>
              </w:rPr>
              <w:t>(</w:t>
            </w:r>
            <w:r>
              <w:rPr>
                <w:spacing w:val="-2"/>
                <w:sz w:val="21"/>
              </w:rPr>
              <w:t>全面罩</w:t>
            </w:r>
            <w:r>
              <w:rPr>
                <w:rFonts w:ascii="Times New Roman" w:eastAsia="Times New Roman"/>
                <w:sz w:val="21"/>
              </w:rPr>
              <w:t>)</w:t>
            </w:r>
            <w:r>
              <w:rPr>
                <w:spacing w:val="-11"/>
                <w:sz w:val="21"/>
              </w:rPr>
              <w:t>。必要时，佩</w:t>
            </w:r>
            <w:r>
              <w:rPr>
                <w:spacing w:val="-6"/>
                <w:sz w:val="21"/>
              </w:rPr>
              <w:t>戴空气呼吸器。</w:t>
            </w:r>
          </w:p>
          <w:p>
            <w:pPr>
              <w:pStyle w:val="TableParagraph"/>
              <w:spacing w:line="160" w:lineRule="auto" w:before="3"/>
              <w:ind w:left="114" w:right="4527"/>
              <w:jc w:val="both"/>
              <w:rPr>
                <w:sz w:val="21"/>
              </w:rPr>
            </w:pPr>
            <w:r>
              <w:rPr>
                <w:sz w:val="21"/>
              </w:rPr>
              <w:t>眼睛防护：戴化学安全防护眼镜。身体防护：穿防毒物渗透工作服。手防护：戴乳胶手套。</w:t>
            </w:r>
          </w:p>
          <w:p>
            <w:pPr>
              <w:pStyle w:val="TableParagraph"/>
              <w:spacing w:line="253" w:lineRule="exact"/>
              <w:ind w:left="114"/>
              <w:jc w:val="both"/>
              <w:rPr>
                <w:sz w:val="21"/>
              </w:rPr>
            </w:pPr>
            <w:r>
              <w:rPr>
                <w:sz w:val="21"/>
              </w:rPr>
              <w:t>其它：工作现场严禁吸烟。工作毕，淋浴更衣。特别注意眼和呼吸道的防护。</w:t>
            </w:r>
          </w:p>
        </w:tc>
      </w:tr>
      <w:tr>
        <w:trPr>
          <w:trHeight w:val="2097" w:hRule="atLeast"/>
        </w:trPr>
        <w:tc>
          <w:tcPr>
            <w:tcW w:w="1188"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9"/>
              </w:rPr>
            </w:pPr>
          </w:p>
          <w:p>
            <w:pPr>
              <w:pStyle w:val="TableParagraph"/>
              <w:ind w:left="105" w:right="84"/>
              <w:rPr>
                <w:sz w:val="21"/>
              </w:rPr>
            </w:pPr>
            <w:r>
              <w:rPr>
                <w:sz w:val="21"/>
              </w:rPr>
              <w:t>急救措施</w:t>
            </w:r>
          </w:p>
        </w:tc>
        <w:tc>
          <w:tcPr>
            <w:tcW w:w="7821" w:type="dxa"/>
            <w:gridSpan w:val="3"/>
            <w:tcBorders>
              <w:top w:val="single" w:sz="6" w:space="0" w:color="000000"/>
              <w:left w:val="single" w:sz="6" w:space="0" w:color="000000"/>
            </w:tcBorders>
          </w:tcPr>
          <w:p>
            <w:pPr>
              <w:pStyle w:val="TableParagraph"/>
              <w:spacing w:line="302" w:lineRule="exact"/>
              <w:ind w:left="114"/>
              <w:jc w:val="left"/>
              <w:rPr>
                <w:sz w:val="21"/>
              </w:rPr>
            </w:pPr>
            <w:r>
              <w:rPr>
                <w:sz w:val="21"/>
              </w:rPr>
              <w:t>皮肤接触：立即脱去被污染的衣着，用大量流动清水冲洗，至少 </w:t>
            </w:r>
            <w:r>
              <w:rPr>
                <w:rFonts w:ascii="Times New Roman" w:eastAsia="Times New Roman"/>
                <w:sz w:val="21"/>
              </w:rPr>
              <w:t>15 </w:t>
            </w:r>
            <w:r>
              <w:rPr>
                <w:sz w:val="21"/>
              </w:rPr>
              <w:t>分钟。就医。</w:t>
            </w:r>
          </w:p>
          <w:p>
            <w:pPr>
              <w:pStyle w:val="TableParagraph"/>
              <w:spacing w:line="160" w:lineRule="auto" w:before="30"/>
              <w:ind w:left="114" w:right="-44"/>
              <w:jc w:val="both"/>
              <w:rPr>
                <w:sz w:val="21"/>
              </w:rPr>
            </w:pPr>
            <w:r>
              <w:rPr>
                <w:spacing w:val="-12"/>
                <w:sz w:val="21"/>
              </w:rPr>
              <w:t>眼睛接触：立即提起眼睑，用大量流动清水或生理盐水彻底冲洗至少 </w:t>
            </w:r>
            <w:r>
              <w:rPr>
                <w:rFonts w:ascii="Times New Roman" w:eastAsia="Times New Roman"/>
                <w:sz w:val="21"/>
              </w:rPr>
              <w:t>15 </w:t>
            </w:r>
            <w:r>
              <w:rPr>
                <w:spacing w:val="-12"/>
                <w:sz w:val="21"/>
              </w:rPr>
              <w:t>分钟。就医。吸入：迅速脱离现场至空气新鲜处。保持呼吸道通畅。如呼吸困难，给输氧。如呼</w:t>
            </w:r>
            <w:r>
              <w:rPr>
                <w:spacing w:val="-6"/>
                <w:sz w:val="21"/>
              </w:rPr>
              <w:t>吸停止，立即进行人工呼吸。就医。</w:t>
            </w:r>
          </w:p>
          <w:p>
            <w:pPr>
              <w:pStyle w:val="TableParagraph"/>
              <w:spacing w:line="275" w:lineRule="exact"/>
              <w:ind w:left="114"/>
              <w:jc w:val="both"/>
              <w:rPr>
                <w:sz w:val="21"/>
              </w:rPr>
            </w:pPr>
            <w:r>
              <w:rPr>
                <w:sz w:val="21"/>
              </w:rPr>
              <w:t>食入：误服者用水漱口，给饮牛奶或蛋清。就医。</w:t>
            </w:r>
          </w:p>
          <w:p>
            <w:pPr>
              <w:pStyle w:val="TableParagraph"/>
              <w:spacing w:line="300" w:lineRule="exact"/>
              <w:ind w:left="114"/>
              <w:jc w:val="both"/>
              <w:rPr>
                <w:sz w:val="21"/>
              </w:rPr>
            </w:pPr>
            <w:r>
              <w:rPr>
                <w:sz w:val="21"/>
              </w:rPr>
              <w:t>灭火方法：灭火剂：二氧化碳、干粉、砂土。消防人员必须佩戴过滤式防毒面具</w:t>
            </w:r>
            <w:r>
              <w:rPr>
                <w:rFonts w:ascii="Times New Roman" w:eastAsia="Times New Roman"/>
                <w:sz w:val="21"/>
              </w:rPr>
              <w:t>(</w:t>
            </w:r>
            <w:r>
              <w:rPr>
                <w:sz w:val="21"/>
              </w:rPr>
              <w:t>全</w:t>
            </w:r>
          </w:p>
          <w:p>
            <w:pPr>
              <w:pStyle w:val="TableParagraph"/>
              <w:spacing w:line="275" w:lineRule="exact"/>
              <w:ind w:left="114"/>
              <w:jc w:val="both"/>
              <w:rPr>
                <w:sz w:val="21"/>
              </w:rPr>
            </w:pPr>
            <w:r>
              <w:rPr>
                <w:sz w:val="21"/>
              </w:rPr>
              <w:t>面罩</w:t>
            </w:r>
            <w:r>
              <w:rPr>
                <w:rFonts w:ascii="Times New Roman" w:eastAsia="Times New Roman"/>
                <w:sz w:val="21"/>
              </w:rPr>
              <w:t>)</w:t>
            </w:r>
            <w:r>
              <w:rPr>
                <w:sz w:val="21"/>
              </w:rPr>
              <w:t>或隔离式呼吸器、穿全身防火防毒服，在上风处灭火。</w:t>
            </w:r>
          </w:p>
        </w:tc>
      </w:tr>
    </w:tbl>
    <w:p>
      <w:pPr>
        <w:tabs>
          <w:tab w:pos="4084" w:val="left" w:leader="none"/>
        </w:tabs>
        <w:spacing w:before="80"/>
        <w:ind w:left="3069" w:right="0" w:firstLine="0"/>
        <w:jc w:val="left"/>
        <w:rPr>
          <w:sz w:val="21"/>
        </w:rPr>
      </w:pPr>
      <w:r>
        <w:rPr>
          <w:sz w:val="21"/>
        </w:rPr>
        <w:t>表</w:t>
      </w:r>
      <w:r>
        <w:rPr>
          <w:spacing w:val="5"/>
          <w:sz w:val="21"/>
        </w:rPr>
        <w:t> </w:t>
      </w:r>
      <w:r>
        <w:rPr>
          <w:rFonts w:ascii="Times New Roman" w:eastAsia="Times New Roman"/>
          <w:sz w:val="21"/>
        </w:rPr>
        <w:t>7.1-42</w:t>
        <w:tab/>
      </w:r>
      <w:r>
        <w:rPr>
          <w:sz w:val="21"/>
        </w:rPr>
        <w:t>正</w:t>
      </w:r>
      <w:r>
        <w:rPr>
          <w:spacing w:val="-3"/>
          <w:sz w:val="21"/>
        </w:rPr>
        <w:t>丁</w:t>
      </w:r>
      <w:r>
        <w:rPr>
          <w:sz w:val="21"/>
        </w:rPr>
        <w:t>醇</w:t>
      </w:r>
      <w:r>
        <w:rPr>
          <w:spacing w:val="-3"/>
          <w:sz w:val="21"/>
        </w:rPr>
        <w:t>危</w:t>
      </w:r>
      <w:r>
        <w:rPr>
          <w:sz w:val="21"/>
        </w:rPr>
        <w:t>险</w:t>
      </w:r>
      <w:r>
        <w:rPr>
          <w:spacing w:val="-3"/>
          <w:sz w:val="21"/>
        </w:rPr>
        <w:t>特</w:t>
      </w:r>
      <w:r>
        <w:rPr>
          <w:sz w:val="21"/>
        </w:rPr>
        <w:t>性及</w:t>
      </w:r>
      <w:r>
        <w:rPr>
          <w:spacing w:val="-3"/>
          <w:sz w:val="21"/>
        </w:rPr>
        <w:t>处</w:t>
      </w:r>
      <w:r>
        <w:rPr>
          <w:sz w:val="21"/>
        </w:rPr>
        <w:t>理</w:t>
      </w:r>
      <w:r>
        <w:rPr>
          <w:spacing w:val="-3"/>
          <w:sz w:val="21"/>
        </w:rPr>
        <w:t>措</w:t>
      </w:r>
      <w:r>
        <w:rPr>
          <w:sz w:val="21"/>
        </w:rPr>
        <w:t>施表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7"/>
        <w:gridCol w:w="1203"/>
        <w:gridCol w:w="1670"/>
        <w:gridCol w:w="1838"/>
        <w:gridCol w:w="1135"/>
        <w:gridCol w:w="1802"/>
      </w:tblGrid>
      <w:tr>
        <w:trPr>
          <w:trHeight w:val="625" w:hRule="atLeast"/>
        </w:trPr>
        <w:tc>
          <w:tcPr>
            <w:tcW w:w="1037" w:type="dxa"/>
            <w:tcBorders>
              <w:bottom w:val="single" w:sz="6" w:space="0" w:color="000000"/>
              <w:right w:val="single" w:sz="6" w:space="0" w:color="000000"/>
            </w:tcBorders>
          </w:tcPr>
          <w:p>
            <w:pPr>
              <w:pStyle w:val="TableParagraph"/>
              <w:spacing w:before="80"/>
              <w:ind w:left="134" w:right="113"/>
              <w:rPr>
                <w:sz w:val="21"/>
              </w:rPr>
            </w:pPr>
            <w:r>
              <w:rPr>
                <w:sz w:val="21"/>
              </w:rPr>
              <w:t>品名</w:t>
            </w:r>
          </w:p>
        </w:tc>
        <w:tc>
          <w:tcPr>
            <w:tcW w:w="1203" w:type="dxa"/>
            <w:tcBorders>
              <w:left w:val="single" w:sz="6" w:space="0" w:color="000000"/>
              <w:bottom w:val="single" w:sz="6" w:space="0" w:color="000000"/>
              <w:right w:val="single" w:sz="6" w:space="0" w:color="000000"/>
            </w:tcBorders>
          </w:tcPr>
          <w:p>
            <w:pPr>
              <w:pStyle w:val="TableParagraph"/>
              <w:spacing w:before="80"/>
              <w:ind w:left="292"/>
              <w:jc w:val="left"/>
              <w:rPr>
                <w:sz w:val="21"/>
              </w:rPr>
            </w:pPr>
            <w:r>
              <w:rPr>
                <w:sz w:val="21"/>
              </w:rPr>
              <w:t>正丁醇</w:t>
            </w:r>
          </w:p>
        </w:tc>
        <w:tc>
          <w:tcPr>
            <w:tcW w:w="1670" w:type="dxa"/>
            <w:tcBorders>
              <w:left w:val="single" w:sz="6" w:space="0" w:color="000000"/>
              <w:bottom w:val="single" w:sz="6" w:space="0" w:color="000000"/>
              <w:right w:val="single" w:sz="6" w:space="0" w:color="000000"/>
            </w:tcBorders>
          </w:tcPr>
          <w:p>
            <w:pPr>
              <w:pStyle w:val="TableParagraph"/>
              <w:spacing w:before="80"/>
              <w:ind w:left="611" w:right="583"/>
              <w:rPr>
                <w:sz w:val="21"/>
              </w:rPr>
            </w:pPr>
            <w:r>
              <w:rPr>
                <w:sz w:val="21"/>
              </w:rPr>
              <w:t>别名</w:t>
            </w:r>
          </w:p>
        </w:tc>
        <w:tc>
          <w:tcPr>
            <w:tcW w:w="1838" w:type="dxa"/>
            <w:tcBorders>
              <w:left w:val="single" w:sz="6" w:space="0" w:color="000000"/>
              <w:bottom w:val="single" w:sz="6" w:space="0" w:color="000000"/>
              <w:right w:val="single" w:sz="6" w:space="0" w:color="000000"/>
            </w:tcBorders>
          </w:tcPr>
          <w:p>
            <w:pPr>
              <w:pStyle w:val="TableParagraph"/>
              <w:spacing w:before="80"/>
              <w:ind w:left="699" w:right="664"/>
              <w:rPr>
                <w:sz w:val="21"/>
              </w:rPr>
            </w:pPr>
            <w:r>
              <w:rPr>
                <w:sz w:val="21"/>
              </w:rPr>
              <w:t>丁醇</w:t>
            </w:r>
          </w:p>
        </w:tc>
        <w:tc>
          <w:tcPr>
            <w:tcW w:w="1135" w:type="dxa"/>
            <w:tcBorders>
              <w:left w:val="single" w:sz="6" w:space="0" w:color="000000"/>
              <w:bottom w:val="single" w:sz="6" w:space="0" w:color="000000"/>
              <w:right w:val="single" w:sz="6" w:space="0" w:color="000000"/>
            </w:tcBorders>
          </w:tcPr>
          <w:p>
            <w:pPr>
              <w:pStyle w:val="TableParagraph"/>
              <w:spacing w:before="80"/>
              <w:ind w:left="259"/>
              <w:jc w:val="left"/>
              <w:rPr>
                <w:sz w:val="21"/>
              </w:rPr>
            </w:pPr>
            <w:r>
              <w:rPr>
                <w:sz w:val="21"/>
              </w:rPr>
              <w:t>英文名</w:t>
            </w:r>
          </w:p>
        </w:tc>
        <w:tc>
          <w:tcPr>
            <w:tcW w:w="1802" w:type="dxa"/>
            <w:tcBorders>
              <w:left w:val="single" w:sz="6" w:space="0" w:color="000000"/>
              <w:bottom w:val="single" w:sz="6" w:space="0" w:color="000000"/>
            </w:tcBorders>
          </w:tcPr>
          <w:p>
            <w:pPr>
              <w:pStyle w:val="TableParagraph"/>
              <w:spacing w:line="359" w:lineRule="exact"/>
              <w:ind w:left="231" w:right="196"/>
              <w:rPr>
                <w:sz w:val="21"/>
              </w:rPr>
            </w:pPr>
            <w:r>
              <w:rPr>
                <w:rFonts w:ascii="Times New Roman" w:eastAsia="Times New Roman"/>
                <w:sz w:val="21"/>
              </w:rPr>
              <w:t>butyl alcohol</w:t>
            </w:r>
            <w:r>
              <w:rPr>
                <w:sz w:val="21"/>
              </w:rPr>
              <w:t>；</w:t>
            </w:r>
          </w:p>
          <w:p>
            <w:pPr>
              <w:pStyle w:val="TableParagraph"/>
              <w:spacing w:line="231" w:lineRule="exact"/>
              <w:ind w:left="231" w:right="195"/>
              <w:rPr>
                <w:rFonts w:ascii="Times New Roman"/>
                <w:sz w:val="21"/>
              </w:rPr>
            </w:pPr>
            <w:r>
              <w:rPr>
                <w:rFonts w:ascii="Times New Roman"/>
                <w:sz w:val="21"/>
              </w:rPr>
              <w:t>1-butanol</w:t>
            </w:r>
          </w:p>
        </w:tc>
      </w:tr>
      <w:tr>
        <w:trPr>
          <w:trHeight w:val="313" w:hRule="atLeast"/>
        </w:trPr>
        <w:tc>
          <w:tcPr>
            <w:tcW w:w="1037" w:type="dxa"/>
            <w:tcBorders>
              <w:top w:val="single" w:sz="6" w:space="0" w:color="000000"/>
              <w:right w:val="single" w:sz="6" w:space="0" w:color="000000"/>
            </w:tcBorders>
          </w:tcPr>
          <w:p>
            <w:pPr>
              <w:pStyle w:val="TableParagraph"/>
              <w:spacing w:line="294" w:lineRule="exact"/>
              <w:ind w:left="136" w:right="113"/>
              <w:rPr>
                <w:sz w:val="21"/>
              </w:rPr>
            </w:pPr>
            <w:r>
              <w:rPr>
                <w:sz w:val="21"/>
              </w:rPr>
              <w:t>稳 定 性</w:t>
            </w:r>
          </w:p>
        </w:tc>
        <w:tc>
          <w:tcPr>
            <w:tcW w:w="7648" w:type="dxa"/>
            <w:gridSpan w:val="5"/>
            <w:tcBorders>
              <w:top w:val="single" w:sz="6" w:space="0" w:color="000000"/>
              <w:left w:val="single" w:sz="6" w:space="0" w:color="000000"/>
            </w:tcBorders>
          </w:tcPr>
          <w:p>
            <w:pPr>
              <w:pStyle w:val="TableParagraph"/>
              <w:spacing w:line="294" w:lineRule="exact"/>
              <w:ind w:left="114" w:right="-44"/>
              <w:jc w:val="left"/>
              <w:rPr>
                <w:sz w:val="21"/>
              </w:rPr>
            </w:pPr>
            <w:r>
              <w:rPr>
                <w:spacing w:val="-6"/>
                <w:sz w:val="21"/>
              </w:rPr>
              <w:t>稳定，易燃液体。 危险特性：易燃，其蒸气与空气可形成爆炸性混合物。遇明火、</w:t>
            </w:r>
          </w:p>
        </w:tc>
      </w:tr>
    </w:tbl>
    <w:p>
      <w:pPr>
        <w:spacing w:after="0" w:line="294"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7"/>
        <w:gridCol w:w="1026"/>
        <w:gridCol w:w="6626"/>
      </w:tblGrid>
      <w:tr>
        <w:trPr>
          <w:trHeight w:val="623" w:hRule="atLeast"/>
        </w:trPr>
        <w:tc>
          <w:tcPr>
            <w:tcW w:w="1037" w:type="dxa"/>
            <w:tcBorders>
              <w:bottom w:val="single" w:sz="6" w:space="0" w:color="000000"/>
              <w:right w:val="single" w:sz="6" w:space="0" w:color="000000"/>
            </w:tcBorders>
          </w:tcPr>
          <w:p>
            <w:pPr>
              <w:pStyle w:val="TableParagraph"/>
              <w:spacing w:line="302" w:lineRule="exact"/>
              <w:ind w:left="107"/>
              <w:jc w:val="left"/>
              <w:rPr>
                <w:sz w:val="21"/>
              </w:rPr>
            </w:pPr>
            <w:r>
              <w:rPr>
                <w:sz w:val="21"/>
              </w:rPr>
              <w:t>和 危 险</w:t>
            </w:r>
          </w:p>
          <w:p>
            <w:pPr>
              <w:pStyle w:val="TableParagraph"/>
              <w:spacing w:line="302" w:lineRule="exact"/>
              <w:ind w:left="107"/>
              <w:jc w:val="left"/>
              <w:rPr>
                <w:sz w:val="21"/>
              </w:rPr>
            </w:pPr>
            <w:r>
              <w:rPr>
                <w:w w:val="100"/>
                <w:sz w:val="21"/>
              </w:rPr>
              <w:t>性</w:t>
            </w:r>
          </w:p>
        </w:tc>
        <w:tc>
          <w:tcPr>
            <w:tcW w:w="7652" w:type="dxa"/>
            <w:gridSpan w:val="2"/>
            <w:tcBorders>
              <w:left w:val="single" w:sz="6" w:space="0" w:color="000000"/>
              <w:bottom w:val="single" w:sz="6" w:space="0" w:color="000000"/>
            </w:tcBorders>
          </w:tcPr>
          <w:p>
            <w:pPr>
              <w:pStyle w:val="TableParagraph"/>
              <w:spacing w:line="302" w:lineRule="exact"/>
              <w:ind w:left="114"/>
              <w:jc w:val="left"/>
              <w:rPr>
                <w:sz w:val="21"/>
              </w:rPr>
            </w:pPr>
            <w:r>
              <w:rPr>
                <w:sz w:val="21"/>
              </w:rPr>
              <w:t>高热能引起燃烧爆炸。与氧化剂接触会猛烈反应。在火场中，受热的容器有爆炸</w:t>
            </w:r>
          </w:p>
          <w:p>
            <w:pPr>
              <w:pStyle w:val="TableParagraph"/>
              <w:spacing w:line="302" w:lineRule="exact"/>
              <w:ind w:left="114"/>
              <w:jc w:val="left"/>
              <w:rPr>
                <w:sz w:val="21"/>
              </w:rPr>
            </w:pPr>
            <w:r>
              <w:rPr>
                <w:sz w:val="21"/>
              </w:rPr>
              <w:t>危险。</w:t>
            </w:r>
          </w:p>
        </w:tc>
      </w:tr>
      <w:tr>
        <w:trPr>
          <w:trHeight w:val="937" w:hRule="atLeast"/>
        </w:trPr>
        <w:tc>
          <w:tcPr>
            <w:tcW w:w="1037" w:type="dxa"/>
            <w:tcBorders>
              <w:top w:val="single" w:sz="6" w:space="0" w:color="000000"/>
              <w:bottom w:val="single" w:sz="6" w:space="0" w:color="000000"/>
              <w:right w:val="single" w:sz="6" w:space="0" w:color="000000"/>
            </w:tcBorders>
          </w:tcPr>
          <w:p>
            <w:pPr>
              <w:pStyle w:val="TableParagraph"/>
              <w:spacing w:line="168" w:lineRule="auto" w:before="173"/>
              <w:ind w:left="107" w:right="82"/>
              <w:jc w:val="left"/>
              <w:rPr>
                <w:sz w:val="21"/>
              </w:rPr>
            </w:pPr>
            <w:r>
              <w:rPr>
                <w:sz w:val="21"/>
              </w:rPr>
              <w:t>健 康 危害</w:t>
            </w:r>
          </w:p>
        </w:tc>
        <w:tc>
          <w:tcPr>
            <w:tcW w:w="7652" w:type="dxa"/>
            <w:gridSpan w:val="2"/>
            <w:tcBorders>
              <w:top w:val="single" w:sz="6" w:space="0" w:color="000000"/>
              <w:left w:val="single" w:sz="6" w:space="0" w:color="000000"/>
              <w:bottom w:val="single" w:sz="6" w:space="0" w:color="000000"/>
            </w:tcBorders>
          </w:tcPr>
          <w:p>
            <w:pPr>
              <w:pStyle w:val="TableParagraph"/>
              <w:spacing w:line="303" w:lineRule="exact"/>
              <w:ind w:left="114"/>
              <w:jc w:val="left"/>
              <w:rPr>
                <w:sz w:val="21"/>
              </w:rPr>
            </w:pPr>
            <w:r>
              <w:rPr>
                <w:sz w:val="21"/>
              </w:rPr>
              <w:t>侵入途径：吸入、食入、经皮吸收。</w:t>
            </w:r>
          </w:p>
          <w:p>
            <w:pPr>
              <w:pStyle w:val="TableParagraph"/>
              <w:spacing w:line="312" w:lineRule="exact"/>
              <w:ind w:left="167"/>
              <w:jc w:val="left"/>
              <w:rPr>
                <w:sz w:val="21"/>
              </w:rPr>
            </w:pPr>
            <w:r>
              <w:rPr>
                <w:sz w:val="21"/>
              </w:rPr>
              <w:t>健康危害：本品具有刺激和麻醉作用。主要症状为眼、鼻、喉部刺激，在角膜浅</w:t>
            </w:r>
          </w:p>
          <w:p>
            <w:pPr>
              <w:pStyle w:val="TableParagraph"/>
              <w:spacing w:line="303" w:lineRule="exact"/>
              <w:ind w:left="114"/>
              <w:jc w:val="left"/>
              <w:rPr>
                <w:sz w:val="21"/>
              </w:rPr>
            </w:pPr>
            <w:r>
              <w:rPr>
                <w:sz w:val="21"/>
              </w:rPr>
              <w:t>层形成半透明的空泡，头痛，头晕和嗜睡，手部可以生接触性皮炎。</w:t>
            </w:r>
          </w:p>
        </w:tc>
      </w:tr>
      <w:tr>
        <w:trPr>
          <w:trHeight w:val="935" w:hRule="atLeast"/>
        </w:trPr>
        <w:tc>
          <w:tcPr>
            <w:tcW w:w="1037" w:type="dxa"/>
            <w:tcBorders>
              <w:top w:val="single" w:sz="6" w:space="0" w:color="000000"/>
              <w:bottom w:val="single" w:sz="6" w:space="0" w:color="000000"/>
              <w:right w:val="single" w:sz="6" w:space="0" w:color="000000"/>
            </w:tcBorders>
          </w:tcPr>
          <w:p>
            <w:pPr>
              <w:pStyle w:val="TableParagraph"/>
              <w:spacing w:line="168" w:lineRule="auto" w:before="171"/>
              <w:ind w:left="359" w:right="177" w:hanging="159"/>
              <w:jc w:val="left"/>
              <w:rPr>
                <w:sz w:val="21"/>
              </w:rPr>
            </w:pPr>
            <w:r>
              <w:rPr>
                <w:sz w:val="21"/>
              </w:rPr>
              <w:t>毒理学资料</w:t>
            </w:r>
          </w:p>
        </w:tc>
        <w:tc>
          <w:tcPr>
            <w:tcW w:w="7652" w:type="dxa"/>
            <w:gridSpan w:val="2"/>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sz w:val="21"/>
              </w:rPr>
              <w:t>毒性：属低毒类。</w:t>
            </w:r>
          </w:p>
          <w:p>
            <w:pPr>
              <w:pStyle w:val="TableParagraph"/>
              <w:spacing w:line="312" w:lineRule="exact"/>
              <w:ind w:left="114"/>
              <w:jc w:val="left"/>
              <w:rPr>
                <w:rFonts w:ascii="Times New Roman" w:eastAsia="Times New Roman"/>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4360mg/kg(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3400mg/kg(</w:t>
            </w:r>
            <w:r>
              <w:rPr>
                <w:position w:val="2"/>
                <w:sz w:val="21"/>
              </w:rPr>
              <w:t>兔经皮</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24240mg/m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4</w:t>
            </w:r>
          </w:p>
          <w:p>
            <w:pPr>
              <w:pStyle w:val="TableParagraph"/>
              <w:spacing w:line="304" w:lineRule="exact"/>
              <w:ind w:left="114"/>
              <w:jc w:val="left"/>
              <w:rPr>
                <w:rFonts w:ascii="Times New Roman" w:eastAsia="Times New Roman"/>
                <w:sz w:val="21"/>
              </w:rPr>
            </w:pPr>
            <w:r>
              <w:rPr>
                <w:sz w:val="21"/>
              </w:rPr>
              <w:t>小时</w:t>
            </w:r>
            <w:r>
              <w:rPr>
                <w:rFonts w:ascii="Times New Roman" w:eastAsia="Times New Roman"/>
                <w:sz w:val="21"/>
              </w:rPr>
              <w:t>(</w:t>
            </w:r>
            <w:r>
              <w:rPr>
                <w:sz w:val="21"/>
              </w:rPr>
              <w:t>大鼠吸入</w:t>
            </w:r>
            <w:r>
              <w:rPr>
                <w:rFonts w:ascii="Times New Roman" w:eastAsia="Times New Roman"/>
                <w:sz w:val="21"/>
              </w:rPr>
              <w:t>)</w:t>
            </w:r>
          </w:p>
        </w:tc>
      </w:tr>
      <w:tr>
        <w:trPr>
          <w:trHeight w:val="623" w:hRule="atLeast"/>
        </w:trPr>
        <w:tc>
          <w:tcPr>
            <w:tcW w:w="1037"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21"/>
              <w:jc w:val="left"/>
              <w:rPr>
                <w:sz w:val="18"/>
              </w:rPr>
            </w:pPr>
          </w:p>
          <w:p>
            <w:pPr>
              <w:pStyle w:val="TableParagraph"/>
              <w:spacing w:line="168" w:lineRule="auto"/>
              <w:ind w:left="306" w:right="283"/>
              <w:jc w:val="both"/>
              <w:rPr>
                <w:sz w:val="21"/>
              </w:rPr>
            </w:pPr>
            <w:r>
              <w:rPr>
                <w:sz w:val="21"/>
              </w:rPr>
              <w:t>安全防护措施</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14" w:right="-15"/>
              <w:jc w:val="left"/>
              <w:rPr>
                <w:sz w:val="21"/>
              </w:rPr>
            </w:pPr>
            <w:r>
              <w:rPr>
                <w:spacing w:val="16"/>
                <w:sz w:val="21"/>
              </w:rPr>
              <w:t>呼 吸 防 </w:t>
            </w:r>
            <w:r>
              <w:rPr>
                <w:spacing w:val="-6"/>
                <w:sz w:val="21"/>
              </w:rPr>
              <w:t> </w:t>
            </w:r>
          </w:p>
          <w:p>
            <w:pPr>
              <w:pStyle w:val="TableParagraph"/>
              <w:spacing w:line="303" w:lineRule="exact"/>
              <w:ind w:left="114"/>
              <w:jc w:val="left"/>
              <w:rPr>
                <w:sz w:val="21"/>
              </w:rPr>
            </w:pPr>
            <w:r>
              <w:rPr>
                <w:sz w:val="21"/>
              </w:rPr>
              <w:t>护系统</w:t>
            </w:r>
          </w:p>
        </w:tc>
        <w:tc>
          <w:tcPr>
            <w:tcW w:w="6626" w:type="dxa"/>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sz w:val="21"/>
              </w:rPr>
              <w:t>一般不需要特殊防护，高浓度环境中可佩戴自吸过滤式防毒面具</w:t>
            </w:r>
            <w:r>
              <w:rPr>
                <w:rFonts w:ascii="Times New Roman" w:eastAsia="Times New Roman"/>
                <w:sz w:val="21"/>
              </w:rPr>
              <w:t>(</w:t>
            </w:r>
            <w:r>
              <w:rPr>
                <w:sz w:val="21"/>
              </w:rPr>
              <w:t>半面</w:t>
            </w:r>
          </w:p>
          <w:p>
            <w:pPr>
              <w:pStyle w:val="TableParagraph"/>
              <w:spacing w:line="303" w:lineRule="exact"/>
              <w:ind w:left="114"/>
              <w:jc w:val="left"/>
              <w:rPr>
                <w:sz w:val="21"/>
              </w:rPr>
            </w:pPr>
            <w:r>
              <w:rPr>
                <w:sz w:val="21"/>
              </w:rPr>
              <w:t>罩</w:t>
            </w:r>
            <w:r>
              <w:rPr>
                <w:rFonts w:ascii="Times New Roman" w:eastAsia="Times New Roman"/>
                <w:sz w:val="21"/>
              </w:rPr>
              <w:t>)</w:t>
            </w:r>
            <w:r>
              <w:rPr>
                <w:sz w:val="21"/>
              </w:rPr>
              <w:t>。</w:t>
            </w:r>
          </w:p>
        </w:tc>
      </w:tr>
      <w:tr>
        <w:trPr>
          <w:trHeight w:val="624" w:hRule="atLeast"/>
        </w:trPr>
        <w:tc>
          <w:tcPr>
            <w:tcW w:w="1037" w:type="dxa"/>
            <w:vMerge/>
            <w:tcBorders>
              <w:top w:val="nil"/>
              <w:bottom w:val="single" w:sz="6" w:space="0" w:color="000000"/>
              <w:right w:val="single" w:sz="6" w:space="0" w:color="000000"/>
            </w:tcBorders>
          </w:tcPr>
          <w:p>
            <w:pPr>
              <w:rPr>
                <w:sz w:val="2"/>
                <w:szCs w:val="2"/>
              </w:rPr>
            </w:pP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14" w:right="-15"/>
              <w:jc w:val="left"/>
              <w:rPr>
                <w:sz w:val="21"/>
              </w:rPr>
            </w:pPr>
            <w:r>
              <w:rPr>
                <w:spacing w:val="16"/>
                <w:sz w:val="21"/>
              </w:rPr>
              <w:t>眼 睛 防 </w:t>
            </w:r>
            <w:r>
              <w:rPr>
                <w:spacing w:val="-6"/>
                <w:sz w:val="21"/>
              </w:rPr>
              <w:t> </w:t>
            </w:r>
          </w:p>
          <w:p>
            <w:pPr>
              <w:pStyle w:val="TableParagraph"/>
              <w:spacing w:line="303" w:lineRule="exact"/>
              <w:ind w:left="114"/>
              <w:jc w:val="left"/>
              <w:rPr>
                <w:sz w:val="21"/>
              </w:rPr>
            </w:pPr>
            <w:r>
              <w:rPr>
                <w:w w:val="100"/>
                <w:sz w:val="21"/>
              </w:rPr>
              <w:t>护</w:t>
            </w:r>
          </w:p>
        </w:tc>
        <w:tc>
          <w:tcPr>
            <w:tcW w:w="6626" w:type="dxa"/>
            <w:tcBorders>
              <w:top w:val="single" w:sz="6" w:space="0" w:color="000000"/>
              <w:left w:val="single" w:sz="6" w:space="0" w:color="000000"/>
              <w:bottom w:val="single" w:sz="6" w:space="0" w:color="000000"/>
            </w:tcBorders>
          </w:tcPr>
          <w:p>
            <w:pPr>
              <w:pStyle w:val="TableParagraph"/>
              <w:spacing w:line="368" w:lineRule="exact"/>
              <w:ind w:left="114"/>
              <w:jc w:val="left"/>
              <w:rPr>
                <w:sz w:val="21"/>
              </w:rPr>
            </w:pPr>
            <w:r>
              <w:rPr>
                <w:sz w:val="21"/>
              </w:rPr>
              <w:t>戴安全防护眼镜。</w:t>
            </w:r>
          </w:p>
        </w:tc>
      </w:tr>
      <w:tr>
        <w:trPr>
          <w:trHeight w:val="625" w:hRule="atLeast"/>
        </w:trPr>
        <w:tc>
          <w:tcPr>
            <w:tcW w:w="1037" w:type="dxa"/>
            <w:vMerge/>
            <w:tcBorders>
              <w:top w:val="nil"/>
              <w:bottom w:val="single" w:sz="6" w:space="0" w:color="000000"/>
              <w:right w:val="single" w:sz="6" w:space="0" w:color="000000"/>
            </w:tcBorders>
          </w:tcPr>
          <w:p>
            <w:pPr>
              <w:rPr>
                <w:sz w:val="2"/>
                <w:szCs w:val="2"/>
              </w:rPr>
            </w:pP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14" w:right="-15"/>
              <w:jc w:val="left"/>
              <w:rPr>
                <w:sz w:val="21"/>
              </w:rPr>
            </w:pPr>
            <w:r>
              <w:rPr>
                <w:spacing w:val="16"/>
                <w:sz w:val="21"/>
              </w:rPr>
              <w:t>身 体 防 </w:t>
            </w:r>
            <w:r>
              <w:rPr>
                <w:spacing w:val="-6"/>
                <w:sz w:val="21"/>
              </w:rPr>
              <w:t> </w:t>
            </w:r>
          </w:p>
          <w:p>
            <w:pPr>
              <w:pStyle w:val="TableParagraph"/>
              <w:spacing w:line="303" w:lineRule="exact"/>
              <w:ind w:left="114"/>
              <w:jc w:val="left"/>
              <w:rPr>
                <w:sz w:val="21"/>
              </w:rPr>
            </w:pPr>
            <w:r>
              <w:rPr>
                <w:w w:val="100"/>
                <w:sz w:val="21"/>
              </w:rPr>
              <w:t>护</w:t>
            </w:r>
          </w:p>
        </w:tc>
        <w:tc>
          <w:tcPr>
            <w:tcW w:w="6626" w:type="dxa"/>
            <w:tcBorders>
              <w:top w:val="single" w:sz="6" w:space="0" w:color="000000"/>
              <w:left w:val="single" w:sz="6" w:space="0" w:color="000000"/>
              <w:bottom w:val="single" w:sz="6" w:space="0" w:color="000000"/>
            </w:tcBorders>
          </w:tcPr>
          <w:p>
            <w:pPr>
              <w:pStyle w:val="TableParagraph"/>
              <w:spacing w:line="369" w:lineRule="exact"/>
              <w:ind w:left="114"/>
              <w:jc w:val="left"/>
              <w:rPr>
                <w:sz w:val="21"/>
              </w:rPr>
            </w:pPr>
            <w:r>
              <w:rPr>
                <w:sz w:val="21"/>
              </w:rPr>
              <w:t>穿防静电工作服。</w:t>
            </w:r>
          </w:p>
        </w:tc>
      </w:tr>
      <w:tr>
        <w:trPr>
          <w:trHeight w:val="311" w:hRule="atLeast"/>
        </w:trPr>
        <w:tc>
          <w:tcPr>
            <w:tcW w:w="1037" w:type="dxa"/>
            <w:vMerge/>
            <w:tcBorders>
              <w:top w:val="nil"/>
              <w:bottom w:val="single" w:sz="6" w:space="0" w:color="000000"/>
              <w:right w:val="single" w:sz="6" w:space="0" w:color="000000"/>
            </w:tcBorders>
          </w:tcPr>
          <w:p>
            <w:pPr>
              <w:rPr>
                <w:sz w:val="2"/>
                <w:szCs w:val="2"/>
              </w:rPr>
            </w:pP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4"/>
              <w:jc w:val="left"/>
              <w:rPr>
                <w:sz w:val="21"/>
              </w:rPr>
            </w:pPr>
            <w:r>
              <w:rPr>
                <w:sz w:val="21"/>
              </w:rPr>
              <w:t>手防护</w:t>
            </w:r>
          </w:p>
        </w:tc>
        <w:tc>
          <w:tcPr>
            <w:tcW w:w="6626" w:type="dxa"/>
            <w:tcBorders>
              <w:top w:val="single" w:sz="6" w:space="0" w:color="000000"/>
              <w:left w:val="single" w:sz="6" w:space="0" w:color="000000"/>
              <w:bottom w:val="single" w:sz="6" w:space="0" w:color="000000"/>
            </w:tcBorders>
          </w:tcPr>
          <w:p>
            <w:pPr>
              <w:pStyle w:val="TableParagraph"/>
              <w:spacing w:line="291" w:lineRule="exact"/>
              <w:ind w:left="114"/>
              <w:jc w:val="left"/>
              <w:rPr>
                <w:sz w:val="21"/>
              </w:rPr>
            </w:pPr>
            <w:r>
              <w:rPr>
                <w:sz w:val="21"/>
              </w:rPr>
              <w:t>戴一般作业防护手套。</w:t>
            </w:r>
          </w:p>
        </w:tc>
      </w:tr>
      <w:tr>
        <w:trPr>
          <w:trHeight w:val="311" w:hRule="atLeast"/>
        </w:trPr>
        <w:tc>
          <w:tcPr>
            <w:tcW w:w="1037" w:type="dxa"/>
            <w:vMerge/>
            <w:tcBorders>
              <w:top w:val="nil"/>
              <w:bottom w:val="single" w:sz="6" w:space="0" w:color="000000"/>
              <w:right w:val="single" w:sz="6" w:space="0" w:color="000000"/>
            </w:tcBorders>
          </w:tcPr>
          <w:p>
            <w:pPr>
              <w:rPr>
                <w:sz w:val="2"/>
                <w:szCs w:val="2"/>
              </w:rPr>
            </w:pP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14"/>
              <w:jc w:val="left"/>
              <w:rPr>
                <w:sz w:val="21"/>
              </w:rPr>
            </w:pPr>
            <w:r>
              <w:rPr>
                <w:sz w:val="21"/>
              </w:rPr>
              <w:t>其他</w:t>
            </w:r>
          </w:p>
        </w:tc>
        <w:tc>
          <w:tcPr>
            <w:tcW w:w="6626" w:type="dxa"/>
            <w:tcBorders>
              <w:top w:val="single" w:sz="6" w:space="0" w:color="000000"/>
              <w:left w:val="single" w:sz="6" w:space="0" w:color="000000"/>
              <w:bottom w:val="single" w:sz="6" w:space="0" w:color="000000"/>
            </w:tcBorders>
          </w:tcPr>
          <w:p>
            <w:pPr>
              <w:pStyle w:val="TableParagraph"/>
              <w:spacing w:line="291" w:lineRule="exact"/>
              <w:ind w:left="114"/>
              <w:jc w:val="left"/>
              <w:rPr>
                <w:sz w:val="21"/>
              </w:rPr>
            </w:pPr>
            <w:r>
              <w:rPr>
                <w:sz w:val="21"/>
              </w:rPr>
              <w:t>工作现场严禁吸烟。保持良好的卫生习惯。</w:t>
            </w:r>
          </w:p>
        </w:tc>
      </w:tr>
      <w:tr>
        <w:trPr>
          <w:trHeight w:val="2807" w:hRule="atLeast"/>
        </w:trPr>
        <w:tc>
          <w:tcPr>
            <w:tcW w:w="1037"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7"/>
              <w:jc w:val="left"/>
              <w:rPr>
                <w:sz w:val="16"/>
              </w:rPr>
            </w:pPr>
          </w:p>
          <w:p>
            <w:pPr>
              <w:pStyle w:val="TableParagraph"/>
              <w:spacing w:line="168" w:lineRule="auto"/>
              <w:ind w:left="306" w:right="283"/>
              <w:jc w:val="left"/>
              <w:rPr>
                <w:sz w:val="21"/>
              </w:rPr>
            </w:pPr>
            <w:r>
              <w:rPr>
                <w:sz w:val="21"/>
              </w:rPr>
              <w:t>应急措施</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4"/>
              <w:jc w:val="left"/>
              <w:rPr>
                <w:sz w:val="12"/>
              </w:rPr>
            </w:pPr>
          </w:p>
          <w:p>
            <w:pPr>
              <w:pStyle w:val="TableParagraph"/>
              <w:spacing w:line="168" w:lineRule="auto"/>
              <w:ind w:left="114" w:right="-15"/>
              <w:jc w:val="left"/>
              <w:rPr>
                <w:sz w:val="21"/>
              </w:rPr>
            </w:pPr>
            <w:r>
              <w:rPr>
                <w:spacing w:val="16"/>
                <w:sz w:val="21"/>
              </w:rPr>
              <w:t>急 救 措施</w:t>
            </w:r>
          </w:p>
        </w:tc>
        <w:tc>
          <w:tcPr>
            <w:tcW w:w="6626" w:type="dxa"/>
            <w:tcBorders>
              <w:top w:val="single" w:sz="6" w:space="0" w:color="000000"/>
              <w:left w:val="single" w:sz="6" w:space="0" w:color="000000"/>
              <w:bottom w:val="single" w:sz="6" w:space="0" w:color="000000"/>
            </w:tcBorders>
          </w:tcPr>
          <w:p>
            <w:pPr>
              <w:pStyle w:val="TableParagraph"/>
              <w:spacing w:line="168" w:lineRule="auto" w:before="15"/>
              <w:ind w:left="114" w:right="-29"/>
              <w:jc w:val="left"/>
              <w:rPr>
                <w:sz w:val="21"/>
              </w:rPr>
            </w:pPr>
            <w:r>
              <w:rPr>
                <w:spacing w:val="-3"/>
                <w:sz w:val="21"/>
              </w:rPr>
              <w:t>皮肤接触：脱去被污染的衣着，用肥皂水和清水彻底冲洗皮肤。就医。眼睛接触：立即提起眼睑，用大量流动清水或生理盐水彻底冲洗至少</w:t>
            </w:r>
          </w:p>
          <w:p>
            <w:pPr>
              <w:pStyle w:val="TableParagraph"/>
              <w:spacing w:line="286" w:lineRule="exact"/>
              <w:ind w:left="114"/>
              <w:jc w:val="left"/>
              <w:rPr>
                <w:sz w:val="21"/>
              </w:rPr>
            </w:pPr>
            <w:r>
              <w:rPr>
                <w:rFonts w:ascii="Times New Roman" w:eastAsia="Times New Roman"/>
                <w:sz w:val="21"/>
              </w:rPr>
              <w:t>15 </w:t>
            </w:r>
            <w:r>
              <w:rPr>
                <w:sz w:val="21"/>
              </w:rPr>
              <w:t>分钟。就医。</w:t>
            </w:r>
          </w:p>
          <w:p>
            <w:pPr>
              <w:pStyle w:val="TableParagraph"/>
              <w:spacing w:line="168" w:lineRule="auto" w:before="26"/>
              <w:ind w:left="114" w:right="76"/>
              <w:jc w:val="left"/>
              <w:rPr>
                <w:sz w:val="21"/>
              </w:rPr>
            </w:pPr>
            <w:r>
              <w:rPr>
                <w:spacing w:val="-10"/>
                <w:sz w:val="21"/>
              </w:rPr>
              <w:t>吸入：迅速脱离现场至空气新鲜处。保持呼吸道通畅。如呼吸困难，给</w:t>
            </w:r>
            <w:r>
              <w:rPr>
                <w:spacing w:val="-5"/>
                <w:sz w:val="21"/>
              </w:rPr>
              <w:t>输氧。如呼吸停止时，立即进行人工呼吸。就医。</w:t>
            </w:r>
          </w:p>
          <w:p>
            <w:pPr>
              <w:pStyle w:val="TableParagraph"/>
              <w:spacing w:line="168" w:lineRule="auto" w:before="1"/>
              <w:ind w:left="114" w:right="73"/>
              <w:jc w:val="both"/>
              <w:rPr>
                <w:sz w:val="21"/>
              </w:rPr>
            </w:pPr>
            <w:r>
              <w:rPr>
                <w:spacing w:val="-13"/>
                <w:sz w:val="21"/>
              </w:rPr>
              <w:t>食入：饮足量温水，催吐。就医。灭火方法：用雾状水保持火场容器冷</w:t>
            </w:r>
            <w:r>
              <w:rPr>
                <w:spacing w:val="-14"/>
                <w:sz w:val="21"/>
              </w:rPr>
              <w:t>却，用水喷射逸出液体，使其稀释成不燃性混合物，并用雾状水保护消</w:t>
            </w:r>
            <w:r>
              <w:rPr>
                <w:spacing w:val="-7"/>
                <w:sz w:val="21"/>
              </w:rPr>
              <w:t>防人员。灭火剂：抗溶性泡沫、干粉、二氧化碳、雾状水、</w:t>
            </w:r>
            <w:r>
              <w:rPr>
                <w:rFonts w:ascii="Times New Roman" w:eastAsia="Times New Roman"/>
                <w:sz w:val="21"/>
              </w:rPr>
              <w:t>1211 </w:t>
            </w:r>
            <w:r>
              <w:rPr>
                <w:sz w:val="21"/>
              </w:rPr>
              <w:t>灭火</w:t>
            </w:r>
          </w:p>
          <w:p>
            <w:pPr>
              <w:pStyle w:val="TableParagraph"/>
              <w:spacing w:line="278" w:lineRule="exact"/>
              <w:ind w:left="114"/>
              <w:jc w:val="both"/>
              <w:rPr>
                <w:sz w:val="21"/>
              </w:rPr>
            </w:pPr>
            <w:r>
              <w:rPr>
                <w:sz w:val="21"/>
              </w:rPr>
              <w:t>剂、砂土。</w:t>
            </w:r>
          </w:p>
        </w:tc>
      </w:tr>
      <w:tr>
        <w:trPr>
          <w:trHeight w:val="1873" w:hRule="atLeast"/>
        </w:trPr>
        <w:tc>
          <w:tcPr>
            <w:tcW w:w="1037" w:type="dxa"/>
            <w:vMerge/>
            <w:tcBorders>
              <w:top w:val="nil"/>
              <w:bottom w:val="single" w:sz="6" w:space="0" w:color="000000"/>
              <w:right w:val="single" w:sz="6" w:space="0" w:color="000000"/>
            </w:tcBorders>
          </w:tcPr>
          <w:p>
            <w:pPr>
              <w:rPr>
                <w:sz w:val="2"/>
                <w:szCs w:val="2"/>
              </w:rPr>
            </w:pPr>
          </w:p>
        </w:tc>
        <w:tc>
          <w:tcPr>
            <w:tcW w:w="102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10"/>
              </w:rPr>
            </w:pPr>
          </w:p>
          <w:p>
            <w:pPr>
              <w:pStyle w:val="TableParagraph"/>
              <w:spacing w:line="168" w:lineRule="auto"/>
              <w:ind w:left="114" w:right="-15"/>
              <w:jc w:val="left"/>
              <w:rPr>
                <w:sz w:val="21"/>
              </w:rPr>
            </w:pPr>
            <w:r>
              <w:rPr>
                <w:spacing w:val="16"/>
                <w:sz w:val="21"/>
              </w:rPr>
              <w:t>泄 漏 措施</w:t>
            </w:r>
          </w:p>
        </w:tc>
        <w:tc>
          <w:tcPr>
            <w:tcW w:w="6626" w:type="dxa"/>
            <w:tcBorders>
              <w:top w:val="single" w:sz="6" w:space="0" w:color="000000"/>
              <w:left w:val="single" w:sz="6" w:space="0" w:color="000000"/>
              <w:bottom w:val="single" w:sz="6" w:space="0" w:color="000000"/>
            </w:tcBorders>
          </w:tcPr>
          <w:p>
            <w:pPr>
              <w:pStyle w:val="TableParagraph"/>
              <w:spacing w:line="168" w:lineRule="auto" w:before="17"/>
              <w:ind w:left="114" w:right="-29"/>
              <w:jc w:val="both"/>
              <w:rPr>
                <w:sz w:val="21"/>
              </w:rPr>
            </w:pPr>
            <w:r>
              <w:rPr>
                <w:spacing w:val="-8"/>
                <w:sz w:val="21"/>
              </w:rPr>
              <w:t>迅速撤离泄漏污染区人员至安全区，并进行隔离，严格限制出入。切断</w:t>
            </w:r>
            <w:r>
              <w:rPr>
                <w:spacing w:val="-11"/>
                <w:sz w:val="21"/>
              </w:rPr>
              <w:t>火源。建议应急处理人员戴自给正压式呼吸器，穿消防防护服。尽可能</w:t>
            </w:r>
            <w:r>
              <w:rPr>
                <w:spacing w:val="-13"/>
                <w:sz w:val="21"/>
              </w:rPr>
              <w:t>切断泄漏源。防止进入下水道、排洪沟等限制性空间。小量泄漏：用活</w:t>
            </w:r>
            <w:r>
              <w:rPr>
                <w:spacing w:val="-12"/>
                <w:sz w:val="21"/>
              </w:rPr>
              <w:t>性炭或其它惰性材料吸收。也可以用大量水冲洗，洗水稀释后放入废水</w:t>
            </w:r>
            <w:r>
              <w:rPr>
                <w:spacing w:val="-6"/>
                <w:sz w:val="21"/>
              </w:rPr>
              <w:t>系统。大量泄漏：构筑围堤或挖坑收容；用泡沫覆盖，降低蒸气灾害。</w:t>
            </w:r>
          </w:p>
          <w:p>
            <w:pPr>
              <w:pStyle w:val="TableParagraph"/>
              <w:spacing w:line="278" w:lineRule="exact"/>
              <w:ind w:left="114"/>
              <w:jc w:val="both"/>
              <w:rPr>
                <w:sz w:val="21"/>
              </w:rPr>
            </w:pPr>
            <w:r>
              <w:rPr>
                <w:sz w:val="21"/>
              </w:rPr>
              <w:t>用防爆泵转至槽车或专用收集器内，回收或运至废物处理场所处置。</w:t>
            </w:r>
          </w:p>
        </w:tc>
      </w:tr>
      <w:tr>
        <w:trPr>
          <w:trHeight w:val="311" w:hRule="atLeast"/>
        </w:trPr>
        <w:tc>
          <w:tcPr>
            <w:tcW w:w="2063" w:type="dxa"/>
            <w:gridSpan w:val="2"/>
            <w:tcBorders>
              <w:top w:val="single" w:sz="6" w:space="0" w:color="000000"/>
              <w:right w:val="single" w:sz="6" w:space="0" w:color="000000"/>
            </w:tcBorders>
          </w:tcPr>
          <w:p>
            <w:pPr>
              <w:pStyle w:val="TableParagraph"/>
              <w:spacing w:line="292" w:lineRule="exact"/>
              <w:ind w:left="107"/>
              <w:jc w:val="left"/>
              <w:rPr>
                <w:sz w:val="21"/>
              </w:rPr>
            </w:pPr>
            <w:r>
              <w:rPr>
                <w:sz w:val="21"/>
              </w:rPr>
              <w:t>主要用途</w:t>
            </w:r>
          </w:p>
        </w:tc>
        <w:tc>
          <w:tcPr>
            <w:tcW w:w="6626" w:type="dxa"/>
            <w:tcBorders>
              <w:top w:val="single" w:sz="6" w:space="0" w:color="000000"/>
              <w:left w:val="single" w:sz="6" w:space="0" w:color="000000"/>
            </w:tcBorders>
          </w:tcPr>
          <w:p>
            <w:pPr>
              <w:pStyle w:val="TableParagraph"/>
              <w:spacing w:line="292" w:lineRule="exact"/>
              <w:ind w:left="114"/>
              <w:jc w:val="left"/>
              <w:rPr>
                <w:sz w:val="21"/>
              </w:rPr>
            </w:pPr>
            <w:r>
              <w:rPr>
                <w:sz w:val="21"/>
              </w:rPr>
              <w:t>用于制取酯类、塑料增塑剂、医药、喷漆，以及用作溶剂</w:t>
            </w:r>
          </w:p>
        </w:tc>
      </w:tr>
    </w:tbl>
    <w:p>
      <w:pPr>
        <w:pStyle w:val="BodyText"/>
        <w:spacing w:before="16"/>
        <w:rPr>
          <w:sz w:val="4"/>
        </w:rPr>
      </w:pPr>
    </w:p>
    <w:p>
      <w:pPr>
        <w:tabs>
          <w:tab w:pos="4348" w:val="left" w:leader="none"/>
        </w:tabs>
        <w:spacing w:line="423" w:lineRule="exact" w:before="0"/>
        <w:ind w:left="3333" w:right="0" w:firstLine="0"/>
        <w:jc w:val="left"/>
        <w:rPr>
          <w:sz w:val="21"/>
        </w:rPr>
      </w:pPr>
      <w:r>
        <w:rPr>
          <w:sz w:val="21"/>
        </w:rPr>
        <w:t>表</w:t>
      </w:r>
      <w:r>
        <w:rPr>
          <w:spacing w:val="5"/>
          <w:sz w:val="21"/>
        </w:rPr>
        <w:t> </w:t>
      </w:r>
      <w:r>
        <w:rPr>
          <w:rFonts w:ascii="Times New Roman" w:eastAsia="Times New Roman"/>
          <w:sz w:val="21"/>
        </w:rPr>
        <w:t>7.1-43</w:t>
        <w:tab/>
      </w:r>
      <w:r>
        <w:rPr>
          <w:sz w:val="21"/>
        </w:rPr>
        <w:t>甲</w:t>
      </w:r>
      <w:r>
        <w:rPr>
          <w:spacing w:val="-3"/>
          <w:sz w:val="21"/>
        </w:rPr>
        <w:t>酸</w:t>
      </w:r>
      <w:r>
        <w:rPr>
          <w:sz w:val="21"/>
        </w:rPr>
        <w:t>危</w:t>
      </w:r>
      <w:r>
        <w:rPr>
          <w:spacing w:val="-3"/>
          <w:sz w:val="21"/>
        </w:rPr>
        <w:t>险</w:t>
      </w:r>
      <w:r>
        <w:rPr>
          <w:sz w:val="21"/>
        </w:rPr>
        <w:t>特</w:t>
      </w:r>
      <w:r>
        <w:rPr>
          <w:spacing w:val="-3"/>
          <w:sz w:val="21"/>
        </w:rPr>
        <w:t>性</w:t>
      </w:r>
      <w:r>
        <w:rPr>
          <w:sz w:val="21"/>
        </w:rPr>
        <w:t>及处</w:t>
      </w:r>
      <w:r>
        <w:rPr>
          <w:spacing w:val="-3"/>
          <w:sz w:val="21"/>
        </w:rPr>
        <w:t>理</w:t>
      </w:r>
      <w:r>
        <w:rPr>
          <w:sz w:val="21"/>
        </w:rPr>
        <w:t>措</w:t>
      </w:r>
      <w:r>
        <w:rPr>
          <w:spacing w:val="-3"/>
          <w:sz w:val="21"/>
        </w:rPr>
        <w:t>施</w:t>
      </w:r>
      <w:r>
        <w:rPr>
          <w:sz w:val="21"/>
        </w:rPr>
        <w:t>表</w:t>
      </w:r>
    </w:p>
    <w:p>
      <w:pPr>
        <w:pStyle w:val="BodyText"/>
        <w:spacing w:before="1"/>
        <w:rPr>
          <w:sz w:val="3"/>
        </w:rPr>
      </w:pPr>
    </w:p>
    <w:tbl>
      <w:tblPr>
        <w:tblW w:w="0" w:type="auto"/>
        <w:jc w:val="left"/>
        <w:tblInd w:w="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3601"/>
        <w:gridCol w:w="1440"/>
        <w:gridCol w:w="2540"/>
      </w:tblGrid>
      <w:tr>
        <w:trPr>
          <w:trHeight w:val="301" w:hRule="atLeast"/>
        </w:trPr>
        <w:tc>
          <w:tcPr>
            <w:tcW w:w="1188" w:type="dxa"/>
            <w:tcBorders>
              <w:bottom w:val="single" w:sz="6" w:space="0" w:color="000000"/>
              <w:right w:val="single" w:sz="6" w:space="0" w:color="000000"/>
            </w:tcBorders>
          </w:tcPr>
          <w:p>
            <w:pPr>
              <w:pStyle w:val="TableParagraph"/>
              <w:spacing w:line="281" w:lineRule="exact"/>
              <w:ind w:left="100" w:right="84"/>
              <w:rPr>
                <w:sz w:val="21"/>
              </w:rPr>
            </w:pPr>
            <w:r>
              <w:rPr>
                <w:sz w:val="21"/>
              </w:rPr>
              <w:t>国标编号</w:t>
            </w:r>
          </w:p>
        </w:tc>
        <w:tc>
          <w:tcPr>
            <w:tcW w:w="3601" w:type="dxa"/>
            <w:tcBorders>
              <w:left w:val="single" w:sz="6" w:space="0" w:color="000000"/>
              <w:bottom w:val="single" w:sz="6" w:space="0" w:color="000000"/>
              <w:right w:val="single" w:sz="6" w:space="0" w:color="000000"/>
            </w:tcBorders>
          </w:tcPr>
          <w:p>
            <w:pPr>
              <w:pStyle w:val="TableParagraph"/>
              <w:spacing w:line="236" w:lineRule="exact" w:before="45"/>
              <w:ind w:left="210" w:right="184"/>
              <w:rPr>
                <w:rFonts w:ascii="Times New Roman"/>
                <w:sz w:val="21"/>
              </w:rPr>
            </w:pPr>
            <w:r>
              <w:rPr>
                <w:rFonts w:ascii="Times New Roman"/>
                <w:sz w:val="21"/>
              </w:rPr>
              <w:t>81101</w:t>
            </w:r>
          </w:p>
        </w:tc>
        <w:tc>
          <w:tcPr>
            <w:tcW w:w="1440" w:type="dxa"/>
            <w:tcBorders>
              <w:left w:val="single" w:sz="6" w:space="0" w:color="000000"/>
              <w:bottom w:val="single" w:sz="6" w:space="0" w:color="000000"/>
              <w:right w:val="single" w:sz="6" w:space="0" w:color="000000"/>
            </w:tcBorders>
          </w:tcPr>
          <w:p>
            <w:pPr>
              <w:pStyle w:val="TableParagraph"/>
              <w:spacing w:line="281" w:lineRule="exact"/>
              <w:ind w:left="178" w:right="152"/>
              <w:rPr>
                <w:sz w:val="21"/>
              </w:rPr>
            </w:pPr>
            <w:r>
              <w:rPr>
                <w:rFonts w:ascii="Times New Roman" w:eastAsia="Times New Roman"/>
                <w:sz w:val="21"/>
              </w:rPr>
              <w:t>CAS </w:t>
            </w:r>
            <w:r>
              <w:rPr>
                <w:sz w:val="21"/>
              </w:rPr>
              <w:t>号</w:t>
            </w:r>
          </w:p>
        </w:tc>
        <w:tc>
          <w:tcPr>
            <w:tcW w:w="2540" w:type="dxa"/>
            <w:tcBorders>
              <w:left w:val="single" w:sz="6" w:space="0" w:color="000000"/>
              <w:bottom w:val="single" w:sz="6" w:space="0" w:color="000000"/>
            </w:tcBorders>
          </w:tcPr>
          <w:p>
            <w:pPr>
              <w:pStyle w:val="TableParagraph"/>
              <w:spacing w:line="236" w:lineRule="exact" w:before="45"/>
              <w:ind w:left="112" w:right="81"/>
              <w:rPr>
                <w:rFonts w:ascii="Times New Roman"/>
                <w:sz w:val="21"/>
              </w:rPr>
            </w:pPr>
            <w:r>
              <w:rPr>
                <w:rFonts w:ascii="Times New Roman"/>
                <w:sz w:val="21"/>
              </w:rPr>
              <w:t>64-18-6</w:t>
            </w:r>
          </w:p>
        </w:tc>
      </w:tr>
      <w:tr>
        <w:trPr>
          <w:trHeight w:val="299" w:hRule="atLeast"/>
        </w:trPr>
        <w:tc>
          <w:tcPr>
            <w:tcW w:w="1188" w:type="dxa"/>
            <w:tcBorders>
              <w:top w:val="single" w:sz="6" w:space="0" w:color="000000"/>
              <w:bottom w:val="single" w:sz="6" w:space="0" w:color="000000"/>
              <w:right w:val="single" w:sz="6" w:space="0" w:color="000000"/>
            </w:tcBorders>
          </w:tcPr>
          <w:p>
            <w:pPr>
              <w:pStyle w:val="TableParagraph"/>
              <w:spacing w:line="279" w:lineRule="exact"/>
              <w:ind w:left="100" w:right="84"/>
              <w:rPr>
                <w:sz w:val="21"/>
              </w:rPr>
            </w:pPr>
            <w:r>
              <w:rPr>
                <w:sz w:val="21"/>
              </w:rPr>
              <w:t>中文名称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84"/>
              <w:rPr>
                <w:sz w:val="21"/>
              </w:rPr>
            </w:pPr>
            <w:r>
              <w:rPr>
                <w:sz w:val="21"/>
              </w:rPr>
              <w:t>甲酸</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78" w:right="152"/>
              <w:rPr>
                <w:sz w:val="21"/>
              </w:rPr>
            </w:pPr>
            <w:r>
              <w:rPr>
                <w:sz w:val="21"/>
              </w:rPr>
              <w:t>英文名称</w:t>
            </w:r>
          </w:p>
        </w:tc>
        <w:tc>
          <w:tcPr>
            <w:tcW w:w="2540" w:type="dxa"/>
            <w:tcBorders>
              <w:top w:val="single" w:sz="6" w:space="0" w:color="000000"/>
              <w:left w:val="single" w:sz="6" w:space="0" w:color="000000"/>
              <w:bottom w:val="single" w:sz="6" w:space="0" w:color="000000"/>
            </w:tcBorders>
          </w:tcPr>
          <w:p>
            <w:pPr>
              <w:pStyle w:val="TableParagraph"/>
              <w:spacing w:line="236" w:lineRule="exact" w:before="43"/>
              <w:ind w:left="112" w:right="81"/>
              <w:rPr>
                <w:rFonts w:ascii="Times New Roman"/>
                <w:sz w:val="21"/>
              </w:rPr>
            </w:pPr>
            <w:r>
              <w:rPr>
                <w:rFonts w:ascii="Times New Roman"/>
                <w:sz w:val="21"/>
              </w:rPr>
              <w:t>Formic acid</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0" w:right="84"/>
              <w:rPr>
                <w:sz w:val="21"/>
              </w:rPr>
            </w:pPr>
            <w:r>
              <w:rPr>
                <w:sz w:val="21"/>
              </w:rPr>
              <w:t>危险标记</w:t>
            </w:r>
          </w:p>
        </w:tc>
        <w:tc>
          <w:tcPr>
            <w:tcW w:w="3601"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208" w:right="184"/>
              <w:rPr>
                <w:rFonts w:ascii="Times New Roman" w:eastAsia="Times New Roman"/>
                <w:sz w:val="21"/>
              </w:rPr>
            </w:pPr>
            <w:r>
              <w:rPr>
                <w:rFonts w:ascii="Times New Roman" w:eastAsia="Times New Roman"/>
                <w:sz w:val="21"/>
              </w:rPr>
              <w:t>20(</w:t>
            </w:r>
            <w:r>
              <w:rPr>
                <w:sz w:val="21"/>
              </w:rPr>
              <w:t>酸性腐蚀品</w:t>
            </w:r>
            <w:r>
              <w:rPr>
                <w:rFonts w:ascii="Times New Roman" w:eastAsia="Times New Roman"/>
                <w:sz w:val="21"/>
              </w:rPr>
              <w:t>)</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78" w:right="152"/>
              <w:rPr>
                <w:sz w:val="21"/>
              </w:rPr>
            </w:pPr>
            <w:r>
              <w:rPr>
                <w:sz w:val="21"/>
              </w:rPr>
              <w:t>主要用途</w:t>
            </w:r>
          </w:p>
        </w:tc>
        <w:tc>
          <w:tcPr>
            <w:tcW w:w="2540" w:type="dxa"/>
            <w:tcBorders>
              <w:top w:val="single" w:sz="6" w:space="0" w:color="000000"/>
              <w:left w:val="single" w:sz="6" w:space="0" w:color="000000"/>
              <w:bottom w:val="single" w:sz="6" w:space="0" w:color="000000"/>
            </w:tcBorders>
          </w:tcPr>
          <w:p>
            <w:pPr>
              <w:pStyle w:val="TableParagraph"/>
              <w:spacing w:line="160" w:lineRule="auto" w:before="31"/>
              <w:ind w:left="119" w:right="81"/>
              <w:rPr>
                <w:sz w:val="21"/>
              </w:rPr>
            </w:pPr>
            <w:r>
              <w:rPr>
                <w:sz w:val="21"/>
              </w:rPr>
              <w:t>用于制化学药品、橡胶凝固剂及纺织、印染、电镀</w:t>
            </w:r>
          </w:p>
          <w:p>
            <w:pPr>
              <w:pStyle w:val="TableParagraph"/>
              <w:spacing w:line="251" w:lineRule="exact"/>
              <w:ind w:left="31"/>
              <w:rPr>
                <w:sz w:val="21"/>
              </w:rPr>
            </w:pPr>
            <w:r>
              <w:rPr>
                <w:w w:val="100"/>
                <w:sz w:val="21"/>
              </w:rPr>
              <w:t>等</w:t>
            </w:r>
          </w:p>
        </w:tc>
      </w:tr>
      <w:tr>
        <w:trPr>
          <w:trHeight w:val="301" w:hRule="atLeast"/>
        </w:trPr>
        <w:tc>
          <w:tcPr>
            <w:tcW w:w="1188" w:type="dxa"/>
            <w:tcBorders>
              <w:top w:val="single" w:sz="6" w:space="0" w:color="000000"/>
              <w:bottom w:val="single" w:sz="6" w:space="0" w:color="000000"/>
              <w:right w:val="single" w:sz="6" w:space="0" w:color="000000"/>
            </w:tcBorders>
          </w:tcPr>
          <w:p>
            <w:pPr>
              <w:pStyle w:val="TableParagraph"/>
              <w:spacing w:line="282" w:lineRule="exact"/>
              <w:ind w:left="100" w:right="84"/>
              <w:rPr>
                <w:sz w:val="21"/>
              </w:rPr>
            </w:pPr>
            <w:r>
              <w:rPr>
                <w:sz w:val="21"/>
              </w:rPr>
              <w:t>侵入途径</w:t>
            </w:r>
          </w:p>
        </w:tc>
        <w:tc>
          <w:tcPr>
            <w:tcW w:w="7581" w:type="dxa"/>
            <w:gridSpan w:val="3"/>
            <w:tcBorders>
              <w:top w:val="single" w:sz="6" w:space="0" w:color="000000"/>
              <w:left w:val="single" w:sz="6" w:space="0" w:color="000000"/>
              <w:bottom w:val="single" w:sz="6" w:space="0" w:color="000000"/>
            </w:tcBorders>
          </w:tcPr>
          <w:p>
            <w:pPr>
              <w:pStyle w:val="TableParagraph"/>
              <w:spacing w:line="282" w:lineRule="exact"/>
              <w:ind w:left="100" w:right="65"/>
              <w:rPr>
                <w:sz w:val="21"/>
              </w:rPr>
            </w:pPr>
            <w:r>
              <w:rPr>
                <w:sz w:val="21"/>
              </w:rPr>
              <w:t>吸入、食入、经皮吸收。</w:t>
            </w:r>
          </w:p>
        </w:tc>
      </w:tr>
      <w:tr>
        <w:trPr>
          <w:trHeight w:val="8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10"/>
              </w:rPr>
            </w:pPr>
          </w:p>
          <w:p>
            <w:pPr>
              <w:pStyle w:val="TableParagraph"/>
              <w:spacing w:before="1"/>
              <w:ind w:left="100" w:right="84"/>
              <w:rPr>
                <w:sz w:val="21"/>
              </w:rPr>
            </w:pPr>
            <w:r>
              <w:rPr>
                <w:sz w:val="21"/>
              </w:rPr>
              <w:t>健康危害</w:t>
            </w:r>
          </w:p>
        </w:tc>
        <w:tc>
          <w:tcPr>
            <w:tcW w:w="7581" w:type="dxa"/>
            <w:gridSpan w:val="3"/>
            <w:tcBorders>
              <w:top w:val="single" w:sz="6" w:space="0" w:color="000000"/>
              <w:left w:val="single" w:sz="6" w:space="0" w:color="000000"/>
              <w:bottom w:val="single" w:sz="6" w:space="0" w:color="000000"/>
            </w:tcBorders>
          </w:tcPr>
          <w:p>
            <w:pPr>
              <w:pStyle w:val="TableParagraph"/>
              <w:spacing w:line="160" w:lineRule="auto" w:before="31"/>
              <w:ind w:left="112" w:right="33"/>
              <w:jc w:val="left"/>
              <w:rPr>
                <w:sz w:val="21"/>
              </w:rPr>
            </w:pPr>
            <w:r>
              <w:rPr>
                <w:sz w:val="21"/>
              </w:rPr>
              <w:t>主要引起皮肤、粘膜有刺激症状。其表现有结膜充血、鼻炎、支气管炎；皮肤接触可引起炎症和溃疡。误服甲酸可至死</w:t>
            </w:r>
            <w:r>
              <w:rPr>
                <w:rFonts w:ascii="Times New Roman" w:eastAsia="Times New Roman"/>
                <w:sz w:val="21"/>
              </w:rPr>
              <w:t>(</w:t>
            </w:r>
            <w:r>
              <w:rPr>
                <w:sz w:val="21"/>
              </w:rPr>
              <w:t>致死量约 </w:t>
            </w:r>
            <w:r>
              <w:rPr>
                <w:rFonts w:ascii="Times New Roman" w:eastAsia="Times New Roman"/>
                <w:sz w:val="21"/>
              </w:rPr>
              <w:t>30 </w:t>
            </w:r>
            <w:r>
              <w:rPr>
                <w:sz w:val="21"/>
              </w:rPr>
              <w:t>克</w:t>
            </w:r>
            <w:r>
              <w:rPr>
                <w:rFonts w:ascii="Times New Roman" w:eastAsia="Times New Roman"/>
                <w:sz w:val="21"/>
              </w:rPr>
              <w:t>)</w:t>
            </w:r>
            <w:r>
              <w:rPr>
                <w:sz w:val="21"/>
              </w:rPr>
              <w:t>。除消化道症状外，常因</w:t>
            </w:r>
          </w:p>
          <w:p>
            <w:pPr>
              <w:pStyle w:val="TableParagraph"/>
              <w:spacing w:line="252" w:lineRule="exact"/>
              <w:ind w:left="112"/>
              <w:jc w:val="left"/>
              <w:rPr>
                <w:sz w:val="21"/>
              </w:rPr>
            </w:pPr>
            <w:r>
              <w:rPr>
                <w:sz w:val="21"/>
              </w:rPr>
              <w:t>急性肾功衰竭或呼吸功能衰竭而死亡。</w:t>
            </w:r>
          </w:p>
        </w:tc>
      </w:tr>
      <w:tr>
        <w:trPr>
          <w:trHeight w:val="299" w:hRule="atLeast"/>
        </w:trPr>
        <w:tc>
          <w:tcPr>
            <w:tcW w:w="1188" w:type="dxa"/>
            <w:tcBorders>
              <w:top w:val="single" w:sz="6" w:space="0" w:color="000000"/>
              <w:right w:val="single" w:sz="6" w:space="0" w:color="000000"/>
            </w:tcBorders>
          </w:tcPr>
          <w:p>
            <w:pPr>
              <w:pStyle w:val="TableParagraph"/>
              <w:spacing w:line="279" w:lineRule="exact"/>
              <w:ind w:left="102" w:right="84"/>
              <w:rPr>
                <w:sz w:val="21"/>
              </w:rPr>
            </w:pPr>
            <w:r>
              <w:rPr>
                <w:sz w:val="21"/>
              </w:rPr>
              <w:t>毒性</w:t>
            </w:r>
          </w:p>
        </w:tc>
        <w:tc>
          <w:tcPr>
            <w:tcW w:w="7581" w:type="dxa"/>
            <w:gridSpan w:val="3"/>
            <w:tcBorders>
              <w:top w:val="single" w:sz="6" w:space="0" w:color="000000"/>
              <w:left w:val="single" w:sz="6" w:space="0" w:color="000000"/>
            </w:tcBorders>
          </w:tcPr>
          <w:p>
            <w:pPr>
              <w:pStyle w:val="TableParagraph"/>
              <w:spacing w:line="279" w:lineRule="exact"/>
              <w:ind w:left="112"/>
              <w:jc w:val="left"/>
              <w:rPr>
                <w:sz w:val="21"/>
              </w:rPr>
            </w:pPr>
            <w:r>
              <w:rPr>
                <w:position w:val="2"/>
                <w:sz w:val="21"/>
              </w:rPr>
              <w:t>急性毒性：</w:t>
            </w:r>
            <w:r>
              <w:rPr>
                <w:rFonts w:ascii="Times New Roman" w:eastAsia="Times New Roman"/>
                <w:position w:val="2"/>
                <w:sz w:val="21"/>
              </w:rPr>
              <w:t>LD</w:t>
            </w:r>
            <w:r>
              <w:rPr>
                <w:rFonts w:ascii="Times New Roman" w:eastAsia="Times New Roman"/>
                <w:sz w:val="14"/>
              </w:rPr>
              <w:t>50</w:t>
            </w:r>
            <w:r>
              <w:rPr>
                <w:rFonts w:ascii="Times New Roman" w:eastAsia="Times New Roman"/>
                <w:position w:val="2"/>
                <w:sz w:val="21"/>
              </w:rPr>
              <w:t>1100mg/kg(</w:t>
            </w:r>
            <w:r>
              <w:rPr>
                <w:position w:val="2"/>
                <w:sz w:val="21"/>
              </w:rPr>
              <w:t>大鼠经口</w:t>
            </w:r>
            <w:r>
              <w:rPr>
                <w:rFonts w:ascii="Times New Roman" w:eastAsia="Times New Roman"/>
                <w:position w:val="2"/>
                <w:sz w:val="21"/>
              </w:rPr>
              <w:t>)</w:t>
            </w:r>
            <w:r>
              <w:rPr>
                <w:position w:val="2"/>
                <w:sz w:val="21"/>
              </w:rPr>
              <w:t>；</w:t>
            </w:r>
            <w:r>
              <w:rPr>
                <w:rFonts w:ascii="Times New Roman" w:eastAsia="Times New Roman"/>
                <w:position w:val="2"/>
                <w:sz w:val="21"/>
              </w:rPr>
              <w:t>LC</w:t>
            </w:r>
            <w:r>
              <w:rPr>
                <w:rFonts w:ascii="Times New Roman" w:eastAsia="Times New Roman"/>
                <w:sz w:val="14"/>
              </w:rPr>
              <w:t>50</w:t>
            </w:r>
            <w:r>
              <w:rPr>
                <w:rFonts w:ascii="Times New Roman" w:eastAsia="Times New Roman"/>
                <w:position w:val="2"/>
                <w:sz w:val="21"/>
              </w:rPr>
              <w:t>15000mg/m</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15 </w:t>
            </w:r>
            <w:r>
              <w:rPr>
                <w:position w:val="2"/>
                <w:sz w:val="21"/>
                <w:vertAlign w:val="baseline"/>
              </w:rPr>
              <w:t>分钟</w:t>
            </w:r>
            <w:r>
              <w:rPr>
                <w:rFonts w:ascii="Times New Roman" w:eastAsia="Times New Roman"/>
                <w:position w:val="2"/>
                <w:sz w:val="21"/>
                <w:vertAlign w:val="baseline"/>
              </w:rPr>
              <w:t>(</w:t>
            </w:r>
            <w:r>
              <w:rPr>
                <w:position w:val="2"/>
                <w:sz w:val="21"/>
                <w:vertAlign w:val="baseline"/>
              </w:rPr>
              <w:t>大鼠吸入</w:t>
            </w:r>
            <w:r>
              <w:rPr>
                <w:rFonts w:ascii="Times New Roman" w:eastAsia="Times New Roman"/>
                <w:position w:val="2"/>
                <w:sz w:val="21"/>
                <w:vertAlign w:val="baseline"/>
              </w:rPr>
              <w:t>)</w:t>
            </w:r>
            <w:r>
              <w:rPr>
                <w:position w:val="2"/>
                <w:sz w:val="21"/>
                <w:vertAlign w:val="baseline"/>
              </w:rPr>
              <w:t>；人</w:t>
            </w:r>
          </w:p>
        </w:tc>
      </w:tr>
    </w:tbl>
    <w:p>
      <w:pPr>
        <w:spacing w:after="0" w:line="279"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581"/>
      </w:tblGrid>
      <w:tr>
        <w:trPr>
          <w:trHeight w:val="601" w:hRule="atLeast"/>
        </w:trPr>
        <w:tc>
          <w:tcPr>
            <w:tcW w:w="1188" w:type="dxa"/>
            <w:tcBorders>
              <w:bottom w:val="single" w:sz="6" w:space="0" w:color="000000"/>
              <w:right w:val="single" w:sz="6" w:space="0" w:color="000000"/>
            </w:tcBorders>
          </w:tcPr>
          <w:p>
            <w:pPr>
              <w:pStyle w:val="TableParagraph"/>
              <w:jc w:val="left"/>
              <w:rPr>
                <w:rFonts w:ascii="Times New Roman"/>
                <w:sz w:val="20"/>
              </w:rPr>
            </w:pPr>
          </w:p>
        </w:tc>
        <w:tc>
          <w:tcPr>
            <w:tcW w:w="7581" w:type="dxa"/>
            <w:tcBorders>
              <w:left w:val="single" w:sz="6" w:space="0" w:color="000000"/>
              <w:bottom w:val="single" w:sz="6" w:space="0" w:color="000000"/>
            </w:tcBorders>
          </w:tcPr>
          <w:p>
            <w:pPr>
              <w:pStyle w:val="TableParagraph"/>
              <w:spacing w:line="304" w:lineRule="exact"/>
              <w:ind w:left="112"/>
              <w:jc w:val="left"/>
              <w:rPr>
                <w:sz w:val="21"/>
              </w:rPr>
            </w:pPr>
            <w:r>
              <w:rPr>
                <w:sz w:val="21"/>
              </w:rPr>
              <w:t>吸入 </w:t>
            </w:r>
            <w:r>
              <w:rPr>
                <w:rFonts w:ascii="Times New Roman" w:eastAsia="Times New Roman"/>
                <w:sz w:val="21"/>
              </w:rPr>
              <w:t>750mg/m</w:t>
            </w:r>
            <w:r>
              <w:rPr>
                <w:rFonts w:ascii="Times New Roman" w:eastAsia="Times New Roman"/>
                <w:position w:val="7"/>
                <w:sz w:val="14"/>
              </w:rPr>
              <w:t>3</w:t>
            </w:r>
            <w:r>
              <w:rPr>
                <w:rFonts w:ascii="Times New Roman" w:eastAsia="Times New Roman"/>
                <w:sz w:val="21"/>
              </w:rPr>
              <w:t>(15 </w:t>
            </w:r>
            <w:r>
              <w:rPr>
                <w:sz w:val="21"/>
              </w:rPr>
              <w:t>秒</w:t>
            </w:r>
            <w:r>
              <w:rPr>
                <w:rFonts w:ascii="Times New Roman" w:eastAsia="Times New Roman"/>
                <w:sz w:val="21"/>
              </w:rPr>
              <w:t>)</w:t>
            </w:r>
            <w:r>
              <w:rPr>
                <w:sz w:val="21"/>
              </w:rPr>
              <w:t>，剧烈刺激粘膜引起咽痛，咳嗽，胸痛；人经口约 </w:t>
            </w:r>
            <w:r>
              <w:rPr>
                <w:rFonts w:ascii="Times New Roman" w:eastAsia="Times New Roman"/>
                <w:sz w:val="21"/>
              </w:rPr>
              <w:t>30g</w:t>
            </w:r>
            <w:r>
              <w:rPr>
                <w:sz w:val="21"/>
              </w:rPr>
              <w:t>，肾</w:t>
            </w:r>
          </w:p>
          <w:p>
            <w:pPr>
              <w:pStyle w:val="TableParagraph"/>
              <w:spacing w:line="278" w:lineRule="exact"/>
              <w:ind w:left="112"/>
              <w:jc w:val="left"/>
              <w:rPr>
                <w:sz w:val="21"/>
              </w:rPr>
            </w:pPr>
            <w:r>
              <w:rPr>
                <w:sz w:val="21"/>
              </w:rPr>
              <w:t>功能衰竭或呼吸功能衰竭而死亡。</w:t>
            </w:r>
          </w:p>
        </w:tc>
      </w:tr>
      <w:tr>
        <w:trPr>
          <w:trHeight w:val="599" w:hRule="atLeast"/>
        </w:trPr>
        <w:tc>
          <w:tcPr>
            <w:tcW w:w="1188" w:type="dxa"/>
            <w:tcBorders>
              <w:top w:val="single" w:sz="6" w:space="0" w:color="000000"/>
              <w:bottom w:val="single" w:sz="6" w:space="0" w:color="000000"/>
              <w:right w:val="single" w:sz="6" w:space="0" w:color="000000"/>
            </w:tcBorders>
          </w:tcPr>
          <w:p>
            <w:pPr>
              <w:pStyle w:val="TableParagraph"/>
              <w:spacing w:before="77"/>
              <w:ind w:left="100" w:right="84"/>
              <w:rPr>
                <w:sz w:val="21"/>
              </w:rPr>
            </w:pPr>
            <w:r>
              <w:rPr>
                <w:sz w:val="21"/>
              </w:rPr>
              <w:t>危险特性</w:t>
            </w:r>
          </w:p>
        </w:tc>
        <w:tc>
          <w:tcPr>
            <w:tcW w:w="7581" w:type="dxa"/>
            <w:tcBorders>
              <w:top w:val="single" w:sz="6" w:space="0" w:color="000000"/>
              <w:left w:val="single" w:sz="6" w:space="0" w:color="000000"/>
              <w:bottom w:val="single" w:sz="6" w:space="0" w:color="000000"/>
            </w:tcBorders>
          </w:tcPr>
          <w:p>
            <w:pPr>
              <w:pStyle w:val="TableParagraph"/>
              <w:spacing w:line="302" w:lineRule="exact"/>
              <w:ind w:left="112"/>
              <w:jc w:val="left"/>
              <w:rPr>
                <w:sz w:val="21"/>
              </w:rPr>
            </w:pPr>
            <w:r>
              <w:rPr>
                <w:sz w:val="21"/>
              </w:rPr>
              <w:t>其蒸气与空气形成爆炸性混合物，遇明火、高热能引起燃烧爆炸。与强氧化剂蚵</w:t>
            </w:r>
          </w:p>
          <w:p>
            <w:pPr>
              <w:pStyle w:val="TableParagraph"/>
              <w:spacing w:line="278" w:lineRule="exact"/>
              <w:ind w:left="112"/>
              <w:jc w:val="left"/>
              <w:rPr>
                <w:sz w:val="21"/>
              </w:rPr>
            </w:pPr>
            <w:r>
              <w:rPr>
                <w:sz w:val="21"/>
              </w:rPr>
              <w:t>发生反应。具有较强的腐蚀性。</w:t>
            </w:r>
          </w:p>
        </w:tc>
      </w:tr>
      <w:tr>
        <w:trPr>
          <w:trHeight w:val="1499" w:hRule="atLeast"/>
        </w:trPr>
        <w:tc>
          <w:tcPr>
            <w:tcW w:w="1188" w:type="dxa"/>
            <w:tcBorders>
              <w:top w:val="single" w:sz="6" w:space="0" w:color="000000"/>
              <w:bottom w:val="single" w:sz="6" w:space="0" w:color="000000"/>
              <w:right w:val="single" w:sz="6" w:space="0" w:color="000000"/>
            </w:tcBorders>
          </w:tcPr>
          <w:p>
            <w:pPr>
              <w:pStyle w:val="TableParagraph"/>
              <w:spacing w:before="16"/>
              <w:jc w:val="left"/>
              <w:rPr>
                <w:sz w:val="22"/>
              </w:rPr>
            </w:pPr>
          </w:p>
          <w:p>
            <w:pPr>
              <w:pStyle w:val="TableParagraph"/>
              <w:spacing w:line="160" w:lineRule="auto"/>
              <w:ind w:left="380" w:right="151" w:hanging="212"/>
              <w:jc w:val="left"/>
              <w:rPr>
                <w:sz w:val="21"/>
              </w:rPr>
            </w:pPr>
            <w:r>
              <w:rPr>
                <w:sz w:val="21"/>
              </w:rPr>
              <w:t>泄漏应急处理</w:t>
            </w:r>
          </w:p>
        </w:tc>
        <w:tc>
          <w:tcPr>
            <w:tcW w:w="7581" w:type="dxa"/>
            <w:tcBorders>
              <w:top w:val="single" w:sz="6" w:space="0" w:color="000000"/>
              <w:left w:val="single" w:sz="6" w:space="0" w:color="000000"/>
              <w:bottom w:val="single" w:sz="6" w:space="0" w:color="000000"/>
            </w:tcBorders>
          </w:tcPr>
          <w:p>
            <w:pPr>
              <w:pStyle w:val="TableParagraph"/>
              <w:spacing w:line="160" w:lineRule="auto" w:before="31"/>
              <w:ind w:left="112" w:right="72"/>
              <w:jc w:val="both"/>
              <w:rPr>
                <w:sz w:val="21"/>
              </w:rPr>
            </w:pPr>
            <w:r>
              <w:rPr>
                <w:sz w:val="21"/>
              </w:rPr>
              <w:t>疏散泄漏污染区人员至安全区，禁止无关人员进入污染区，切断火源。建议应急处理人员戴自给式呼吸器，穿化学防护服。不要直接接触泄漏物，在确保安全情况下堵漏。用沙土或其它不燃性吸附剂混合吸收，然后收集运至废物处理场所处置。也可以将地面洒上苏打灰，用大量水冲洗，经稀释的洗水放入废水系统。如</w:t>
            </w:r>
          </w:p>
          <w:p>
            <w:pPr>
              <w:pStyle w:val="TableParagraph"/>
              <w:spacing w:line="255" w:lineRule="exact"/>
              <w:ind w:left="112"/>
              <w:jc w:val="both"/>
              <w:rPr>
                <w:sz w:val="21"/>
              </w:rPr>
            </w:pPr>
            <w:r>
              <w:rPr>
                <w:sz w:val="21"/>
              </w:rPr>
              <w:t>果大量泄漏，利用围堤收容，然后收集、转移、回收或无害处理后废弃。</w:t>
            </w:r>
          </w:p>
        </w:tc>
      </w:tr>
      <w:tr>
        <w:trPr>
          <w:trHeight w:val="1199" w:hRule="atLeast"/>
        </w:trPr>
        <w:tc>
          <w:tcPr>
            <w:tcW w:w="1188" w:type="dxa"/>
            <w:tcBorders>
              <w:top w:val="single" w:sz="6" w:space="0" w:color="000000"/>
              <w:right w:val="single" w:sz="6" w:space="0" w:color="000000"/>
            </w:tcBorders>
          </w:tcPr>
          <w:p>
            <w:pPr>
              <w:pStyle w:val="TableParagraph"/>
              <w:spacing w:before="20"/>
              <w:jc w:val="left"/>
              <w:rPr>
                <w:sz w:val="17"/>
              </w:rPr>
            </w:pPr>
          </w:p>
          <w:p>
            <w:pPr>
              <w:pStyle w:val="TableParagraph"/>
              <w:ind w:left="100" w:right="84"/>
              <w:rPr>
                <w:sz w:val="21"/>
              </w:rPr>
            </w:pPr>
            <w:r>
              <w:rPr>
                <w:sz w:val="21"/>
              </w:rPr>
              <w:t>防护措施</w:t>
            </w:r>
          </w:p>
        </w:tc>
        <w:tc>
          <w:tcPr>
            <w:tcW w:w="7581" w:type="dxa"/>
            <w:tcBorders>
              <w:top w:val="single" w:sz="6" w:space="0" w:color="000000"/>
              <w:left w:val="single" w:sz="6" w:space="0" w:color="000000"/>
            </w:tcBorders>
          </w:tcPr>
          <w:p>
            <w:pPr>
              <w:pStyle w:val="TableParagraph"/>
              <w:spacing w:line="160" w:lineRule="auto" w:before="31"/>
              <w:ind w:left="112" w:right="-44"/>
              <w:jc w:val="both"/>
              <w:rPr>
                <w:sz w:val="21"/>
              </w:rPr>
            </w:pPr>
            <w:r>
              <w:rPr>
                <w:spacing w:val="-10"/>
                <w:sz w:val="21"/>
              </w:rPr>
              <w:t>呼吸系统防护：空气中浓度超标时，应该佩带防毒面具。紧急事态抢救或逃生时， 建议佩带自给式呼吸器。眼睛防护：戴化学安全防护眼镜。防护服：穿工作服</w:t>
            </w:r>
            <w:r>
              <w:rPr>
                <w:rFonts w:ascii="Times New Roman" w:eastAsia="Times New Roman"/>
                <w:sz w:val="21"/>
              </w:rPr>
              <w:t>(</w:t>
            </w:r>
            <w:r>
              <w:rPr>
                <w:sz w:val="21"/>
              </w:rPr>
              <w:t>防</w:t>
            </w:r>
            <w:r>
              <w:rPr>
                <w:spacing w:val="-1"/>
                <w:sz w:val="21"/>
              </w:rPr>
              <w:t>腐材料制作</w:t>
            </w:r>
            <w:r>
              <w:rPr>
                <w:rFonts w:ascii="Times New Roman" w:eastAsia="Times New Roman"/>
                <w:spacing w:val="-4"/>
                <w:sz w:val="21"/>
              </w:rPr>
              <w:t>)</w:t>
            </w:r>
            <w:r>
              <w:rPr>
                <w:spacing w:val="-10"/>
                <w:sz w:val="21"/>
              </w:rPr>
              <w:t>。手防护：戴橡皮手套。其它：工作后，淋浴更衣。注意个人清洁卫</w:t>
            </w:r>
          </w:p>
          <w:p>
            <w:pPr>
              <w:pStyle w:val="TableParagraph"/>
              <w:spacing w:line="253" w:lineRule="exact"/>
              <w:ind w:left="112"/>
              <w:jc w:val="both"/>
              <w:rPr>
                <w:sz w:val="21"/>
              </w:rPr>
            </w:pPr>
            <w:r>
              <w:rPr>
                <w:sz w:val="21"/>
              </w:rPr>
              <w:t>生。</w:t>
            </w:r>
          </w:p>
        </w:tc>
      </w:tr>
    </w:tbl>
    <w:p>
      <w:pPr>
        <w:pStyle w:val="BodyText"/>
        <w:spacing w:before="1"/>
        <w:rPr>
          <w:sz w:val="7"/>
        </w:rPr>
      </w:pPr>
    </w:p>
    <w:p>
      <w:pPr>
        <w:pStyle w:val="Heading3"/>
        <w:numPr>
          <w:ilvl w:val="2"/>
          <w:numId w:val="10"/>
        </w:numPr>
        <w:tabs>
          <w:tab w:pos="1378" w:val="left" w:leader="none"/>
        </w:tabs>
        <w:spacing w:line="585" w:lineRule="exact" w:before="0" w:after="0"/>
        <w:ind w:left="1377" w:right="0" w:hanging="799"/>
        <w:jc w:val="left"/>
      </w:pPr>
      <w:r>
        <w:rPr/>
        <w:t>环境敏感目标调查</w:t>
      </w:r>
    </w:p>
    <w:p>
      <w:pPr>
        <w:spacing w:before="203"/>
        <w:ind w:left="1058" w:right="0" w:firstLine="0"/>
        <w:jc w:val="left"/>
        <w:rPr>
          <w:sz w:val="21"/>
        </w:rPr>
      </w:pPr>
      <w:r>
        <w:rPr>
          <w:sz w:val="21"/>
        </w:rPr>
        <w:t>本项目环境敏感目标调查情况见表 </w:t>
      </w:r>
      <w:r>
        <w:rPr>
          <w:rFonts w:ascii="Times New Roman" w:eastAsia="Times New Roman"/>
          <w:sz w:val="21"/>
        </w:rPr>
        <w:t>7.1-44</w:t>
      </w:r>
      <w:r>
        <w:rPr>
          <w:sz w:val="21"/>
        </w:rPr>
        <w:t>。</w:t>
      </w:r>
    </w:p>
    <w:p>
      <w:pPr>
        <w:tabs>
          <w:tab w:pos="4663" w:val="left" w:leader="none"/>
        </w:tabs>
        <w:spacing w:before="102"/>
        <w:ind w:left="3648" w:right="0" w:firstLine="0"/>
        <w:jc w:val="left"/>
        <w:rPr>
          <w:sz w:val="21"/>
        </w:rPr>
      </w:pPr>
      <w:r>
        <w:rPr>
          <w:sz w:val="21"/>
        </w:rPr>
        <w:t>表</w:t>
      </w:r>
      <w:r>
        <w:rPr>
          <w:spacing w:val="5"/>
          <w:sz w:val="21"/>
        </w:rPr>
        <w:t> </w:t>
      </w:r>
      <w:r>
        <w:rPr>
          <w:rFonts w:ascii="Times New Roman" w:eastAsia="Times New Roman"/>
          <w:sz w:val="21"/>
        </w:rPr>
        <w:t>7.1-44</w:t>
        <w:tab/>
      </w:r>
      <w:r>
        <w:rPr>
          <w:sz w:val="21"/>
        </w:rPr>
        <w:t>项</w:t>
      </w:r>
      <w:r>
        <w:rPr>
          <w:spacing w:val="-3"/>
          <w:sz w:val="21"/>
        </w:rPr>
        <w:t>目</w:t>
      </w:r>
      <w:r>
        <w:rPr>
          <w:sz w:val="21"/>
        </w:rPr>
        <w:t>环</w:t>
      </w:r>
      <w:r>
        <w:rPr>
          <w:spacing w:val="-3"/>
          <w:sz w:val="21"/>
        </w:rPr>
        <w:t>境</w:t>
      </w:r>
      <w:r>
        <w:rPr>
          <w:sz w:val="21"/>
        </w:rPr>
        <w:t>敏</w:t>
      </w:r>
      <w:r>
        <w:rPr>
          <w:spacing w:val="-3"/>
          <w:sz w:val="21"/>
        </w:rPr>
        <w:t>感</w:t>
      </w:r>
      <w:r>
        <w:rPr>
          <w:sz w:val="21"/>
        </w:rPr>
        <w:t>特征表</w:t>
      </w:r>
    </w:p>
    <w:p>
      <w:pPr>
        <w:pStyle w:val="BodyText"/>
        <w:spacing w:before="1"/>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6"/>
        <w:gridCol w:w="624"/>
        <w:gridCol w:w="1673"/>
        <w:gridCol w:w="1022"/>
        <w:gridCol w:w="1202"/>
        <w:gridCol w:w="1632"/>
        <w:gridCol w:w="957"/>
      </w:tblGrid>
      <w:tr>
        <w:trPr>
          <w:trHeight w:val="311" w:hRule="atLeast"/>
        </w:trPr>
        <w:tc>
          <w:tcPr>
            <w:tcW w:w="1186" w:type="dxa"/>
            <w:tcBorders>
              <w:bottom w:val="single" w:sz="6" w:space="0" w:color="000000"/>
              <w:right w:val="single" w:sz="6" w:space="0" w:color="000000"/>
            </w:tcBorders>
          </w:tcPr>
          <w:p>
            <w:pPr>
              <w:pStyle w:val="TableParagraph"/>
              <w:spacing w:line="291" w:lineRule="exact"/>
              <w:ind w:left="380"/>
              <w:jc w:val="left"/>
              <w:rPr>
                <w:sz w:val="21"/>
              </w:rPr>
            </w:pPr>
            <w:r>
              <w:rPr>
                <w:sz w:val="21"/>
              </w:rPr>
              <w:t>类别</w:t>
            </w:r>
          </w:p>
        </w:tc>
        <w:tc>
          <w:tcPr>
            <w:tcW w:w="7110" w:type="dxa"/>
            <w:gridSpan w:val="6"/>
            <w:tcBorders>
              <w:left w:val="single" w:sz="6" w:space="0" w:color="000000"/>
              <w:bottom w:val="single" w:sz="6" w:space="0" w:color="000000"/>
            </w:tcBorders>
          </w:tcPr>
          <w:p>
            <w:pPr>
              <w:pStyle w:val="TableParagraph"/>
              <w:spacing w:line="291" w:lineRule="exact"/>
              <w:ind w:left="2599" w:right="2559"/>
              <w:rPr>
                <w:sz w:val="21"/>
              </w:rPr>
            </w:pPr>
            <w:r>
              <w:rPr>
                <w:sz w:val="21"/>
              </w:rPr>
              <w:t>环境敏感特征</w:t>
            </w:r>
          </w:p>
        </w:tc>
      </w:tr>
      <w:tr>
        <w:trPr>
          <w:trHeight w:val="303" w:hRule="atLeast"/>
        </w:trPr>
        <w:tc>
          <w:tcPr>
            <w:tcW w:w="1186"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5"/>
              <w:jc w:val="left"/>
              <w:rPr>
                <w:sz w:val="25"/>
              </w:rPr>
            </w:pPr>
          </w:p>
          <w:p>
            <w:pPr>
              <w:pStyle w:val="TableParagraph"/>
              <w:ind w:left="172"/>
              <w:jc w:val="left"/>
              <w:rPr>
                <w:sz w:val="21"/>
              </w:rPr>
            </w:pPr>
            <w:r>
              <w:rPr>
                <w:sz w:val="21"/>
              </w:rPr>
              <w:t>环境空气</w:t>
            </w:r>
          </w:p>
        </w:tc>
        <w:tc>
          <w:tcPr>
            <w:tcW w:w="7110" w:type="dxa"/>
            <w:gridSpan w:val="6"/>
            <w:tcBorders>
              <w:top w:val="single" w:sz="6" w:space="0" w:color="000000"/>
              <w:left w:val="single" w:sz="6" w:space="0" w:color="000000"/>
              <w:bottom w:val="single" w:sz="6" w:space="0" w:color="000000"/>
            </w:tcBorders>
          </w:tcPr>
          <w:p>
            <w:pPr>
              <w:pStyle w:val="TableParagraph"/>
              <w:spacing w:line="284" w:lineRule="exact"/>
              <w:ind w:left="2599" w:right="2561"/>
              <w:rPr>
                <w:sz w:val="21"/>
              </w:rPr>
            </w:pPr>
            <w:r>
              <w:rPr>
                <w:spacing w:val="-1"/>
                <w:sz w:val="21"/>
              </w:rPr>
              <w:t>厂址周边</w:t>
            </w:r>
            <w:r>
              <w:rPr>
                <w:rFonts w:ascii="Times New Roman" w:eastAsia="Times New Roman"/>
                <w:position w:val="1"/>
                <w:sz w:val="21"/>
              </w:rPr>
              <w:t>5km </w:t>
            </w:r>
            <w:r>
              <w:rPr>
                <w:spacing w:val="-2"/>
                <w:sz w:val="21"/>
              </w:rPr>
              <w:t>范围内</w:t>
            </w:r>
          </w:p>
        </w:tc>
      </w:tr>
      <w:tr>
        <w:trPr>
          <w:trHeight w:val="611"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line="296" w:lineRule="exact"/>
              <w:ind w:left="212"/>
              <w:jc w:val="left"/>
              <w:rPr>
                <w:sz w:val="21"/>
              </w:rPr>
            </w:pPr>
            <w:r>
              <w:rPr>
                <w:w w:val="100"/>
                <w:sz w:val="21"/>
              </w:rPr>
              <w:t>序</w:t>
            </w:r>
          </w:p>
          <w:p>
            <w:pPr>
              <w:pStyle w:val="TableParagraph"/>
              <w:spacing w:line="296" w:lineRule="exact"/>
              <w:ind w:left="212"/>
              <w:jc w:val="left"/>
              <w:rPr>
                <w:sz w:val="21"/>
              </w:rPr>
            </w:pPr>
            <w:r>
              <w:rPr>
                <w:w w:val="100"/>
                <w:sz w:val="21"/>
              </w:rPr>
              <w:t>号</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before="73"/>
              <w:ind w:left="194" w:right="163"/>
              <w:rPr>
                <w:sz w:val="21"/>
              </w:rPr>
            </w:pPr>
            <w:r>
              <w:rPr>
                <w:sz w:val="21"/>
              </w:rPr>
              <w:t>敏感目标名称</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line="296" w:lineRule="exact"/>
              <w:ind w:left="306"/>
              <w:jc w:val="left"/>
              <w:rPr>
                <w:sz w:val="21"/>
              </w:rPr>
            </w:pPr>
            <w:r>
              <w:rPr>
                <w:sz w:val="21"/>
              </w:rPr>
              <w:t>相对</w:t>
            </w:r>
          </w:p>
          <w:p>
            <w:pPr>
              <w:pStyle w:val="TableParagraph"/>
              <w:spacing w:line="296" w:lineRule="exact"/>
              <w:ind w:left="306"/>
              <w:jc w:val="left"/>
              <w:rPr>
                <w:sz w:val="21"/>
              </w:rPr>
            </w:pPr>
            <w:r>
              <w:rPr>
                <w:sz w:val="21"/>
              </w:rPr>
              <w:t>方位</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line="296" w:lineRule="exact"/>
              <w:ind w:left="187"/>
              <w:jc w:val="left"/>
              <w:rPr>
                <w:sz w:val="21"/>
              </w:rPr>
            </w:pPr>
            <w:r>
              <w:rPr>
                <w:spacing w:val="-1"/>
                <w:sz w:val="21"/>
              </w:rPr>
              <w:t>与厂界最</w:t>
            </w:r>
          </w:p>
          <w:p>
            <w:pPr>
              <w:pStyle w:val="TableParagraph"/>
              <w:spacing w:line="296" w:lineRule="exact"/>
              <w:ind w:left="180"/>
              <w:jc w:val="left"/>
              <w:rPr>
                <w:rFonts w:ascii="Times New Roman" w:eastAsia="Times New Roman"/>
                <w:sz w:val="21"/>
              </w:rPr>
            </w:pPr>
            <w:r>
              <w:rPr>
                <w:spacing w:val="-1"/>
                <w:sz w:val="21"/>
              </w:rPr>
              <w:t>近距离</w:t>
            </w:r>
            <w:r>
              <w:rPr>
                <w:rFonts w:ascii="Times New Roman" w:eastAsia="Times New Roman"/>
                <w:spacing w:val="-1"/>
                <w:position w:val="1"/>
                <w:sz w:val="21"/>
              </w:rPr>
              <w:t>/m</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before="73"/>
              <w:ind w:left="489" w:right="458"/>
              <w:rPr>
                <w:sz w:val="21"/>
              </w:rPr>
            </w:pPr>
            <w:r>
              <w:rPr>
                <w:sz w:val="21"/>
              </w:rPr>
              <w:t>属性</w:t>
            </w:r>
          </w:p>
        </w:tc>
        <w:tc>
          <w:tcPr>
            <w:tcW w:w="957" w:type="dxa"/>
            <w:tcBorders>
              <w:top w:val="single" w:sz="6" w:space="0" w:color="000000"/>
              <w:left w:val="single" w:sz="6" w:space="0" w:color="000000"/>
              <w:bottom w:val="single" w:sz="6" w:space="0" w:color="000000"/>
            </w:tcBorders>
          </w:tcPr>
          <w:p>
            <w:pPr>
              <w:pStyle w:val="TableParagraph"/>
              <w:spacing w:before="73"/>
              <w:ind w:left="150" w:right="113"/>
              <w:rPr>
                <w:sz w:val="21"/>
              </w:rPr>
            </w:pPr>
            <w:r>
              <w:rPr>
                <w:sz w:val="21"/>
              </w:rPr>
              <w:t>人口数</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中柴沟村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WSW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449"/>
              <w:jc w:val="left"/>
              <w:rPr>
                <w:rFonts w:ascii="Times New Roman"/>
                <w:sz w:val="21"/>
              </w:rPr>
            </w:pPr>
            <w:r>
              <w:rPr>
                <w:rFonts w:ascii="Times New Roman"/>
                <w:sz w:val="21"/>
              </w:rPr>
              <w:t>300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940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2.</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鲍家村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449"/>
              <w:jc w:val="left"/>
              <w:rPr>
                <w:rFonts w:ascii="Times New Roman"/>
                <w:sz w:val="21"/>
              </w:rPr>
            </w:pPr>
            <w:r>
              <w:rPr>
                <w:rFonts w:ascii="Times New Roman"/>
                <w:sz w:val="21"/>
              </w:rPr>
              <w:t>670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1220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孙家怪草村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3" w:right="193"/>
              <w:rPr>
                <w:rFonts w:ascii="Times New Roman"/>
                <w:sz w:val="21"/>
              </w:rPr>
            </w:pPr>
            <w:r>
              <w:rPr>
                <w:rFonts w:ascii="Times New Roman"/>
                <w:sz w:val="21"/>
              </w:rPr>
              <w:t>ENE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449"/>
              <w:jc w:val="left"/>
              <w:rPr>
                <w:rFonts w:ascii="Times New Roman"/>
                <w:sz w:val="21"/>
              </w:rPr>
            </w:pPr>
            <w:r>
              <w:rPr>
                <w:rFonts w:ascii="Times New Roman"/>
                <w:sz w:val="21"/>
              </w:rPr>
              <w:t>700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630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4.</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王家怪草村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2" w:right="193"/>
              <w:rPr>
                <w:rFonts w:ascii="Times New Roman"/>
                <w:sz w:val="21"/>
              </w:rPr>
            </w:pPr>
            <w:r>
              <w:rPr>
                <w:rFonts w:ascii="Times New Roman"/>
                <w:sz w:val="21"/>
              </w:rPr>
              <w:t>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left="396"/>
              <w:jc w:val="left"/>
              <w:rPr>
                <w:rFonts w:ascii="Times New Roman"/>
                <w:sz w:val="21"/>
              </w:rPr>
            </w:pPr>
            <w:r>
              <w:rPr>
                <w:rFonts w:ascii="Times New Roman"/>
                <w:sz w:val="21"/>
              </w:rPr>
              <w:t>1250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1010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后柴沟村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WNW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401"/>
              <w:jc w:val="left"/>
              <w:rPr>
                <w:rFonts w:ascii="Times New Roman"/>
                <w:sz w:val="21"/>
              </w:rPr>
            </w:pPr>
            <w:r>
              <w:rPr>
                <w:rFonts w:ascii="Times New Roman"/>
                <w:sz w:val="21"/>
              </w:rPr>
              <w:t>1150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48" w:right="113"/>
              <w:rPr>
                <w:rFonts w:ascii="Times New Roman"/>
                <w:sz w:val="21"/>
              </w:rPr>
            </w:pPr>
            <w:r>
              <w:rPr>
                <w:rFonts w:ascii="Times New Roman"/>
                <w:sz w:val="21"/>
              </w:rPr>
              <w:t>1100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6.</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前柴沟村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1350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850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7.</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西石沟村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WSW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1450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380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8.</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河北石沟村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4" w:right="193"/>
              <w:rPr>
                <w:rFonts w:ascii="Times New Roman"/>
                <w:sz w:val="21"/>
              </w:rPr>
            </w:pPr>
            <w:r>
              <w:rPr>
                <w:rFonts w:ascii="Times New Roman"/>
                <w:sz w:val="21"/>
              </w:rPr>
              <w:t>WSW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left="396"/>
              <w:jc w:val="left"/>
              <w:rPr>
                <w:rFonts w:ascii="Times New Roman"/>
                <w:sz w:val="21"/>
              </w:rPr>
            </w:pPr>
            <w:r>
              <w:rPr>
                <w:rFonts w:ascii="Times New Roman"/>
                <w:sz w:val="21"/>
              </w:rPr>
              <w:t>1300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660</w:t>
            </w:r>
          </w:p>
        </w:tc>
      </w:tr>
      <w:tr>
        <w:trPr>
          <w:trHeight w:val="297"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7"/>
              <w:ind w:left="114"/>
              <w:jc w:val="left"/>
              <w:rPr>
                <w:rFonts w:ascii="Times New Roman"/>
                <w:sz w:val="21"/>
              </w:rPr>
            </w:pPr>
            <w:r>
              <w:rPr>
                <w:rFonts w:ascii="Times New Roman"/>
                <w:sz w:val="21"/>
              </w:rPr>
              <w:t>9.</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191" w:right="163"/>
              <w:rPr>
                <w:sz w:val="21"/>
              </w:rPr>
            </w:pPr>
            <w:r>
              <w:rPr>
                <w:sz w:val="21"/>
              </w:rPr>
              <w:t>河南石沟村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7"/>
              <w:ind w:left="224" w:right="193"/>
              <w:rPr>
                <w:rFonts w:ascii="Times New Roman"/>
                <w:sz w:val="21"/>
              </w:rPr>
            </w:pPr>
            <w:r>
              <w:rPr>
                <w:rFonts w:ascii="Times New Roman"/>
                <w:sz w:val="21"/>
              </w:rPr>
              <w:t>SSW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7"/>
              <w:ind w:left="396"/>
              <w:jc w:val="left"/>
              <w:rPr>
                <w:rFonts w:ascii="Times New Roman"/>
                <w:sz w:val="21"/>
              </w:rPr>
            </w:pPr>
            <w:r>
              <w:rPr>
                <w:rFonts w:ascii="Times New Roman"/>
                <w:sz w:val="21"/>
              </w:rPr>
              <w:t>1700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2"/>
              <w:ind w:left="150" w:right="113"/>
              <w:rPr>
                <w:rFonts w:ascii="Times New Roman"/>
                <w:sz w:val="21"/>
              </w:rPr>
            </w:pPr>
            <w:r>
              <w:rPr>
                <w:rFonts w:ascii="Times New Roman"/>
                <w:sz w:val="21"/>
              </w:rPr>
              <w:t>620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10.</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徐家石沟村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1400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280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11.</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宋家石沟村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1450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950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12.</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东石沟村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4" w:right="193"/>
              <w:rPr>
                <w:rFonts w:ascii="Times New Roman"/>
                <w:sz w:val="21"/>
              </w:rPr>
            </w:pPr>
            <w:r>
              <w:rPr>
                <w:rFonts w:ascii="Times New Roman"/>
                <w:sz w:val="21"/>
              </w:rPr>
              <w:t>SE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left="396"/>
              <w:jc w:val="left"/>
              <w:rPr>
                <w:rFonts w:ascii="Times New Roman"/>
                <w:sz w:val="21"/>
              </w:rPr>
            </w:pPr>
            <w:r>
              <w:rPr>
                <w:rFonts w:ascii="Times New Roman"/>
                <w:sz w:val="21"/>
              </w:rPr>
              <w:t>1500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1200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13.</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古路沟村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SE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1800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800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14.</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石门亭村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3" w:right="193"/>
              <w:rPr>
                <w:rFonts w:ascii="Times New Roman"/>
                <w:sz w:val="21"/>
              </w:rPr>
            </w:pPr>
            <w:r>
              <w:rPr>
                <w:rFonts w:ascii="Times New Roman"/>
                <w:sz w:val="21"/>
              </w:rPr>
              <w:t>ENE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2000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800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15.</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后左山村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WNW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2100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1200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16.</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前左山村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6"/>
              <w:rPr>
                <w:rFonts w:ascii="Times New Roman"/>
                <w:sz w:val="21"/>
              </w:rPr>
            </w:pPr>
            <w:r>
              <w:rPr>
                <w:rFonts w:ascii="Times New Roman"/>
                <w:w w:val="100"/>
                <w:sz w:val="21"/>
              </w:rPr>
              <w:t>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left="396"/>
              <w:jc w:val="left"/>
              <w:rPr>
                <w:rFonts w:ascii="Times New Roman"/>
                <w:sz w:val="21"/>
              </w:rPr>
            </w:pPr>
            <w:r>
              <w:rPr>
                <w:rFonts w:ascii="Times New Roman"/>
                <w:sz w:val="21"/>
              </w:rPr>
              <w:t>2200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1000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17.</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淹子村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2100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150" w:right="113"/>
              <w:rPr>
                <w:rFonts w:ascii="Times New Roman"/>
                <w:sz w:val="21"/>
              </w:rPr>
            </w:pPr>
            <w:r>
              <w:rPr>
                <w:rFonts w:ascii="Times New Roman"/>
                <w:sz w:val="21"/>
              </w:rPr>
              <w:t>1020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18.</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渰子联小</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left="396"/>
              <w:jc w:val="left"/>
              <w:rPr>
                <w:rFonts w:ascii="Times New Roman"/>
                <w:sz w:val="21"/>
              </w:rPr>
            </w:pPr>
            <w:r>
              <w:rPr>
                <w:rFonts w:ascii="Times New Roman"/>
                <w:sz w:val="21"/>
              </w:rPr>
              <w:t>2600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学校</w:t>
            </w:r>
          </w:p>
        </w:tc>
        <w:tc>
          <w:tcPr>
            <w:tcW w:w="957" w:type="dxa"/>
            <w:tcBorders>
              <w:top w:val="single" w:sz="6" w:space="0" w:color="000000"/>
              <w:left w:val="single" w:sz="6" w:space="0" w:color="000000"/>
              <w:bottom w:val="single" w:sz="6" w:space="0" w:color="000000"/>
            </w:tcBorders>
          </w:tcPr>
          <w:p>
            <w:pPr>
              <w:pStyle w:val="TableParagraph"/>
              <w:spacing w:before="21"/>
              <w:ind w:left="146" w:right="113"/>
              <w:rPr>
                <w:rFonts w:ascii="Times New Roman"/>
                <w:sz w:val="21"/>
              </w:rPr>
            </w:pPr>
            <w:r>
              <w:rPr>
                <w:rFonts w:ascii="Times New Roman"/>
                <w:sz w:val="21"/>
              </w:rPr>
              <w:t>99</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7"/>
              <w:ind w:left="114"/>
              <w:jc w:val="left"/>
              <w:rPr>
                <w:rFonts w:ascii="Times New Roman"/>
                <w:sz w:val="21"/>
              </w:rPr>
            </w:pPr>
            <w:r>
              <w:rPr>
                <w:rFonts w:ascii="Times New Roman"/>
                <w:sz w:val="21"/>
              </w:rPr>
              <w:t>19.</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194" w:right="163"/>
              <w:rPr>
                <w:sz w:val="21"/>
              </w:rPr>
            </w:pPr>
            <w:r>
              <w:rPr>
                <w:sz w:val="21"/>
              </w:rPr>
              <w:t>岭泉镇</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7"/>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7"/>
              <w:ind w:left="396"/>
              <w:jc w:val="left"/>
              <w:rPr>
                <w:rFonts w:ascii="Times New Roman"/>
                <w:sz w:val="21"/>
              </w:rPr>
            </w:pPr>
            <w:r>
              <w:rPr>
                <w:rFonts w:ascii="Times New Roman"/>
                <w:sz w:val="21"/>
              </w:rPr>
              <w:t>2000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2"/>
              <w:ind w:left="150" w:right="113"/>
              <w:rPr>
                <w:rFonts w:ascii="Times New Roman"/>
                <w:sz w:val="21"/>
              </w:rPr>
            </w:pPr>
            <w:r>
              <w:rPr>
                <w:rFonts w:ascii="Times New Roman"/>
                <w:sz w:val="21"/>
              </w:rPr>
              <w:t>2500</w:t>
            </w:r>
          </w:p>
        </w:tc>
      </w:tr>
      <w:tr>
        <w:trPr>
          <w:trHeight w:val="303"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20.</w:t>
            </w:r>
          </w:p>
        </w:tc>
        <w:tc>
          <w:tcPr>
            <w:tcW w:w="1673" w:type="dxa"/>
            <w:tcBorders>
              <w:top w:val="single" w:sz="6" w:space="0" w:color="000000"/>
              <w:left w:val="single" w:sz="6" w:space="0" w:color="000000"/>
              <w:right w:val="single" w:sz="6" w:space="0" w:color="000000"/>
            </w:tcBorders>
          </w:tcPr>
          <w:p>
            <w:pPr>
              <w:pStyle w:val="TableParagraph"/>
              <w:spacing w:line="284" w:lineRule="exact"/>
              <w:ind w:left="191" w:right="163"/>
              <w:rPr>
                <w:sz w:val="21"/>
              </w:rPr>
            </w:pPr>
            <w:r>
              <w:rPr>
                <w:sz w:val="21"/>
              </w:rPr>
              <w:t>杨家渰子村</w:t>
            </w:r>
          </w:p>
        </w:tc>
        <w:tc>
          <w:tcPr>
            <w:tcW w:w="1022" w:type="dxa"/>
            <w:tcBorders>
              <w:top w:val="single" w:sz="6" w:space="0" w:color="000000"/>
              <w:left w:val="single" w:sz="6" w:space="0" w:color="000000"/>
              <w:right w:val="single" w:sz="6" w:space="0" w:color="000000"/>
            </w:tcBorders>
          </w:tcPr>
          <w:p>
            <w:pPr>
              <w:pStyle w:val="TableParagraph"/>
              <w:spacing w:before="29"/>
              <w:ind w:left="222" w:right="193"/>
              <w:rPr>
                <w:rFonts w:ascii="Times New Roman"/>
                <w:sz w:val="21"/>
              </w:rPr>
            </w:pPr>
            <w:r>
              <w:rPr>
                <w:rFonts w:ascii="Times New Roman"/>
                <w:sz w:val="21"/>
              </w:rPr>
              <w:t>NE</w:t>
            </w:r>
          </w:p>
        </w:tc>
        <w:tc>
          <w:tcPr>
            <w:tcW w:w="1202" w:type="dxa"/>
            <w:tcBorders>
              <w:top w:val="single" w:sz="6" w:space="0" w:color="000000"/>
              <w:left w:val="single" w:sz="6" w:space="0" w:color="000000"/>
              <w:right w:val="single" w:sz="6" w:space="0" w:color="000000"/>
            </w:tcBorders>
          </w:tcPr>
          <w:p>
            <w:pPr>
              <w:pStyle w:val="TableParagraph"/>
              <w:spacing w:before="29"/>
              <w:ind w:left="396"/>
              <w:jc w:val="left"/>
              <w:rPr>
                <w:rFonts w:ascii="Times New Roman"/>
                <w:sz w:val="21"/>
              </w:rPr>
            </w:pPr>
            <w:r>
              <w:rPr>
                <w:rFonts w:ascii="Times New Roman"/>
                <w:sz w:val="21"/>
              </w:rPr>
              <w:t>3010</w:t>
            </w:r>
          </w:p>
        </w:tc>
        <w:tc>
          <w:tcPr>
            <w:tcW w:w="1632" w:type="dxa"/>
            <w:tcBorders>
              <w:top w:val="single" w:sz="6" w:space="0" w:color="000000"/>
              <w:left w:val="single" w:sz="6" w:space="0" w:color="000000"/>
              <w:right w:val="single" w:sz="6" w:space="0" w:color="000000"/>
            </w:tcBorders>
          </w:tcPr>
          <w:p>
            <w:pPr>
              <w:pStyle w:val="TableParagraph"/>
              <w:spacing w:line="284" w:lineRule="exact"/>
              <w:ind w:left="489" w:right="458"/>
              <w:rPr>
                <w:sz w:val="21"/>
              </w:rPr>
            </w:pPr>
            <w:r>
              <w:rPr>
                <w:sz w:val="21"/>
              </w:rPr>
              <w:t>行政村</w:t>
            </w:r>
          </w:p>
        </w:tc>
        <w:tc>
          <w:tcPr>
            <w:tcW w:w="957" w:type="dxa"/>
            <w:tcBorders>
              <w:top w:val="single" w:sz="6" w:space="0" w:color="000000"/>
              <w:left w:val="single" w:sz="6" w:space="0" w:color="000000"/>
            </w:tcBorders>
          </w:tcPr>
          <w:p>
            <w:pPr>
              <w:pStyle w:val="TableParagraph"/>
              <w:spacing w:before="21"/>
              <w:ind w:left="150" w:right="113"/>
              <w:rPr>
                <w:rFonts w:ascii="Times New Roman"/>
                <w:sz w:val="21"/>
              </w:rPr>
            </w:pPr>
            <w:r>
              <w:rPr>
                <w:rFonts w:ascii="Times New Roman"/>
                <w:sz w:val="21"/>
              </w:rPr>
              <w:t>850</w:t>
            </w:r>
          </w:p>
        </w:tc>
      </w:tr>
    </w:tbl>
    <w:p>
      <w:pPr>
        <w:spacing w:after="0"/>
        <w:rPr>
          <w:rFonts w:ascii="Times New Roman"/>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6"/>
        <w:gridCol w:w="624"/>
        <w:gridCol w:w="1673"/>
        <w:gridCol w:w="1022"/>
        <w:gridCol w:w="1202"/>
        <w:gridCol w:w="1632"/>
        <w:gridCol w:w="957"/>
      </w:tblGrid>
      <w:tr>
        <w:trPr>
          <w:trHeight w:val="616" w:hRule="atLeast"/>
        </w:trPr>
        <w:tc>
          <w:tcPr>
            <w:tcW w:w="1186" w:type="dxa"/>
            <w:vMerge w:val="restart"/>
            <w:tcBorders>
              <w:right w:val="single" w:sz="6" w:space="0" w:color="000000"/>
            </w:tcBorders>
          </w:tcPr>
          <w:p>
            <w:pPr>
              <w:pStyle w:val="TableParagraph"/>
              <w:jc w:val="left"/>
              <w:rPr>
                <w:rFonts w:ascii="Times New Roman"/>
                <w:sz w:val="20"/>
              </w:rPr>
            </w:pPr>
          </w:p>
        </w:tc>
        <w:tc>
          <w:tcPr>
            <w:tcW w:w="624" w:type="dxa"/>
            <w:tcBorders>
              <w:left w:val="single" w:sz="6" w:space="0" w:color="000000"/>
              <w:bottom w:val="single" w:sz="6" w:space="0" w:color="000000"/>
              <w:right w:val="single" w:sz="6" w:space="0" w:color="000000"/>
            </w:tcBorders>
          </w:tcPr>
          <w:p>
            <w:pPr>
              <w:pStyle w:val="TableParagraph"/>
              <w:spacing w:before="190"/>
              <w:ind w:left="114"/>
              <w:jc w:val="left"/>
              <w:rPr>
                <w:rFonts w:ascii="Times New Roman"/>
                <w:sz w:val="21"/>
              </w:rPr>
            </w:pPr>
            <w:r>
              <w:rPr>
                <w:rFonts w:ascii="Times New Roman"/>
                <w:sz w:val="21"/>
              </w:rPr>
              <w:t>21.</w:t>
            </w:r>
          </w:p>
        </w:tc>
        <w:tc>
          <w:tcPr>
            <w:tcW w:w="1673" w:type="dxa"/>
            <w:tcBorders>
              <w:left w:val="single" w:sz="6" w:space="0" w:color="000000"/>
              <w:bottom w:val="single" w:sz="6" w:space="0" w:color="000000"/>
              <w:right w:val="single" w:sz="6" w:space="0" w:color="000000"/>
            </w:tcBorders>
          </w:tcPr>
          <w:p>
            <w:pPr>
              <w:pStyle w:val="TableParagraph"/>
              <w:spacing w:line="302" w:lineRule="exact"/>
              <w:ind w:left="194" w:right="163"/>
              <w:rPr>
                <w:sz w:val="21"/>
              </w:rPr>
            </w:pPr>
            <w:r>
              <w:rPr>
                <w:sz w:val="21"/>
              </w:rPr>
              <w:t>岭泉镇中心小</w:t>
            </w:r>
          </w:p>
          <w:p>
            <w:pPr>
              <w:pStyle w:val="TableParagraph"/>
              <w:spacing w:line="294" w:lineRule="exact"/>
              <w:ind w:left="26"/>
              <w:rPr>
                <w:sz w:val="21"/>
              </w:rPr>
            </w:pPr>
            <w:r>
              <w:rPr>
                <w:w w:val="100"/>
                <w:sz w:val="21"/>
              </w:rPr>
              <w:t>学</w:t>
            </w:r>
          </w:p>
        </w:tc>
        <w:tc>
          <w:tcPr>
            <w:tcW w:w="1022" w:type="dxa"/>
            <w:tcBorders>
              <w:left w:val="single" w:sz="6" w:space="0" w:color="000000"/>
              <w:bottom w:val="single" w:sz="6" w:space="0" w:color="000000"/>
              <w:right w:val="single" w:sz="6" w:space="0" w:color="000000"/>
            </w:tcBorders>
          </w:tcPr>
          <w:p>
            <w:pPr>
              <w:pStyle w:val="TableParagraph"/>
              <w:spacing w:before="190"/>
              <w:ind w:left="27"/>
              <w:rPr>
                <w:rFonts w:ascii="Times New Roman"/>
                <w:sz w:val="21"/>
              </w:rPr>
            </w:pPr>
            <w:r>
              <w:rPr>
                <w:rFonts w:ascii="Times New Roman"/>
                <w:w w:val="100"/>
                <w:sz w:val="21"/>
              </w:rPr>
              <w:t>N</w:t>
            </w:r>
          </w:p>
        </w:tc>
        <w:tc>
          <w:tcPr>
            <w:tcW w:w="1202" w:type="dxa"/>
            <w:tcBorders>
              <w:left w:val="single" w:sz="6" w:space="0" w:color="000000"/>
              <w:bottom w:val="single" w:sz="6" w:space="0" w:color="000000"/>
              <w:right w:val="single" w:sz="6" w:space="0" w:color="000000"/>
            </w:tcBorders>
          </w:tcPr>
          <w:p>
            <w:pPr>
              <w:pStyle w:val="TableParagraph"/>
              <w:spacing w:before="190"/>
              <w:ind w:right="366"/>
              <w:jc w:val="right"/>
              <w:rPr>
                <w:rFonts w:ascii="Times New Roman"/>
                <w:sz w:val="21"/>
              </w:rPr>
            </w:pPr>
            <w:r>
              <w:rPr>
                <w:rFonts w:ascii="Times New Roman"/>
                <w:sz w:val="21"/>
              </w:rPr>
              <w:t>2400</w:t>
            </w:r>
          </w:p>
        </w:tc>
        <w:tc>
          <w:tcPr>
            <w:tcW w:w="1632" w:type="dxa"/>
            <w:tcBorders>
              <w:left w:val="single" w:sz="6" w:space="0" w:color="000000"/>
              <w:bottom w:val="single" w:sz="6" w:space="0" w:color="000000"/>
              <w:right w:val="single" w:sz="6" w:space="0" w:color="000000"/>
            </w:tcBorders>
          </w:tcPr>
          <w:p>
            <w:pPr>
              <w:pStyle w:val="TableParagraph"/>
              <w:spacing w:before="77"/>
              <w:ind w:left="489" w:right="458"/>
              <w:rPr>
                <w:sz w:val="21"/>
              </w:rPr>
            </w:pPr>
            <w:r>
              <w:rPr>
                <w:sz w:val="21"/>
              </w:rPr>
              <w:t>学校</w:t>
            </w:r>
          </w:p>
        </w:tc>
        <w:tc>
          <w:tcPr>
            <w:tcW w:w="957" w:type="dxa"/>
            <w:tcBorders>
              <w:left w:val="single" w:sz="6" w:space="0" w:color="000000"/>
              <w:bottom w:val="single" w:sz="6" w:space="0" w:color="000000"/>
            </w:tcBorders>
          </w:tcPr>
          <w:p>
            <w:pPr>
              <w:pStyle w:val="TableParagraph"/>
              <w:spacing w:before="185"/>
              <w:ind w:left="275"/>
              <w:jc w:val="left"/>
              <w:rPr>
                <w:rFonts w:ascii="Times New Roman"/>
                <w:sz w:val="21"/>
              </w:rPr>
            </w:pPr>
            <w:r>
              <w:rPr>
                <w:rFonts w:ascii="Times New Roman"/>
                <w:sz w:val="21"/>
              </w:rPr>
              <w:t>1292</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22.</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岭泉镇中学</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4" w:right="193"/>
              <w:rPr>
                <w:rFonts w:ascii="Times New Roman"/>
                <w:sz w:val="21"/>
              </w:rPr>
            </w:pPr>
            <w:r>
              <w:rPr>
                <w:rFonts w:ascii="Times New Roman"/>
                <w:sz w:val="21"/>
              </w:rPr>
              <w:t>WNW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2800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学校</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896</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23.</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于家渰子村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2900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900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24.</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化家庙子村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2450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25.</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前葛集子村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2700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830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26.</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大葛集子村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3270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5"/>
              <w:jc w:val="left"/>
              <w:rPr>
                <w:rFonts w:ascii="Times New Roman"/>
                <w:sz w:val="21"/>
              </w:rPr>
            </w:pPr>
            <w:r>
              <w:rPr>
                <w:rFonts w:ascii="Times New Roman"/>
                <w:sz w:val="21"/>
              </w:rPr>
              <w:t>1200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27.</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南石桥</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8"/>
              <w:rPr>
                <w:rFonts w:ascii="Times New Roman"/>
                <w:sz w:val="21"/>
              </w:rPr>
            </w:pPr>
            <w:r>
              <w:rPr>
                <w:rFonts w:ascii="Times New Roman"/>
                <w:w w:val="100"/>
                <w:sz w:val="21"/>
              </w:rPr>
              <w:t>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3380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7"/>
              <w:jc w:val="left"/>
              <w:rPr>
                <w:rFonts w:ascii="Times New Roman"/>
                <w:sz w:val="21"/>
              </w:rPr>
            </w:pPr>
            <w:r>
              <w:rPr>
                <w:rFonts w:ascii="Times New Roman"/>
                <w:sz w:val="21"/>
              </w:rPr>
              <w:t>1100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28.</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北石桥</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8"/>
              <w:rPr>
                <w:rFonts w:ascii="Times New Roman"/>
                <w:sz w:val="21"/>
              </w:rPr>
            </w:pPr>
            <w:r>
              <w:rPr>
                <w:rFonts w:ascii="Times New Roman"/>
                <w:w w:val="100"/>
                <w:sz w:val="21"/>
              </w:rPr>
              <w:t>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3250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7"/>
              <w:jc w:val="left"/>
              <w:rPr>
                <w:rFonts w:ascii="Times New Roman"/>
                <w:sz w:val="21"/>
              </w:rPr>
            </w:pPr>
            <w:r>
              <w:rPr>
                <w:rFonts w:ascii="Times New Roman"/>
                <w:sz w:val="21"/>
              </w:rPr>
              <w:t>1150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29.</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前良村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8"/>
              <w:rPr>
                <w:rFonts w:ascii="Times New Roman"/>
                <w:sz w:val="21"/>
              </w:rPr>
            </w:pPr>
            <w:r>
              <w:rPr>
                <w:rFonts w:ascii="Times New Roman"/>
                <w:w w:val="100"/>
                <w:sz w:val="21"/>
              </w:rPr>
              <w:t>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2860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5"/>
              <w:jc w:val="left"/>
              <w:rPr>
                <w:rFonts w:ascii="Times New Roman"/>
                <w:sz w:val="21"/>
              </w:rPr>
            </w:pPr>
            <w:r>
              <w:rPr>
                <w:rFonts w:ascii="Times New Roman"/>
                <w:sz w:val="21"/>
              </w:rPr>
              <w:t>1350</w:t>
            </w:r>
          </w:p>
        </w:tc>
      </w:tr>
      <w:tr>
        <w:trPr>
          <w:trHeight w:val="299"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30.</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4" w:right="163"/>
              <w:rPr>
                <w:sz w:val="21"/>
              </w:rPr>
            </w:pPr>
            <w:r>
              <w:rPr>
                <w:sz w:val="21"/>
              </w:rPr>
              <w:t>钓鱼台</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8"/>
              <w:rPr>
                <w:rFonts w:ascii="Times New Roman"/>
                <w:sz w:val="21"/>
              </w:rPr>
            </w:pPr>
            <w:r>
              <w:rPr>
                <w:rFonts w:ascii="Times New Roman"/>
                <w:w w:val="100"/>
                <w:sz w:val="21"/>
              </w:rPr>
              <w:t>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3030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2"/>
              <w:ind w:left="277"/>
              <w:jc w:val="left"/>
              <w:rPr>
                <w:rFonts w:ascii="Times New Roman"/>
                <w:sz w:val="21"/>
              </w:rPr>
            </w:pPr>
            <w:r>
              <w:rPr>
                <w:rFonts w:ascii="Times New Roman"/>
                <w:sz w:val="21"/>
              </w:rPr>
              <w:t>1100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31.</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纪家园</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2960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550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32.</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彭墩后村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3170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450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33.</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薛墩后村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750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34.</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新庄子村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3450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860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35.</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小官庄村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812</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36.</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庞疃社区</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WSW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320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37.</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东于家湖村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3250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315</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38.</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西于家湖村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2" w:right="193"/>
              <w:rPr>
                <w:rFonts w:ascii="Times New Roman"/>
                <w:sz w:val="21"/>
              </w:rPr>
            </w:pPr>
            <w:r>
              <w:rPr>
                <w:rFonts w:ascii="Times New Roman"/>
                <w:sz w:val="21"/>
              </w:rPr>
              <w:t>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3500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5"/>
              <w:jc w:val="left"/>
              <w:rPr>
                <w:rFonts w:ascii="Times New Roman"/>
                <w:sz w:val="21"/>
              </w:rPr>
            </w:pPr>
            <w:r>
              <w:rPr>
                <w:rFonts w:ascii="Times New Roman"/>
                <w:sz w:val="21"/>
              </w:rPr>
              <w:t>1014</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39.</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南张家岭村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3830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5"/>
              <w:jc w:val="left"/>
              <w:rPr>
                <w:rFonts w:ascii="Times New Roman"/>
                <w:sz w:val="21"/>
              </w:rPr>
            </w:pPr>
            <w:r>
              <w:rPr>
                <w:rFonts w:ascii="Times New Roman"/>
                <w:sz w:val="21"/>
              </w:rPr>
              <w:t>1005</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7"/>
              <w:ind w:left="114"/>
              <w:jc w:val="left"/>
              <w:rPr>
                <w:rFonts w:ascii="Times New Roman"/>
                <w:sz w:val="21"/>
              </w:rPr>
            </w:pPr>
            <w:r>
              <w:rPr>
                <w:rFonts w:ascii="Times New Roman"/>
                <w:sz w:val="21"/>
              </w:rPr>
              <w:t>40.</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194" w:right="163"/>
              <w:rPr>
                <w:sz w:val="21"/>
              </w:rPr>
            </w:pPr>
            <w:r>
              <w:rPr>
                <w:sz w:val="21"/>
              </w:rPr>
              <w:t>邓家村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7"/>
              <w:ind w:left="222" w:right="193"/>
              <w:rPr>
                <w:rFonts w:ascii="Times New Roman"/>
                <w:sz w:val="21"/>
              </w:rPr>
            </w:pPr>
            <w:r>
              <w:rPr>
                <w:rFonts w:ascii="Times New Roman"/>
                <w:sz w:val="21"/>
              </w:rPr>
              <w:t>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7"/>
              <w:ind w:right="366"/>
              <w:jc w:val="right"/>
              <w:rPr>
                <w:rFonts w:ascii="Times New Roman"/>
                <w:sz w:val="21"/>
              </w:rPr>
            </w:pPr>
            <w:r>
              <w:rPr>
                <w:rFonts w:ascii="Times New Roman"/>
                <w:sz w:val="21"/>
              </w:rPr>
              <w:t>3500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2"/>
              <w:ind w:left="327"/>
              <w:jc w:val="left"/>
              <w:rPr>
                <w:rFonts w:ascii="Times New Roman"/>
                <w:sz w:val="21"/>
              </w:rPr>
            </w:pPr>
            <w:r>
              <w:rPr>
                <w:rFonts w:ascii="Times New Roman"/>
                <w:sz w:val="21"/>
              </w:rPr>
              <w:t>890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41.</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东刘村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3350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780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42.</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4" w:right="163"/>
              <w:rPr>
                <w:sz w:val="21"/>
              </w:rPr>
            </w:pPr>
            <w:r>
              <w:rPr>
                <w:sz w:val="21"/>
              </w:rPr>
              <w:t>富兴村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3200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680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43.</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赵家欢疃村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3150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870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44.</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宋家欢疃村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3300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860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45.</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王家欢疃村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3350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550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46.</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4" w:right="163"/>
              <w:rPr>
                <w:sz w:val="21"/>
              </w:rPr>
            </w:pPr>
            <w:r>
              <w:rPr>
                <w:sz w:val="21"/>
              </w:rPr>
              <w:t>老古窝</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2" w:right="193"/>
              <w:rPr>
                <w:rFonts w:ascii="Times New Roman"/>
                <w:sz w:val="21"/>
              </w:rPr>
            </w:pPr>
            <w:r>
              <w:rPr>
                <w:rFonts w:ascii="Times New Roman"/>
                <w:sz w:val="21"/>
              </w:rPr>
              <w:t>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3450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870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47.</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歇官村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3800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440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48.</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赵家河子村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SE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3720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890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49.</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沟头社区</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3850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5"/>
              <w:jc w:val="left"/>
              <w:rPr>
                <w:rFonts w:ascii="Times New Roman"/>
                <w:sz w:val="21"/>
              </w:rPr>
            </w:pPr>
            <w:r>
              <w:rPr>
                <w:rFonts w:ascii="Times New Roman"/>
                <w:sz w:val="21"/>
              </w:rPr>
              <w:t>1420</w:t>
            </w:r>
          </w:p>
        </w:tc>
      </w:tr>
      <w:tr>
        <w:trPr>
          <w:trHeight w:val="299"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50.</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马棚官庄村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2" w:right="193"/>
              <w:rPr>
                <w:rFonts w:ascii="Times New Roman"/>
                <w:sz w:val="21"/>
              </w:rPr>
            </w:pPr>
            <w:r>
              <w:rPr>
                <w:rFonts w:ascii="Times New Roman"/>
                <w:sz w:val="21"/>
              </w:rPr>
              <w:t>NE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3950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7"/>
              <w:jc w:val="left"/>
              <w:rPr>
                <w:rFonts w:ascii="Times New Roman"/>
                <w:sz w:val="21"/>
              </w:rPr>
            </w:pPr>
            <w:r>
              <w:rPr>
                <w:rFonts w:ascii="Times New Roman"/>
                <w:sz w:val="21"/>
              </w:rPr>
              <w:t>1150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51.</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王彭蒋村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2" w:right="193"/>
              <w:rPr>
                <w:rFonts w:ascii="Times New Roman"/>
                <w:sz w:val="21"/>
              </w:rPr>
            </w:pPr>
            <w:r>
              <w:rPr>
                <w:rFonts w:ascii="Times New Roman"/>
                <w:sz w:val="21"/>
              </w:rPr>
              <w:t>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4200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980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52.</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孙官庄村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SSW</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4250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780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53.</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小坊村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4750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540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54.</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西莲江崖</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6"/>
              <w:rPr>
                <w:rFonts w:ascii="Times New Roman"/>
                <w:sz w:val="21"/>
              </w:rPr>
            </w:pPr>
            <w:r>
              <w:rPr>
                <w:rFonts w:ascii="Times New Roman"/>
                <w:w w:val="100"/>
                <w:sz w:val="21"/>
              </w:rPr>
              <w:t>S</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4650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650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55.</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许家黄庄</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SE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4200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560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56.</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东王家黄庄</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SE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800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57.</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4" w:right="163"/>
              <w:rPr>
                <w:sz w:val="21"/>
              </w:rPr>
            </w:pPr>
            <w:r>
              <w:rPr>
                <w:sz w:val="21"/>
              </w:rPr>
              <w:t>黄庄村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SE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4600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650</w:t>
            </w:r>
          </w:p>
        </w:tc>
      </w:tr>
      <w:tr>
        <w:trPr>
          <w:trHeight w:val="298"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9"/>
              <w:ind w:left="114"/>
              <w:jc w:val="left"/>
              <w:rPr>
                <w:rFonts w:ascii="Times New Roman"/>
                <w:sz w:val="21"/>
              </w:rPr>
            </w:pPr>
            <w:r>
              <w:rPr>
                <w:rFonts w:ascii="Times New Roman"/>
                <w:sz w:val="21"/>
              </w:rPr>
              <w:t>58.</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1" w:right="163"/>
              <w:rPr>
                <w:sz w:val="21"/>
              </w:rPr>
            </w:pPr>
            <w:r>
              <w:rPr>
                <w:sz w:val="21"/>
              </w:rPr>
              <w:t>曹家黄庄</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9"/>
              <w:ind w:left="224" w:right="193"/>
              <w:rPr>
                <w:rFonts w:ascii="Times New Roman"/>
                <w:sz w:val="21"/>
              </w:rPr>
            </w:pPr>
            <w:r>
              <w:rPr>
                <w:rFonts w:ascii="Times New Roman"/>
                <w:sz w:val="21"/>
              </w:rPr>
              <w:t>SE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9"/>
              <w:ind w:right="366"/>
              <w:jc w:val="right"/>
              <w:rPr>
                <w:rFonts w:ascii="Times New Roman"/>
                <w:sz w:val="21"/>
              </w:rPr>
            </w:pPr>
            <w:r>
              <w:rPr>
                <w:rFonts w:ascii="Times New Roman"/>
                <w:sz w:val="21"/>
              </w:rPr>
              <w:t>4700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600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59.</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91" w:right="163"/>
              <w:rPr>
                <w:sz w:val="21"/>
              </w:rPr>
            </w:pPr>
            <w:r>
              <w:rPr>
                <w:sz w:val="21"/>
              </w:rPr>
              <w:t>东良店村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8"/>
              <w:rPr>
                <w:rFonts w:ascii="Times New Roman"/>
                <w:sz w:val="21"/>
              </w:rPr>
            </w:pPr>
            <w:r>
              <w:rPr>
                <w:rFonts w:ascii="Times New Roman"/>
                <w:w w:val="100"/>
                <w:sz w:val="21"/>
              </w:rPr>
              <w:t>E</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4500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277"/>
              <w:jc w:val="left"/>
              <w:rPr>
                <w:rFonts w:ascii="Times New Roman"/>
                <w:sz w:val="21"/>
              </w:rPr>
            </w:pPr>
            <w:r>
              <w:rPr>
                <w:rFonts w:ascii="Times New Roman"/>
                <w:sz w:val="21"/>
              </w:rPr>
              <w:t>1150</w:t>
            </w:r>
          </w:p>
        </w:tc>
      </w:tr>
      <w:tr>
        <w:trPr>
          <w:trHeight w:val="296"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60.</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191" w:right="163"/>
              <w:rPr>
                <w:sz w:val="21"/>
              </w:rPr>
            </w:pPr>
            <w:r>
              <w:rPr>
                <w:sz w:val="21"/>
              </w:rPr>
              <w:t>薛家水磨村</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N</w:t>
            </w:r>
          </w:p>
        </w:tc>
        <w:tc>
          <w:tcPr>
            <w:tcW w:w="1202" w:type="dxa"/>
            <w:tcBorders>
              <w:top w:val="single" w:sz="6" w:space="0" w:color="000000"/>
              <w:left w:val="single" w:sz="6" w:space="0" w:color="000000"/>
              <w:bottom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4200</w:t>
            </w:r>
          </w:p>
        </w:tc>
        <w:tc>
          <w:tcPr>
            <w:tcW w:w="1632"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489" w:right="458"/>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1"/>
              <w:ind w:left="327"/>
              <w:jc w:val="left"/>
              <w:rPr>
                <w:rFonts w:ascii="Times New Roman"/>
                <w:sz w:val="21"/>
              </w:rPr>
            </w:pPr>
            <w:r>
              <w:rPr>
                <w:rFonts w:ascii="Times New Roman"/>
                <w:sz w:val="21"/>
              </w:rPr>
              <w:t>980</w:t>
            </w:r>
          </w:p>
        </w:tc>
      </w:tr>
      <w:tr>
        <w:trPr>
          <w:trHeight w:val="303"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right w:val="single" w:sz="6" w:space="0" w:color="000000"/>
            </w:tcBorders>
          </w:tcPr>
          <w:p>
            <w:pPr>
              <w:pStyle w:val="TableParagraph"/>
              <w:spacing w:before="26"/>
              <w:ind w:left="114"/>
              <w:jc w:val="left"/>
              <w:rPr>
                <w:rFonts w:ascii="Times New Roman"/>
                <w:sz w:val="21"/>
              </w:rPr>
            </w:pPr>
            <w:r>
              <w:rPr>
                <w:rFonts w:ascii="Times New Roman"/>
                <w:sz w:val="21"/>
              </w:rPr>
              <w:t>61.</w:t>
            </w:r>
          </w:p>
        </w:tc>
        <w:tc>
          <w:tcPr>
            <w:tcW w:w="1673" w:type="dxa"/>
            <w:tcBorders>
              <w:top w:val="single" w:sz="6" w:space="0" w:color="000000"/>
              <w:left w:val="single" w:sz="6" w:space="0" w:color="000000"/>
              <w:right w:val="single" w:sz="6" w:space="0" w:color="000000"/>
            </w:tcBorders>
          </w:tcPr>
          <w:p>
            <w:pPr>
              <w:pStyle w:val="TableParagraph"/>
              <w:spacing w:line="284" w:lineRule="exact"/>
              <w:ind w:left="194" w:right="163"/>
              <w:rPr>
                <w:sz w:val="21"/>
              </w:rPr>
            </w:pPr>
            <w:r>
              <w:rPr>
                <w:sz w:val="21"/>
              </w:rPr>
              <w:t>桥头村</w:t>
            </w:r>
          </w:p>
        </w:tc>
        <w:tc>
          <w:tcPr>
            <w:tcW w:w="1022" w:type="dxa"/>
            <w:tcBorders>
              <w:top w:val="single" w:sz="6" w:space="0" w:color="000000"/>
              <w:left w:val="single" w:sz="6" w:space="0" w:color="000000"/>
              <w:right w:val="single" w:sz="6" w:space="0" w:color="000000"/>
            </w:tcBorders>
          </w:tcPr>
          <w:p>
            <w:pPr>
              <w:pStyle w:val="TableParagraph"/>
              <w:spacing w:before="26"/>
              <w:ind w:left="224" w:right="193"/>
              <w:rPr>
                <w:rFonts w:ascii="Times New Roman"/>
                <w:sz w:val="21"/>
              </w:rPr>
            </w:pPr>
            <w:r>
              <w:rPr>
                <w:rFonts w:ascii="Times New Roman"/>
                <w:sz w:val="21"/>
              </w:rPr>
              <w:t>WSW</w:t>
            </w:r>
          </w:p>
        </w:tc>
        <w:tc>
          <w:tcPr>
            <w:tcW w:w="1202" w:type="dxa"/>
            <w:tcBorders>
              <w:top w:val="single" w:sz="6" w:space="0" w:color="000000"/>
              <w:left w:val="single" w:sz="6" w:space="0" w:color="000000"/>
              <w:right w:val="single" w:sz="6" w:space="0" w:color="000000"/>
            </w:tcBorders>
          </w:tcPr>
          <w:p>
            <w:pPr>
              <w:pStyle w:val="TableParagraph"/>
              <w:spacing w:before="26"/>
              <w:ind w:right="366"/>
              <w:jc w:val="right"/>
              <w:rPr>
                <w:rFonts w:ascii="Times New Roman"/>
                <w:sz w:val="21"/>
              </w:rPr>
            </w:pPr>
            <w:r>
              <w:rPr>
                <w:rFonts w:ascii="Times New Roman"/>
                <w:sz w:val="21"/>
              </w:rPr>
              <w:t>4460</w:t>
            </w:r>
          </w:p>
        </w:tc>
        <w:tc>
          <w:tcPr>
            <w:tcW w:w="1632" w:type="dxa"/>
            <w:tcBorders>
              <w:top w:val="single" w:sz="6" w:space="0" w:color="000000"/>
              <w:left w:val="single" w:sz="6" w:space="0" w:color="000000"/>
              <w:right w:val="single" w:sz="6" w:space="0" w:color="000000"/>
            </w:tcBorders>
          </w:tcPr>
          <w:p>
            <w:pPr>
              <w:pStyle w:val="TableParagraph"/>
              <w:spacing w:line="284" w:lineRule="exact"/>
              <w:ind w:left="489" w:right="458"/>
              <w:rPr>
                <w:sz w:val="21"/>
              </w:rPr>
            </w:pPr>
            <w:r>
              <w:rPr>
                <w:sz w:val="21"/>
              </w:rPr>
              <w:t>行政村</w:t>
            </w:r>
          </w:p>
        </w:tc>
        <w:tc>
          <w:tcPr>
            <w:tcW w:w="957" w:type="dxa"/>
            <w:tcBorders>
              <w:top w:val="single" w:sz="6" w:space="0" w:color="000000"/>
              <w:left w:val="single" w:sz="6" w:space="0" w:color="000000"/>
            </w:tcBorders>
          </w:tcPr>
          <w:p>
            <w:pPr>
              <w:pStyle w:val="TableParagraph"/>
              <w:spacing w:before="21"/>
              <w:ind w:left="327"/>
              <w:jc w:val="left"/>
              <w:rPr>
                <w:rFonts w:ascii="Times New Roman"/>
                <w:sz w:val="21"/>
              </w:rPr>
            </w:pPr>
            <w:r>
              <w:rPr>
                <w:rFonts w:ascii="Times New Roman"/>
                <w:sz w:val="21"/>
              </w:rPr>
              <w:t>128</w:t>
            </w:r>
          </w:p>
        </w:tc>
      </w:tr>
    </w:tbl>
    <w:p>
      <w:pPr>
        <w:spacing w:after="0"/>
        <w:jc w:val="left"/>
        <w:rPr>
          <w:rFonts w:ascii="Times New Roman"/>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6"/>
        <w:gridCol w:w="624"/>
        <w:gridCol w:w="1673"/>
        <w:gridCol w:w="199"/>
        <w:gridCol w:w="823"/>
        <w:gridCol w:w="249"/>
        <w:gridCol w:w="952"/>
        <w:gridCol w:w="100"/>
        <w:gridCol w:w="1531"/>
        <w:gridCol w:w="957"/>
      </w:tblGrid>
      <w:tr>
        <w:trPr>
          <w:trHeight w:val="311" w:hRule="atLeast"/>
        </w:trPr>
        <w:tc>
          <w:tcPr>
            <w:tcW w:w="1186" w:type="dxa"/>
            <w:vMerge w:val="restart"/>
            <w:tcBorders>
              <w:bottom w:val="single" w:sz="6" w:space="0" w:color="000000"/>
              <w:right w:val="single" w:sz="6" w:space="0" w:color="000000"/>
            </w:tcBorders>
          </w:tcPr>
          <w:p>
            <w:pPr>
              <w:pStyle w:val="TableParagraph"/>
              <w:jc w:val="left"/>
              <w:rPr>
                <w:rFonts w:ascii="Times New Roman"/>
                <w:sz w:val="20"/>
              </w:rPr>
            </w:pPr>
          </w:p>
        </w:tc>
        <w:tc>
          <w:tcPr>
            <w:tcW w:w="624" w:type="dxa"/>
            <w:tcBorders>
              <w:left w:val="single" w:sz="6" w:space="0" w:color="000000"/>
              <w:bottom w:val="single" w:sz="6" w:space="0" w:color="000000"/>
              <w:right w:val="single" w:sz="6" w:space="0" w:color="000000"/>
            </w:tcBorders>
          </w:tcPr>
          <w:p>
            <w:pPr>
              <w:pStyle w:val="TableParagraph"/>
              <w:spacing w:before="36"/>
              <w:ind w:right="228"/>
              <w:jc w:val="right"/>
              <w:rPr>
                <w:rFonts w:ascii="Times New Roman"/>
                <w:sz w:val="21"/>
              </w:rPr>
            </w:pPr>
            <w:r>
              <w:rPr>
                <w:rFonts w:ascii="Times New Roman"/>
                <w:sz w:val="21"/>
              </w:rPr>
              <w:t>62.</w:t>
            </w:r>
          </w:p>
        </w:tc>
        <w:tc>
          <w:tcPr>
            <w:tcW w:w="1673" w:type="dxa"/>
            <w:tcBorders>
              <w:left w:val="single" w:sz="6" w:space="0" w:color="000000"/>
              <w:bottom w:val="single" w:sz="6" w:space="0" w:color="000000"/>
              <w:right w:val="single" w:sz="6" w:space="0" w:color="000000"/>
            </w:tcBorders>
          </w:tcPr>
          <w:p>
            <w:pPr>
              <w:pStyle w:val="TableParagraph"/>
              <w:spacing w:line="292" w:lineRule="exact"/>
              <w:ind w:left="194" w:right="163"/>
              <w:rPr>
                <w:sz w:val="21"/>
              </w:rPr>
            </w:pPr>
            <w:r>
              <w:rPr>
                <w:sz w:val="21"/>
              </w:rPr>
              <w:t>庞疃村</w:t>
            </w:r>
          </w:p>
        </w:tc>
        <w:tc>
          <w:tcPr>
            <w:tcW w:w="1022" w:type="dxa"/>
            <w:gridSpan w:val="2"/>
            <w:tcBorders>
              <w:left w:val="single" w:sz="6" w:space="0" w:color="000000"/>
              <w:bottom w:val="single" w:sz="6" w:space="0" w:color="000000"/>
              <w:right w:val="single" w:sz="6" w:space="0" w:color="000000"/>
            </w:tcBorders>
          </w:tcPr>
          <w:p>
            <w:pPr>
              <w:pStyle w:val="TableParagraph"/>
              <w:spacing w:before="36"/>
              <w:ind w:left="261"/>
              <w:jc w:val="left"/>
              <w:rPr>
                <w:rFonts w:ascii="Times New Roman"/>
                <w:sz w:val="21"/>
              </w:rPr>
            </w:pPr>
            <w:r>
              <w:rPr>
                <w:rFonts w:ascii="Times New Roman"/>
                <w:sz w:val="21"/>
              </w:rPr>
              <w:t>WSW</w:t>
            </w:r>
          </w:p>
        </w:tc>
        <w:tc>
          <w:tcPr>
            <w:tcW w:w="1201" w:type="dxa"/>
            <w:gridSpan w:val="2"/>
            <w:tcBorders>
              <w:left w:val="single" w:sz="6" w:space="0" w:color="000000"/>
              <w:bottom w:val="single" w:sz="6" w:space="0" w:color="000000"/>
              <w:right w:val="single" w:sz="6" w:space="0" w:color="000000"/>
            </w:tcBorders>
          </w:tcPr>
          <w:p>
            <w:pPr>
              <w:pStyle w:val="TableParagraph"/>
              <w:spacing w:before="36"/>
              <w:ind w:left="396"/>
              <w:jc w:val="left"/>
              <w:rPr>
                <w:rFonts w:ascii="Times New Roman"/>
                <w:sz w:val="21"/>
              </w:rPr>
            </w:pPr>
            <w:r>
              <w:rPr>
                <w:rFonts w:ascii="Times New Roman"/>
                <w:sz w:val="21"/>
              </w:rPr>
              <w:t>4650</w:t>
            </w:r>
          </w:p>
        </w:tc>
        <w:tc>
          <w:tcPr>
            <w:tcW w:w="1631" w:type="dxa"/>
            <w:gridSpan w:val="2"/>
            <w:tcBorders>
              <w:left w:val="single" w:sz="6" w:space="0" w:color="000000"/>
              <w:bottom w:val="single" w:sz="6" w:space="0" w:color="000000"/>
              <w:right w:val="single" w:sz="6" w:space="0" w:color="000000"/>
            </w:tcBorders>
          </w:tcPr>
          <w:p>
            <w:pPr>
              <w:pStyle w:val="TableParagraph"/>
              <w:spacing w:line="292" w:lineRule="exact"/>
              <w:ind w:left="508"/>
              <w:jc w:val="left"/>
              <w:rPr>
                <w:sz w:val="21"/>
              </w:rPr>
            </w:pPr>
            <w:r>
              <w:rPr>
                <w:sz w:val="21"/>
              </w:rPr>
              <w:t>行政村</w:t>
            </w:r>
          </w:p>
        </w:tc>
        <w:tc>
          <w:tcPr>
            <w:tcW w:w="957" w:type="dxa"/>
            <w:tcBorders>
              <w:left w:val="single" w:sz="6" w:space="0" w:color="000000"/>
              <w:bottom w:val="single" w:sz="6" w:space="0" w:color="000000"/>
            </w:tcBorders>
          </w:tcPr>
          <w:p>
            <w:pPr>
              <w:pStyle w:val="TableParagraph"/>
              <w:spacing w:before="29"/>
              <w:ind w:left="150" w:right="109"/>
              <w:rPr>
                <w:rFonts w:ascii="Times New Roman"/>
                <w:sz w:val="21"/>
              </w:rPr>
            </w:pPr>
            <w:r>
              <w:rPr>
                <w:rFonts w:ascii="Times New Roman"/>
                <w:sz w:val="21"/>
              </w:rPr>
              <w:t>660</w:t>
            </w:r>
          </w:p>
        </w:tc>
      </w:tr>
      <w:tr>
        <w:trPr>
          <w:trHeight w:val="313" w:hRule="atLeast"/>
        </w:trPr>
        <w:tc>
          <w:tcPr>
            <w:tcW w:w="1186" w:type="dxa"/>
            <w:vMerge/>
            <w:tcBorders>
              <w:top w:val="nil"/>
              <w:bottom w:val="single" w:sz="6" w:space="0" w:color="000000"/>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36"/>
              <w:ind w:right="228"/>
              <w:jc w:val="right"/>
              <w:rPr>
                <w:rFonts w:ascii="Times New Roman"/>
                <w:sz w:val="21"/>
              </w:rPr>
            </w:pPr>
            <w:r>
              <w:rPr>
                <w:rFonts w:ascii="Times New Roman"/>
                <w:sz w:val="21"/>
              </w:rPr>
              <w:t>63.</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91" w:right="163"/>
              <w:rPr>
                <w:sz w:val="21"/>
              </w:rPr>
            </w:pPr>
            <w:r>
              <w:rPr>
                <w:sz w:val="21"/>
              </w:rPr>
              <w:t>芦家宅子村</w:t>
            </w:r>
          </w:p>
        </w:tc>
        <w:tc>
          <w:tcPr>
            <w:tcW w:w="102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6"/>
              <w:ind w:left="359"/>
              <w:jc w:val="left"/>
              <w:rPr>
                <w:rFonts w:ascii="Times New Roman"/>
                <w:sz w:val="21"/>
              </w:rPr>
            </w:pPr>
            <w:r>
              <w:rPr>
                <w:rFonts w:ascii="Times New Roman"/>
                <w:sz w:val="21"/>
              </w:rPr>
              <w:t>SW</w:t>
            </w:r>
          </w:p>
        </w:tc>
        <w:tc>
          <w:tcPr>
            <w:tcW w:w="12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6"/>
              <w:ind w:left="396"/>
              <w:jc w:val="left"/>
              <w:rPr>
                <w:rFonts w:ascii="Times New Roman"/>
                <w:sz w:val="21"/>
              </w:rPr>
            </w:pPr>
            <w:r>
              <w:rPr>
                <w:rFonts w:ascii="Times New Roman"/>
                <w:sz w:val="21"/>
              </w:rPr>
              <w:t>4350</w:t>
            </w:r>
          </w:p>
        </w:tc>
        <w:tc>
          <w:tcPr>
            <w:tcW w:w="1631" w:type="dxa"/>
            <w:gridSpan w:val="2"/>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508"/>
              <w:jc w:val="left"/>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9"/>
              <w:ind w:left="150" w:right="109"/>
              <w:rPr>
                <w:rFonts w:ascii="Times New Roman"/>
                <w:sz w:val="21"/>
              </w:rPr>
            </w:pPr>
            <w:r>
              <w:rPr>
                <w:rFonts w:ascii="Times New Roman"/>
                <w:sz w:val="21"/>
              </w:rPr>
              <w:t>645</w:t>
            </w:r>
          </w:p>
        </w:tc>
      </w:tr>
      <w:tr>
        <w:trPr>
          <w:trHeight w:val="311" w:hRule="atLeast"/>
        </w:trPr>
        <w:tc>
          <w:tcPr>
            <w:tcW w:w="1186" w:type="dxa"/>
            <w:vMerge/>
            <w:tcBorders>
              <w:top w:val="nil"/>
              <w:bottom w:val="single" w:sz="6" w:space="0" w:color="000000"/>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34"/>
              <w:ind w:right="228"/>
              <w:jc w:val="right"/>
              <w:rPr>
                <w:rFonts w:ascii="Times New Roman"/>
                <w:sz w:val="21"/>
              </w:rPr>
            </w:pPr>
            <w:r>
              <w:rPr>
                <w:rFonts w:ascii="Times New Roman"/>
                <w:sz w:val="21"/>
              </w:rPr>
              <w:t>64.</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91" w:right="163"/>
              <w:rPr>
                <w:sz w:val="21"/>
              </w:rPr>
            </w:pPr>
            <w:r>
              <w:rPr>
                <w:sz w:val="21"/>
              </w:rPr>
              <w:t>大官庄村</w:t>
            </w:r>
          </w:p>
        </w:tc>
        <w:tc>
          <w:tcPr>
            <w:tcW w:w="102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26"/>
              <w:rPr>
                <w:rFonts w:ascii="Times New Roman"/>
                <w:sz w:val="21"/>
              </w:rPr>
            </w:pPr>
            <w:r>
              <w:rPr>
                <w:rFonts w:ascii="Times New Roman"/>
                <w:w w:val="100"/>
                <w:sz w:val="21"/>
              </w:rPr>
              <w:t>W</w:t>
            </w:r>
          </w:p>
        </w:tc>
        <w:tc>
          <w:tcPr>
            <w:tcW w:w="12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396"/>
              <w:jc w:val="left"/>
              <w:rPr>
                <w:rFonts w:ascii="Times New Roman"/>
                <w:sz w:val="21"/>
              </w:rPr>
            </w:pPr>
            <w:r>
              <w:rPr>
                <w:rFonts w:ascii="Times New Roman"/>
                <w:sz w:val="21"/>
              </w:rPr>
              <w:t>4400</w:t>
            </w:r>
          </w:p>
        </w:tc>
        <w:tc>
          <w:tcPr>
            <w:tcW w:w="1631"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508"/>
              <w:jc w:val="left"/>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9"/>
              <w:ind w:left="150" w:right="109"/>
              <w:rPr>
                <w:rFonts w:ascii="Times New Roman"/>
                <w:sz w:val="21"/>
              </w:rPr>
            </w:pPr>
            <w:r>
              <w:rPr>
                <w:rFonts w:ascii="Times New Roman"/>
                <w:sz w:val="21"/>
              </w:rPr>
              <w:t>752</w:t>
            </w:r>
          </w:p>
        </w:tc>
      </w:tr>
      <w:tr>
        <w:trPr>
          <w:trHeight w:val="311" w:hRule="atLeast"/>
        </w:trPr>
        <w:tc>
          <w:tcPr>
            <w:tcW w:w="1186" w:type="dxa"/>
            <w:vMerge/>
            <w:tcBorders>
              <w:top w:val="nil"/>
              <w:bottom w:val="single" w:sz="6" w:space="0" w:color="000000"/>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34"/>
              <w:ind w:right="228"/>
              <w:jc w:val="right"/>
              <w:rPr>
                <w:rFonts w:ascii="Times New Roman"/>
                <w:sz w:val="21"/>
              </w:rPr>
            </w:pPr>
            <w:r>
              <w:rPr>
                <w:rFonts w:ascii="Times New Roman"/>
                <w:sz w:val="21"/>
              </w:rPr>
              <w:t>65.</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91" w:right="163"/>
              <w:rPr>
                <w:sz w:val="21"/>
              </w:rPr>
            </w:pPr>
            <w:r>
              <w:rPr>
                <w:sz w:val="21"/>
              </w:rPr>
              <w:t>崔沟头村</w:t>
            </w:r>
          </w:p>
        </w:tc>
        <w:tc>
          <w:tcPr>
            <w:tcW w:w="102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27"/>
              <w:rPr>
                <w:rFonts w:ascii="Times New Roman"/>
                <w:sz w:val="21"/>
              </w:rPr>
            </w:pPr>
            <w:r>
              <w:rPr>
                <w:rFonts w:ascii="Times New Roman"/>
                <w:w w:val="100"/>
                <w:sz w:val="21"/>
              </w:rPr>
              <w:t>N</w:t>
            </w:r>
          </w:p>
        </w:tc>
        <w:tc>
          <w:tcPr>
            <w:tcW w:w="12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396"/>
              <w:jc w:val="left"/>
              <w:rPr>
                <w:rFonts w:ascii="Times New Roman"/>
                <w:sz w:val="21"/>
              </w:rPr>
            </w:pPr>
            <w:r>
              <w:rPr>
                <w:rFonts w:ascii="Times New Roman"/>
                <w:sz w:val="21"/>
              </w:rPr>
              <w:t>4380</w:t>
            </w:r>
          </w:p>
        </w:tc>
        <w:tc>
          <w:tcPr>
            <w:tcW w:w="1631"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508"/>
              <w:jc w:val="left"/>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9"/>
              <w:ind w:left="150" w:right="109"/>
              <w:rPr>
                <w:rFonts w:ascii="Times New Roman"/>
                <w:sz w:val="21"/>
              </w:rPr>
            </w:pPr>
            <w:r>
              <w:rPr>
                <w:rFonts w:ascii="Times New Roman"/>
                <w:sz w:val="21"/>
              </w:rPr>
              <w:t>430</w:t>
            </w:r>
          </w:p>
        </w:tc>
      </w:tr>
      <w:tr>
        <w:trPr>
          <w:trHeight w:val="311" w:hRule="atLeast"/>
        </w:trPr>
        <w:tc>
          <w:tcPr>
            <w:tcW w:w="1186" w:type="dxa"/>
            <w:vMerge/>
            <w:tcBorders>
              <w:top w:val="nil"/>
              <w:bottom w:val="single" w:sz="6" w:space="0" w:color="000000"/>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34"/>
              <w:ind w:right="228"/>
              <w:jc w:val="right"/>
              <w:rPr>
                <w:rFonts w:ascii="Times New Roman"/>
                <w:sz w:val="21"/>
              </w:rPr>
            </w:pPr>
            <w:r>
              <w:rPr>
                <w:rFonts w:ascii="Times New Roman"/>
                <w:sz w:val="21"/>
              </w:rPr>
              <w:t>66.</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91" w:right="163"/>
              <w:rPr>
                <w:sz w:val="21"/>
              </w:rPr>
            </w:pPr>
            <w:r>
              <w:rPr>
                <w:sz w:val="21"/>
              </w:rPr>
              <w:t>刘家水磨村</w:t>
            </w:r>
          </w:p>
        </w:tc>
        <w:tc>
          <w:tcPr>
            <w:tcW w:w="102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27"/>
              <w:rPr>
                <w:rFonts w:ascii="Times New Roman"/>
                <w:sz w:val="21"/>
              </w:rPr>
            </w:pPr>
            <w:r>
              <w:rPr>
                <w:rFonts w:ascii="Times New Roman"/>
                <w:w w:val="100"/>
                <w:sz w:val="21"/>
              </w:rPr>
              <w:t>N</w:t>
            </w:r>
          </w:p>
        </w:tc>
        <w:tc>
          <w:tcPr>
            <w:tcW w:w="12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396"/>
              <w:jc w:val="left"/>
              <w:rPr>
                <w:rFonts w:ascii="Times New Roman"/>
                <w:sz w:val="21"/>
              </w:rPr>
            </w:pPr>
            <w:r>
              <w:rPr>
                <w:rFonts w:ascii="Times New Roman"/>
                <w:sz w:val="21"/>
              </w:rPr>
              <w:t>4800</w:t>
            </w:r>
          </w:p>
        </w:tc>
        <w:tc>
          <w:tcPr>
            <w:tcW w:w="1631"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508"/>
              <w:jc w:val="left"/>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9"/>
              <w:ind w:left="150" w:right="109"/>
              <w:rPr>
                <w:rFonts w:ascii="Times New Roman"/>
                <w:sz w:val="21"/>
              </w:rPr>
            </w:pPr>
            <w:r>
              <w:rPr>
                <w:rFonts w:ascii="Times New Roman"/>
                <w:sz w:val="21"/>
              </w:rPr>
              <w:t>980</w:t>
            </w:r>
          </w:p>
        </w:tc>
      </w:tr>
      <w:tr>
        <w:trPr>
          <w:trHeight w:val="313" w:hRule="atLeast"/>
        </w:trPr>
        <w:tc>
          <w:tcPr>
            <w:tcW w:w="1186" w:type="dxa"/>
            <w:vMerge/>
            <w:tcBorders>
              <w:top w:val="nil"/>
              <w:bottom w:val="single" w:sz="6" w:space="0" w:color="000000"/>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36"/>
              <w:ind w:right="228"/>
              <w:jc w:val="right"/>
              <w:rPr>
                <w:rFonts w:ascii="Times New Roman"/>
                <w:sz w:val="21"/>
              </w:rPr>
            </w:pPr>
            <w:r>
              <w:rPr>
                <w:rFonts w:ascii="Times New Roman"/>
                <w:sz w:val="21"/>
              </w:rPr>
              <w:t>67.</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94" w:right="163"/>
              <w:rPr>
                <w:sz w:val="21"/>
              </w:rPr>
            </w:pPr>
            <w:r>
              <w:rPr>
                <w:sz w:val="21"/>
              </w:rPr>
              <w:t>彭家岭</w:t>
            </w:r>
          </w:p>
        </w:tc>
        <w:tc>
          <w:tcPr>
            <w:tcW w:w="102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6"/>
              <w:ind w:left="342"/>
              <w:jc w:val="left"/>
              <w:rPr>
                <w:rFonts w:ascii="Times New Roman"/>
                <w:sz w:val="21"/>
              </w:rPr>
            </w:pPr>
            <w:r>
              <w:rPr>
                <w:rFonts w:ascii="Times New Roman"/>
                <w:sz w:val="21"/>
              </w:rPr>
              <w:t>NW</w:t>
            </w:r>
          </w:p>
        </w:tc>
        <w:tc>
          <w:tcPr>
            <w:tcW w:w="12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6"/>
              <w:ind w:left="396"/>
              <w:jc w:val="left"/>
              <w:rPr>
                <w:rFonts w:ascii="Times New Roman"/>
                <w:sz w:val="21"/>
              </w:rPr>
            </w:pPr>
            <w:r>
              <w:rPr>
                <w:rFonts w:ascii="Times New Roman"/>
                <w:sz w:val="21"/>
              </w:rPr>
              <w:t>4300</w:t>
            </w:r>
          </w:p>
        </w:tc>
        <w:tc>
          <w:tcPr>
            <w:tcW w:w="1631" w:type="dxa"/>
            <w:gridSpan w:val="2"/>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508"/>
              <w:jc w:val="left"/>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9"/>
              <w:ind w:left="150" w:right="109"/>
              <w:rPr>
                <w:rFonts w:ascii="Times New Roman"/>
                <w:sz w:val="21"/>
              </w:rPr>
            </w:pPr>
            <w:r>
              <w:rPr>
                <w:rFonts w:ascii="Times New Roman"/>
                <w:sz w:val="21"/>
              </w:rPr>
              <w:t>350</w:t>
            </w:r>
          </w:p>
        </w:tc>
      </w:tr>
      <w:tr>
        <w:trPr>
          <w:trHeight w:val="311" w:hRule="atLeast"/>
        </w:trPr>
        <w:tc>
          <w:tcPr>
            <w:tcW w:w="1186" w:type="dxa"/>
            <w:vMerge/>
            <w:tcBorders>
              <w:top w:val="nil"/>
              <w:bottom w:val="single" w:sz="6" w:space="0" w:color="000000"/>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34"/>
              <w:ind w:right="228"/>
              <w:jc w:val="right"/>
              <w:rPr>
                <w:rFonts w:ascii="Times New Roman"/>
                <w:sz w:val="21"/>
              </w:rPr>
            </w:pPr>
            <w:r>
              <w:rPr>
                <w:rFonts w:ascii="Times New Roman"/>
                <w:sz w:val="21"/>
              </w:rPr>
              <w:t>68.</w:t>
            </w:r>
          </w:p>
        </w:tc>
        <w:tc>
          <w:tcPr>
            <w:tcW w:w="1673"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94" w:right="163"/>
              <w:rPr>
                <w:sz w:val="21"/>
              </w:rPr>
            </w:pPr>
            <w:r>
              <w:rPr>
                <w:sz w:val="21"/>
              </w:rPr>
              <w:t>高岭村</w:t>
            </w:r>
          </w:p>
        </w:tc>
        <w:tc>
          <w:tcPr>
            <w:tcW w:w="102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342"/>
              <w:jc w:val="left"/>
              <w:rPr>
                <w:rFonts w:ascii="Times New Roman"/>
                <w:sz w:val="21"/>
              </w:rPr>
            </w:pPr>
            <w:r>
              <w:rPr>
                <w:rFonts w:ascii="Times New Roman"/>
                <w:sz w:val="21"/>
              </w:rPr>
              <w:t>NW</w:t>
            </w:r>
          </w:p>
        </w:tc>
        <w:tc>
          <w:tcPr>
            <w:tcW w:w="12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396"/>
              <w:jc w:val="left"/>
              <w:rPr>
                <w:rFonts w:ascii="Times New Roman"/>
                <w:sz w:val="21"/>
              </w:rPr>
            </w:pPr>
            <w:r>
              <w:rPr>
                <w:rFonts w:ascii="Times New Roman"/>
                <w:sz w:val="21"/>
              </w:rPr>
              <w:t>4800</w:t>
            </w:r>
          </w:p>
        </w:tc>
        <w:tc>
          <w:tcPr>
            <w:tcW w:w="1631" w:type="dxa"/>
            <w:gridSpan w:val="2"/>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508"/>
              <w:jc w:val="left"/>
              <w:rPr>
                <w:sz w:val="21"/>
              </w:rPr>
            </w:pPr>
            <w:r>
              <w:rPr>
                <w:sz w:val="21"/>
              </w:rPr>
              <w:t>行政村</w:t>
            </w:r>
          </w:p>
        </w:tc>
        <w:tc>
          <w:tcPr>
            <w:tcW w:w="957" w:type="dxa"/>
            <w:tcBorders>
              <w:top w:val="single" w:sz="6" w:space="0" w:color="000000"/>
              <w:left w:val="single" w:sz="6" w:space="0" w:color="000000"/>
              <w:bottom w:val="single" w:sz="6" w:space="0" w:color="000000"/>
            </w:tcBorders>
          </w:tcPr>
          <w:p>
            <w:pPr>
              <w:pStyle w:val="TableParagraph"/>
              <w:spacing w:before="29"/>
              <w:ind w:left="150" w:right="109"/>
              <w:rPr>
                <w:rFonts w:ascii="Times New Roman"/>
                <w:sz w:val="21"/>
              </w:rPr>
            </w:pPr>
            <w:r>
              <w:rPr>
                <w:rFonts w:ascii="Times New Roman"/>
                <w:sz w:val="21"/>
              </w:rPr>
              <w:t>890</w:t>
            </w:r>
          </w:p>
        </w:tc>
      </w:tr>
      <w:tr>
        <w:trPr>
          <w:trHeight w:val="311" w:hRule="atLeast"/>
        </w:trPr>
        <w:tc>
          <w:tcPr>
            <w:tcW w:w="1186" w:type="dxa"/>
            <w:vMerge/>
            <w:tcBorders>
              <w:top w:val="nil"/>
              <w:bottom w:val="single" w:sz="6" w:space="0" w:color="000000"/>
              <w:right w:val="single" w:sz="6" w:space="0" w:color="000000"/>
            </w:tcBorders>
          </w:tcPr>
          <w:p>
            <w:pPr>
              <w:rPr>
                <w:sz w:val="2"/>
                <w:szCs w:val="2"/>
              </w:rPr>
            </w:pPr>
          </w:p>
        </w:tc>
        <w:tc>
          <w:tcPr>
            <w:tcW w:w="6151" w:type="dxa"/>
            <w:gridSpan w:val="8"/>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557"/>
              <w:jc w:val="left"/>
              <w:rPr>
                <w:sz w:val="21"/>
              </w:rPr>
            </w:pPr>
            <w:r>
              <w:rPr>
                <w:sz w:val="21"/>
              </w:rPr>
              <w:t>厂址周边</w:t>
            </w:r>
            <w:r>
              <w:rPr>
                <w:rFonts w:ascii="Times New Roman" w:eastAsia="Times New Roman"/>
                <w:position w:val="1"/>
                <w:sz w:val="21"/>
              </w:rPr>
              <w:t>500 m</w:t>
            </w:r>
            <w:r>
              <w:rPr>
                <w:sz w:val="21"/>
              </w:rPr>
              <w:t>范围内人口数小计</w:t>
            </w:r>
          </w:p>
        </w:tc>
        <w:tc>
          <w:tcPr>
            <w:tcW w:w="957" w:type="dxa"/>
            <w:tcBorders>
              <w:top w:val="single" w:sz="6" w:space="0" w:color="000000"/>
              <w:left w:val="single" w:sz="6" w:space="0" w:color="000000"/>
              <w:bottom w:val="single" w:sz="6" w:space="0" w:color="000000"/>
            </w:tcBorders>
          </w:tcPr>
          <w:p>
            <w:pPr>
              <w:pStyle w:val="TableParagraph"/>
              <w:spacing w:before="34"/>
              <w:ind w:left="150" w:right="109"/>
              <w:rPr>
                <w:rFonts w:ascii="Times New Roman"/>
                <w:sz w:val="21"/>
              </w:rPr>
            </w:pPr>
            <w:r>
              <w:rPr>
                <w:rFonts w:ascii="Times New Roman"/>
                <w:sz w:val="21"/>
              </w:rPr>
              <w:t>940</w:t>
            </w:r>
          </w:p>
        </w:tc>
      </w:tr>
      <w:tr>
        <w:trPr>
          <w:trHeight w:val="311" w:hRule="atLeast"/>
        </w:trPr>
        <w:tc>
          <w:tcPr>
            <w:tcW w:w="1186" w:type="dxa"/>
            <w:vMerge/>
            <w:tcBorders>
              <w:top w:val="nil"/>
              <w:bottom w:val="single" w:sz="6" w:space="0" w:color="000000"/>
              <w:right w:val="single" w:sz="6" w:space="0" w:color="000000"/>
            </w:tcBorders>
          </w:tcPr>
          <w:p>
            <w:pPr>
              <w:rPr>
                <w:sz w:val="2"/>
                <w:szCs w:val="2"/>
              </w:rPr>
            </w:pPr>
          </w:p>
        </w:tc>
        <w:tc>
          <w:tcPr>
            <w:tcW w:w="6151" w:type="dxa"/>
            <w:gridSpan w:val="8"/>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610"/>
              <w:jc w:val="left"/>
              <w:rPr>
                <w:sz w:val="21"/>
              </w:rPr>
            </w:pPr>
            <w:r>
              <w:rPr>
                <w:sz w:val="21"/>
              </w:rPr>
              <w:t>厂址周边</w:t>
            </w:r>
            <w:r>
              <w:rPr>
                <w:rFonts w:ascii="Times New Roman" w:eastAsia="Times New Roman"/>
                <w:position w:val="1"/>
                <w:sz w:val="21"/>
              </w:rPr>
              <w:t>5 km</w:t>
            </w:r>
            <w:r>
              <w:rPr>
                <w:sz w:val="21"/>
              </w:rPr>
              <w:t>范围内人口数小计</w:t>
            </w:r>
          </w:p>
        </w:tc>
        <w:tc>
          <w:tcPr>
            <w:tcW w:w="957" w:type="dxa"/>
            <w:tcBorders>
              <w:top w:val="single" w:sz="6" w:space="0" w:color="000000"/>
              <w:left w:val="single" w:sz="6" w:space="0" w:color="000000"/>
              <w:bottom w:val="single" w:sz="6" w:space="0" w:color="000000"/>
            </w:tcBorders>
          </w:tcPr>
          <w:p>
            <w:pPr>
              <w:pStyle w:val="TableParagraph"/>
              <w:spacing w:before="34"/>
              <w:ind w:left="150" w:right="109"/>
              <w:rPr>
                <w:rFonts w:ascii="Times New Roman"/>
                <w:sz w:val="21"/>
              </w:rPr>
            </w:pPr>
            <w:r>
              <w:rPr>
                <w:rFonts w:ascii="Times New Roman"/>
                <w:sz w:val="21"/>
              </w:rPr>
              <w:t>56778</w:t>
            </w:r>
          </w:p>
        </w:tc>
      </w:tr>
      <w:tr>
        <w:trPr>
          <w:trHeight w:val="313" w:hRule="atLeast"/>
        </w:trPr>
        <w:tc>
          <w:tcPr>
            <w:tcW w:w="1186" w:type="dxa"/>
            <w:vMerge/>
            <w:tcBorders>
              <w:top w:val="nil"/>
              <w:bottom w:val="single" w:sz="6" w:space="0" w:color="000000"/>
              <w:right w:val="single" w:sz="6" w:space="0" w:color="000000"/>
            </w:tcBorders>
          </w:tcPr>
          <w:p>
            <w:pPr>
              <w:rPr>
                <w:sz w:val="2"/>
                <w:szCs w:val="2"/>
              </w:rPr>
            </w:pPr>
          </w:p>
        </w:tc>
        <w:tc>
          <w:tcPr>
            <w:tcW w:w="6151" w:type="dxa"/>
            <w:gridSpan w:val="8"/>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073"/>
              <w:jc w:val="left"/>
              <w:rPr>
                <w:sz w:val="21"/>
              </w:rPr>
            </w:pPr>
            <w:r>
              <w:rPr>
                <w:sz w:val="21"/>
              </w:rPr>
              <w:t>大气环境敏感程度</w:t>
            </w:r>
            <w:r>
              <w:rPr>
                <w:rFonts w:ascii="Times New Roman" w:eastAsia="Times New Roman"/>
                <w:position w:val="1"/>
                <w:sz w:val="21"/>
              </w:rPr>
              <w:t>E</w:t>
            </w:r>
            <w:r>
              <w:rPr>
                <w:sz w:val="21"/>
              </w:rPr>
              <w:t>值</w:t>
            </w:r>
          </w:p>
        </w:tc>
        <w:tc>
          <w:tcPr>
            <w:tcW w:w="957" w:type="dxa"/>
            <w:tcBorders>
              <w:top w:val="single" w:sz="6" w:space="0" w:color="000000"/>
              <w:left w:val="single" w:sz="6" w:space="0" w:color="000000"/>
              <w:bottom w:val="single" w:sz="6" w:space="0" w:color="000000"/>
            </w:tcBorders>
          </w:tcPr>
          <w:p>
            <w:pPr>
              <w:pStyle w:val="TableParagraph"/>
              <w:spacing w:before="36"/>
              <w:ind w:left="150" w:right="108"/>
              <w:rPr>
                <w:rFonts w:ascii="Times New Roman"/>
                <w:sz w:val="21"/>
              </w:rPr>
            </w:pPr>
            <w:r>
              <w:rPr>
                <w:rFonts w:ascii="Times New Roman"/>
                <w:sz w:val="21"/>
              </w:rPr>
              <w:t>E1</w:t>
            </w:r>
          </w:p>
        </w:tc>
      </w:tr>
      <w:tr>
        <w:trPr>
          <w:trHeight w:val="312" w:hRule="atLeast"/>
        </w:trPr>
        <w:tc>
          <w:tcPr>
            <w:tcW w:w="1186" w:type="dxa"/>
            <w:tcBorders>
              <w:top w:val="single" w:sz="6" w:space="0" w:color="000000"/>
              <w:bottom w:val="single" w:sz="6" w:space="0" w:color="000000"/>
              <w:right w:val="single" w:sz="6" w:space="0" w:color="000000"/>
            </w:tcBorders>
          </w:tcPr>
          <w:p>
            <w:pPr>
              <w:pStyle w:val="TableParagraph"/>
              <w:spacing w:line="292" w:lineRule="exact"/>
              <w:ind w:left="275"/>
              <w:jc w:val="left"/>
              <w:rPr>
                <w:sz w:val="21"/>
              </w:rPr>
            </w:pPr>
            <w:r>
              <w:rPr>
                <w:sz w:val="21"/>
              </w:rPr>
              <w:t>地表水</w:t>
            </w:r>
          </w:p>
        </w:tc>
        <w:tc>
          <w:tcPr>
            <w:tcW w:w="6151" w:type="dxa"/>
            <w:gridSpan w:val="8"/>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1967"/>
              <w:jc w:val="left"/>
              <w:rPr>
                <w:sz w:val="21"/>
              </w:rPr>
            </w:pPr>
            <w:r>
              <w:rPr>
                <w:sz w:val="21"/>
              </w:rPr>
              <w:t>地表水环境敏感程度</w:t>
            </w:r>
            <w:r>
              <w:rPr>
                <w:rFonts w:ascii="Times New Roman" w:eastAsia="Times New Roman"/>
                <w:position w:val="1"/>
                <w:sz w:val="21"/>
              </w:rPr>
              <w:t>E</w:t>
            </w:r>
            <w:r>
              <w:rPr>
                <w:sz w:val="21"/>
              </w:rPr>
              <w:t>值</w:t>
            </w:r>
          </w:p>
        </w:tc>
        <w:tc>
          <w:tcPr>
            <w:tcW w:w="957" w:type="dxa"/>
            <w:tcBorders>
              <w:top w:val="single" w:sz="6" w:space="0" w:color="000000"/>
              <w:left w:val="single" w:sz="6" w:space="0" w:color="000000"/>
              <w:bottom w:val="single" w:sz="6" w:space="0" w:color="000000"/>
            </w:tcBorders>
          </w:tcPr>
          <w:p>
            <w:pPr>
              <w:pStyle w:val="TableParagraph"/>
              <w:spacing w:before="34"/>
              <w:ind w:left="150" w:right="108"/>
              <w:rPr>
                <w:rFonts w:ascii="Times New Roman"/>
                <w:sz w:val="21"/>
              </w:rPr>
            </w:pPr>
            <w:r>
              <w:rPr>
                <w:rFonts w:ascii="Times New Roman"/>
                <w:sz w:val="21"/>
              </w:rPr>
              <w:t>E3</w:t>
            </w:r>
          </w:p>
        </w:tc>
      </w:tr>
      <w:tr>
        <w:trPr>
          <w:trHeight w:val="927" w:hRule="atLeast"/>
        </w:trPr>
        <w:tc>
          <w:tcPr>
            <w:tcW w:w="1186"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9"/>
              <w:jc w:val="left"/>
              <w:rPr>
                <w:rFonts w:ascii="Times New Roman"/>
                <w:sz w:val="15"/>
              </w:rPr>
            </w:pPr>
          </w:p>
          <w:p>
            <w:pPr>
              <w:pStyle w:val="TableParagraph"/>
              <w:ind w:left="275"/>
              <w:jc w:val="left"/>
              <w:rPr>
                <w:sz w:val="21"/>
              </w:rPr>
            </w:pPr>
            <w:r>
              <w:rPr>
                <w:sz w:val="21"/>
              </w:rPr>
              <w:t>地下水</w:t>
            </w: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1"/>
              <w:ind w:left="212" w:right="182"/>
              <w:jc w:val="left"/>
              <w:rPr>
                <w:sz w:val="21"/>
              </w:rPr>
            </w:pPr>
            <w:r>
              <w:rPr>
                <w:sz w:val="21"/>
              </w:rPr>
              <w:t>序号</w:t>
            </w:r>
          </w:p>
        </w:tc>
        <w:tc>
          <w:tcPr>
            <w:tcW w:w="187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Times New Roman"/>
                <w:sz w:val="20"/>
              </w:rPr>
            </w:pPr>
          </w:p>
          <w:p>
            <w:pPr>
              <w:pStyle w:val="TableParagraph"/>
              <w:ind w:left="206"/>
              <w:jc w:val="left"/>
              <w:rPr>
                <w:sz w:val="21"/>
              </w:rPr>
            </w:pPr>
            <w:r>
              <w:rPr>
                <w:sz w:val="21"/>
              </w:rPr>
              <w:t>环境敏感区名称</w:t>
            </w:r>
          </w:p>
        </w:tc>
        <w:tc>
          <w:tcPr>
            <w:tcW w:w="1072" w:type="dxa"/>
            <w:gridSpan w:val="2"/>
            <w:tcBorders>
              <w:top w:val="single" w:sz="6" w:space="0" w:color="000000"/>
              <w:left w:val="single" w:sz="6" w:space="0" w:color="000000"/>
              <w:bottom w:val="single" w:sz="6" w:space="0" w:color="000000"/>
              <w:right w:val="single" w:sz="6" w:space="0" w:color="000000"/>
            </w:tcBorders>
          </w:tcPr>
          <w:p>
            <w:pPr>
              <w:pStyle w:val="TableParagraph"/>
              <w:spacing w:line="168" w:lineRule="auto" w:before="171"/>
              <w:ind w:left="333" w:right="90" w:hanging="212"/>
              <w:jc w:val="left"/>
              <w:rPr>
                <w:sz w:val="21"/>
              </w:rPr>
            </w:pPr>
            <w:r>
              <w:rPr>
                <w:sz w:val="21"/>
              </w:rPr>
              <w:t>环境敏感特征</w:t>
            </w:r>
          </w:p>
        </w:tc>
        <w:tc>
          <w:tcPr>
            <w:tcW w:w="1052" w:type="dxa"/>
            <w:gridSpan w:val="2"/>
            <w:tcBorders>
              <w:top w:val="single" w:sz="6" w:space="0" w:color="000000"/>
              <w:left w:val="single" w:sz="6" w:space="0" w:color="000000"/>
              <w:bottom w:val="single" w:sz="6" w:space="0" w:color="000000"/>
              <w:right w:val="single" w:sz="6" w:space="0" w:color="000000"/>
            </w:tcBorders>
          </w:tcPr>
          <w:p>
            <w:pPr>
              <w:pStyle w:val="TableParagraph"/>
              <w:spacing w:line="168" w:lineRule="auto" w:before="171"/>
              <w:ind w:left="428" w:right="181" w:hanging="209"/>
              <w:jc w:val="left"/>
              <w:rPr>
                <w:sz w:val="21"/>
              </w:rPr>
            </w:pPr>
            <w:r>
              <w:rPr>
                <w:sz w:val="21"/>
              </w:rPr>
              <w:t>水质目标</w:t>
            </w:r>
          </w:p>
        </w:tc>
        <w:tc>
          <w:tcPr>
            <w:tcW w:w="1531"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1"/>
              <w:ind w:left="667" w:right="109" w:hanging="526"/>
              <w:jc w:val="left"/>
              <w:rPr>
                <w:sz w:val="21"/>
              </w:rPr>
            </w:pPr>
            <w:r>
              <w:rPr>
                <w:sz w:val="21"/>
              </w:rPr>
              <w:t>包气带防污性能</w:t>
            </w:r>
          </w:p>
        </w:tc>
        <w:tc>
          <w:tcPr>
            <w:tcW w:w="957" w:type="dxa"/>
            <w:tcBorders>
              <w:top w:val="single" w:sz="6" w:space="0" w:color="000000"/>
              <w:left w:val="single" w:sz="6" w:space="0" w:color="000000"/>
              <w:bottom w:val="single" w:sz="6" w:space="0" w:color="000000"/>
            </w:tcBorders>
          </w:tcPr>
          <w:p>
            <w:pPr>
              <w:pStyle w:val="TableParagraph"/>
              <w:spacing w:line="168" w:lineRule="auto" w:before="15"/>
              <w:ind w:left="171" w:right="127"/>
              <w:jc w:val="left"/>
              <w:rPr>
                <w:sz w:val="21"/>
              </w:rPr>
            </w:pPr>
            <w:r>
              <w:rPr>
                <w:sz w:val="21"/>
              </w:rPr>
              <w:t>与下游厂界距</w:t>
            </w:r>
          </w:p>
          <w:p>
            <w:pPr>
              <w:pStyle w:val="TableParagraph"/>
              <w:spacing w:line="270" w:lineRule="exact"/>
              <w:ind w:left="269"/>
              <w:jc w:val="left"/>
              <w:rPr>
                <w:rFonts w:ascii="Times New Roman" w:eastAsia="Times New Roman"/>
                <w:sz w:val="21"/>
              </w:rPr>
            </w:pPr>
            <w:r>
              <w:rPr>
                <w:sz w:val="21"/>
              </w:rPr>
              <w:t>离</w:t>
            </w:r>
            <w:r>
              <w:rPr>
                <w:rFonts w:ascii="Times New Roman" w:eastAsia="Times New Roman"/>
                <w:position w:val="1"/>
                <w:sz w:val="21"/>
              </w:rPr>
              <w:t>/m</w:t>
            </w:r>
          </w:p>
        </w:tc>
      </w:tr>
      <w:tr>
        <w:trPr>
          <w:trHeight w:val="920" w:hRule="atLeast"/>
        </w:trPr>
        <w:tc>
          <w:tcPr>
            <w:tcW w:w="1186" w:type="dxa"/>
            <w:vMerge/>
            <w:tcBorders>
              <w:top w:val="nil"/>
              <w:right w:val="single" w:sz="6" w:space="0" w:color="000000"/>
            </w:tcBorders>
          </w:tcPr>
          <w:p>
            <w:pPr>
              <w:rPr>
                <w:sz w:val="2"/>
                <w:szCs w:val="2"/>
              </w:rPr>
            </w:pP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9"/>
              </w:rPr>
            </w:pPr>
          </w:p>
          <w:p>
            <w:pPr>
              <w:pStyle w:val="TableParagraph"/>
              <w:ind w:right="235"/>
              <w:jc w:val="right"/>
              <w:rPr>
                <w:rFonts w:ascii="Times New Roman"/>
                <w:sz w:val="21"/>
              </w:rPr>
            </w:pPr>
            <w:r>
              <w:rPr>
                <w:rFonts w:ascii="Times New Roman"/>
                <w:w w:val="100"/>
                <w:sz w:val="21"/>
              </w:rPr>
              <w:t>1</w:t>
            </w:r>
          </w:p>
        </w:tc>
        <w:tc>
          <w:tcPr>
            <w:tcW w:w="1872" w:type="dxa"/>
            <w:gridSpan w:val="2"/>
            <w:tcBorders>
              <w:top w:val="single" w:sz="6" w:space="0" w:color="000000"/>
              <w:left w:val="single" w:sz="6" w:space="0" w:color="000000"/>
              <w:bottom w:val="single" w:sz="6" w:space="0" w:color="000000"/>
              <w:right w:val="single" w:sz="6" w:space="0" w:color="000000"/>
            </w:tcBorders>
          </w:tcPr>
          <w:p>
            <w:pPr>
              <w:pStyle w:val="TableParagraph"/>
              <w:spacing w:line="168" w:lineRule="auto" w:before="7"/>
              <w:ind w:left="206" w:right="175"/>
              <w:rPr>
                <w:sz w:val="21"/>
              </w:rPr>
            </w:pPr>
            <w:r>
              <w:rPr>
                <w:sz w:val="21"/>
              </w:rPr>
              <w:t>建设场地及地下水径流下游方向</w:t>
            </w:r>
          </w:p>
          <w:p>
            <w:pPr>
              <w:pStyle w:val="TableParagraph"/>
              <w:spacing w:line="270" w:lineRule="exact"/>
              <w:ind w:left="204" w:right="175"/>
              <w:rPr>
                <w:sz w:val="21"/>
              </w:rPr>
            </w:pPr>
            <w:r>
              <w:rPr>
                <w:sz w:val="21"/>
              </w:rPr>
              <w:t>的潜水含水层</w:t>
            </w:r>
          </w:p>
        </w:tc>
        <w:tc>
          <w:tcPr>
            <w:tcW w:w="1072" w:type="dxa"/>
            <w:gridSpan w:val="2"/>
            <w:tcBorders>
              <w:top w:val="single" w:sz="6" w:space="0" w:color="000000"/>
              <w:left w:val="single" w:sz="6" w:space="0" w:color="000000"/>
              <w:bottom w:val="single" w:sz="6" w:space="0" w:color="000000"/>
              <w:right w:val="single" w:sz="6" w:space="0" w:color="000000"/>
            </w:tcBorders>
          </w:tcPr>
          <w:p>
            <w:pPr>
              <w:pStyle w:val="TableParagraph"/>
              <w:spacing w:line="435" w:lineRule="exact" w:before="70"/>
              <w:ind w:left="209" w:right="177"/>
              <w:rPr>
                <w:sz w:val="21"/>
              </w:rPr>
            </w:pPr>
            <w:r>
              <w:rPr>
                <w:sz w:val="21"/>
              </w:rPr>
              <w:t>不敏感</w:t>
            </w:r>
          </w:p>
          <w:p>
            <w:pPr>
              <w:pStyle w:val="TableParagraph"/>
              <w:spacing w:line="231" w:lineRule="exact"/>
              <w:ind w:left="209" w:right="176"/>
              <w:rPr>
                <w:rFonts w:ascii="Times New Roman"/>
                <w:sz w:val="21"/>
              </w:rPr>
            </w:pPr>
            <w:r>
              <w:rPr>
                <w:rFonts w:ascii="Times New Roman"/>
                <w:sz w:val="21"/>
              </w:rPr>
              <w:t>G3</w:t>
            </w:r>
          </w:p>
        </w:tc>
        <w:tc>
          <w:tcPr>
            <w:tcW w:w="10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8"/>
              </w:rPr>
            </w:pPr>
          </w:p>
          <w:p>
            <w:pPr>
              <w:pStyle w:val="TableParagraph"/>
              <w:ind w:left="325"/>
              <w:jc w:val="left"/>
              <w:rPr>
                <w:sz w:val="21"/>
              </w:rPr>
            </w:pPr>
            <w:r>
              <w:rPr>
                <w:position w:val="1"/>
                <w:sz w:val="21"/>
              </w:rPr>
              <w:t>Ⅳ</w:t>
            </w:r>
            <w:r>
              <w:rPr>
                <w:sz w:val="21"/>
              </w:rPr>
              <w:t>类</w:t>
            </w:r>
          </w:p>
        </w:tc>
        <w:tc>
          <w:tcPr>
            <w:tcW w:w="1531"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9"/>
              </w:rPr>
            </w:pPr>
          </w:p>
          <w:p>
            <w:pPr>
              <w:pStyle w:val="TableParagraph"/>
              <w:ind w:left="624" w:right="594"/>
              <w:rPr>
                <w:rFonts w:ascii="Times New Roman"/>
                <w:sz w:val="21"/>
              </w:rPr>
            </w:pPr>
            <w:r>
              <w:rPr>
                <w:rFonts w:ascii="Times New Roman"/>
                <w:sz w:val="21"/>
              </w:rPr>
              <w:t>D1</w:t>
            </w:r>
          </w:p>
        </w:tc>
        <w:tc>
          <w:tcPr>
            <w:tcW w:w="957" w:type="dxa"/>
            <w:tcBorders>
              <w:top w:val="single" w:sz="6" w:space="0" w:color="000000"/>
              <w:left w:val="single" w:sz="6" w:space="0" w:color="000000"/>
              <w:bottom w:val="single" w:sz="6" w:space="0" w:color="000000"/>
            </w:tcBorders>
          </w:tcPr>
          <w:p>
            <w:pPr>
              <w:pStyle w:val="TableParagraph"/>
              <w:spacing w:before="5"/>
              <w:jc w:val="left"/>
              <w:rPr>
                <w:rFonts w:ascii="Times New Roman"/>
                <w:sz w:val="29"/>
              </w:rPr>
            </w:pPr>
          </w:p>
          <w:p>
            <w:pPr>
              <w:pStyle w:val="TableParagraph"/>
              <w:ind w:left="150" w:right="113"/>
              <w:rPr>
                <w:rFonts w:ascii="Times New Roman"/>
                <w:sz w:val="21"/>
              </w:rPr>
            </w:pPr>
            <w:r>
              <w:rPr>
                <w:rFonts w:ascii="Times New Roman"/>
                <w:sz w:val="21"/>
              </w:rPr>
              <w:t>--</w:t>
            </w:r>
          </w:p>
        </w:tc>
      </w:tr>
      <w:tr>
        <w:trPr>
          <w:trHeight w:val="305" w:hRule="atLeast"/>
        </w:trPr>
        <w:tc>
          <w:tcPr>
            <w:tcW w:w="1186" w:type="dxa"/>
            <w:vMerge/>
            <w:tcBorders>
              <w:top w:val="nil"/>
              <w:right w:val="single" w:sz="6" w:space="0" w:color="000000"/>
            </w:tcBorders>
          </w:tcPr>
          <w:p>
            <w:pPr>
              <w:rPr>
                <w:sz w:val="2"/>
                <w:szCs w:val="2"/>
              </w:rPr>
            </w:pPr>
          </w:p>
        </w:tc>
        <w:tc>
          <w:tcPr>
            <w:tcW w:w="6151" w:type="dxa"/>
            <w:gridSpan w:val="8"/>
            <w:tcBorders>
              <w:top w:val="single" w:sz="6" w:space="0" w:color="000000"/>
              <w:left w:val="single" w:sz="6" w:space="0" w:color="000000"/>
              <w:right w:val="single" w:sz="6" w:space="0" w:color="000000"/>
            </w:tcBorders>
          </w:tcPr>
          <w:p>
            <w:pPr>
              <w:pStyle w:val="TableParagraph"/>
              <w:spacing w:line="286" w:lineRule="exact"/>
              <w:ind w:left="1967"/>
              <w:jc w:val="left"/>
              <w:rPr>
                <w:sz w:val="21"/>
              </w:rPr>
            </w:pPr>
            <w:r>
              <w:rPr>
                <w:sz w:val="21"/>
              </w:rPr>
              <w:t>地下水环境敏感程度</w:t>
            </w:r>
            <w:r>
              <w:rPr>
                <w:rFonts w:ascii="Times New Roman" w:eastAsia="Times New Roman"/>
                <w:position w:val="1"/>
                <w:sz w:val="21"/>
              </w:rPr>
              <w:t>E</w:t>
            </w:r>
            <w:r>
              <w:rPr>
                <w:sz w:val="21"/>
              </w:rPr>
              <w:t>值</w:t>
            </w:r>
          </w:p>
        </w:tc>
        <w:tc>
          <w:tcPr>
            <w:tcW w:w="957" w:type="dxa"/>
            <w:tcBorders>
              <w:top w:val="single" w:sz="6" w:space="0" w:color="000000"/>
              <w:left w:val="single" w:sz="6" w:space="0" w:color="000000"/>
            </w:tcBorders>
          </w:tcPr>
          <w:p>
            <w:pPr>
              <w:pStyle w:val="TableParagraph"/>
              <w:spacing w:before="29"/>
              <w:ind w:left="150" w:right="109"/>
              <w:rPr>
                <w:rFonts w:ascii="Times New Roman"/>
                <w:sz w:val="21"/>
              </w:rPr>
            </w:pPr>
            <w:r>
              <w:rPr>
                <w:rFonts w:ascii="Times New Roman"/>
                <w:sz w:val="21"/>
              </w:rPr>
              <w:t>E2</w:t>
            </w:r>
          </w:p>
        </w:tc>
      </w:tr>
    </w:tbl>
    <w:p>
      <w:pPr>
        <w:pStyle w:val="BodyText"/>
        <w:spacing w:before="4"/>
        <w:rPr>
          <w:rFonts w:ascii="Times New Roman"/>
          <w:sz w:val="15"/>
        </w:rPr>
      </w:pPr>
    </w:p>
    <w:p>
      <w:pPr>
        <w:pStyle w:val="Heading2"/>
        <w:numPr>
          <w:ilvl w:val="1"/>
          <w:numId w:val="11"/>
        </w:numPr>
        <w:tabs>
          <w:tab w:pos="1210" w:val="left" w:leader="none"/>
        </w:tabs>
        <w:spacing w:line="613" w:lineRule="exact" w:before="0" w:after="0"/>
        <w:ind w:left="1209" w:right="0" w:hanging="631"/>
        <w:jc w:val="left"/>
      </w:pPr>
      <w:r>
        <w:rPr/>
        <w:t>环境风险潜势初判</w:t>
      </w:r>
    </w:p>
    <w:p>
      <w:pPr>
        <w:pStyle w:val="BodyText"/>
        <w:spacing w:line="488" w:lineRule="exact" w:before="111"/>
        <w:ind w:left="1058"/>
      </w:pPr>
      <w:r>
        <w:rPr>
          <w:rFonts w:ascii="Times New Roman" w:eastAsia="Times New Roman"/>
        </w:rPr>
        <w:t>1</w:t>
      </w:r>
      <w:r>
        <w:rPr/>
        <w:t>、</w:t>
      </w:r>
      <w:r>
        <w:rPr>
          <w:rFonts w:ascii="Times New Roman" w:eastAsia="Times New Roman"/>
        </w:rPr>
        <w:t>P </w:t>
      </w:r>
      <w:r>
        <w:rPr/>
        <w:t>的分级确定</w:t>
      </w:r>
    </w:p>
    <w:p>
      <w:pPr>
        <w:pStyle w:val="BodyText"/>
        <w:spacing w:line="220" w:lineRule="auto" w:before="8"/>
        <w:ind w:left="578" w:right="755" w:firstLine="479"/>
        <w:jc w:val="both"/>
      </w:pPr>
      <w:r>
        <w:rPr>
          <w:spacing w:val="-3"/>
        </w:rPr>
        <w:t>对照《建设项目环境风险评价技术导则</w:t>
      </w:r>
      <w:r>
        <w:rPr>
          <w:spacing w:val="-132"/>
        </w:rPr>
        <w:t>》</w:t>
      </w:r>
      <w:r>
        <w:rPr/>
        <w:t>（</w:t>
      </w:r>
      <w:r>
        <w:rPr>
          <w:rFonts w:ascii="Times New Roman" w:eastAsia="Times New Roman"/>
        </w:rPr>
        <w:t>HJ 169-2018</w:t>
      </w:r>
      <w:r>
        <w:rPr/>
        <w:t>）</w:t>
      </w:r>
      <w:r>
        <w:rPr>
          <w:spacing w:val="3"/>
        </w:rPr>
        <w:t>附录 </w:t>
      </w:r>
      <w:r>
        <w:rPr>
          <w:rFonts w:ascii="Times New Roman" w:eastAsia="Times New Roman"/>
        </w:rPr>
        <w:t>B</w:t>
      </w:r>
      <w:r>
        <w:rPr>
          <w:rFonts w:ascii="Times New Roman" w:eastAsia="Times New Roman"/>
          <w:spacing w:val="55"/>
        </w:rPr>
        <w:t> </w:t>
      </w:r>
      <w:r>
        <w:rPr>
          <w:spacing w:val="5"/>
        </w:rPr>
        <w:t>表 </w:t>
      </w:r>
      <w:r>
        <w:rPr>
          <w:rFonts w:ascii="Times New Roman" w:eastAsia="Times New Roman"/>
        </w:rPr>
        <w:t>B.1</w:t>
      </w:r>
      <w:r>
        <w:rPr>
          <w:rFonts w:ascii="Times New Roman" w:eastAsia="Times New Roman"/>
          <w:spacing w:val="57"/>
        </w:rPr>
        <w:t> </w:t>
      </w:r>
      <w:r>
        <w:rPr/>
        <w:t>突</w:t>
      </w:r>
      <w:r>
        <w:rPr>
          <w:spacing w:val="-7"/>
        </w:rPr>
        <w:t>发环境事件风险物质及临界量，本项目主要涉及重点关注的危险物质及临界量详</w:t>
      </w:r>
      <w:r>
        <w:rPr>
          <w:spacing w:val="-3"/>
        </w:rPr>
        <w:t>见表 </w:t>
      </w:r>
      <w:r>
        <w:rPr>
          <w:rFonts w:ascii="Times New Roman" w:eastAsia="Times New Roman"/>
        </w:rPr>
        <w:t>7.2-1</w:t>
      </w:r>
      <w:r>
        <w:rPr/>
        <w:t>。</w:t>
      </w:r>
    </w:p>
    <w:p>
      <w:pPr>
        <w:tabs>
          <w:tab w:pos="3292" w:val="left" w:leader="none"/>
        </w:tabs>
        <w:spacing w:before="162" w:after="25"/>
        <w:ind w:left="2381" w:right="0" w:firstLine="0"/>
        <w:jc w:val="left"/>
        <w:rPr>
          <w:sz w:val="21"/>
        </w:rPr>
      </w:pPr>
      <w:r>
        <w:rPr>
          <w:sz w:val="21"/>
        </w:rPr>
        <w:t>表</w:t>
      </w:r>
      <w:r>
        <w:rPr>
          <w:spacing w:val="7"/>
          <w:sz w:val="21"/>
        </w:rPr>
        <w:t> </w:t>
      </w:r>
      <w:r>
        <w:rPr>
          <w:rFonts w:ascii="Times New Roman" w:eastAsia="Times New Roman"/>
          <w:b/>
          <w:sz w:val="21"/>
        </w:rPr>
        <w:t>7.2-1</w:t>
        <w:tab/>
      </w:r>
      <w:r>
        <w:rPr>
          <w:sz w:val="21"/>
        </w:rPr>
        <w:t>项目厂区突发</w:t>
      </w:r>
      <w:r>
        <w:rPr>
          <w:spacing w:val="-3"/>
          <w:sz w:val="21"/>
        </w:rPr>
        <w:t>环</w:t>
      </w:r>
      <w:r>
        <w:rPr>
          <w:sz w:val="21"/>
        </w:rPr>
        <w:t>境事件风险物质及</w:t>
      </w:r>
      <w:r>
        <w:rPr>
          <w:spacing w:val="-3"/>
          <w:sz w:val="21"/>
        </w:rPr>
        <w:t>临</w:t>
      </w:r>
      <w:r>
        <w:rPr>
          <w:sz w:val="21"/>
        </w:rPr>
        <w:t>界量</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0"/>
        <w:gridCol w:w="1455"/>
        <w:gridCol w:w="1418"/>
        <w:gridCol w:w="1166"/>
        <w:gridCol w:w="1518"/>
        <w:gridCol w:w="2188"/>
      </w:tblGrid>
      <w:tr>
        <w:trPr>
          <w:trHeight w:val="625" w:hRule="atLeast"/>
        </w:trPr>
        <w:tc>
          <w:tcPr>
            <w:tcW w:w="780" w:type="dxa"/>
            <w:tcBorders>
              <w:bottom w:val="single" w:sz="6" w:space="0" w:color="000000"/>
              <w:right w:val="single" w:sz="6" w:space="0" w:color="000000"/>
            </w:tcBorders>
          </w:tcPr>
          <w:p>
            <w:pPr>
              <w:pStyle w:val="TableParagraph"/>
              <w:spacing w:before="79"/>
              <w:ind w:left="160" w:right="137"/>
              <w:rPr>
                <w:sz w:val="21"/>
              </w:rPr>
            </w:pPr>
            <w:r>
              <w:rPr>
                <w:sz w:val="21"/>
              </w:rPr>
              <w:t>序号</w:t>
            </w:r>
          </w:p>
        </w:tc>
        <w:tc>
          <w:tcPr>
            <w:tcW w:w="1455" w:type="dxa"/>
            <w:tcBorders>
              <w:left w:val="single" w:sz="6" w:space="0" w:color="000000"/>
              <w:bottom w:val="single" w:sz="6" w:space="0" w:color="000000"/>
              <w:right w:val="single" w:sz="6" w:space="0" w:color="000000"/>
            </w:tcBorders>
          </w:tcPr>
          <w:p>
            <w:pPr>
              <w:pStyle w:val="TableParagraph"/>
              <w:spacing w:line="302" w:lineRule="exact"/>
              <w:ind w:left="73" w:right="43"/>
              <w:rPr>
                <w:sz w:val="21"/>
              </w:rPr>
            </w:pPr>
            <w:r>
              <w:rPr>
                <w:sz w:val="21"/>
              </w:rPr>
              <w:t>危险物质</w:t>
            </w:r>
          </w:p>
          <w:p>
            <w:pPr>
              <w:pStyle w:val="TableParagraph"/>
              <w:spacing w:line="303" w:lineRule="exact"/>
              <w:ind w:left="71" w:right="43"/>
              <w:rPr>
                <w:sz w:val="21"/>
              </w:rPr>
            </w:pPr>
            <w:r>
              <w:rPr>
                <w:sz w:val="21"/>
              </w:rPr>
              <w:t>名称</w:t>
            </w:r>
          </w:p>
        </w:tc>
        <w:tc>
          <w:tcPr>
            <w:tcW w:w="1418" w:type="dxa"/>
            <w:tcBorders>
              <w:left w:val="single" w:sz="6" w:space="0" w:color="000000"/>
              <w:bottom w:val="single" w:sz="6" w:space="0" w:color="000000"/>
              <w:right w:val="single" w:sz="6" w:space="0" w:color="000000"/>
            </w:tcBorders>
          </w:tcPr>
          <w:p>
            <w:pPr>
              <w:pStyle w:val="TableParagraph"/>
              <w:spacing w:before="79"/>
              <w:ind w:left="254" w:right="225"/>
              <w:rPr>
                <w:sz w:val="21"/>
              </w:rPr>
            </w:pPr>
            <w:r>
              <w:rPr>
                <w:rFonts w:ascii="Times New Roman" w:eastAsia="Times New Roman"/>
                <w:sz w:val="21"/>
              </w:rPr>
              <w:t>CAS </w:t>
            </w:r>
            <w:r>
              <w:rPr>
                <w:sz w:val="21"/>
              </w:rPr>
              <w:t>号</w:t>
            </w:r>
          </w:p>
        </w:tc>
        <w:tc>
          <w:tcPr>
            <w:tcW w:w="1166" w:type="dxa"/>
            <w:tcBorders>
              <w:left w:val="single" w:sz="6" w:space="0" w:color="000000"/>
              <w:bottom w:val="single" w:sz="6" w:space="0" w:color="000000"/>
              <w:right w:val="single" w:sz="6" w:space="0" w:color="000000"/>
            </w:tcBorders>
          </w:tcPr>
          <w:p>
            <w:pPr>
              <w:pStyle w:val="TableParagraph"/>
              <w:spacing w:line="302" w:lineRule="exact"/>
              <w:ind w:left="168"/>
              <w:jc w:val="left"/>
              <w:rPr>
                <w:sz w:val="21"/>
              </w:rPr>
            </w:pPr>
            <w:r>
              <w:rPr>
                <w:spacing w:val="-1"/>
                <w:sz w:val="21"/>
              </w:rPr>
              <w:t>最大存在</w:t>
            </w:r>
          </w:p>
          <w:p>
            <w:pPr>
              <w:pStyle w:val="TableParagraph"/>
              <w:spacing w:line="303" w:lineRule="exact"/>
              <w:ind w:left="187"/>
              <w:jc w:val="left"/>
              <w:rPr>
                <w:rFonts w:ascii="Times New Roman" w:eastAsia="Times New Roman"/>
                <w:sz w:val="21"/>
              </w:rPr>
            </w:pPr>
            <w:r>
              <w:rPr>
                <w:spacing w:val="1"/>
                <w:sz w:val="21"/>
              </w:rPr>
              <w:t>总量 </w:t>
            </w:r>
            <w:r>
              <w:rPr>
                <w:rFonts w:ascii="Times New Roman" w:eastAsia="Times New Roman"/>
                <w:sz w:val="21"/>
              </w:rPr>
              <w:t>qn/t</w:t>
            </w:r>
          </w:p>
        </w:tc>
        <w:tc>
          <w:tcPr>
            <w:tcW w:w="1518" w:type="dxa"/>
            <w:tcBorders>
              <w:left w:val="single" w:sz="6" w:space="0" w:color="000000"/>
              <w:bottom w:val="single" w:sz="6" w:space="0" w:color="000000"/>
              <w:right w:val="single" w:sz="6" w:space="0" w:color="000000"/>
            </w:tcBorders>
          </w:tcPr>
          <w:p>
            <w:pPr>
              <w:pStyle w:val="TableParagraph"/>
              <w:spacing w:before="79"/>
              <w:ind w:left="221" w:right="191"/>
              <w:rPr>
                <w:rFonts w:ascii="Times New Roman" w:eastAsia="Times New Roman"/>
                <w:sz w:val="21"/>
              </w:rPr>
            </w:pPr>
            <w:r>
              <w:rPr>
                <w:sz w:val="21"/>
              </w:rPr>
              <w:t>临界量 </w:t>
            </w:r>
            <w:r>
              <w:rPr>
                <w:rFonts w:ascii="Times New Roman" w:eastAsia="Times New Roman"/>
                <w:sz w:val="21"/>
              </w:rPr>
              <w:t>Qn/t</w:t>
            </w:r>
          </w:p>
        </w:tc>
        <w:tc>
          <w:tcPr>
            <w:tcW w:w="2188" w:type="dxa"/>
            <w:tcBorders>
              <w:left w:val="single" w:sz="6" w:space="0" w:color="000000"/>
              <w:bottom w:val="single" w:sz="6" w:space="0" w:color="000000"/>
            </w:tcBorders>
          </w:tcPr>
          <w:p>
            <w:pPr>
              <w:pStyle w:val="TableParagraph"/>
              <w:spacing w:before="79"/>
              <w:ind w:left="434" w:right="389"/>
              <w:rPr>
                <w:sz w:val="21"/>
              </w:rPr>
            </w:pPr>
            <w:r>
              <w:rPr>
                <w:sz w:val="21"/>
              </w:rPr>
              <w:t>危险物质 </w:t>
            </w:r>
            <w:r>
              <w:rPr>
                <w:rFonts w:ascii="Times New Roman" w:eastAsia="Times New Roman"/>
                <w:sz w:val="21"/>
              </w:rPr>
              <w:t>Q </w:t>
            </w:r>
            <w:r>
              <w:rPr>
                <w:sz w:val="21"/>
              </w:rPr>
              <w:t>值</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2"/>
              <w:ind w:left="18"/>
              <w:rPr>
                <w:rFonts w:ascii="Times New Roman"/>
                <w:sz w:val="21"/>
              </w:rPr>
            </w:pPr>
            <w:r>
              <w:rPr>
                <w:rFonts w:ascii="Times New Roman"/>
                <w:w w:val="100"/>
                <w:sz w:val="21"/>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71" w:right="43"/>
              <w:rPr>
                <w:sz w:val="21"/>
              </w:rPr>
            </w:pPr>
            <w:r>
              <w:rPr>
                <w:sz w:val="21"/>
              </w:rPr>
              <w:t>甲醇</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9"/>
              <w:ind w:left="254" w:right="233"/>
              <w:rPr>
                <w:rFonts w:ascii="Times New Roman"/>
                <w:sz w:val="21"/>
              </w:rPr>
            </w:pPr>
            <w:r>
              <w:rPr>
                <w:rFonts w:ascii="Times New Roman"/>
                <w:sz w:val="21"/>
              </w:rPr>
              <w:t>67-56-1</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2"/>
              <w:ind w:left="331" w:right="306"/>
              <w:rPr>
                <w:rFonts w:ascii="Times New Roman"/>
                <w:sz w:val="21"/>
              </w:rPr>
            </w:pPr>
            <w:r>
              <w:rPr>
                <w:rFonts w:ascii="Times New Roman"/>
                <w:sz w:val="21"/>
              </w:rPr>
              <w:t>3.5</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9"/>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9"/>
              <w:ind w:left="431" w:right="389"/>
              <w:rPr>
                <w:rFonts w:ascii="Times New Roman"/>
                <w:sz w:val="21"/>
              </w:rPr>
            </w:pPr>
            <w:r>
              <w:rPr>
                <w:rFonts w:ascii="Times New Roman"/>
                <w:sz w:val="21"/>
              </w:rPr>
              <w:t>0.35</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1"/>
              <w:ind w:left="18"/>
              <w:rPr>
                <w:rFonts w:ascii="Times New Roman"/>
                <w:sz w:val="21"/>
              </w:rPr>
            </w:pPr>
            <w:r>
              <w:rPr>
                <w:rFonts w:ascii="Times New Roman"/>
                <w:w w:val="100"/>
                <w:sz w:val="21"/>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1" w:right="43"/>
              <w:rPr>
                <w:sz w:val="21"/>
              </w:rPr>
            </w:pPr>
            <w:r>
              <w:rPr>
                <w:sz w:val="21"/>
              </w:rPr>
              <w:t>甲苯</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108-88-3</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1"/>
              <w:ind w:left="25"/>
              <w:rPr>
                <w:rFonts w:ascii="Times New Roman"/>
                <w:sz w:val="21"/>
              </w:rPr>
            </w:pPr>
            <w:r>
              <w:rPr>
                <w:rFonts w:ascii="Times New Roman"/>
                <w:w w:val="100"/>
                <w:sz w:val="21"/>
              </w:rPr>
              <w:t>6</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0.6</w:t>
            </w:r>
          </w:p>
        </w:tc>
      </w:tr>
      <w:tr>
        <w:trPr>
          <w:trHeight w:val="337" w:hRule="atLeast"/>
        </w:trPr>
        <w:tc>
          <w:tcPr>
            <w:tcW w:w="780" w:type="dxa"/>
            <w:tcBorders>
              <w:top w:val="single" w:sz="6" w:space="0" w:color="000000"/>
              <w:bottom w:val="single" w:sz="6" w:space="0" w:color="000000"/>
              <w:right w:val="single" w:sz="6" w:space="0" w:color="000000"/>
            </w:tcBorders>
          </w:tcPr>
          <w:p>
            <w:pPr>
              <w:pStyle w:val="TableParagraph"/>
              <w:spacing w:before="41"/>
              <w:ind w:left="18"/>
              <w:rPr>
                <w:rFonts w:ascii="Times New Roman"/>
                <w:sz w:val="21"/>
              </w:rPr>
            </w:pPr>
            <w:r>
              <w:rPr>
                <w:rFonts w:ascii="Times New Roman"/>
                <w:w w:val="100"/>
                <w:sz w:val="21"/>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71" w:right="43"/>
              <w:rPr>
                <w:sz w:val="21"/>
              </w:rPr>
            </w:pPr>
            <w:r>
              <w:rPr>
                <w:sz w:val="21"/>
              </w:rPr>
              <w:t>乙酸</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64-19-7</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1"/>
              <w:ind w:left="331" w:right="306"/>
              <w:rPr>
                <w:rFonts w:ascii="Times New Roman"/>
                <w:sz w:val="21"/>
              </w:rPr>
            </w:pPr>
            <w:r>
              <w:rPr>
                <w:rFonts w:ascii="Times New Roman"/>
                <w:sz w:val="21"/>
              </w:rPr>
              <w:t>4.8</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0.48</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3" w:right="43"/>
              <w:rPr>
                <w:sz w:val="21"/>
              </w:rPr>
            </w:pPr>
            <w:r>
              <w:rPr>
                <w:sz w:val="21"/>
              </w:rPr>
              <w:t>溴氯丙烷</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51"/>
              <w:ind w:left="254" w:right="233"/>
              <w:rPr>
                <w:rFonts w:ascii="Times New Roman"/>
                <w:sz w:val="21"/>
              </w:rPr>
            </w:pPr>
            <w:r>
              <w:rPr>
                <w:rFonts w:ascii="Times New Roman"/>
                <w:sz w:val="21"/>
              </w:rPr>
              <w:t>96-12-8</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3"/>
              <w:ind w:left="331" w:right="306"/>
              <w:rPr>
                <w:rFonts w:ascii="Times New Roman"/>
                <w:sz w:val="21"/>
              </w:rPr>
            </w:pPr>
            <w:r>
              <w:rPr>
                <w:rFonts w:ascii="Times New Roman"/>
                <w:sz w:val="21"/>
              </w:rPr>
              <w:t>6.0</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51"/>
              <w:ind w:left="220" w:right="191"/>
              <w:rPr>
                <w:rFonts w:ascii="Times New Roman"/>
                <w:sz w:val="21"/>
              </w:rPr>
            </w:pPr>
            <w:r>
              <w:rPr>
                <w:rFonts w:ascii="Times New Roman"/>
                <w:sz w:val="21"/>
              </w:rPr>
              <w:t>50</w:t>
            </w:r>
          </w:p>
        </w:tc>
        <w:tc>
          <w:tcPr>
            <w:tcW w:w="2188" w:type="dxa"/>
            <w:tcBorders>
              <w:top w:val="single" w:sz="6" w:space="0" w:color="000000"/>
              <w:left w:val="single" w:sz="6" w:space="0" w:color="000000"/>
              <w:bottom w:val="single" w:sz="6" w:space="0" w:color="000000"/>
            </w:tcBorders>
          </w:tcPr>
          <w:p>
            <w:pPr>
              <w:pStyle w:val="TableParagraph"/>
              <w:spacing w:before="51"/>
              <w:ind w:left="431" w:right="389"/>
              <w:rPr>
                <w:rFonts w:ascii="Times New Roman"/>
                <w:sz w:val="21"/>
              </w:rPr>
            </w:pPr>
            <w:r>
              <w:rPr>
                <w:rFonts w:ascii="Times New Roman"/>
                <w:sz w:val="21"/>
              </w:rPr>
              <w:t>0.12</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1" w:right="43"/>
              <w:rPr>
                <w:sz w:val="21"/>
              </w:rPr>
            </w:pPr>
            <w:r>
              <w:rPr>
                <w:sz w:val="21"/>
              </w:rPr>
              <w:t>氯苯</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108-90-7</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3"/>
              <w:ind w:left="331" w:right="306"/>
              <w:rPr>
                <w:rFonts w:ascii="Times New Roman"/>
                <w:sz w:val="21"/>
              </w:rPr>
            </w:pPr>
            <w:r>
              <w:rPr>
                <w:rFonts w:ascii="Times New Roman"/>
                <w:sz w:val="21"/>
              </w:rPr>
              <w:t>4.0</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9"/>
              <w:rPr>
                <w:rFonts w:ascii="Times New Roman"/>
                <w:sz w:val="21"/>
              </w:rPr>
            </w:pPr>
            <w:r>
              <w:rPr>
                <w:rFonts w:ascii="Times New Roman"/>
                <w:w w:val="100"/>
                <w:sz w:val="21"/>
              </w:rPr>
              <w:t>5</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0.8</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6</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3" w:right="43"/>
              <w:rPr>
                <w:sz w:val="21"/>
              </w:rPr>
            </w:pPr>
            <w:r>
              <w:rPr>
                <w:sz w:val="21"/>
              </w:rPr>
              <w:t>乙酸乙酯</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141-78-6</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3"/>
              <w:ind w:left="331" w:right="306"/>
              <w:rPr>
                <w:rFonts w:ascii="Times New Roman"/>
                <w:sz w:val="21"/>
              </w:rPr>
            </w:pPr>
            <w:r>
              <w:rPr>
                <w:rFonts w:ascii="Times New Roman"/>
                <w:sz w:val="21"/>
              </w:rPr>
              <w:t>9.0</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0.9</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7</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1" w:right="43"/>
              <w:rPr>
                <w:sz w:val="21"/>
              </w:rPr>
            </w:pPr>
            <w:r>
              <w:rPr>
                <w:sz w:val="21"/>
              </w:rPr>
              <w:t>苯甲醛</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100-52-7</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3"/>
              <w:ind w:left="331" w:right="306"/>
              <w:rPr>
                <w:rFonts w:ascii="Times New Roman"/>
                <w:sz w:val="21"/>
              </w:rPr>
            </w:pPr>
            <w:r>
              <w:rPr>
                <w:rFonts w:ascii="Times New Roman"/>
                <w:sz w:val="21"/>
              </w:rPr>
              <w:t>0.42</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0.042</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8</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1" w:right="43"/>
              <w:rPr>
                <w:sz w:val="21"/>
              </w:rPr>
            </w:pPr>
            <w:r>
              <w:rPr>
                <w:sz w:val="21"/>
              </w:rPr>
              <w:t>丙酮</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67-64-1</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3"/>
              <w:ind w:left="331" w:right="306"/>
              <w:rPr>
                <w:rFonts w:ascii="Times New Roman"/>
                <w:sz w:val="21"/>
              </w:rPr>
            </w:pPr>
            <w:r>
              <w:rPr>
                <w:rFonts w:ascii="Times New Roman"/>
                <w:sz w:val="21"/>
              </w:rPr>
              <w:t>5.0</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0.5</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9</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3" w:right="43"/>
              <w:rPr>
                <w:sz w:val="21"/>
              </w:rPr>
            </w:pPr>
            <w:r>
              <w:rPr>
                <w:sz w:val="21"/>
              </w:rPr>
              <w:t>环氧氯丙烷</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106-89-8</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3"/>
              <w:ind w:left="331" w:right="306"/>
              <w:rPr>
                <w:rFonts w:ascii="Times New Roman"/>
                <w:sz w:val="21"/>
              </w:rPr>
            </w:pPr>
            <w:r>
              <w:rPr>
                <w:rFonts w:ascii="Times New Roman"/>
                <w:sz w:val="21"/>
              </w:rPr>
              <w:t>3.0</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0.3</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4"/>
              <w:ind w:left="155" w:right="137"/>
              <w:rPr>
                <w:rFonts w:ascii="Times New Roman"/>
                <w:sz w:val="21"/>
              </w:rPr>
            </w:pPr>
            <w:r>
              <w:rPr>
                <w:rFonts w:ascii="Times New Roman"/>
                <w:sz w:val="21"/>
              </w:rPr>
              <w:t>10</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71" w:right="43"/>
              <w:rPr>
                <w:sz w:val="21"/>
              </w:rPr>
            </w:pPr>
            <w:r>
              <w:rPr>
                <w:sz w:val="21"/>
              </w:rPr>
              <w:t>甲酸</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9"/>
              <w:ind w:left="254" w:right="233"/>
              <w:rPr>
                <w:rFonts w:ascii="Times New Roman"/>
                <w:sz w:val="21"/>
              </w:rPr>
            </w:pPr>
            <w:r>
              <w:rPr>
                <w:rFonts w:ascii="Times New Roman"/>
                <w:sz w:val="21"/>
              </w:rPr>
              <w:t>64-18-6</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9"/>
              <w:ind w:left="331" w:right="306"/>
              <w:rPr>
                <w:rFonts w:ascii="Times New Roman"/>
                <w:sz w:val="21"/>
              </w:rPr>
            </w:pPr>
            <w:r>
              <w:rPr>
                <w:rFonts w:ascii="Times New Roman"/>
                <w:sz w:val="21"/>
              </w:rPr>
              <w:t>0.5</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9"/>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9"/>
              <w:ind w:left="431" w:right="389"/>
              <w:rPr>
                <w:rFonts w:ascii="Times New Roman"/>
                <w:sz w:val="21"/>
              </w:rPr>
            </w:pPr>
            <w:r>
              <w:rPr>
                <w:rFonts w:ascii="Times New Roman"/>
                <w:sz w:val="21"/>
              </w:rPr>
              <w:t>0.05</w:t>
            </w:r>
          </w:p>
        </w:tc>
      </w:tr>
      <w:tr>
        <w:trPr>
          <w:trHeight w:val="337" w:hRule="atLeast"/>
        </w:trPr>
        <w:tc>
          <w:tcPr>
            <w:tcW w:w="780" w:type="dxa"/>
            <w:tcBorders>
              <w:top w:val="single" w:sz="6" w:space="0" w:color="000000"/>
              <w:right w:val="single" w:sz="6" w:space="0" w:color="000000"/>
            </w:tcBorders>
          </w:tcPr>
          <w:p>
            <w:pPr>
              <w:pStyle w:val="TableParagraph"/>
              <w:spacing w:before="43"/>
              <w:ind w:left="151" w:right="137"/>
              <w:rPr>
                <w:rFonts w:ascii="Times New Roman"/>
                <w:sz w:val="21"/>
              </w:rPr>
            </w:pPr>
            <w:r>
              <w:rPr>
                <w:rFonts w:ascii="Times New Roman"/>
                <w:sz w:val="21"/>
              </w:rPr>
              <w:t>11</w:t>
            </w:r>
          </w:p>
        </w:tc>
        <w:tc>
          <w:tcPr>
            <w:tcW w:w="1455" w:type="dxa"/>
            <w:tcBorders>
              <w:top w:val="single" w:sz="6" w:space="0" w:color="000000"/>
              <w:left w:val="single" w:sz="6" w:space="0" w:color="000000"/>
              <w:right w:val="single" w:sz="6" w:space="0" w:color="000000"/>
            </w:tcBorders>
          </w:tcPr>
          <w:p>
            <w:pPr>
              <w:pStyle w:val="TableParagraph"/>
              <w:spacing w:line="318" w:lineRule="exact"/>
              <w:ind w:left="71" w:right="43"/>
              <w:rPr>
                <w:sz w:val="21"/>
              </w:rPr>
            </w:pPr>
            <w:r>
              <w:rPr>
                <w:sz w:val="21"/>
              </w:rPr>
              <w:t>硝酸</w:t>
            </w:r>
          </w:p>
        </w:tc>
        <w:tc>
          <w:tcPr>
            <w:tcW w:w="1418" w:type="dxa"/>
            <w:tcBorders>
              <w:top w:val="single" w:sz="6" w:space="0" w:color="000000"/>
              <w:left w:val="single" w:sz="6" w:space="0" w:color="000000"/>
              <w:right w:val="single" w:sz="6" w:space="0" w:color="000000"/>
            </w:tcBorders>
          </w:tcPr>
          <w:p>
            <w:pPr>
              <w:pStyle w:val="TableParagraph"/>
              <w:spacing w:before="48"/>
              <w:ind w:left="254" w:right="233"/>
              <w:rPr>
                <w:rFonts w:ascii="Times New Roman"/>
                <w:sz w:val="21"/>
              </w:rPr>
            </w:pPr>
            <w:r>
              <w:rPr>
                <w:rFonts w:ascii="Times New Roman"/>
                <w:sz w:val="21"/>
              </w:rPr>
              <w:t>7697-37-2</w:t>
            </w:r>
          </w:p>
        </w:tc>
        <w:tc>
          <w:tcPr>
            <w:tcW w:w="1166" w:type="dxa"/>
            <w:tcBorders>
              <w:top w:val="single" w:sz="6" w:space="0" w:color="000000"/>
              <w:left w:val="single" w:sz="6" w:space="0" w:color="000000"/>
              <w:right w:val="single" w:sz="6" w:space="0" w:color="000000"/>
            </w:tcBorders>
          </w:tcPr>
          <w:p>
            <w:pPr>
              <w:pStyle w:val="TableParagraph"/>
              <w:spacing w:before="48"/>
              <w:ind w:left="331" w:right="306"/>
              <w:rPr>
                <w:rFonts w:ascii="Times New Roman"/>
                <w:sz w:val="21"/>
              </w:rPr>
            </w:pPr>
            <w:r>
              <w:rPr>
                <w:rFonts w:ascii="Times New Roman"/>
                <w:sz w:val="21"/>
              </w:rPr>
              <w:t>2.0</w:t>
            </w:r>
          </w:p>
        </w:tc>
        <w:tc>
          <w:tcPr>
            <w:tcW w:w="1518" w:type="dxa"/>
            <w:tcBorders>
              <w:top w:val="single" w:sz="6" w:space="0" w:color="000000"/>
              <w:left w:val="single" w:sz="6" w:space="0" w:color="000000"/>
              <w:right w:val="single" w:sz="6" w:space="0" w:color="000000"/>
            </w:tcBorders>
          </w:tcPr>
          <w:p>
            <w:pPr>
              <w:pStyle w:val="TableParagraph"/>
              <w:spacing w:before="48"/>
              <w:ind w:left="221" w:right="187"/>
              <w:rPr>
                <w:rFonts w:ascii="Times New Roman"/>
                <w:sz w:val="21"/>
              </w:rPr>
            </w:pPr>
            <w:r>
              <w:rPr>
                <w:rFonts w:ascii="Times New Roman"/>
                <w:sz w:val="21"/>
              </w:rPr>
              <w:t>7.5</w:t>
            </w:r>
          </w:p>
        </w:tc>
        <w:tc>
          <w:tcPr>
            <w:tcW w:w="2188" w:type="dxa"/>
            <w:tcBorders>
              <w:top w:val="single" w:sz="6" w:space="0" w:color="000000"/>
              <w:left w:val="single" w:sz="6" w:space="0" w:color="000000"/>
            </w:tcBorders>
          </w:tcPr>
          <w:p>
            <w:pPr>
              <w:pStyle w:val="TableParagraph"/>
              <w:spacing w:before="48"/>
              <w:ind w:left="431" w:right="389"/>
              <w:rPr>
                <w:rFonts w:ascii="Times New Roman"/>
                <w:sz w:val="21"/>
              </w:rPr>
            </w:pPr>
            <w:r>
              <w:rPr>
                <w:rFonts w:ascii="Times New Roman"/>
                <w:sz w:val="21"/>
              </w:rPr>
              <w:t>0.267</w:t>
            </w:r>
          </w:p>
        </w:tc>
      </w:tr>
    </w:tbl>
    <w:p>
      <w:pPr>
        <w:spacing w:after="0"/>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0"/>
        <w:gridCol w:w="1455"/>
        <w:gridCol w:w="1418"/>
        <w:gridCol w:w="1166"/>
        <w:gridCol w:w="1518"/>
        <w:gridCol w:w="2188"/>
      </w:tblGrid>
      <w:tr>
        <w:trPr>
          <w:trHeight w:val="340" w:hRule="atLeast"/>
        </w:trPr>
        <w:tc>
          <w:tcPr>
            <w:tcW w:w="780" w:type="dxa"/>
            <w:tcBorders>
              <w:bottom w:val="single" w:sz="6" w:space="0" w:color="000000"/>
              <w:right w:val="single" w:sz="6" w:space="0" w:color="000000"/>
            </w:tcBorders>
          </w:tcPr>
          <w:p>
            <w:pPr>
              <w:pStyle w:val="TableParagraph"/>
              <w:spacing w:before="43"/>
              <w:ind w:left="155" w:right="137"/>
              <w:rPr>
                <w:rFonts w:ascii="Times New Roman"/>
                <w:sz w:val="21"/>
              </w:rPr>
            </w:pPr>
            <w:r>
              <w:rPr>
                <w:rFonts w:ascii="Times New Roman"/>
                <w:sz w:val="21"/>
              </w:rPr>
              <w:t>12</w:t>
            </w:r>
          </w:p>
        </w:tc>
        <w:tc>
          <w:tcPr>
            <w:tcW w:w="1455" w:type="dxa"/>
            <w:tcBorders>
              <w:left w:val="single" w:sz="6" w:space="0" w:color="000000"/>
              <w:bottom w:val="single" w:sz="6" w:space="0" w:color="000000"/>
              <w:right w:val="single" w:sz="6" w:space="0" w:color="000000"/>
            </w:tcBorders>
          </w:tcPr>
          <w:p>
            <w:pPr>
              <w:pStyle w:val="TableParagraph"/>
              <w:spacing w:line="320" w:lineRule="exact"/>
              <w:ind w:left="71" w:right="43"/>
              <w:rPr>
                <w:sz w:val="21"/>
              </w:rPr>
            </w:pPr>
            <w:r>
              <w:rPr>
                <w:sz w:val="21"/>
              </w:rPr>
              <w:t>呋喃</w:t>
            </w:r>
          </w:p>
        </w:tc>
        <w:tc>
          <w:tcPr>
            <w:tcW w:w="1418" w:type="dxa"/>
            <w:tcBorders>
              <w:left w:val="single" w:sz="6" w:space="0" w:color="000000"/>
              <w:bottom w:val="single" w:sz="6" w:space="0" w:color="000000"/>
              <w:right w:val="single" w:sz="6" w:space="0" w:color="000000"/>
            </w:tcBorders>
          </w:tcPr>
          <w:p>
            <w:pPr>
              <w:pStyle w:val="TableParagraph"/>
              <w:spacing w:before="48"/>
              <w:ind w:right="306"/>
              <w:jc w:val="right"/>
              <w:rPr>
                <w:rFonts w:ascii="Times New Roman"/>
                <w:sz w:val="21"/>
              </w:rPr>
            </w:pPr>
            <w:r>
              <w:rPr>
                <w:rFonts w:ascii="Times New Roman"/>
                <w:sz w:val="21"/>
              </w:rPr>
              <w:t>110-00-9</w:t>
            </w:r>
          </w:p>
        </w:tc>
        <w:tc>
          <w:tcPr>
            <w:tcW w:w="1166" w:type="dxa"/>
            <w:tcBorders>
              <w:left w:val="single" w:sz="6" w:space="0" w:color="000000"/>
              <w:bottom w:val="single" w:sz="6" w:space="0" w:color="000000"/>
              <w:right w:val="single" w:sz="6" w:space="0" w:color="000000"/>
            </w:tcBorders>
          </w:tcPr>
          <w:p>
            <w:pPr>
              <w:pStyle w:val="TableParagraph"/>
              <w:spacing w:before="48"/>
              <w:ind w:left="331" w:right="306"/>
              <w:rPr>
                <w:rFonts w:ascii="Times New Roman"/>
                <w:sz w:val="21"/>
              </w:rPr>
            </w:pPr>
            <w:r>
              <w:rPr>
                <w:rFonts w:ascii="Times New Roman"/>
                <w:sz w:val="21"/>
              </w:rPr>
              <w:t>0.144</w:t>
            </w:r>
          </w:p>
        </w:tc>
        <w:tc>
          <w:tcPr>
            <w:tcW w:w="1518" w:type="dxa"/>
            <w:tcBorders>
              <w:left w:val="single" w:sz="6" w:space="0" w:color="000000"/>
              <w:bottom w:val="single" w:sz="6" w:space="0" w:color="000000"/>
              <w:right w:val="single" w:sz="6" w:space="0" w:color="000000"/>
            </w:tcBorders>
          </w:tcPr>
          <w:p>
            <w:pPr>
              <w:pStyle w:val="TableParagraph"/>
              <w:spacing w:before="48"/>
              <w:ind w:left="221" w:right="187"/>
              <w:rPr>
                <w:rFonts w:ascii="Times New Roman"/>
                <w:sz w:val="21"/>
              </w:rPr>
            </w:pPr>
            <w:r>
              <w:rPr>
                <w:rFonts w:ascii="Times New Roman"/>
                <w:sz w:val="21"/>
              </w:rPr>
              <w:t>2.5</w:t>
            </w:r>
          </w:p>
        </w:tc>
        <w:tc>
          <w:tcPr>
            <w:tcW w:w="2188" w:type="dxa"/>
            <w:tcBorders>
              <w:left w:val="single" w:sz="6" w:space="0" w:color="000000"/>
              <w:bottom w:val="single" w:sz="6" w:space="0" w:color="000000"/>
            </w:tcBorders>
          </w:tcPr>
          <w:p>
            <w:pPr>
              <w:pStyle w:val="TableParagraph"/>
              <w:spacing w:before="48"/>
              <w:ind w:right="768"/>
              <w:jc w:val="right"/>
              <w:rPr>
                <w:rFonts w:ascii="Times New Roman"/>
                <w:sz w:val="21"/>
              </w:rPr>
            </w:pPr>
            <w:r>
              <w:rPr>
                <w:rFonts w:ascii="Times New Roman"/>
                <w:sz w:val="21"/>
              </w:rPr>
              <w:t>0.0576</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55" w:right="137"/>
              <w:rPr>
                <w:rFonts w:ascii="Times New Roman"/>
                <w:sz w:val="21"/>
              </w:rPr>
            </w:pPr>
            <w:r>
              <w:rPr>
                <w:rFonts w:ascii="Times New Roman"/>
                <w:sz w:val="21"/>
              </w:rPr>
              <w:t>13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4"/>
              <w:jc w:val="left"/>
              <w:rPr>
                <w:sz w:val="21"/>
              </w:rPr>
            </w:pPr>
            <w:r>
              <w:rPr>
                <w:sz w:val="21"/>
              </w:rPr>
              <w:t>氯化亚砜</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right="251"/>
              <w:jc w:val="right"/>
              <w:rPr>
                <w:rFonts w:ascii="Times New Roman"/>
                <w:sz w:val="21"/>
              </w:rPr>
            </w:pPr>
            <w:r>
              <w:rPr>
                <w:rFonts w:ascii="Times New Roman"/>
                <w:sz w:val="21"/>
              </w:rPr>
              <w:t>7719-09-7</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8"/>
              <w:ind w:left="331" w:right="306"/>
              <w:rPr>
                <w:rFonts w:ascii="Times New Roman"/>
                <w:sz w:val="21"/>
              </w:rPr>
            </w:pPr>
            <w:r>
              <w:rPr>
                <w:rFonts w:ascii="Times New Roman"/>
                <w:sz w:val="21"/>
              </w:rPr>
              <w:t>0.3</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9"/>
              <w:rPr>
                <w:rFonts w:ascii="Times New Roman"/>
                <w:sz w:val="21"/>
              </w:rPr>
            </w:pPr>
            <w:r>
              <w:rPr>
                <w:rFonts w:ascii="Times New Roman"/>
                <w:w w:val="100"/>
                <w:sz w:val="21"/>
              </w:rPr>
              <w:t>5</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0.06</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55" w:right="137"/>
              <w:rPr>
                <w:rFonts w:ascii="Times New Roman"/>
                <w:sz w:val="21"/>
              </w:rPr>
            </w:pPr>
            <w:r>
              <w:rPr>
                <w:rFonts w:ascii="Times New Roman"/>
                <w:sz w:val="21"/>
              </w:rPr>
              <w:t>14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 w:right="-29"/>
              <w:jc w:val="left"/>
              <w:rPr>
                <w:sz w:val="21"/>
              </w:rPr>
            </w:pPr>
            <w:r>
              <w:rPr>
                <w:sz w:val="21"/>
              </w:rPr>
              <w:t>盐酸（</w:t>
            </w:r>
            <w:r>
              <w:rPr>
                <w:rFonts w:ascii="Times New Roman" w:hAnsi="Times New Roman" w:eastAsia="Times New Roman"/>
                <w:sz w:val="21"/>
              </w:rPr>
              <w:t>≥37%</w:t>
            </w:r>
            <w:r>
              <w:rPr>
                <w:sz w:val="21"/>
              </w:rPr>
              <w:t>）</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right="251"/>
              <w:jc w:val="right"/>
              <w:rPr>
                <w:rFonts w:ascii="Times New Roman"/>
                <w:sz w:val="21"/>
              </w:rPr>
            </w:pPr>
            <w:r>
              <w:rPr>
                <w:rFonts w:ascii="Times New Roman"/>
                <w:sz w:val="21"/>
              </w:rPr>
              <w:t>7647-01-0</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8"/>
              <w:ind w:left="331" w:right="306"/>
              <w:rPr>
                <w:rFonts w:ascii="Times New Roman"/>
                <w:sz w:val="21"/>
              </w:rPr>
            </w:pPr>
            <w:r>
              <w:rPr>
                <w:rFonts w:ascii="Times New Roman"/>
                <w:sz w:val="21"/>
              </w:rPr>
              <w:t>3.9*</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1" w:right="187"/>
              <w:rPr>
                <w:rFonts w:ascii="Times New Roman"/>
                <w:sz w:val="21"/>
              </w:rPr>
            </w:pPr>
            <w:r>
              <w:rPr>
                <w:rFonts w:ascii="Times New Roman"/>
                <w:sz w:val="21"/>
              </w:rPr>
              <w:t>7.5</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0.52</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55" w:right="137"/>
              <w:rPr>
                <w:rFonts w:ascii="Times New Roman"/>
                <w:sz w:val="21"/>
              </w:rPr>
            </w:pPr>
            <w:r>
              <w:rPr>
                <w:rFonts w:ascii="Times New Roman"/>
                <w:sz w:val="21"/>
              </w:rPr>
              <w:t>15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1" w:right="43"/>
              <w:rPr>
                <w:sz w:val="21"/>
              </w:rPr>
            </w:pPr>
            <w:r>
              <w:rPr>
                <w:sz w:val="21"/>
              </w:rPr>
              <w:t>甲醛</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left="381"/>
              <w:jc w:val="left"/>
              <w:rPr>
                <w:rFonts w:ascii="Times New Roman"/>
                <w:sz w:val="21"/>
              </w:rPr>
            </w:pPr>
            <w:r>
              <w:rPr>
                <w:rFonts w:ascii="Times New Roman"/>
                <w:sz w:val="21"/>
              </w:rPr>
              <w:t>50-00-0</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8"/>
              <w:ind w:left="331" w:right="306"/>
              <w:rPr>
                <w:rFonts w:ascii="Times New Roman"/>
                <w:sz w:val="21"/>
              </w:rPr>
            </w:pPr>
            <w:r>
              <w:rPr>
                <w:rFonts w:ascii="Times New Roman"/>
                <w:sz w:val="21"/>
              </w:rPr>
              <w:t>1.55</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1" w:right="187"/>
              <w:rPr>
                <w:rFonts w:ascii="Times New Roman"/>
                <w:sz w:val="21"/>
              </w:rPr>
            </w:pPr>
            <w:r>
              <w:rPr>
                <w:rFonts w:ascii="Times New Roman"/>
                <w:sz w:val="21"/>
              </w:rPr>
              <w:t>0.5</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3.10</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55" w:right="137"/>
              <w:rPr>
                <w:rFonts w:ascii="Times New Roman"/>
                <w:sz w:val="21"/>
              </w:rPr>
            </w:pPr>
            <w:r>
              <w:rPr>
                <w:rFonts w:ascii="Times New Roman"/>
                <w:sz w:val="21"/>
              </w:rPr>
              <w:t>16</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1" w:right="43"/>
              <w:rPr>
                <w:sz w:val="21"/>
              </w:rPr>
            </w:pPr>
            <w:r>
              <w:rPr>
                <w:sz w:val="21"/>
              </w:rPr>
              <w:t>硫酸</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right="251"/>
              <w:jc w:val="right"/>
              <w:rPr>
                <w:rFonts w:ascii="Times New Roman"/>
                <w:sz w:val="21"/>
              </w:rPr>
            </w:pPr>
            <w:r>
              <w:rPr>
                <w:rFonts w:ascii="Times New Roman"/>
                <w:sz w:val="21"/>
              </w:rPr>
              <w:t>7664-93-9</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8"/>
              <w:ind w:left="331" w:right="306"/>
              <w:rPr>
                <w:rFonts w:ascii="Times New Roman"/>
                <w:sz w:val="21"/>
              </w:rPr>
            </w:pPr>
            <w:r>
              <w:rPr>
                <w:rFonts w:ascii="Times New Roman"/>
                <w:sz w:val="21"/>
              </w:rPr>
              <w:t>1.0</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10</w:t>
            </w:r>
          </w:p>
        </w:tc>
        <w:tc>
          <w:tcPr>
            <w:tcW w:w="2188" w:type="dxa"/>
            <w:tcBorders>
              <w:top w:val="single" w:sz="6" w:space="0" w:color="000000"/>
              <w:left w:val="single" w:sz="6" w:space="0" w:color="000000"/>
              <w:bottom w:val="single" w:sz="6" w:space="0" w:color="000000"/>
            </w:tcBorders>
          </w:tcPr>
          <w:p>
            <w:pPr>
              <w:pStyle w:val="TableParagraph"/>
              <w:spacing w:before="48"/>
              <w:ind w:left="431" w:right="389"/>
              <w:rPr>
                <w:rFonts w:ascii="Times New Roman"/>
                <w:sz w:val="21"/>
              </w:rPr>
            </w:pPr>
            <w:r>
              <w:rPr>
                <w:rFonts w:ascii="Times New Roman"/>
                <w:sz w:val="21"/>
              </w:rPr>
              <w:t>0.1</w:t>
            </w:r>
          </w:p>
        </w:tc>
      </w:tr>
      <w:tr>
        <w:trPr>
          <w:trHeight w:val="340" w:hRule="atLeast"/>
        </w:trPr>
        <w:tc>
          <w:tcPr>
            <w:tcW w:w="780" w:type="dxa"/>
            <w:tcBorders>
              <w:top w:val="single" w:sz="6" w:space="0" w:color="000000"/>
              <w:bottom w:val="single" w:sz="6" w:space="0" w:color="000000"/>
              <w:right w:val="single" w:sz="6" w:space="0" w:color="000000"/>
            </w:tcBorders>
          </w:tcPr>
          <w:p>
            <w:pPr>
              <w:pStyle w:val="TableParagraph"/>
              <w:spacing w:before="43"/>
              <w:ind w:left="155" w:right="137"/>
              <w:rPr>
                <w:rFonts w:ascii="Times New Roman"/>
                <w:sz w:val="21"/>
              </w:rPr>
            </w:pPr>
            <w:r>
              <w:rPr>
                <w:rFonts w:ascii="Times New Roman"/>
                <w:sz w:val="21"/>
              </w:rPr>
              <w:t>17</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8"/>
              <w:jc w:val="left"/>
              <w:rPr>
                <w:sz w:val="21"/>
              </w:rPr>
            </w:pPr>
            <w:r>
              <w:rPr>
                <w:sz w:val="21"/>
              </w:rPr>
              <w:t>氯甲酸乙酯</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48"/>
              <w:ind w:right="304"/>
              <w:jc w:val="right"/>
              <w:rPr>
                <w:rFonts w:ascii="Times New Roman"/>
                <w:sz w:val="21"/>
              </w:rPr>
            </w:pPr>
            <w:r>
              <w:rPr>
                <w:rFonts w:ascii="Times New Roman"/>
                <w:sz w:val="21"/>
              </w:rPr>
              <w:t>541-41-3</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48"/>
              <w:ind w:left="331" w:right="306"/>
              <w:rPr>
                <w:rFonts w:ascii="Times New Roman"/>
                <w:sz w:val="21"/>
              </w:rPr>
            </w:pPr>
            <w:r>
              <w:rPr>
                <w:rFonts w:ascii="Times New Roman"/>
                <w:sz w:val="21"/>
              </w:rPr>
              <w:t>0.2</w:t>
            </w:r>
          </w:p>
        </w:tc>
        <w:tc>
          <w:tcPr>
            <w:tcW w:w="15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0" w:right="191"/>
              <w:rPr>
                <w:rFonts w:ascii="Times New Roman"/>
                <w:sz w:val="21"/>
              </w:rPr>
            </w:pPr>
            <w:r>
              <w:rPr>
                <w:rFonts w:ascii="Times New Roman"/>
                <w:sz w:val="21"/>
              </w:rPr>
              <w:t>50</w:t>
            </w:r>
          </w:p>
        </w:tc>
        <w:tc>
          <w:tcPr>
            <w:tcW w:w="2188" w:type="dxa"/>
            <w:tcBorders>
              <w:top w:val="single" w:sz="6" w:space="0" w:color="000000"/>
              <w:left w:val="single" w:sz="6" w:space="0" w:color="000000"/>
              <w:bottom w:val="single" w:sz="6" w:space="0" w:color="000000"/>
            </w:tcBorders>
          </w:tcPr>
          <w:p>
            <w:pPr>
              <w:pStyle w:val="TableParagraph"/>
              <w:spacing w:before="48"/>
              <w:ind w:right="821"/>
              <w:jc w:val="right"/>
              <w:rPr>
                <w:rFonts w:ascii="Times New Roman"/>
                <w:sz w:val="21"/>
              </w:rPr>
            </w:pPr>
            <w:r>
              <w:rPr>
                <w:rFonts w:ascii="Times New Roman"/>
                <w:sz w:val="21"/>
              </w:rPr>
              <w:t>0.004</w:t>
            </w:r>
          </w:p>
        </w:tc>
      </w:tr>
      <w:tr>
        <w:trPr>
          <w:trHeight w:val="339" w:hRule="atLeast"/>
        </w:trPr>
        <w:tc>
          <w:tcPr>
            <w:tcW w:w="6337" w:type="dxa"/>
            <w:gridSpan w:val="5"/>
            <w:tcBorders>
              <w:top w:val="single" w:sz="6" w:space="0" w:color="000000"/>
              <w:right w:val="single" w:sz="6" w:space="0" w:color="000000"/>
            </w:tcBorders>
          </w:tcPr>
          <w:p>
            <w:pPr>
              <w:pStyle w:val="TableParagraph"/>
              <w:spacing w:line="320" w:lineRule="exact"/>
              <w:ind w:left="2624" w:right="2600"/>
              <w:rPr>
                <w:rFonts w:ascii="Times New Roman" w:hAnsi="Times New Roman" w:eastAsia="Times New Roman"/>
                <w:sz w:val="21"/>
              </w:rPr>
            </w:pPr>
            <w:r>
              <w:rPr>
                <w:sz w:val="21"/>
              </w:rPr>
              <w:t>项目 </w:t>
            </w:r>
            <w:r>
              <w:rPr>
                <w:rFonts w:ascii="Times New Roman" w:hAnsi="Times New Roman" w:eastAsia="Times New Roman"/>
                <w:sz w:val="21"/>
              </w:rPr>
              <w:t>Q </w:t>
            </w:r>
            <w:r>
              <w:rPr>
                <w:sz w:val="21"/>
              </w:rPr>
              <w:t>值 </w:t>
            </w:r>
            <w:r>
              <w:rPr>
                <w:rFonts w:ascii="Times New Roman" w:hAnsi="Times New Roman" w:eastAsia="Times New Roman"/>
                <w:sz w:val="21"/>
              </w:rPr>
              <w:t>Σ</w:t>
            </w:r>
          </w:p>
        </w:tc>
        <w:tc>
          <w:tcPr>
            <w:tcW w:w="2188" w:type="dxa"/>
            <w:tcBorders>
              <w:top w:val="single" w:sz="6" w:space="0" w:color="000000"/>
              <w:left w:val="single" w:sz="6" w:space="0" w:color="000000"/>
            </w:tcBorders>
          </w:tcPr>
          <w:p>
            <w:pPr>
              <w:pStyle w:val="TableParagraph"/>
              <w:spacing w:before="48"/>
              <w:ind w:right="768"/>
              <w:jc w:val="right"/>
              <w:rPr>
                <w:rFonts w:ascii="Times New Roman"/>
                <w:sz w:val="21"/>
              </w:rPr>
            </w:pPr>
            <w:r>
              <w:rPr>
                <w:rFonts w:ascii="Times New Roman"/>
                <w:sz w:val="21"/>
              </w:rPr>
              <w:t>8.2506</w:t>
            </w:r>
          </w:p>
        </w:tc>
      </w:tr>
    </w:tbl>
    <w:p>
      <w:pPr>
        <w:pStyle w:val="BodyText"/>
        <w:spacing w:line="473" w:lineRule="exact"/>
        <w:ind w:left="578"/>
      </w:pPr>
      <w:r>
        <w:rPr/>
        <w:t>注：项目盐酸为 </w:t>
      </w:r>
      <w:r>
        <w:rPr>
          <w:rFonts w:ascii="Times New Roman" w:eastAsia="Times New Roman"/>
        </w:rPr>
        <w:t>30%</w:t>
      </w:r>
      <w:r>
        <w:rPr/>
        <w:t>，上表所列最大储存量为折算到 </w:t>
      </w:r>
      <w:r>
        <w:rPr>
          <w:rFonts w:ascii="Times New Roman" w:eastAsia="Times New Roman"/>
        </w:rPr>
        <w:t>37%</w:t>
      </w:r>
      <w:r>
        <w:rPr/>
        <w:t>的储量。</w:t>
      </w:r>
    </w:p>
    <w:p>
      <w:pPr>
        <w:pStyle w:val="BodyText"/>
        <w:spacing w:line="488" w:lineRule="exact" w:before="116"/>
        <w:ind w:left="1058"/>
      </w:pPr>
      <w:r>
        <w:rPr/>
        <w:t>（</w:t>
      </w:r>
      <w:r>
        <w:rPr>
          <w:rFonts w:ascii="Times New Roman" w:eastAsia="Times New Roman"/>
        </w:rPr>
        <w:t>1</w:t>
      </w:r>
      <w:r>
        <w:rPr/>
        <w:t>）危险物质数量与临界量比值（</w:t>
      </w:r>
      <w:r>
        <w:rPr>
          <w:rFonts w:ascii="Times New Roman" w:eastAsia="Times New Roman"/>
        </w:rPr>
        <w:t>Q</w:t>
      </w:r>
      <w:r>
        <w:rPr/>
        <w:t>）</w:t>
      </w:r>
    </w:p>
    <w:p>
      <w:pPr>
        <w:pStyle w:val="BodyText"/>
        <w:spacing w:line="220" w:lineRule="auto" w:before="8"/>
        <w:ind w:left="578" w:right="752" w:firstLine="479"/>
        <w:jc w:val="both"/>
      </w:pPr>
      <w:r>
        <w:rPr>
          <w:spacing w:val="6"/>
        </w:rPr>
        <w:t>①计算所涉及的每种危险物质在厂界内的最大存在总量与其在附录 </w:t>
      </w:r>
      <w:r>
        <w:rPr>
          <w:rFonts w:ascii="Times New Roman" w:hAnsi="Times New Roman" w:eastAsia="Times New Roman"/>
        </w:rPr>
        <w:t>B </w:t>
      </w:r>
      <w:r>
        <w:rPr/>
        <w:t>中对应临界量的比值 </w:t>
      </w:r>
      <w:r>
        <w:rPr>
          <w:rFonts w:ascii="Times New Roman" w:hAnsi="Times New Roman" w:eastAsia="Times New Roman"/>
        </w:rPr>
        <w:t>Q</w:t>
      </w:r>
      <w:r>
        <w:rPr>
          <w:spacing w:val="-10"/>
        </w:rPr>
        <w:t>。在不同厂区的同一种物质，按其在厂界内的最大存在总量</w:t>
      </w:r>
      <w:r>
        <w:rPr>
          <w:spacing w:val="-12"/>
        </w:rPr>
        <w:t>计算。对于长输管线项目，按照两个截断阀室之间管段危险物质最大存在总量计算。</w:t>
      </w:r>
    </w:p>
    <w:p>
      <w:pPr>
        <w:pStyle w:val="BodyText"/>
        <w:spacing w:line="220" w:lineRule="auto"/>
        <w:ind w:left="578" w:right="777" w:firstLine="479"/>
      </w:pPr>
      <w:r>
        <w:rPr>
          <w:spacing w:val="-4"/>
        </w:rPr>
        <w:t>当只涉及一种危险物质时，计算该物质的总量与其临界量比值，即为 </w:t>
      </w:r>
      <w:r>
        <w:rPr>
          <w:rFonts w:ascii="Times New Roman" w:eastAsia="Times New Roman"/>
          <w:spacing w:val="-14"/>
        </w:rPr>
        <w:t>Q</w:t>
      </w:r>
      <w:r>
        <w:rPr>
          <w:spacing w:val="-21"/>
        </w:rPr>
        <w:t>；当</w:t>
      </w:r>
      <w:r>
        <w:rPr/>
        <w:t>存在多种危险物质时，则按下列方式计算物质总量与其临界量比值（</w:t>
      </w:r>
      <w:r>
        <w:rPr>
          <w:rFonts w:ascii="Times New Roman" w:eastAsia="Times New Roman"/>
        </w:rPr>
        <w:t>Q</w:t>
      </w:r>
      <w:r>
        <w:rPr/>
        <w:t>）：</w:t>
      </w:r>
    </w:p>
    <w:p>
      <w:pPr>
        <w:pStyle w:val="BodyText"/>
        <w:spacing w:before="16"/>
        <w:rPr>
          <w:sz w:val="6"/>
        </w:rPr>
      </w:pPr>
      <w:r>
        <w:rPr/>
        <w:drawing>
          <wp:anchor distT="0" distB="0" distL="0" distR="0" allowOverlap="1" layoutInCell="1" locked="0" behindDoc="1" simplePos="0" relativeHeight="268434911">
            <wp:simplePos x="0" y="0"/>
            <wp:positionH relativeFrom="page">
              <wp:posOffset>3085988</wp:posOffset>
            </wp:positionH>
            <wp:positionV relativeFrom="paragraph">
              <wp:posOffset>115990</wp:posOffset>
            </wp:positionV>
            <wp:extent cx="1738507" cy="377189"/>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32" cstate="print"/>
                    <a:stretch>
                      <a:fillRect/>
                    </a:stretch>
                  </pic:blipFill>
                  <pic:spPr>
                    <a:xfrm>
                      <a:off x="0" y="0"/>
                      <a:ext cx="1738507" cy="377189"/>
                    </a:xfrm>
                    <a:prstGeom prst="rect">
                      <a:avLst/>
                    </a:prstGeom>
                  </pic:spPr>
                </pic:pic>
              </a:graphicData>
            </a:graphic>
          </wp:anchor>
        </w:drawing>
      </w:r>
    </w:p>
    <w:p>
      <w:pPr>
        <w:pStyle w:val="BodyText"/>
        <w:spacing w:line="488" w:lineRule="exact" w:before="101"/>
        <w:ind w:left="1058"/>
      </w:pPr>
      <w:r>
        <w:rPr/>
        <w:t>式中：</w:t>
      </w:r>
      <w:r>
        <w:rPr>
          <w:rFonts w:ascii="Times New Roman" w:hAnsi="Times New Roman" w:eastAsia="Times New Roman"/>
        </w:rPr>
        <w:t>q1</w:t>
      </w:r>
      <w:r>
        <w:rPr/>
        <w:t>，</w:t>
      </w:r>
      <w:r>
        <w:rPr>
          <w:rFonts w:ascii="Times New Roman" w:hAnsi="Times New Roman" w:eastAsia="Times New Roman"/>
        </w:rPr>
        <w:t>q2</w:t>
      </w:r>
      <w:r>
        <w:rPr/>
        <w:t>，</w:t>
      </w:r>
      <w:r>
        <w:rPr>
          <w:rFonts w:ascii="Times New Roman" w:hAnsi="Times New Roman" w:eastAsia="Times New Roman"/>
        </w:rPr>
        <w:t>...</w:t>
      </w:r>
      <w:r>
        <w:rPr/>
        <w:t>，</w:t>
      </w:r>
      <w:r>
        <w:rPr>
          <w:rFonts w:ascii="Times New Roman" w:hAnsi="Times New Roman" w:eastAsia="Times New Roman"/>
        </w:rPr>
        <w:t>qn——</w:t>
      </w:r>
      <w:r>
        <w:rPr/>
        <w:t>每种危险物质的最大存在总量，</w:t>
      </w:r>
      <w:r>
        <w:rPr>
          <w:rFonts w:ascii="Times New Roman" w:hAnsi="Times New Roman" w:eastAsia="Times New Roman"/>
        </w:rPr>
        <w:t>t</w:t>
      </w:r>
      <w:r>
        <w:rPr/>
        <w:t>；</w:t>
      </w:r>
    </w:p>
    <w:p>
      <w:pPr>
        <w:pStyle w:val="BodyText"/>
        <w:spacing w:line="220" w:lineRule="auto" w:before="8"/>
        <w:ind w:left="1058" w:right="3557"/>
      </w:pPr>
      <w:r>
        <w:rPr>
          <w:rFonts w:ascii="Times New Roman" w:hAnsi="Times New Roman" w:eastAsia="Times New Roman"/>
        </w:rPr>
        <w:t>Q1</w:t>
      </w:r>
      <w:r>
        <w:rPr/>
        <w:t>，</w:t>
      </w:r>
      <w:r>
        <w:rPr>
          <w:rFonts w:ascii="Times New Roman" w:hAnsi="Times New Roman" w:eastAsia="Times New Roman"/>
        </w:rPr>
        <w:t>Q2</w:t>
      </w:r>
      <w:r>
        <w:rPr/>
        <w:t>，</w:t>
      </w:r>
      <w:r>
        <w:rPr>
          <w:rFonts w:ascii="Times New Roman" w:hAnsi="Times New Roman" w:eastAsia="Times New Roman"/>
        </w:rPr>
        <w:t>...,Qn——</w:t>
      </w:r>
      <w:r>
        <w:rPr/>
        <w:t>每种危险物质的临界量，</w:t>
      </w:r>
      <w:r>
        <w:rPr>
          <w:rFonts w:ascii="Times New Roman" w:hAnsi="Times New Roman" w:eastAsia="Times New Roman"/>
        </w:rPr>
        <w:t>t</w:t>
      </w:r>
      <w:r>
        <w:rPr/>
        <w:t>。当 </w:t>
      </w:r>
      <w:r>
        <w:rPr>
          <w:rFonts w:ascii="Times New Roman" w:hAnsi="Times New Roman" w:eastAsia="Times New Roman"/>
        </w:rPr>
        <w:t>Q</w:t>
      </w:r>
      <w:r>
        <w:rPr/>
        <w:t>＜</w:t>
      </w:r>
      <w:r>
        <w:rPr>
          <w:rFonts w:ascii="Times New Roman" w:hAnsi="Times New Roman" w:eastAsia="Times New Roman"/>
        </w:rPr>
        <w:t>1 </w:t>
      </w:r>
      <w:r>
        <w:rPr/>
        <w:t>时，该项目环境风险潜势为Ⅰ。</w:t>
      </w:r>
    </w:p>
    <w:p>
      <w:pPr>
        <w:pStyle w:val="BodyText"/>
        <w:spacing w:line="220" w:lineRule="auto"/>
        <w:ind w:left="1058" w:right="631"/>
      </w:pPr>
      <w:r>
        <w:rPr>
          <w:spacing w:val="5"/>
        </w:rPr>
        <w:t>当 </w:t>
      </w:r>
      <w:r>
        <w:rPr>
          <w:rFonts w:ascii="Times New Roman" w:hAnsi="Times New Roman" w:eastAsia="Times New Roman"/>
        </w:rPr>
        <w:t>Q≥1 </w:t>
      </w:r>
      <w:r>
        <w:rPr>
          <w:spacing w:val="-5"/>
        </w:rPr>
        <w:t>时，将 </w:t>
      </w:r>
      <w:r>
        <w:rPr>
          <w:rFonts w:ascii="Times New Roman" w:hAnsi="Times New Roman" w:eastAsia="Times New Roman"/>
        </w:rPr>
        <w:t>Q </w:t>
      </w:r>
      <w:r>
        <w:rPr>
          <w:spacing w:val="-2"/>
        </w:rPr>
        <w:t>值划分为：</w:t>
      </w:r>
      <w:r>
        <w:rPr>
          <w:spacing w:val="-9"/>
        </w:rPr>
        <w:t>（</w:t>
      </w:r>
      <w:r>
        <w:rPr>
          <w:rFonts w:ascii="Times New Roman" w:hAnsi="Times New Roman" w:eastAsia="Times New Roman"/>
          <w:spacing w:val="-9"/>
        </w:rPr>
        <w:t>1</w:t>
      </w:r>
      <w:r>
        <w:rPr>
          <w:spacing w:val="-9"/>
        </w:rPr>
        <w:t>）</w:t>
      </w:r>
      <w:r>
        <w:rPr>
          <w:rFonts w:ascii="Times New Roman" w:hAnsi="Times New Roman" w:eastAsia="Times New Roman"/>
          <w:spacing w:val="-9"/>
        </w:rPr>
        <w:t>1≤Q</w:t>
      </w:r>
      <w:r>
        <w:rPr>
          <w:spacing w:val="-9"/>
        </w:rPr>
        <w:t>＜</w:t>
      </w:r>
      <w:r>
        <w:rPr>
          <w:rFonts w:ascii="Times New Roman" w:hAnsi="Times New Roman" w:eastAsia="Times New Roman"/>
          <w:spacing w:val="-9"/>
        </w:rPr>
        <w:t>10</w:t>
      </w:r>
      <w:r>
        <w:rPr>
          <w:spacing w:val="-9"/>
        </w:rPr>
        <w:t>；（</w:t>
      </w:r>
      <w:r>
        <w:rPr>
          <w:rFonts w:ascii="Times New Roman" w:hAnsi="Times New Roman" w:eastAsia="Times New Roman"/>
          <w:spacing w:val="-9"/>
        </w:rPr>
        <w:t>2</w:t>
      </w:r>
      <w:r>
        <w:rPr>
          <w:spacing w:val="-9"/>
        </w:rPr>
        <w:t>）</w:t>
      </w:r>
      <w:r>
        <w:rPr>
          <w:rFonts w:ascii="Times New Roman" w:hAnsi="Times New Roman" w:eastAsia="Times New Roman"/>
          <w:spacing w:val="-9"/>
        </w:rPr>
        <w:t>10≤Q</w:t>
      </w:r>
      <w:r>
        <w:rPr>
          <w:spacing w:val="-9"/>
        </w:rPr>
        <w:t>＜</w:t>
      </w:r>
      <w:r>
        <w:rPr>
          <w:rFonts w:ascii="Times New Roman" w:hAnsi="Times New Roman" w:eastAsia="Times New Roman"/>
          <w:spacing w:val="-9"/>
        </w:rPr>
        <w:t>100</w:t>
      </w:r>
      <w:r>
        <w:rPr>
          <w:spacing w:val="-9"/>
        </w:rPr>
        <w:t>；（</w:t>
      </w:r>
      <w:r>
        <w:rPr>
          <w:rFonts w:ascii="Times New Roman" w:hAnsi="Times New Roman" w:eastAsia="Times New Roman"/>
          <w:spacing w:val="-9"/>
        </w:rPr>
        <w:t>3</w:t>
      </w:r>
      <w:r>
        <w:rPr>
          <w:spacing w:val="-9"/>
        </w:rPr>
        <w:t>）</w:t>
      </w:r>
      <w:r>
        <w:rPr>
          <w:rFonts w:ascii="Times New Roman" w:hAnsi="Times New Roman" w:eastAsia="Times New Roman"/>
          <w:spacing w:val="-9"/>
        </w:rPr>
        <w:t>Q≥100</w:t>
      </w:r>
      <w:r>
        <w:rPr/>
        <w:t>。通过计算可知，本项目 </w:t>
      </w:r>
      <w:r>
        <w:rPr>
          <w:rFonts w:ascii="Times New Roman" w:hAnsi="Times New Roman" w:eastAsia="Times New Roman"/>
        </w:rPr>
        <w:t>Q=8.2506</w:t>
      </w:r>
      <w:r>
        <w:rPr/>
        <w:t>。因此本项目 </w:t>
      </w:r>
      <w:r>
        <w:rPr>
          <w:rFonts w:ascii="Times New Roman" w:hAnsi="Times New Roman" w:eastAsia="Times New Roman"/>
        </w:rPr>
        <w:t>Q </w:t>
      </w:r>
      <w:r>
        <w:rPr/>
        <w:t>为（</w:t>
      </w:r>
      <w:r>
        <w:rPr>
          <w:rFonts w:ascii="Times New Roman" w:hAnsi="Times New Roman" w:eastAsia="Times New Roman"/>
        </w:rPr>
        <w:t>1</w:t>
      </w:r>
      <w:r>
        <w:rPr/>
        <w:t>）</w:t>
      </w:r>
      <w:r>
        <w:rPr>
          <w:rFonts w:ascii="Times New Roman" w:hAnsi="Times New Roman" w:eastAsia="Times New Roman"/>
        </w:rPr>
        <w:t>1≤Q</w:t>
      </w:r>
      <w:r>
        <w:rPr/>
        <w:t>＜</w:t>
      </w:r>
      <w:r>
        <w:rPr>
          <w:rFonts w:ascii="Times New Roman" w:hAnsi="Times New Roman" w:eastAsia="Times New Roman"/>
        </w:rPr>
        <w:t>10</w:t>
      </w:r>
      <w:r>
        <w:rPr/>
        <w:t>。</w:t>
      </w:r>
    </w:p>
    <w:p>
      <w:pPr>
        <w:pStyle w:val="BodyText"/>
        <w:spacing w:line="220" w:lineRule="auto"/>
        <w:ind w:left="578" w:right="631" w:firstLine="479"/>
        <w:rPr>
          <w:rFonts w:ascii="Times New Roman" w:hAnsi="Times New Roman" w:eastAsia="Times New Roman"/>
        </w:rPr>
      </w:pPr>
      <w:r>
        <w:rPr>
          <w:spacing w:val="-18"/>
        </w:rPr>
        <w:t>（</w:t>
      </w:r>
      <w:r>
        <w:rPr>
          <w:rFonts w:ascii="Times New Roman" w:hAnsi="Times New Roman" w:eastAsia="Times New Roman"/>
          <w:spacing w:val="-18"/>
        </w:rPr>
        <w:t>2</w:t>
      </w:r>
      <w:r>
        <w:rPr>
          <w:spacing w:val="-18"/>
        </w:rPr>
        <w:t>）</w:t>
      </w:r>
      <w:r>
        <w:rPr>
          <w:spacing w:val="-4"/>
        </w:rPr>
        <w:t>根据项目所属行业及生产工艺特点，按照表 </w:t>
      </w:r>
      <w:r>
        <w:rPr>
          <w:rFonts w:ascii="Times New Roman" w:hAnsi="Times New Roman" w:eastAsia="Times New Roman"/>
        </w:rPr>
        <w:t>7.2-27 </w:t>
      </w:r>
      <w:r>
        <w:rPr/>
        <w:t>评估生产工艺情况。</w:t>
      </w:r>
      <w:r>
        <w:rPr>
          <w:spacing w:val="1"/>
        </w:rPr>
        <w:t>具有多套工艺单元的项目，对每套生产工艺分别评分并求和。将 </w:t>
      </w:r>
      <w:r>
        <w:rPr>
          <w:rFonts w:ascii="Times New Roman" w:hAnsi="Times New Roman" w:eastAsia="Times New Roman"/>
        </w:rPr>
        <w:t>M </w:t>
      </w:r>
      <w:r>
        <w:rPr/>
        <w:t>划分为①</w:t>
      </w:r>
      <w:r>
        <w:rPr>
          <w:rFonts w:ascii="Times New Roman" w:hAnsi="Times New Roman" w:eastAsia="Times New Roman"/>
        </w:rPr>
        <w:t>M</w:t>
      </w:r>
    </w:p>
    <w:p>
      <w:pPr>
        <w:pStyle w:val="BodyText"/>
        <w:spacing w:line="481" w:lineRule="exact"/>
        <w:ind w:left="578"/>
      </w:pPr>
      <w:r>
        <w:rPr/>
        <w:t>＞</w:t>
      </w:r>
      <w:r>
        <w:rPr>
          <w:rFonts w:ascii="Times New Roman" w:hAnsi="Times New Roman" w:eastAsia="Times New Roman"/>
        </w:rPr>
        <w:t>20</w:t>
      </w:r>
      <w:r>
        <w:rPr/>
        <w:t>；②</w:t>
      </w:r>
      <w:r>
        <w:rPr>
          <w:rFonts w:ascii="Times New Roman" w:hAnsi="Times New Roman" w:eastAsia="Times New Roman"/>
        </w:rPr>
        <w:t>10</w:t>
      </w:r>
      <w:r>
        <w:rPr/>
        <w:t>＜</w:t>
      </w:r>
      <w:r>
        <w:rPr>
          <w:rFonts w:ascii="Times New Roman" w:hAnsi="Times New Roman" w:eastAsia="Times New Roman"/>
        </w:rPr>
        <w:t>M≤20</w:t>
      </w:r>
      <w:r>
        <w:rPr/>
        <w:t>；③</w:t>
      </w:r>
      <w:r>
        <w:rPr>
          <w:rFonts w:ascii="Times New Roman" w:hAnsi="Times New Roman" w:eastAsia="Times New Roman"/>
        </w:rPr>
        <w:t>5</w:t>
      </w:r>
      <w:r>
        <w:rPr/>
        <w:t>＜</w:t>
      </w:r>
      <w:r>
        <w:rPr>
          <w:rFonts w:ascii="Times New Roman" w:hAnsi="Times New Roman" w:eastAsia="Times New Roman"/>
        </w:rPr>
        <w:t>M≤10</w:t>
      </w:r>
      <w:r>
        <w:rPr/>
        <w:t>；④</w:t>
      </w:r>
      <w:r>
        <w:rPr>
          <w:rFonts w:ascii="Times New Roman" w:hAnsi="Times New Roman" w:eastAsia="Times New Roman"/>
        </w:rPr>
        <w:t>M=5</w:t>
      </w:r>
      <w:r>
        <w:rPr/>
        <w:t>，分别以 </w:t>
      </w:r>
      <w:r>
        <w:rPr>
          <w:rFonts w:ascii="Times New Roman" w:hAnsi="Times New Roman" w:eastAsia="Times New Roman"/>
        </w:rPr>
        <w:t>M1</w:t>
      </w:r>
      <w:r>
        <w:rPr/>
        <w:t>、</w:t>
      </w:r>
      <w:r>
        <w:rPr>
          <w:rFonts w:ascii="Times New Roman" w:hAnsi="Times New Roman" w:eastAsia="Times New Roman"/>
        </w:rPr>
        <w:t>M2</w:t>
      </w:r>
      <w:r>
        <w:rPr/>
        <w:t>、</w:t>
      </w:r>
      <w:r>
        <w:rPr>
          <w:rFonts w:ascii="Times New Roman" w:hAnsi="Times New Roman" w:eastAsia="Times New Roman"/>
        </w:rPr>
        <w:t>M3 </w:t>
      </w:r>
      <w:r>
        <w:rPr/>
        <w:t>和 </w:t>
      </w:r>
      <w:r>
        <w:rPr>
          <w:rFonts w:ascii="Times New Roman" w:hAnsi="Times New Roman" w:eastAsia="Times New Roman"/>
        </w:rPr>
        <w:t>M4 </w:t>
      </w:r>
      <w:r>
        <w:rPr/>
        <w:t>表示。</w:t>
      </w:r>
    </w:p>
    <w:p>
      <w:pPr>
        <w:tabs>
          <w:tab w:pos="911" w:val="left" w:leader="none"/>
        </w:tabs>
        <w:spacing w:before="150" w:after="24"/>
        <w:ind w:left="0" w:right="175" w:firstLine="0"/>
        <w:jc w:val="center"/>
        <w:rPr>
          <w:sz w:val="21"/>
        </w:rPr>
      </w:pPr>
      <w:r>
        <w:rPr>
          <w:sz w:val="21"/>
        </w:rPr>
        <w:t>表</w:t>
      </w:r>
      <w:r>
        <w:rPr>
          <w:spacing w:val="7"/>
          <w:sz w:val="21"/>
        </w:rPr>
        <w:t> </w:t>
      </w:r>
      <w:r>
        <w:rPr>
          <w:rFonts w:ascii="Times New Roman" w:eastAsia="Times New Roman"/>
          <w:b/>
          <w:sz w:val="21"/>
        </w:rPr>
        <w:t>7.2-2</w:t>
        <w:tab/>
      </w:r>
      <w:r>
        <w:rPr>
          <w:sz w:val="21"/>
        </w:rPr>
        <w:t>行业及生产工</w:t>
      </w:r>
      <w:r>
        <w:rPr>
          <w:spacing w:val="-3"/>
          <w:sz w:val="21"/>
        </w:rPr>
        <w:t>艺</w:t>
      </w:r>
      <w:r>
        <w:rPr>
          <w:sz w:val="21"/>
        </w:rPr>
        <w:t>（</w:t>
      </w:r>
      <w:r>
        <w:rPr>
          <w:rFonts w:ascii="Times New Roman" w:eastAsia="Times New Roman"/>
          <w:b/>
          <w:sz w:val="21"/>
        </w:rPr>
        <w:t>M</w:t>
      </w:r>
      <w:r>
        <w:rPr>
          <w:sz w:val="21"/>
        </w:rPr>
        <w:t>）一览表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48"/>
        <w:gridCol w:w="5654"/>
        <w:gridCol w:w="1328"/>
      </w:tblGrid>
      <w:tr>
        <w:trPr>
          <w:trHeight w:val="313" w:hRule="atLeast"/>
        </w:trPr>
        <w:tc>
          <w:tcPr>
            <w:tcW w:w="1548" w:type="dxa"/>
            <w:tcBorders>
              <w:bottom w:val="single" w:sz="2" w:space="0" w:color="000000"/>
              <w:right w:val="single" w:sz="2" w:space="0" w:color="000000"/>
            </w:tcBorders>
          </w:tcPr>
          <w:p>
            <w:pPr>
              <w:pStyle w:val="TableParagraph"/>
              <w:spacing w:line="294" w:lineRule="exact"/>
              <w:ind w:left="140" w:right="122"/>
              <w:rPr>
                <w:sz w:val="21"/>
              </w:rPr>
            </w:pPr>
            <w:r>
              <w:rPr>
                <w:sz w:val="21"/>
              </w:rPr>
              <w:t>行业</w:t>
            </w:r>
          </w:p>
        </w:tc>
        <w:tc>
          <w:tcPr>
            <w:tcW w:w="5654" w:type="dxa"/>
            <w:tcBorders>
              <w:left w:val="single" w:sz="2" w:space="0" w:color="000000"/>
              <w:bottom w:val="single" w:sz="2" w:space="0" w:color="000000"/>
              <w:right w:val="single" w:sz="4" w:space="0" w:color="000000"/>
            </w:tcBorders>
          </w:tcPr>
          <w:p>
            <w:pPr>
              <w:pStyle w:val="TableParagraph"/>
              <w:spacing w:line="294" w:lineRule="exact"/>
              <w:ind w:left="138" w:right="108"/>
              <w:rPr>
                <w:sz w:val="21"/>
              </w:rPr>
            </w:pPr>
            <w:r>
              <w:rPr>
                <w:sz w:val="21"/>
              </w:rPr>
              <w:t>评估依据</w:t>
            </w:r>
          </w:p>
        </w:tc>
        <w:tc>
          <w:tcPr>
            <w:tcW w:w="1328" w:type="dxa"/>
            <w:tcBorders>
              <w:left w:val="single" w:sz="4" w:space="0" w:color="000000"/>
              <w:bottom w:val="single" w:sz="2" w:space="0" w:color="000000"/>
              <w:right w:val="single" w:sz="4" w:space="0" w:color="000000"/>
            </w:tcBorders>
          </w:tcPr>
          <w:p>
            <w:pPr>
              <w:pStyle w:val="TableParagraph"/>
              <w:spacing w:line="294" w:lineRule="exact"/>
              <w:ind w:left="462"/>
              <w:jc w:val="left"/>
              <w:rPr>
                <w:sz w:val="21"/>
              </w:rPr>
            </w:pPr>
            <w:r>
              <w:rPr>
                <w:sz w:val="21"/>
              </w:rPr>
              <w:t>分值</w:t>
            </w:r>
          </w:p>
        </w:tc>
      </w:tr>
      <w:tr>
        <w:trPr>
          <w:trHeight w:val="1560" w:hRule="atLeast"/>
        </w:trPr>
        <w:tc>
          <w:tcPr>
            <w:tcW w:w="1548" w:type="dxa"/>
            <w:tcBorders>
              <w:top w:val="single" w:sz="2" w:space="0" w:color="000000"/>
              <w:bottom w:val="single" w:sz="2" w:space="0" w:color="000000"/>
              <w:right w:val="single" w:sz="2" w:space="0" w:color="000000"/>
            </w:tcBorders>
          </w:tcPr>
          <w:p>
            <w:pPr>
              <w:pStyle w:val="TableParagraph"/>
              <w:spacing w:line="168" w:lineRule="auto" w:before="171"/>
              <w:ind w:left="143" w:right="122"/>
              <w:rPr>
                <w:sz w:val="21"/>
              </w:rPr>
            </w:pPr>
            <w:r>
              <w:rPr>
                <w:sz w:val="21"/>
              </w:rPr>
              <w:t>石化、化工、医药、轻工、化纤、有色冶炼等</w:t>
            </w:r>
          </w:p>
        </w:tc>
        <w:tc>
          <w:tcPr>
            <w:tcW w:w="5654" w:type="dxa"/>
            <w:tcBorders>
              <w:top w:val="single" w:sz="2" w:space="0" w:color="000000"/>
              <w:left w:val="single" w:sz="2" w:space="0" w:color="000000"/>
              <w:bottom w:val="single" w:sz="2" w:space="0" w:color="000000"/>
              <w:right w:val="single" w:sz="4" w:space="0" w:color="000000"/>
            </w:tcBorders>
          </w:tcPr>
          <w:p>
            <w:pPr>
              <w:pStyle w:val="TableParagraph"/>
              <w:spacing w:line="168" w:lineRule="auto" w:before="15"/>
              <w:ind w:left="119" w:right="58" w:firstLine="38"/>
              <w:jc w:val="both"/>
              <w:rPr>
                <w:sz w:val="21"/>
              </w:rPr>
            </w:pPr>
            <w:r>
              <w:rPr>
                <w:spacing w:val="-3"/>
                <w:sz w:val="21"/>
              </w:rPr>
              <w:t>涉及光气及光气化工艺、电解工艺（</w:t>
            </w:r>
            <w:r>
              <w:rPr>
                <w:spacing w:val="-2"/>
                <w:sz w:val="21"/>
              </w:rPr>
              <w:t>氯碱</w:t>
            </w:r>
            <w:r>
              <w:rPr>
                <w:spacing w:val="-106"/>
                <w:sz w:val="21"/>
              </w:rPr>
              <w:t>）</w:t>
            </w:r>
            <w:r>
              <w:rPr>
                <w:spacing w:val="-3"/>
                <w:sz w:val="21"/>
              </w:rPr>
              <w:t>、氯化工艺、硝</w:t>
            </w:r>
            <w:r>
              <w:rPr>
                <w:spacing w:val="-5"/>
                <w:sz w:val="21"/>
              </w:rPr>
              <w:t>化工艺、合成氨工艺、裂解</w:t>
            </w:r>
            <w:r>
              <w:rPr>
                <w:sz w:val="21"/>
              </w:rPr>
              <w:t>（</w:t>
            </w:r>
            <w:r>
              <w:rPr>
                <w:spacing w:val="-2"/>
                <w:sz w:val="21"/>
              </w:rPr>
              <w:t>裂化</w:t>
            </w:r>
            <w:r>
              <w:rPr>
                <w:spacing w:val="-5"/>
                <w:sz w:val="21"/>
              </w:rPr>
              <w:t>）</w:t>
            </w:r>
            <w:r>
              <w:rPr>
                <w:spacing w:val="-4"/>
                <w:sz w:val="21"/>
              </w:rPr>
              <w:t>工艺、氟化工艺、加氢</w:t>
            </w:r>
            <w:r>
              <w:rPr>
                <w:spacing w:val="-3"/>
                <w:sz w:val="21"/>
              </w:rPr>
              <w:t>工艺、重氮化工艺、氧化工艺、过氧化工艺、胺基化工艺、</w:t>
            </w:r>
            <w:r>
              <w:rPr>
                <w:spacing w:val="-7"/>
                <w:sz w:val="21"/>
              </w:rPr>
              <w:t>磺化工艺、聚合工艺、烷基化工艺、新型煤化工工艺、电石</w:t>
            </w:r>
          </w:p>
          <w:p>
            <w:pPr>
              <w:pStyle w:val="TableParagraph"/>
              <w:spacing w:line="279" w:lineRule="exact"/>
              <w:ind w:left="1788"/>
              <w:jc w:val="left"/>
              <w:rPr>
                <w:sz w:val="21"/>
              </w:rPr>
            </w:pPr>
            <w:r>
              <w:rPr>
                <w:sz w:val="21"/>
              </w:rPr>
              <w:t>生产工艺、偶氮化工艺</w:t>
            </w:r>
          </w:p>
        </w:tc>
        <w:tc>
          <w:tcPr>
            <w:tcW w:w="1328" w:type="dxa"/>
            <w:tcBorders>
              <w:top w:val="single" w:sz="2" w:space="0" w:color="000000"/>
              <w:left w:val="single" w:sz="4" w:space="0" w:color="000000"/>
              <w:bottom w:val="single" w:sz="2" w:space="0" w:color="000000"/>
              <w:right w:val="single" w:sz="4" w:space="0" w:color="000000"/>
            </w:tcBorders>
          </w:tcPr>
          <w:p>
            <w:pPr>
              <w:pStyle w:val="TableParagraph"/>
              <w:spacing w:before="15"/>
              <w:jc w:val="left"/>
              <w:rPr>
                <w:sz w:val="25"/>
              </w:rPr>
            </w:pPr>
          </w:p>
          <w:p>
            <w:pPr>
              <w:pStyle w:val="TableParagraph"/>
              <w:spacing w:before="1"/>
              <w:ind w:left="433"/>
              <w:jc w:val="left"/>
              <w:rPr>
                <w:sz w:val="21"/>
              </w:rPr>
            </w:pPr>
            <w:r>
              <w:rPr>
                <w:rFonts w:ascii="Times New Roman" w:eastAsia="Times New Roman"/>
                <w:sz w:val="21"/>
              </w:rPr>
              <w:t>10/</w:t>
            </w:r>
            <w:r>
              <w:rPr>
                <w:sz w:val="21"/>
              </w:rPr>
              <w:t>套</w:t>
            </w:r>
          </w:p>
        </w:tc>
      </w:tr>
    </w:tbl>
    <w:p>
      <w:pPr>
        <w:spacing w:after="0"/>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48"/>
        <w:gridCol w:w="5654"/>
        <w:gridCol w:w="1328"/>
      </w:tblGrid>
      <w:tr>
        <w:trPr>
          <w:trHeight w:val="312" w:hRule="atLeast"/>
        </w:trPr>
        <w:tc>
          <w:tcPr>
            <w:tcW w:w="1548" w:type="dxa"/>
            <w:vMerge w:val="restart"/>
            <w:tcBorders>
              <w:left w:val="single" w:sz="12" w:space="0" w:color="000000"/>
            </w:tcBorders>
          </w:tcPr>
          <w:p>
            <w:pPr>
              <w:pStyle w:val="TableParagraph"/>
              <w:jc w:val="left"/>
              <w:rPr>
                <w:rFonts w:ascii="Times New Roman"/>
                <w:sz w:val="20"/>
              </w:rPr>
            </w:pPr>
          </w:p>
        </w:tc>
        <w:tc>
          <w:tcPr>
            <w:tcW w:w="5654" w:type="dxa"/>
            <w:tcBorders>
              <w:right w:val="single" w:sz="4" w:space="0" w:color="000000"/>
            </w:tcBorders>
          </w:tcPr>
          <w:p>
            <w:pPr>
              <w:pStyle w:val="TableParagraph"/>
              <w:spacing w:line="292" w:lineRule="exact"/>
              <w:ind w:left="138" w:right="108"/>
              <w:rPr>
                <w:sz w:val="21"/>
              </w:rPr>
            </w:pPr>
            <w:r>
              <w:rPr>
                <w:sz w:val="21"/>
              </w:rPr>
              <w:t>无机酸制酸工艺、焦化工艺</w:t>
            </w:r>
          </w:p>
        </w:tc>
        <w:tc>
          <w:tcPr>
            <w:tcW w:w="1328" w:type="dxa"/>
            <w:tcBorders>
              <w:left w:val="single" w:sz="4" w:space="0" w:color="000000"/>
              <w:right w:val="single" w:sz="4" w:space="0" w:color="000000"/>
            </w:tcBorders>
          </w:tcPr>
          <w:p>
            <w:pPr>
              <w:pStyle w:val="TableParagraph"/>
              <w:spacing w:line="292" w:lineRule="exact"/>
              <w:ind w:left="464" w:right="440"/>
              <w:rPr>
                <w:sz w:val="21"/>
              </w:rPr>
            </w:pPr>
            <w:r>
              <w:rPr>
                <w:rFonts w:ascii="Times New Roman" w:eastAsia="Times New Roman"/>
                <w:sz w:val="21"/>
              </w:rPr>
              <w:t>5/</w:t>
            </w:r>
            <w:r>
              <w:rPr>
                <w:sz w:val="21"/>
              </w:rPr>
              <w:t>套</w:t>
            </w:r>
          </w:p>
        </w:tc>
      </w:tr>
      <w:tr>
        <w:trPr>
          <w:trHeight w:val="623" w:hRule="atLeast"/>
        </w:trPr>
        <w:tc>
          <w:tcPr>
            <w:tcW w:w="1548" w:type="dxa"/>
            <w:vMerge/>
            <w:tcBorders>
              <w:top w:val="nil"/>
              <w:left w:val="single" w:sz="12" w:space="0" w:color="000000"/>
            </w:tcBorders>
          </w:tcPr>
          <w:p>
            <w:pPr>
              <w:rPr>
                <w:sz w:val="2"/>
                <w:szCs w:val="2"/>
              </w:rPr>
            </w:pPr>
          </w:p>
        </w:tc>
        <w:tc>
          <w:tcPr>
            <w:tcW w:w="5654" w:type="dxa"/>
            <w:tcBorders>
              <w:right w:val="single" w:sz="4" w:space="0" w:color="000000"/>
            </w:tcBorders>
          </w:tcPr>
          <w:p>
            <w:pPr>
              <w:pStyle w:val="TableParagraph"/>
              <w:spacing w:line="301" w:lineRule="exact"/>
              <w:ind w:left="138" w:right="108"/>
              <w:rPr>
                <w:sz w:val="21"/>
              </w:rPr>
            </w:pPr>
            <w:r>
              <w:rPr>
                <w:sz w:val="21"/>
              </w:rPr>
              <w:t>其他高温或高压，且涉及危险物质的工艺过程 </w:t>
            </w:r>
            <w:r>
              <w:rPr>
                <w:rFonts w:ascii="Times New Roman" w:eastAsia="Times New Roman"/>
                <w:position w:val="7"/>
                <w:sz w:val="14"/>
              </w:rPr>
              <w:t>a</w:t>
            </w:r>
            <w:r>
              <w:rPr>
                <w:sz w:val="21"/>
              </w:rPr>
              <w:t>、危险物质</w:t>
            </w:r>
          </w:p>
          <w:p>
            <w:pPr>
              <w:pStyle w:val="TableParagraph"/>
              <w:spacing w:line="303" w:lineRule="exact"/>
              <w:ind w:left="138" w:right="108"/>
              <w:rPr>
                <w:sz w:val="21"/>
              </w:rPr>
            </w:pPr>
            <w:r>
              <w:rPr>
                <w:sz w:val="21"/>
              </w:rPr>
              <w:t>贮存罐区</w:t>
            </w:r>
          </w:p>
        </w:tc>
        <w:tc>
          <w:tcPr>
            <w:tcW w:w="1328" w:type="dxa"/>
            <w:tcBorders>
              <w:left w:val="single" w:sz="4" w:space="0" w:color="000000"/>
              <w:right w:val="single" w:sz="4" w:space="0" w:color="000000"/>
            </w:tcBorders>
          </w:tcPr>
          <w:p>
            <w:pPr>
              <w:pStyle w:val="TableParagraph"/>
              <w:spacing w:before="78"/>
              <w:ind w:left="116" w:right="-29"/>
              <w:jc w:val="left"/>
              <w:rPr>
                <w:sz w:val="21"/>
              </w:rPr>
            </w:pPr>
            <w:r>
              <w:rPr>
                <w:rFonts w:ascii="Times New Roman" w:eastAsia="Times New Roman"/>
                <w:sz w:val="21"/>
              </w:rPr>
              <w:t>5/</w:t>
            </w:r>
            <w:r>
              <w:rPr>
                <w:sz w:val="21"/>
              </w:rPr>
              <w:t>套（</w:t>
            </w:r>
            <w:r>
              <w:rPr>
                <w:spacing w:val="-2"/>
                <w:sz w:val="21"/>
              </w:rPr>
              <w:t>罐区</w:t>
            </w:r>
            <w:r>
              <w:rPr>
                <w:sz w:val="21"/>
              </w:rPr>
              <w:t>）</w:t>
            </w:r>
          </w:p>
        </w:tc>
      </w:tr>
      <w:tr>
        <w:trPr>
          <w:trHeight w:val="623" w:hRule="atLeast"/>
        </w:trPr>
        <w:tc>
          <w:tcPr>
            <w:tcW w:w="1548" w:type="dxa"/>
            <w:tcBorders>
              <w:left w:val="single" w:sz="12" w:space="0" w:color="000000"/>
            </w:tcBorders>
          </w:tcPr>
          <w:p>
            <w:pPr>
              <w:pStyle w:val="TableParagraph"/>
              <w:spacing w:line="300" w:lineRule="exact"/>
              <w:ind w:left="95" w:right="77"/>
              <w:rPr>
                <w:sz w:val="21"/>
              </w:rPr>
            </w:pPr>
            <w:r>
              <w:rPr>
                <w:sz w:val="21"/>
              </w:rPr>
              <w:t>管道、港口</w:t>
            </w:r>
            <w:r>
              <w:rPr>
                <w:rFonts w:ascii="Times New Roman" w:eastAsia="Times New Roman"/>
                <w:sz w:val="21"/>
              </w:rPr>
              <w:t>/</w:t>
            </w:r>
            <w:r>
              <w:rPr>
                <w:sz w:val="21"/>
              </w:rPr>
              <w:t>码</w:t>
            </w:r>
          </w:p>
          <w:p>
            <w:pPr>
              <w:pStyle w:val="TableParagraph"/>
              <w:spacing w:line="303" w:lineRule="exact"/>
              <w:ind w:left="140" w:right="122"/>
              <w:rPr>
                <w:sz w:val="21"/>
              </w:rPr>
            </w:pPr>
            <w:r>
              <w:rPr>
                <w:sz w:val="21"/>
              </w:rPr>
              <w:t>头等</w:t>
            </w:r>
          </w:p>
        </w:tc>
        <w:tc>
          <w:tcPr>
            <w:tcW w:w="5654" w:type="dxa"/>
            <w:tcBorders>
              <w:right w:val="single" w:sz="4" w:space="0" w:color="000000"/>
            </w:tcBorders>
          </w:tcPr>
          <w:p>
            <w:pPr>
              <w:pStyle w:val="TableParagraph"/>
              <w:spacing w:before="78"/>
              <w:ind w:left="138" w:right="108"/>
              <w:rPr>
                <w:sz w:val="21"/>
              </w:rPr>
            </w:pPr>
            <w:r>
              <w:rPr>
                <w:sz w:val="21"/>
              </w:rPr>
              <w:t>涉及危险物质管道运输项目、港口</w:t>
            </w:r>
            <w:r>
              <w:rPr>
                <w:rFonts w:ascii="Times New Roman" w:eastAsia="Times New Roman"/>
                <w:sz w:val="21"/>
              </w:rPr>
              <w:t>/</w:t>
            </w:r>
            <w:r>
              <w:rPr>
                <w:sz w:val="21"/>
              </w:rPr>
              <w:t>码头等</w:t>
            </w:r>
          </w:p>
        </w:tc>
        <w:tc>
          <w:tcPr>
            <w:tcW w:w="1328" w:type="dxa"/>
            <w:tcBorders>
              <w:left w:val="single" w:sz="4" w:space="0" w:color="000000"/>
              <w:right w:val="single" w:sz="4" w:space="0" w:color="000000"/>
            </w:tcBorders>
          </w:tcPr>
          <w:p>
            <w:pPr>
              <w:pStyle w:val="TableParagraph"/>
              <w:spacing w:before="190"/>
              <w:ind w:left="464" w:right="440"/>
              <w:rPr>
                <w:rFonts w:ascii="Times New Roman"/>
                <w:sz w:val="21"/>
              </w:rPr>
            </w:pPr>
            <w:r>
              <w:rPr>
                <w:rFonts w:ascii="Times New Roman"/>
                <w:sz w:val="21"/>
              </w:rPr>
              <w:t>10</w:t>
            </w:r>
          </w:p>
        </w:tc>
      </w:tr>
      <w:tr>
        <w:trPr>
          <w:trHeight w:val="935" w:hRule="atLeast"/>
        </w:trPr>
        <w:tc>
          <w:tcPr>
            <w:tcW w:w="1548" w:type="dxa"/>
            <w:tcBorders>
              <w:left w:val="single" w:sz="12" w:space="0" w:color="000000"/>
            </w:tcBorders>
          </w:tcPr>
          <w:p>
            <w:pPr>
              <w:pStyle w:val="TableParagraph"/>
              <w:jc w:val="left"/>
              <w:rPr>
                <w:sz w:val="11"/>
              </w:rPr>
            </w:pPr>
          </w:p>
          <w:p>
            <w:pPr>
              <w:pStyle w:val="TableParagraph"/>
              <w:ind w:left="138" w:right="122"/>
              <w:rPr>
                <w:sz w:val="21"/>
              </w:rPr>
            </w:pPr>
            <w:r>
              <w:rPr>
                <w:sz w:val="21"/>
              </w:rPr>
              <w:t>石油天然气</w:t>
            </w:r>
          </w:p>
        </w:tc>
        <w:tc>
          <w:tcPr>
            <w:tcW w:w="5654" w:type="dxa"/>
            <w:tcBorders>
              <w:right w:val="single" w:sz="4" w:space="0" w:color="000000"/>
            </w:tcBorders>
          </w:tcPr>
          <w:p>
            <w:pPr>
              <w:pStyle w:val="TableParagraph"/>
              <w:spacing w:line="168" w:lineRule="auto" w:before="15"/>
              <w:ind w:left="151" w:right="116" w:hanging="3"/>
              <w:rPr>
                <w:sz w:val="21"/>
              </w:rPr>
            </w:pPr>
            <w:r>
              <w:rPr>
                <w:spacing w:val="-3"/>
                <w:w w:val="100"/>
                <w:sz w:val="21"/>
              </w:rPr>
              <w:t>石油、天然气、页岩气开采</w:t>
            </w:r>
            <w:r>
              <w:rPr>
                <w:w w:val="100"/>
                <w:sz w:val="21"/>
              </w:rPr>
              <w:t>（</w:t>
            </w:r>
            <w:r>
              <w:rPr>
                <w:spacing w:val="-3"/>
                <w:w w:val="100"/>
                <w:sz w:val="21"/>
              </w:rPr>
              <w:t>含净化</w:t>
            </w:r>
            <w:r>
              <w:rPr>
                <w:spacing w:val="-106"/>
                <w:w w:val="100"/>
                <w:sz w:val="21"/>
              </w:rPr>
              <w:t>）</w:t>
            </w:r>
            <w:r>
              <w:rPr>
                <w:spacing w:val="-3"/>
                <w:w w:val="100"/>
                <w:sz w:val="21"/>
              </w:rPr>
              <w:t>，气库</w:t>
            </w:r>
            <w:r>
              <w:rPr>
                <w:w w:val="100"/>
                <w:sz w:val="21"/>
              </w:rPr>
              <w:t>（</w:t>
            </w:r>
            <w:r>
              <w:rPr>
                <w:spacing w:val="-2"/>
                <w:w w:val="100"/>
                <w:sz w:val="21"/>
              </w:rPr>
              <w:t>不含加气站</w:t>
            </w:r>
            <w:r>
              <w:rPr>
                <w:spacing w:val="-3"/>
                <w:w w:val="100"/>
                <w:sz w:val="21"/>
              </w:rPr>
              <w:t>的气库</w:t>
            </w:r>
            <w:r>
              <w:rPr>
                <w:spacing w:val="-106"/>
                <w:w w:val="100"/>
                <w:sz w:val="21"/>
              </w:rPr>
              <w:t>）</w:t>
            </w:r>
            <w:r>
              <w:rPr>
                <w:spacing w:val="-3"/>
                <w:w w:val="100"/>
                <w:sz w:val="21"/>
              </w:rPr>
              <w:t>，油库</w:t>
            </w:r>
            <w:r>
              <w:rPr>
                <w:w w:val="100"/>
                <w:sz w:val="21"/>
              </w:rPr>
              <w:t>（</w:t>
            </w:r>
            <w:r>
              <w:rPr>
                <w:spacing w:val="-3"/>
                <w:w w:val="100"/>
                <w:sz w:val="21"/>
              </w:rPr>
              <w:t>不含加气站的油库</w:t>
            </w:r>
            <w:r>
              <w:rPr>
                <w:spacing w:val="-108"/>
                <w:w w:val="100"/>
                <w:sz w:val="21"/>
              </w:rPr>
              <w:t>）</w:t>
            </w:r>
            <w:r>
              <w:rPr>
                <w:spacing w:val="-3"/>
                <w:w w:val="100"/>
                <w:sz w:val="21"/>
              </w:rPr>
              <w:t>、油气管线</w:t>
            </w:r>
            <w:r>
              <w:rPr>
                <w:spacing w:val="6"/>
                <w:sz w:val="21"/>
              </w:rPr>
              <w:t> </w:t>
            </w:r>
            <w:r>
              <w:rPr>
                <w:rFonts w:ascii="Times New Roman" w:eastAsia="Times New Roman"/>
                <w:w w:val="99"/>
                <w:position w:val="7"/>
                <w:sz w:val="14"/>
              </w:rPr>
              <w:t>b</w:t>
            </w:r>
            <w:r>
              <w:rPr>
                <w:spacing w:val="-3"/>
                <w:w w:val="100"/>
                <w:sz w:val="21"/>
              </w:rPr>
              <w:t>（</w:t>
            </w:r>
            <w:r>
              <w:rPr>
                <w:w w:val="100"/>
                <w:sz w:val="21"/>
              </w:rPr>
              <w:t>不含城</w:t>
            </w:r>
          </w:p>
          <w:p>
            <w:pPr>
              <w:pStyle w:val="TableParagraph"/>
              <w:spacing w:line="277" w:lineRule="exact"/>
              <w:ind w:left="138" w:right="106"/>
              <w:rPr>
                <w:sz w:val="21"/>
              </w:rPr>
            </w:pPr>
            <w:r>
              <w:rPr>
                <w:sz w:val="21"/>
              </w:rPr>
              <w:t>镇燃气管线）</w:t>
            </w:r>
          </w:p>
        </w:tc>
        <w:tc>
          <w:tcPr>
            <w:tcW w:w="1328" w:type="dxa"/>
            <w:tcBorders>
              <w:left w:val="single" w:sz="4" w:space="0" w:color="000000"/>
              <w:right w:val="single" w:sz="4" w:space="0" w:color="000000"/>
            </w:tcBorders>
          </w:tcPr>
          <w:p>
            <w:pPr>
              <w:pStyle w:val="TableParagraph"/>
              <w:spacing w:before="7"/>
              <w:jc w:val="left"/>
              <w:rPr>
                <w:sz w:val="16"/>
              </w:rPr>
            </w:pPr>
          </w:p>
          <w:p>
            <w:pPr>
              <w:pStyle w:val="TableParagraph"/>
              <w:ind w:left="464" w:right="440"/>
              <w:rPr>
                <w:rFonts w:ascii="Times New Roman"/>
                <w:sz w:val="21"/>
              </w:rPr>
            </w:pPr>
            <w:r>
              <w:rPr>
                <w:rFonts w:ascii="Times New Roman"/>
                <w:sz w:val="21"/>
              </w:rPr>
              <w:t>10</w:t>
            </w:r>
          </w:p>
        </w:tc>
      </w:tr>
      <w:tr>
        <w:trPr>
          <w:trHeight w:val="311" w:hRule="atLeast"/>
        </w:trPr>
        <w:tc>
          <w:tcPr>
            <w:tcW w:w="1548" w:type="dxa"/>
            <w:tcBorders>
              <w:left w:val="single" w:sz="12" w:space="0" w:color="000000"/>
            </w:tcBorders>
          </w:tcPr>
          <w:p>
            <w:pPr>
              <w:pStyle w:val="TableParagraph"/>
              <w:spacing w:line="292" w:lineRule="exact"/>
              <w:ind w:left="140" w:right="122"/>
              <w:rPr>
                <w:sz w:val="21"/>
              </w:rPr>
            </w:pPr>
            <w:r>
              <w:rPr>
                <w:sz w:val="21"/>
              </w:rPr>
              <w:t>其他</w:t>
            </w:r>
          </w:p>
        </w:tc>
        <w:tc>
          <w:tcPr>
            <w:tcW w:w="5654" w:type="dxa"/>
            <w:tcBorders>
              <w:right w:val="single" w:sz="4" w:space="0" w:color="000000"/>
            </w:tcBorders>
          </w:tcPr>
          <w:p>
            <w:pPr>
              <w:pStyle w:val="TableParagraph"/>
              <w:spacing w:line="292" w:lineRule="exact"/>
              <w:ind w:left="138" w:right="108"/>
              <w:rPr>
                <w:sz w:val="21"/>
              </w:rPr>
            </w:pPr>
            <w:r>
              <w:rPr>
                <w:sz w:val="21"/>
              </w:rPr>
              <w:t>涉及危险物质使用、贮存的项目</w:t>
            </w:r>
          </w:p>
        </w:tc>
        <w:tc>
          <w:tcPr>
            <w:tcW w:w="1328" w:type="dxa"/>
            <w:tcBorders>
              <w:left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5</w:t>
            </w:r>
          </w:p>
        </w:tc>
      </w:tr>
      <w:tr>
        <w:trPr>
          <w:trHeight w:val="626" w:hRule="atLeast"/>
        </w:trPr>
        <w:tc>
          <w:tcPr>
            <w:tcW w:w="8530" w:type="dxa"/>
            <w:gridSpan w:val="3"/>
            <w:tcBorders>
              <w:left w:val="single" w:sz="12" w:space="0" w:color="000000"/>
              <w:bottom w:val="single" w:sz="12" w:space="0" w:color="000000"/>
              <w:right w:val="single" w:sz="4" w:space="0" w:color="000000"/>
            </w:tcBorders>
          </w:tcPr>
          <w:p>
            <w:pPr>
              <w:pStyle w:val="TableParagraph"/>
              <w:spacing w:line="300" w:lineRule="exact"/>
              <w:ind w:left="107"/>
              <w:jc w:val="left"/>
              <w:rPr>
                <w:sz w:val="21"/>
              </w:rPr>
            </w:pPr>
            <w:r>
              <w:rPr>
                <w:rFonts w:ascii="Times New Roman" w:hAnsi="Times New Roman" w:eastAsia="Times New Roman"/>
                <w:sz w:val="21"/>
              </w:rPr>
              <w:t>a </w:t>
            </w:r>
            <w:r>
              <w:rPr>
                <w:sz w:val="21"/>
              </w:rPr>
              <w:t>高温指工艺温度</w:t>
            </w:r>
            <w:r>
              <w:rPr>
                <w:rFonts w:ascii="Times New Roman" w:hAnsi="Times New Roman" w:eastAsia="Times New Roman"/>
                <w:sz w:val="21"/>
              </w:rPr>
              <w:t>≥300</w:t>
            </w:r>
            <w:r>
              <w:rPr>
                <w:sz w:val="21"/>
              </w:rPr>
              <w:t>℃，高压指压力容器的设计压力（</w:t>
            </w:r>
            <w:r>
              <w:rPr>
                <w:rFonts w:ascii="Times New Roman" w:hAnsi="Times New Roman" w:eastAsia="Times New Roman"/>
                <w:sz w:val="21"/>
              </w:rPr>
              <w:t>P</w:t>
            </w:r>
            <w:r>
              <w:rPr>
                <w:sz w:val="21"/>
              </w:rPr>
              <w:t>）</w:t>
            </w:r>
            <w:r>
              <w:rPr>
                <w:rFonts w:ascii="Times New Roman" w:hAnsi="Times New Roman" w:eastAsia="Times New Roman"/>
                <w:sz w:val="21"/>
              </w:rPr>
              <w:t>≥10.0MPa</w:t>
            </w:r>
            <w:r>
              <w:rPr>
                <w:sz w:val="21"/>
              </w:rPr>
              <w:t>；</w:t>
            </w:r>
          </w:p>
          <w:p>
            <w:pPr>
              <w:pStyle w:val="TableParagraph"/>
              <w:spacing w:line="306" w:lineRule="exact"/>
              <w:ind w:left="107"/>
              <w:jc w:val="left"/>
              <w:rPr>
                <w:sz w:val="21"/>
              </w:rPr>
            </w:pPr>
            <w:r>
              <w:rPr>
                <w:rFonts w:ascii="Times New Roman" w:eastAsia="Times New Roman"/>
                <w:sz w:val="21"/>
              </w:rPr>
              <w:t>b </w:t>
            </w:r>
            <w:r>
              <w:rPr>
                <w:sz w:val="21"/>
              </w:rPr>
              <w:t>长输管道运输项目应按站场、管线分段进行评价。</w:t>
            </w:r>
          </w:p>
        </w:tc>
      </w:tr>
    </w:tbl>
    <w:p>
      <w:pPr>
        <w:pStyle w:val="BodyText"/>
        <w:spacing w:before="13"/>
        <w:rPr>
          <w:sz w:val="7"/>
        </w:rPr>
      </w:pPr>
    </w:p>
    <w:p>
      <w:pPr>
        <w:pStyle w:val="BodyText"/>
        <w:spacing w:line="468" w:lineRule="exact"/>
        <w:ind w:left="1060"/>
      </w:pPr>
      <w:r>
        <w:rPr/>
        <w:t>本项目为医药行业，</w:t>
      </w:r>
      <w:r>
        <w:rPr>
          <w:rFonts w:ascii="Times New Roman" w:eastAsia="Times New Roman"/>
        </w:rPr>
        <w:t>M </w:t>
      </w:r>
      <w:r>
        <w:rPr/>
        <w:t>值确定见表 </w:t>
      </w:r>
      <w:r>
        <w:rPr>
          <w:rFonts w:ascii="Times New Roman" w:eastAsia="Times New Roman"/>
        </w:rPr>
        <w:t>7.2-3</w:t>
      </w:r>
      <w:r>
        <w:rPr/>
        <w:t>。</w:t>
      </w:r>
    </w:p>
    <w:p>
      <w:pPr>
        <w:tabs>
          <w:tab w:pos="911" w:val="left" w:leader="none"/>
        </w:tabs>
        <w:spacing w:before="150" w:after="24"/>
        <w:ind w:left="0" w:right="178" w:firstLine="0"/>
        <w:jc w:val="center"/>
        <w:rPr>
          <w:sz w:val="21"/>
        </w:rPr>
      </w:pPr>
      <w:r>
        <w:rPr>
          <w:sz w:val="21"/>
        </w:rPr>
        <w:t>表</w:t>
      </w:r>
      <w:r>
        <w:rPr>
          <w:spacing w:val="7"/>
          <w:sz w:val="21"/>
        </w:rPr>
        <w:t> </w:t>
      </w:r>
      <w:r>
        <w:rPr>
          <w:rFonts w:ascii="Times New Roman" w:eastAsia="Times New Roman"/>
          <w:b/>
          <w:sz w:val="21"/>
        </w:rPr>
        <w:t>7.2-3</w:t>
        <w:tab/>
      </w:r>
      <w:r>
        <w:rPr>
          <w:sz w:val="21"/>
        </w:rPr>
        <w:t>本项目</w:t>
      </w:r>
      <w:r>
        <w:rPr>
          <w:spacing w:val="6"/>
          <w:sz w:val="21"/>
        </w:rPr>
        <w:t> </w:t>
      </w:r>
      <w:r>
        <w:rPr>
          <w:rFonts w:ascii="Times New Roman" w:eastAsia="Times New Roman"/>
          <w:b/>
          <w:sz w:val="21"/>
        </w:rPr>
        <w:t>M</w:t>
      </w:r>
      <w:r>
        <w:rPr>
          <w:rFonts w:ascii="Times New Roman" w:eastAsia="Times New Roman"/>
          <w:b/>
          <w:spacing w:val="-2"/>
          <w:sz w:val="21"/>
        </w:rPr>
        <w:t> </w:t>
      </w:r>
      <w:r>
        <w:rPr>
          <w:sz w:val="21"/>
        </w:rPr>
        <w:t>值确定表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82"/>
        <w:gridCol w:w="4878"/>
        <w:gridCol w:w="1400"/>
        <w:gridCol w:w="1270"/>
      </w:tblGrid>
      <w:tr>
        <w:trPr>
          <w:trHeight w:val="311" w:hRule="atLeast"/>
        </w:trPr>
        <w:tc>
          <w:tcPr>
            <w:tcW w:w="982" w:type="dxa"/>
            <w:tcBorders>
              <w:bottom w:val="single" w:sz="6" w:space="0" w:color="000000"/>
              <w:right w:val="single" w:sz="6" w:space="0" w:color="000000"/>
            </w:tcBorders>
          </w:tcPr>
          <w:p>
            <w:pPr>
              <w:pStyle w:val="TableParagraph"/>
              <w:spacing w:line="291" w:lineRule="exact"/>
              <w:ind w:left="261" w:right="238"/>
              <w:rPr>
                <w:sz w:val="21"/>
              </w:rPr>
            </w:pPr>
            <w:r>
              <w:rPr>
                <w:sz w:val="21"/>
              </w:rPr>
              <w:t>序号</w:t>
            </w:r>
          </w:p>
        </w:tc>
        <w:tc>
          <w:tcPr>
            <w:tcW w:w="4878" w:type="dxa"/>
            <w:tcBorders>
              <w:left w:val="single" w:sz="6" w:space="0" w:color="000000"/>
              <w:bottom w:val="single" w:sz="6" w:space="0" w:color="000000"/>
              <w:right w:val="single" w:sz="6" w:space="0" w:color="000000"/>
            </w:tcBorders>
          </w:tcPr>
          <w:p>
            <w:pPr>
              <w:pStyle w:val="TableParagraph"/>
              <w:spacing w:line="291" w:lineRule="exact"/>
              <w:ind w:left="956" w:right="926"/>
              <w:rPr>
                <w:sz w:val="21"/>
              </w:rPr>
            </w:pPr>
            <w:r>
              <w:rPr>
                <w:sz w:val="21"/>
              </w:rPr>
              <w:t>生产工艺</w:t>
            </w:r>
          </w:p>
        </w:tc>
        <w:tc>
          <w:tcPr>
            <w:tcW w:w="1400" w:type="dxa"/>
            <w:tcBorders>
              <w:left w:val="single" w:sz="6" w:space="0" w:color="000000"/>
              <w:bottom w:val="single" w:sz="6" w:space="0" w:color="000000"/>
              <w:right w:val="single" w:sz="6" w:space="0" w:color="000000"/>
            </w:tcBorders>
          </w:tcPr>
          <w:p>
            <w:pPr>
              <w:pStyle w:val="TableParagraph"/>
              <w:spacing w:line="291" w:lineRule="exact"/>
              <w:ind w:left="342" w:right="313"/>
              <w:rPr>
                <w:sz w:val="21"/>
              </w:rPr>
            </w:pPr>
            <w:r>
              <w:rPr>
                <w:sz w:val="21"/>
              </w:rPr>
              <w:t>数量</w:t>
            </w:r>
            <w:r>
              <w:rPr>
                <w:rFonts w:ascii="Times New Roman" w:eastAsia="Times New Roman"/>
                <w:sz w:val="21"/>
              </w:rPr>
              <w:t>/</w:t>
            </w:r>
            <w:r>
              <w:rPr>
                <w:sz w:val="21"/>
              </w:rPr>
              <w:t>套</w:t>
            </w:r>
          </w:p>
        </w:tc>
        <w:tc>
          <w:tcPr>
            <w:tcW w:w="1270" w:type="dxa"/>
            <w:tcBorders>
              <w:left w:val="single" w:sz="6" w:space="0" w:color="000000"/>
              <w:bottom w:val="single" w:sz="6" w:space="0" w:color="000000"/>
            </w:tcBorders>
          </w:tcPr>
          <w:p>
            <w:pPr>
              <w:pStyle w:val="TableParagraph"/>
              <w:spacing w:line="291" w:lineRule="exact"/>
              <w:ind w:left="318" w:right="282"/>
              <w:rPr>
                <w:sz w:val="21"/>
              </w:rPr>
            </w:pPr>
            <w:r>
              <w:rPr>
                <w:rFonts w:ascii="Times New Roman" w:eastAsia="Times New Roman"/>
                <w:sz w:val="21"/>
              </w:rPr>
              <w:t>M</w:t>
            </w:r>
            <w:r>
              <w:rPr>
                <w:sz w:val="21"/>
              </w:rPr>
              <w:t>分值</w:t>
            </w:r>
          </w:p>
        </w:tc>
      </w:tr>
      <w:tr>
        <w:trPr>
          <w:trHeight w:val="313" w:hRule="atLeast"/>
        </w:trPr>
        <w:tc>
          <w:tcPr>
            <w:tcW w:w="982" w:type="dxa"/>
            <w:tcBorders>
              <w:top w:val="single" w:sz="6" w:space="0" w:color="000000"/>
              <w:bottom w:val="single" w:sz="6" w:space="0" w:color="000000"/>
              <w:right w:val="single" w:sz="6" w:space="0" w:color="000000"/>
            </w:tcBorders>
          </w:tcPr>
          <w:p>
            <w:pPr>
              <w:pStyle w:val="TableParagraph"/>
              <w:spacing w:before="36"/>
              <w:ind w:left="18"/>
              <w:rPr>
                <w:rFonts w:ascii="Times New Roman"/>
                <w:sz w:val="21"/>
              </w:rPr>
            </w:pPr>
            <w:r>
              <w:rPr>
                <w:rFonts w:ascii="Times New Roman"/>
                <w:w w:val="100"/>
                <w:sz w:val="21"/>
              </w:rPr>
              <w:t>1</w:t>
            </w:r>
          </w:p>
        </w:tc>
        <w:tc>
          <w:tcPr>
            <w:tcW w:w="4878"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956" w:right="926"/>
              <w:rPr>
                <w:sz w:val="21"/>
              </w:rPr>
            </w:pPr>
            <w:r>
              <w:rPr>
                <w:sz w:val="21"/>
              </w:rPr>
              <w:t>硝化工艺</w:t>
            </w:r>
          </w:p>
        </w:tc>
        <w:tc>
          <w:tcPr>
            <w:tcW w:w="1400" w:type="dxa"/>
            <w:tcBorders>
              <w:top w:val="single" w:sz="6" w:space="0" w:color="000000"/>
              <w:left w:val="single" w:sz="6" w:space="0" w:color="000000"/>
              <w:bottom w:val="single" w:sz="6" w:space="0" w:color="000000"/>
              <w:right w:val="single" w:sz="6" w:space="0" w:color="000000"/>
            </w:tcBorders>
          </w:tcPr>
          <w:p>
            <w:pPr>
              <w:pStyle w:val="TableParagraph"/>
              <w:spacing w:before="36"/>
              <w:ind w:left="24"/>
              <w:rPr>
                <w:rFonts w:ascii="Times New Roman"/>
                <w:sz w:val="21"/>
              </w:rPr>
            </w:pPr>
            <w:r>
              <w:rPr>
                <w:rFonts w:ascii="Times New Roman"/>
                <w:w w:val="100"/>
                <w:sz w:val="21"/>
              </w:rPr>
              <w:t>2</w:t>
            </w:r>
          </w:p>
        </w:tc>
        <w:tc>
          <w:tcPr>
            <w:tcW w:w="1270" w:type="dxa"/>
            <w:tcBorders>
              <w:top w:val="single" w:sz="6" w:space="0" w:color="000000"/>
              <w:left w:val="single" w:sz="6" w:space="0" w:color="000000"/>
              <w:bottom w:val="single" w:sz="6" w:space="0" w:color="000000"/>
            </w:tcBorders>
          </w:tcPr>
          <w:p>
            <w:pPr>
              <w:pStyle w:val="TableParagraph"/>
              <w:spacing w:before="36"/>
              <w:ind w:left="318" w:right="282"/>
              <w:rPr>
                <w:rFonts w:ascii="Times New Roman"/>
                <w:sz w:val="21"/>
              </w:rPr>
            </w:pPr>
            <w:r>
              <w:rPr>
                <w:rFonts w:ascii="Times New Roman"/>
                <w:sz w:val="21"/>
              </w:rPr>
              <w:t>20</w:t>
            </w:r>
          </w:p>
        </w:tc>
      </w:tr>
      <w:tr>
        <w:trPr>
          <w:trHeight w:val="311" w:hRule="atLeast"/>
        </w:trPr>
        <w:tc>
          <w:tcPr>
            <w:tcW w:w="982" w:type="dxa"/>
            <w:tcBorders>
              <w:top w:val="single" w:sz="6" w:space="0" w:color="000000"/>
              <w:bottom w:val="single" w:sz="6" w:space="0" w:color="000000"/>
              <w:right w:val="single" w:sz="6" w:space="0" w:color="000000"/>
            </w:tcBorders>
          </w:tcPr>
          <w:p>
            <w:pPr>
              <w:pStyle w:val="TableParagraph"/>
              <w:spacing w:before="34"/>
              <w:ind w:left="18"/>
              <w:rPr>
                <w:rFonts w:ascii="Times New Roman"/>
                <w:sz w:val="21"/>
              </w:rPr>
            </w:pPr>
            <w:r>
              <w:rPr>
                <w:rFonts w:ascii="Times New Roman"/>
                <w:w w:val="100"/>
                <w:sz w:val="21"/>
              </w:rPr>
              <w:t>2</w:t>
            </w:r>
          </w:p>
        </w:tc>
        <w:tc>
          <w:tcPr>
            <w:tcW w:w="4878"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956" w:right="926"/>
              <w:rPr>
                <w:sz w:val="21"/>
              </w:rPr>
            </w:pPr>
            <w:r>
              <w:rPr>
                <w:sz w:val="21"/>
              </w:rPr>
              <w:t>加氢工艺</w:t>
            </w:r>
          </w:p>
        </w:tc>
        <w:tc>
          <w:tcPr>
            <w:tcW w:w="1400" w:type="dxa"/>
            <w:tcBorders>
              <w:top w:val="single" w:sz="6" w:space="0" w:color="000000"/>
              <w:left w:val="single" w:sz="6" w:space="0" w:color="000000"/>
              <w:bottom w:val="single" w:sz="6" w:space="0" w:color="000000"/>
              <w:right w:val="single" w:sz="6" w:space="0" w:color="000000"/>
            </w:tcBorders>
          </w:tcPr>
          <w:p>
            <w:pPr>
              <w:pStyle w:val="TableParagraph"/>
              <w:spacing w:before="34"/>
              <w:ind w:left="24"/>
              <w:rPr>
                <w:rFonts w:ascii="Times New Roman"/>
                <w:sz w:val="21"/>
              </w:rPr>
            </w:pPr>
            <w:r>
              <w:rPr>
                <w:rFonts w:ascii="Times New Roman"/>
                <w:w w:val="100"/>
                <w:sz w:val="21"/>
              </w:rPr>
              <w:t>1</w:t>
            </w:r>
          </w:p>
        </w:tc>
        <w:tc>
          <w:tcPr>
            <w:tcW w:w="1270" w:type="dxa"/>
            <w:tcBorders>
              <w:top w:val="single" w:sz="6" w:space="0" w:color="000000"/>
              <w:left w:val="single" w:sz="6" w:space="0" w:color="000000"/>
              <w:bottom w:val="single" w:sz="6" w:space="0" w:color="000000"/>
            </w:tcBorders>
          </w:tcPr>
          <w:p>
            <w:pPr>
              <w:pStyle w:val="TableParagraph"/>
              <w:spacing w:before="34"/>
              <w:ind w:left="318" w:right="282"/>
              <w:rPr>
                <w:rFonts w:ascii="Times New Roman"/>
                <w:sz w:val="21"/>
              </w:rPr>
            </w:pPr>
            <w:r>
              <w:rPr>
                <w:rFonts w:ascii="Times New Roman"/>
                <w:sz w:val="21"/>
              </w:rPr>
              <w:t>10</w:t>
            </w:r>
          </w:p>
        </w:tc>
      </w:tr>
      <w:tr>
        <w:trPr>
          <w:trHeight w:val="311" w:hRule="atLeast"/>
        </w:trPr>
        <w:tc>
          <w:tcPr>
            <w:tcW w:w="982" w:type="dxa"/>
            <w:tcBorders>
              <w:top w:val="single" w:sz="6" w:space="0" w:color="000000"/>
              <w:bottom w:val="single" w:sz="6" w:space="0" w:color="000000"/>
              <w:right w:val="single" w:sz="6" w:space="0" w:color="000000"/>
            </w:tcBorders>
          </w:tcPr>
          <w:p>
            <w:pPr>
              <w:pStyle w:val="TableParagraph"/>
              <w:spacing w:before="34"/>
              <w:ind w:left="18"/>
              <w:rPr>
                <w:rFonts w:ascii="Times New Roman"/>
                <w:sz w:val="21"/>
              </w:rPr>
            </w:pPr>
            <w:r>
              <w:rPr>
                <w:rFonts w:ascii="Times New Roman"/>
                <w:w w:val="100"/>
                <w:sz w:val="21"/>
              </w:rPr>
              <w:t>3</w:t>
            </w:r>
          </w:p>
        </w:tc>
        <w:tc>
          <w:tcPr>
            <w:tcW w:w="4878"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956" w:right="926"/>
              <w:rPr>
                <w:sz w:val="21"/>
              </w:rPr>
            </w:pPr>
            <w:r>
              <w:rPr>
                <w:sz w:val="21"/>
              </w:rPr>
              <w:t>胺基化工艺</w:t>
            </w:r>
          </w:p>
        </w:tc>
        <w:tc>
          <w:tcPr>
            <w:tcW w:w="1400" w:type="dxa"/>
            <w:tcBorders>
              <w:top w:val="single" w:sz="6" w:space="0" w:color="000000"/>
              <w:left w:val="single" w:sz="6" w:space="0" w:color="000000"/>
              <w:bottom w:val="single" w:sz="6" w:space="0" w:color="000000"/>
              <w:right w:val="single" w:sz="6" w:space="0" w:color="000000"/>
            </w:tcBorders>
          </w:tcPr>
          <w:p>
            <w:pPr>
              <w:pStyle w:val="TableParagraph"/>
              <w:spacing w:before="34"/>
              <w:ind w:left="24"/>
              <w:rPr>
                <w:rFonts w:ascii="Times New Roman"/>
                <w:sz w:val="21"/>
              </w:rPr>
            </w:pPr>
            <w:r>
              <w:rPr>
                <w:rFonts w:ascii="Times New Roman"/>
                <w:w w:val="100"/>
                <w:sz w:val="21"/>
              </w:rPr>
              <w:t>2</w:t>
            </w:r>
          </w:p>
        </w:tc>
        <w:tc>
          <w:tcPr>
            <w:tcW w:w="1270" w:type="dxa"/>
            <w:tcBorders>
              <w:top w:val="single" w:sz="6" w:space="0" w:color="000000"/>
              <w:left w:val="single" w:sz="6" w:space="0" w:color="000000"/>
              <w:bottom w:val="single" w:sz="6" w:space="0" w:color="000000"/>
            </w:tcBorders>
          </w:tcPr>
          <w:p>
            <w:pPr>
              <w:pStyle w:val="TableParagraph"/>
              <w:spacing w:before="34"/>
              <w:ind w:left="318" w:right="282"/>
              <w:rPr>
                <w:rFonts w:ascii="Times New Roman"/>
                <w:sz w:val="21"/>
              </w:rPr>
            </w:pPr>
            <w:r>
              <w:rPr>
                <w:rFonts w:ascii="Times New Roman"/>
                <w:sz w:val="21"/>
              </w:rPr>
              <w:t>20</w:t>
            </w:r>
          </w:p>
        </w:tc>
      </w:tr>
      <w:tr>
        <w:trPr>
          <w:trHeight w:val="311" w:hRule="atLeast"/>
        </w:trPr>
        <w:tc>
          <w:tcPr>
            <w:tcW w:w="982" w:type="dxa"/>
            <w:tcBorders>
              <w:top w:val="single" w:sz="6" w:space="0" w:color="000000"/>
              <w:bottom w:val="single" w:sz="6" w:space="0" w:color="000000"/>
              <w:right w:val="single" w:sz="6" w:space="0" w:color="000000"/>
            </w:tcBorders>
          </w:tcPr>
          <w:p>
            <w:pPr>
              <w:pStyle w:val="TableParagraph"/>
              <w:spacing w:before="34"/>
              <w:ind w:left="18"/>
              <w:rPr>
                <w:rFonts w:ascii="Times New Roman"/>
                <w:sz w:val="21"/>
              </w:rPr>
            </w:pPr>
            <w:r>
              <w:rPr>
                <w:rFonts w:ascii="Times New Roman"/>
                <w:w w:val="100"/>
                <w:sz w:val="21"/>
              </w:rPr>
              <w:t>4</w:t>
            </w:r>
          </w:p>
        </w:tc>
        <w:tc>
          <w:tcPr>
            <w:tcW w:w="4878"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956" w:right="926"/>
              <w:rPr>
                <w:sz w:val="21"/>
              </w:rPr>
            </w:pPr>
            <w:r>
              <w:rPr>
                <w:sz w:val="21"/>
              </w:rPr>
              <w:t>盐酸罐区</w:t>
            </w:r>
          </w:p>
        </w:tc>
        <w:tc>
          <w:tcPr>
            <w:tcW w:w="1400" w:type="dxa"/>
            <w:tcBorders>
              <w:top w:val="single" w:sz="6" w:space="0" w:color="000000"/>
              <w:left w:val="single" w:sz="6" w:space="0" w:color="000000"/>
              <w:bottom w:val="single" w:sz="6" w:space="0" w:color="000000"/>
              <w:right w:val="single" w:sz="6" w:space="0" w:color="000000"/>
            </w:tcBorders>
          </w:tcPr>
          <w:p>
            <w:pPr>
              <w:pStyle w:val="TableParagraph"/>
              <w:spacing w:before="34"/>
              <w:ind w:left="24"/>
              <w:rPr>
                <w:rFonts w:ascii="Times New Roman"/>
                <w:sz w:val="21"/>
              </w:rPr>
            </w:pPr>
            <w:r>
              <w:rPr>
                <w:rFonts w:ascii="Times New Roman"/>
                <w:w w:val="100"/>
                <w:sz w:val="21"/>
              </w:rPr>
              <w:t>1</w:t>
            </w:r>
          </w:p>
        </w:tc>
        <w:tc>
          <w:tcPr>
            <w:tcW w:w="1270" w:type="dxa"/>
            <w:tcBorders>
              <w:top w:val="single" w:sz="6" w:space="0" w:color="000000"/>
              <w:left w:val="single" w:sz="6" w:space="0" w:color="000000"/>
              <w:bottom w:val="single" w:sz="6" w:space="0" w:color="000000"/>
            </w:tcBorders>
          </w:tcPr>
          <w:p>
            <w:pPr>
              <w:pStyle w:val="TableParagraph"/>
              <w:spacing w:before="34"/>
              <w:ind w:left="36"/>
              <w:rPr>
                <w:rFonts w:ascii="Times New Roman"/>
                <w:sz w:val="21"/>
              </w:rPr>
            </w:pPr>
            <w:r>
              <w:rPr>
                <w:rFonts w:ascii="Times New Roman"/>
                <w:w w:val="100"/>
                <w:sz w:val="21"/>
              </w:rPr>
              <w:t>5</w:t>
            </w:r>
          </w:p>
        </w:tc>
      </w:tr>
      <w:tr>
        <w:trPr>
          <w:trHeight w:val="313" w:hRule="atLeast"/>
        </w:trPr>
        <w:tc>
          <w:tcPr>
            <w:tcW w:w="982" w:type="dxa"/>
            <w:tcBorders>
              <w:top w:val="single" w:sz="6" w:space="0" w:color="000000"/>
              <w:bottom w:val="single" w:sz="6" w:space="0" w:color="000000"/>
              <w:right w:val="single" w:sz="6" w:space="0" w:color="000000"/>
            </w:tcBorders>
          </w:tcPr>
          <w:p>
            <w:pPr>
              <w:pStyle w:val="TableParagraph"/>
              <w:spacing w:before="36"/>
              <w:ind w:left="18"/>
              <w:rPr>
                <w:rFonts w:ascii="Times New Roman"/>
                <w:sz w:val="21"/>
              </w:rPr>
            </w:pPr>
            <w:r>
              <w:rPr>
                <w:rFonts w:ascii="Times New Roman"/>
                <w:w w:val="100"/>
                <w:sz w:val="21"/>
              </w:rPr>
              <w:t>5</w:t>
            </w:r>
          </w:p>
        </w:tc>
        <w:tc>
          <w:tcPr>
            <w:tcW w:w="4878"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956" w:right="926"/>
              <w:rPr>
                <w:sz w:val="21"/>
              </w:rPr>
            </w:pPr>
            <w:r>
              <w:rPr>
                <w:sz w:val="21"/>
              </w:rPr>
              <w:t>涉及危险物质使用、贮存的项目</w:t>
            </w:r>
          </w:p>
        </w:tc>
        <w:tc>
          <w:tcPr>
            <w:tcW w:w="1400" w:type="dxa"/>
            <w:tcBorders>
              <w:top w:val="single" w:sz="6" w:space="0" w:color="000000"/>
              <w:left w:val="single" w:sz="6" w:space="0" w:color="000000"/>
              <w:bottom w:val="single" w:sz="6" w:space="0" w:color="000000"/>
              <w:right w:val="single" w:sz="6" w:space="0" w:color="000000"/>
            </w:tcBorders>
          </w:tcPr>
          <w:p>
            <w:pPr>
              <w:pStyle w:val="TableParagraph"/>
              <w:spacing w:before="36"/>
              <w:ind w:left="337" w:right="313"/>
              <w:rPr>
                <w:rFonts w:ascii="Times New Roman"/>
                <w:sz w:val="21"/>
              </w:rPr>
            </w:pPr>
            <w:r>
              <w:rPr>
                <w:rFonts w:ascii="Times New Roman"/>
                <w:sz w:val="21"/>
              </w:rPr>
              <w:t>--</w:t>
            </w:r>
          </w:p>
        </w:tc>
        <w:tc>
          <w:tcPr>
            <w:tcW w:w="1270" w:type="dxa"/>
            <w:tcBorders>
              <w:top w:val="single" w:sz="6" w:space="0" w:color="000000"/>
              <w:left w:val="single" w:sz="6" w:space="0" w:color="000000"/>
              <w:bottom w:val="single" w:sz="6" w:space="0" w:color="000000"/>
            </w:tcBorders>
          </w:tcPr>
          <w:p>
            <w:pPr>
              <w:pStyle w:val="TableParagraph"/>
              <w:spacing w:before="36"/>
              <w:ind w:left="36"/>
              <w:rPr>
                <w:rFonts w:ascii="Times New Roman"/>
                <w:sz w:val="21"/>
              </w:rPr>
            </w:pPr>
            <w:r>
              <w:rPr>
                <w:rFonts w:ascii="Times New Roman"/>
                <w:w w:val="100"/>
                <w:sz w:val="21"/>
              </w:rPr>
              <w:t>5</w:t>
            </w:r>
          </w:p>
        </w:tc>
      </w:tr>
      <w:tr>
        <w:trPr>
          <w:trHeight w:val="311" w:hRule="atLeast"/>
        </w:trPr>
        <w:tc>
          <w:tcPr>
            <w:tcW w:w="982" w:type="dxa"/>
            <w:tcBorders>
              <w:top w:val="single" w:sz="6" w:space="0" w:color="000000"/>
              <w:right w:val="single" w:sz="6" w:space="0" w:color="000000"/>
            </w:tcBorders>
          </w:tcPr>
          <w:p>
            <w:pPr>
              <w:pStyle w:val="TableParagraph"/>
              <w:spacing w:before="34"/>
              <w:ind w:left="18"/>
              <w:rPr>
                <w:rFonts w:ascii="Times New Roman"/>
                <w:sz w:val="21"/>
              </w:rPr>
            </w:pPr>
            <w:r>
              <w:rPr>
                <w:rFonts w:ascii="Times New Roman"/>
                <w:w w:val="100"/>
                <w:sz w:val="21"/>
              </w:rPr>
              <w:t>6</w:t>
            </w:r>
          </w:p>
        </w:tc>
        <w:tc>
          <w:tcPr>
            <w:tcW w:w="6278" w:type="dxa"/>
            <w:gridSpan w:val="2"/>
            <w:tcBorders>
              <w:top w:val="single" w:sz="6" w:space="0" w:color="000000"/>
              <w:left w:val="single" w:sz="6" w:space="0" w:color="000000"/>
              <w:right w:val="single" w:sz="6" w:space="0" w:color="000000"/>
            </w:tcBorders>
          </w:tcPr>
          <w:p>
            <w:pPr>
              <w:pStyle w:val="TableParagraph"/>
              <w:spacing w:line="292" w:lineRule="exact"/>
              <w:ind w:left="2583" w:right="2553"/>
              <w:rPr>
                <w:rFonts w:ascii="Times New Roman" w:hAnsi="Times New Roman" w:eastAsia="Times New Roman"/>
                <w:sz w:val="21"/>
              </w:rPr>
            </w:pPr>
            <w:r>
              <w:rPr>
                <w:sz w:val="21"/>
              </w:rPr>
              <w:t>项目  </w:t>
            </w:r>
            <w:r>
              <w:rPr>
                <w:rFonts w:ascii="Times New Roman" w:hAnsi="Times New Roman" w:eastAsia="Times New Roman"/>
                <w:sz w:val="21"/>
              </w:rPr>
              <w:t>M </w:t>
            </w:r>
            <w:r>
              <w:rPr>
                <w:sz w:val="21"/>
              </w:rPr>
              <w:t>值</w:t>
            </w:r>
            <w:r>
              <w:rPr>
                <w:rFonts w:ascii="Times New Roman" w:hAnsi="Times New Roman" w:eastAsia="Times New Roman"/>
                <w:sz w:val="21"/>
              </w:rPr>
              <w:t>Σ</w:t>
            </w:r>
          </w:p>
        </w:tc>
        <w:tc>
          <w:tcPr>
            <w:tcW w:w="1270" w:type="dxa"/>
            <w:tcBorders>
              <w:top w:val="single" w:sz="6" w:space="0" w:color="000000"/>
              <w:left w:val="single" w:sz="6" w:space="0" w:color="000000"/>
            </w:tcBorders>
          </w:tcPr>
          <w:p>
            <w:pPr>
              <w:pStyle w:val="TableParagraph"/>
              <w:spacing w:before="34"/>
              <w:ind w:left="318" w:right="282"/>
              <w:rPr>
                <w:rFonts w:ascii="Times New Roman"/>
                <w:sz w:val="21"/>
              </w:rPr>
            </w:pPr>
            <w:r>
              <w:rPr>
                <w:rFonts w:ascii="Times New Roman"/>
                <w:sz w:val="21"/>
              </w:rPr>
              <w:t>60</w:t>
            </w:r>
          </w:p>
        </w:tc>
      </w:tr>
    </w:tbl>
    <w:p>
      <w:pPr>
        <w:pStyle w:val="BodyText"/>
        <w:spacing w:before="120"/>
        <w:ind w:left="1060"/>
      </w:pPr>
      <w:r>
        <w:rPr/>
        <w:t>由上表可知，本项目 </w:t>
      </w:r>
      <w:r>
        <w:rPr>
          <w:rFonts w:ascii="Times New Roman" w:eastAsia="Times New Roman"/>
        </w:rPr>
        <w:t>M </w:t>
      </w:r>
      <w:r>
        <w:rPr/>
        <w:t>值为 </w:t>
      </w:r>
      <w:r>
        <w:rPr>
          <w:rFonts w:ascii="Times New Roman" w:eastAsia="Times New Roman"/>
        </w:rPr>
        <w:t>60</w:t>
      </w:r>
      <w:r>
        <w:rPr/>
        <w:t>＞</w:t>
      </w:r>
      <w:r>
        <w:rPr>
          <w:rFonts w:ascii="Times New Roman" w:eastAsia="Times New Roman"/>
        </w:rPr>
        <w:t>20</w:t>
      </w:r>
      <w:r>
        <w:rPr/>
        <w:t>，本项目行业及生产工艺属于 </w:t>
      </w:r>
      <w:r>
        <w:rPr>
          <w:rFonts w:ascii="Times New Roman" w:eastAsia="Times New Roman"/>
          <w:b/>
        </w:rPr>
        <w:t>M1</w:t>
      </w:r>
      <w:r>
        <w:rPr/>
        <w:t>。</w:t>
      </w:r>
    </w:p>
    <w:p>
      <w:pPr>
        <w:pStyle w:val="BodyText"/>
        <w:spacing w:before="115"/>
        <w:ind w:left="1060"/>
      </w:pPr>
      <w:r>
        <w:rPr/>
        <w:t>（</w:t>
      </w:r>
      <w:r>
        <w:rPr>
          <w:rFonts w:ascii="Times New Roman" w:eastAsia="Times New Roman"/>
        </w:rPr>
        <w:t>3</w:t>
      </w:r>
      <w:r>
        <w:rPr/>
        <w:t>）危险物质及工艺系统危险性（</w:t>
      </w:r>
      <w:r>
        <w:rPr>
          <w:rFonts w:ascii="Times New Roman" w:eastAsia="Times New Roman"/>
        </w:rPr>
        <w:t>P</w:t>
      </w:r>
      <w:r>
        <w:rPr/>
        <w:t>）分级</w:t>
      </w:r>
    </w:p>
    <w:p>
      <w:pPr>
        <w:tabs>
          <w:tab w:pos="912" w:val="left" w:leader="none"/>
        </w:tabs>
        <w:spacing w:before="150" w:after="24"/>
        <w:ind w:left="0" w:right="176" w:firstLine="0"/>
        <w:jc w:val="center"/>
        <w:rPr>
          <w:sz w:val="21"/>
        </w:rPr>
      </w:pPr>
      <w:r>
        <w:rPr>
          <w:sz w:val="21"/>
        </w:rPr>
        <w:t>表</w:t>
      </w:r>
      <w:r>
        <w:rPr>
          <w:spacing w:val="7"/>
          <w:sz w:val="21"/>
        </w:rPr>
        <w:t> </w:t>
      </w:r>
      <w:r>
        <w:rPr>
          <w:rFonts w:ascii="Times New Roman" w:eastAsia="Times New Roman"/>
          <w:b/>
          <w:sz w:val="21"/>
        </w:rPr>
        <w:t>7.2-4</w:t>
        <w:tab/>
      </w:r>
      <w:r>
        <w:rPr>
          <w:sz w:val="21"/>
        </w:rPr>
        <w:t>危险物质及工</w:t>
      </w:r>
      <w:r>
        <w:rPr>
          <w:spacing w:val="-3"/>
          <w:sz w:val="21"/>
        </w:rPr>
        <w:t>艺</w:t>
      </w:r>
      <w:r>
        <w:rPr>
          <w:sz w:val="21"/>
        </w:rPr>
        <w:t>系统危险性等级判</w:t>
      </w:r>
      <w:r>
        <w:rPr>
          <w:spacing w:val="-3"/>
          <w:sz w:val="21"/>
        </w:rPr>
        <w:t>断</w:t>
      </w:r>
      <w:r>
        <w:rPr>
          <w:sz w:val="21"/>
        </w:rPr>
        <w:t>（</w:t>
      </w:r>
      <w:r>
        <w:rPr>
          <w:rFonts w:ascii="Times New Roman" w:eastAsia="Times New Roman"/>
          <w:b/>
          <w:sz w:val="21"/>
        </w:rPr>
        <w:t>P</w:t>
      </w:r>
      <w:r>
        <w:rPr>
          <w:sz w:val="21"/>
        </w:rPr>
        <w:t>）</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93"/>
        <w:gridCol w:w="1440"/>
        <w:gridCol w:w="1442"/>
        <w:gridCol w:w="1440"/>
        <w:gridCol w:w="1211"/>
      </w:tblGrid>
      <w:tr>
        <w:trPr>
          <w:trHeight w:val="313" w:hRule="atLeast"/>
        </w:trPr>
        <w:tc>
          <w:tcPr>
            <w:tcW w:w="2993" w:type="dxa"/>
            <w:vMerge w:val="restart"/>
            <w:tcBorders>
              <w:bottom w:val="single" w:sz="6" w:space="0" w:color="000000"/>
              <w:right w:val="single" w:sz="6" w:space="0" w:color="000000"/>
            </w:tcBorders>
          </w:tcPr>
          <w:p>
            <w:pPr>
              <w:pStyle w:val="TableParagraph"/>
              <w:spacing w:line="317" w:lineRule="exact"/>
              <w:ind w:left="560" w:right="537"/>
              <w:rPr>
                <w:sz w:val="21"/>
              </w:rPr>
            </w:pPr>
            <w:r>
              <w:rPr>
                <w:sz w:val="21"/>
              </w:rPr>
              <w:t>危险物质数量</w:t>
            </w:r>
          </w:p>
          <w:p>
            <w:pPr>
              <w:pStyle w:val="TableParagraph"/>
              <w:spacing w:line="318" w:lineRule="exact"/>
              <w:ind w:left="560" w:right="537"/>
              <w:rPr>
                <w:sz w:val="21"/>
              </w:rPr>
            </w:pPr>
            <w:r>
              <w:rPr>
                <w:sz w:val="21"/>
              </w:rPr>
              <w:t>与临界量比值（</w:t>
            </w:r>
            <w:r>
              <w:rPr>
                <w:rFonts w:ascii="Times New Roman" w:eastAsia="Times New Roman"/>
                <w:sz w:val="21"/>
              </w:rPr>
              <w:t>Q</w:t>
            </w:r>
            <w:r>
              <w:rPr>
                <w:sz w:val="21"/>
              </w:rPr>
              <w:t>）</w:t>
            </w:r>
          </w:p>
        </w:tc>
        <w:tc>
          <w:tcPr>
            <w:tcW w:w="5533" w:type="dxa"/>
            <w:gridSpan w:val="4"/>
            <w:tcBorders>
              <w:left w:val="single" w:sz="6" w:space="0" w:color="000000"/>
              <w:bottom w:val="single" w:sz="6" w:space="0" w:color="000000"/>
            </w:tcBorders>
          </w:tcPr>
          <w:p>
            <w:pPr>
              <w:pStyle w:val="TableParagraph"/>
              <w:spacing w:line="293" w:lineRule="exact"/>
              <w:ind w:left="1735"/>
              <w:jc w:val="left"/>
              <w:rPr>
                <w:sz w:val="21"/>
              </w:rPr>
            </w:pPr>
            <w:r>
              <w:rPr>
                <w:sz w:val="21"/>
              </w:rPr>
              <w:t>行业及生产工艺（</w:t>
            </w:r>
            <w:r>
              <w:rPr>
                <w:rFonts w:ascii="Times New Roman" w:eastAsia="Times New Roman"/>
                <w:sz w:val="21"/>
              </w:rPr>
              <w:t>M</w:t>
            </w:r>
            <w:r>
              <w:rPr>
                <w:sz w:val="21"/>
              </w:rPr>
              <w:t>）</w:t>
            </w:r>
          </w:p>
        </w:tc>
      </w:tr>
      <w:tr>
        <w:trPr>
          <w:trHeight w:val="325" w:hRule="atLeast"/>
        </w:trPr>
        <w:tc>
          <w:tcPr>
            <w:tcW w:w="2993" w:type="dxa"/>
            <w:vMerge/>
            <w:tcBorders>
              <w:top w:val="nil"/>
              <w:bottom w:val="single" w:sz="6" w:space="0" w:color="000000"/>
              <w:right w:val="single" w:sz="6" w:space="0" w:color="000000"/>
            </w:tcBorders>
          </w:tcPr>
          <w:p>
            <w:pPr>
              <w:rPr>
                <w:sz w:val="2"/>
                <w:szCs w:val="2"/>
              </w:rPr>
            </w:pP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48"/>
              <w:ind w:left="578"/>
              <w:jc w:val="left"/>
              <w:rPr>
                <w:rFonts w:ascii="Times New Roman"/>
                <w:sz w:val="21"/>
              </w:rPr>
            </w:pPr>
            <w:r>
              <w:rPr>
                <w:rFonts w:ascii="Times New Roman"/>
                <w:sz w:val="21"/>
              </w:rPr>
              <w:t>M1</w:t>
            </w:r>
          </w:p>
        </w:tc>
        <w:tc>
          <w:tcPr>
            <w:tcW w:w="1442" w:type="dxa"/>
            <w:tcBorders>
              <w:top w:val="single" w:sz="6" w:space="0" w:color="000000"/>
              <w:left w:val="single" w:sz="6" w:space="0" w:color="000000"/>
              <w:bottom w:val="single" w:sz="6" w:space="0" w:color="000000"/>
              <w:right w:val="single" w:sz="6" w:space="0" w:color="000000"/>
            </w:tcBorders>
          </w:tcPr>
          <w:p>
            <w:pPr>
              <w:pStyle w:val="TableParagraph"/>
              <w:spacing w:before="48"/>
              <w:ind w:left="581"/>
              <w:jc w:val="left"/>
              <w:rPr>
                <w:rFonts w:ascii="Times New Roman"/>
                <w:sz w:val="21"/>
              </w:rPr>
            </w:pPr>
            <w:r>
              <w:rPr>
                <w:rFonts w:ascii="Times New Roman"/>
                <w:sz w:val="21"/>
              </w:rPr>
              <w:t>M2</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48"/>
              <w:ind w:left="579"/>
              <w:jc w:val="left"/>
              <w:rPr>
                <w:rFonts w:ascii="Times New Roman"/>
                <w:sz w:val="21"/>
              </w:rPr>
            </w:pPr>
            <w:r>
              <w:rPr>
                <w:rFonts w:ascii="Times New Roman"/>
                <w:sz w:val="21"/>
              </w:rPr>
              <w:t>M3</w:t>
            </w:r>
          </w:p>
        </w:tc>
        <w:tc>
          <w:tcPr>
            <w:tcW w:w="1211" w:type="dxa"/>
            <w:tcBorders>
              <w:top w:val="single" w:sz="6" w:space="0" w:color="000000"/>
              <w:left w:val="single" w:sz="6" w:space="0" w:color="000000"/>
              <w:bottom w:val="single" w:sz="6" w:space="0" w:color="000000"/>
            </w:tcBorders>
          </w:tcPr>
          <w:p>
            <w:pPr>
              <w:pStyle w:val="TableParagraph"/>
              <w:spacing w:before="48"/>
              <w:ind w:left="467"/>
              <w:jc w:val="left"/>
              <w:rPr>
                <w:rFonts w:ascii="Times New Roman"/>
                <w:sz w:val="21"/>
              </w:rPr>
            </w:pPr>
            <w:r>
              <w:rPr>
                <w:rFonts w:ascii="Times New Roman"/>
                <w:sz w:val="21"/>
              </w:rPr>
              <w:t>M4</w:t>
            </w:r>
          </w:p>
        </w:tc>
      </w:tr>
      <w:tr>
        <w:trPr>
          <w:trHeight w:val="313" w:hRule="atLeast"/>
        </w:trPr>
        <w:tc>
          <w:tcPr>
            <w:tcW w:w="2993" w:type="dxa"/>
            <w:tcBorders>
              <w:top w:val="single" w:sz="6" w:space="0" w:color="000000"/>
              <w:bottom w:val="single" w:sz="6" w:space="0" w:color="000000"/>
              <w:right w:val="single" w:sz="6" w:space="0" w:color="000000"/>
            </w:tcBorders>
          </w:tcPr>
          <w:p>
            <w:pPr>
              <w:pStyle w:val="TableParagraph"/>
              <w:spacing w:before="36"/>
              <w:ind w:left="557" w:right="537"/>
              <w:rPr>
                <w:rFonts w:ascii="Times New Roman" w:hAnsi="Times New Roman"/>
                <w:sz w:val="21"/>
              </w:rPr>
            </w:pPr>
            <w:r>
              <w:rPr>
                <w:rFonts w:ascii="Times New Roman" w:hAnsi="Times New Roman"/>
                <w:sz w:val="21"/>
              </w:rPr>
              <w:t>Q≥100</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36"/>
              <w:ind w:left="614"/>
              <w:jc w:val="left"/>
              <w:rPr>
                <w:rFonts w:ascii="Times New Roman"/>
                <w:sz w:val="21"/>
              </w:rPr>
            </w:pPr>
            <w:r>
              <w:rPr>
                <w:rFonts w:ascii="Times New Roman"/>
                <w:sz w:val="21"/>
              </w:rPr>
              <w:t>P1</w:t>
            </w:r>
          </w:p>
        </w:tc>
        <w:tc>
          <w:tcPr>
            <w:tcW w:w="1442" w:type="dxa"/>
            <w:tcBorders>
              <w:top w:val="single" w:sz="6" w:space="0" w:color="000000"/>
              <w:left w:val="single" w:sz="6" w:space="0" w:color="000000"/>
              <w:bottom w:val="single" w:sz="6" w:space="0" w:color="000000"/>
              <w:right w:val="single" w:sz="6" w:space="0" w:color="000000"/>
            </w:tcBorders>
          </w:tcPr>
          <w:p>
            <w:pPr>
              <w:pStyle w:val="TableParagraph"/>
              <w:spacing w:before="36"/>
              <w:ind w:left="617"/>
              <w:jc w:val="left"/>
              <w:rPr>
                <w:rFonts w:ascii="Times New Roman"/>
                <w:sz w:val="21"/>
              </w:rPr>
            </w:pPr>
            <w:r>
              <w:rPr>
                <w:rFonts w:ascii="Times New Roman"/>
                <w:sz w:val="21"/>
              </w:rPr>
              <w:t>P1</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36"/>
              <w:ind w:left="615"/>
              <w:jc w:val="left"/>
              <w:rPr>
                <w:rFonts w:ascii="Times New Roman"/>
                <w:sz w:val="21"/>
              </w:rPr>
            </w:pPr>
            <w:r>
              <w:rPr>
                <w:rFonts w:ascii="Times New Roman"/>
                <w:sz w:val="21"/>
              </w:rPr>
              <w:t>P2</w:t>
            </w:r>
          </w:p>
        </w:tc>
        <w:tc>
          <w:tcPr>
            <w:tcW w:w="1211" w:type="dxa"/>
            <w:tcBorders>
              <w:top w:val="single" w:sz="6" w:space="0" w:color="000000"/>
              <w:left w:val="single" w:sz="6" w:space="0" w:color="000000"/>
              <w:bottom w:val="single" w:sz="6" w:space="0" w:color="000000"/>
            </w:tcBorders>
          </w:tcPr>
          <w:p>
            <w:pPr>
              <w:pStyle w:val="TableParagraph"/>
              <w:spacing w:before="36"/>
              <w:ind w:left="503"/>
              <w:jc w:val="left"/>
              <w:rPr>
                <w:rFonts w:ascii="Times New Roman"/>
                <w:sz w:val="21"/>
              </w:rPr>
            </w:pPr>
            <w:r>
              <w:rPr>
                <w:rFonts w:ascii="Times New Roman"/>
                <w:sz w:val="21"/>
              </w:rPr>
              <w:t>P3</w:t>
            </w:r>
          </w:p>
        </w:tc>
      </w:tr>
      <w:tr>
        <w:trPr>
          <w:trHeight w:val="311" w:hRule="atLeast"/>
        </w:trPr>
        <w:tc>
          <w:tcPr>
            <w:tcW w:w="2993" w:type="dxa"/>
            <w:tcBorders>
              <w:top w:val="single" w:sz="6" w:space="0" w:color="000000"/>
              <w:bottom w:val="single" w:sz="6" w:space="0" w:color="000000"/>
              <w:right w:val="single" w:sz="6" w:space="0" w:color="000000"/>
            </w:tcBorders>
          </w:tcPr>
          <w:p>
            <w:pPr>
              <w:pStyle w:val="TableParagraph"/>
              <w:spacing w:line="292" w:lineRule="exact"/>
              <w:ind w:left="560" w:right="537"/>
              <w:rPr>
                <w:rFonts w:ascii="Times New Roman" w:hAnsi="Times New Roman" w:eastAsia="Times New Roman"/>
                <w:sz w:val="21"/>
              </w:rPr>
            </w:pPr>
            <w:r>
              <w:rPr>
                <w:rFonts w:ascii="Times New Roman" w:hAnsi="Times New Roman" w:eastAsia="Times New Roman"/>
                <w:sz w:val="21"/>
              </w:rPr>
              <w:t>10≤Q</w:t>
            </w:r>
            <w:r>
              <w:rPr>
                <w:sz w:val="21"/>
              </w:rPr>
              <w:t>＜</w:t>
            </w:r>
            <w:r>
              <w:rPr>
                <w:rFonts w:ascii="Times New Roman" w:hAnsi="Times New Roman" w:eastAsia="Times New Roman"/>
                <w:sz w:val="21"/>
              </w:rPr>
              <w:t>100</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34"/>
              <w:ind w:left="614"/>
              <w:jc w:val="left"/>
              <w:rPr>
                <w:rFonts w:ascii="Times New Roman"/>
                <w:sz w:val="21"/>
              </w:rPr>
            </w:pPr>
            <w:r>
              <w:rPr>
                <w:rFonts w:ascii="Times New Roman"/>
                <w:sz w:val="21"/>
              </w:rPr>
              <w:t>P1</w:t>
            </w:r>
          </w:p>
        </w:tc>
        <w:tc>
          <w:tcPr>
            <w:tcW w:w="1442" w:type="dxa"/>
            <w:tcBorders>
              <w:top w:val="single" w:sz="6" w:space="0" w:color="000000"/>
              <w:left w:val="single" w:sz="6" w:space="0" w:color="000000"/>
              <w:bottom w:val="single" w:sz="6" w:space="0" w:color="000000"/>
              <w:right w:val="single" w:sz="6" w:space="0" w:color="000000"/>
            </w:tcBorders>
          </w:tcPr>
          <w:p>
            <w:pPr>
              <w:pStyle w:val="TableParagraph"/>
              <w:spacing w:before="34"/>
              <w:ind w:left="617"/>
              <w:jc w:val="left"/>
              <w:rPr>
                <w:rFonts w:ascii="Times New Roman"/>
                <w:sz w:val="21"/>
              </w:rPr>
            </w:pPr>
            <w:r>
              <w:rPr>
                <w:rFonts w:ascii="Times New Roman"/>
                <w:sz w:val="21"/>
              </w:rPr>
              <w:t>P2</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34"/>
              <w:ind w:left="615"/>
              <w:jc w:val="left"/>
              <w:rPr>
                <w:rFonts w:ascii="Times New Roman"/>
                <w:sz w:val="21"/>
              </w:rPr>
            </w:pPr>
            <w:r>
              <w:rPr>
                <w:rFonts w:ascii="Times New Roman"/>
                <w:sz w:val="21"/>
              </w:rPr>
              <w:t>P3</w:t>
            </w:r>
          </w:p>
        </w:tc>
        <w:tc>
          <w:tcPr>
            <w:tcW w:w="1211" w:type="dxa"/>
            <w:tcBorders>
              <w:top w:val="single" w:sz="6" w:space="0" w:color="000000"/>
              <w:left w:val="single" w:sz="6" w:space="0" w:color="000000"/>
              <w:bottom w:val="single" w:sz="6" w:space="0" w:color="000000"/>
            </w:tcBorders>
          </w:tcPr>
          <w:p>
            <w:pPr>
              <w:pStyle w:val="TableParagraph"/>
              <w:spacing w:before="34"/>
              <w:ind w:left="503"/>
              <w:jc w:val="left"/>
              <w:rPr>
                <w:rFonts w:ascii="Times New Roman"/>
                <w:sz w:val="21"/>
              </w:rPr>
            </w:pPr>
            <w:r>
              <w:rPr>
                <w:rFonts w:ascii="Times New Roman"/>
                <w:sz w:val="21"/>
              </w:rPr>
              <w:t>P4</w:t>
            </w:r>
          </w:p>
        </w:tc>
      </w:tr>
      <w:tr>
        <w:trPr>
          <w:trHeight w:val="311" w:hRule="atLeast"/>
        </w:trPr>
        <w:tc>
          <w:tcPr>
            <w:tcW w:w="2993" w:type="dxa"/>
            <w:tcBorders>
              <w:top w:val="single" w:sz="6" w:space="0" w:color="000000"/>
              <w:right w:val="single" w:sz="6" w:space="0" w:color="000000"/>
            </w:tcBorders>
          </w:tcPr>
          <w:p>
            <w:pPr>
              <w:pStyle w:val="TableParagraph"/>
              <w:spacing w:line="291" w:lineRule="exact"/>
              <w:ind w:left="557" w:right="537"/>
              <w:rPr>
                <w:rFonts w:ascii="Times New Roman" w:hAnsi="Times New Roman" w:eastAsia="Times New Roman"/>
                <w:sz w:val="21"/>
              </w:rPr>
            </w:pPr>
            <w:r>
              <w:rPr>
                <w:rFonts w:ascii="Times New Roman" w:hAnsi="Times New Roman" w:eastAsia="Times New Roman"/>
                <w:sz w:val="21"/>
              </w:rPr>
              <w:t>1≤Q</w:t>
            </w:r>
            <w:r>
              <w:rPr>
                <w:sz w:val="21"/>
              </w:rPr>
              <w:t>＜</w:t>
            </w:r>
            <w:r>
              <w:rPr>
                <w:rFonts w:ascii="Times New Roman" w:hAnsi="Times New Roman" w:eastAsia="Times New Roman"/>
                <w:sz w:val="21"/>
              </w:rPr>
              <w:t>10</w:t>
            </w:r>
          </w:p>
        </w:tc>
        <w:tc>
          <w:tcPr>
            <w:tcW w:w="1440" w:type="dxa"/>
            <w:tcBorders>
              <w:top w:val="single" w:sz="6" w:space="0" w:color="000000"/>
              <w:left w:val="single" w:sz="6" w:space="0" w:color="000000"/>
              <w:right w:val="single" w:sz="6" w:space="0" w:color="000000"/>
            </w:tcBorders>
          </w:tcPr>
          <w:p>
            <w:pPr>
              <w:pStyle w:val="TableParagraph"/>
              <w:spacing w:before="36"/>
              <w:ind w:left="607"/>
              <w:jc w:val="left"/>
              <w:rPr>
                <w:rFonts w:ascii="Times New Roman"/>
                <w:b/>
                <w:sz w:val="21"/>
              </w:rPr>
            </w:pPr>
            <w:r>
              <w:rPr>
                <w:rFonts w:ascii="Times New Roman"/>
                <w:b/>
                <w:sz w:val="21"/>
              </w:rPr>
              <w:t>P2</w:t>
            </w:r>
          </w:p>
        </w:tc>
        <w:tc>
          <w:tcPr>
            <w:tcW w:w="1442" w:type="dxa"/>
            <w:tcBorders>
              <w:top w:val="single" w:sz="6" w:space="0" w:color="000000"/>
              <w:left w:val="single" w:sz="6" w:space="0" w:color="000000"/>
              <w:right w:val="single" w:sz="6" w:space="0" w:color="000000"/>
            </w:tcBorders>
          </w:tcPr>
          <w:p>
            <w:pPr>
              <w:pStyle w:val="TableParagraph"/>
              <w:spacing w:before="34"/>
              <w:ind w:left="617"/>
              <w:jc w:val="left"/>
              <w:rPr>
                <w:rFonts w:ascii="Times New Roman"/>
                <w:sz w:val="21"/>
              </w:rPr>
            </w:pPr>
            <w:r>
              <w:rPr>
                <w:rFonts w:ascii="Times New Roman"/>
                <w:sz w:val="21"/>
              </w:rPr>
              <w:t>P3</w:t>
            </w:r>
          </w:p>
        </w:tc>
        <w:tc>
          <w:tcPr>
            <w:tcW w:w="1440" w:type="dxa"/>
            <w:tcBorders>
              <w:top w:val="single" w:sz="6" w:space="0" w:color="000000"/>
              <w:left w:val="single" w:sz="6" w:space="0" w:color="000000"/>
              <w:right w:val="single" w:sz="6" w:space="0" w:color="000000"/>
            </w:tcBorders>
          </w:tcPr>
          <w:p>
            <w:pPr>
              <w:pStyle w:val="TableParagraph"/>
              <w:spacing w:before="34"/>
              <w:ind w:left="615"/>
              <w:jc w:val="left"/>
              <w:rPr>
                <w:rFonts w:ascii="Times New Roman"/>
                <w:sz w:val="21"/>
              </w:rPr>
            </w:pPr>
            <w:r>
              <w:rPr>
                <w:rFonts w:ascii="Times New Roman"/>
                <w:sz w:val="21"/>
              </w:rPr>
              <w:t>P4</w:t>
            </w:r>
          </w:p>
        </w:tc>
        <w:tc>
          <w:tcPr>
            <w:tcW w:w="1211" w:type="dxa"/>
            <w:tcBorders>
              <w:top w:val="single" w:sz="6" w:space="0" w:color="000000"/>
              <w:left w:val="single" w:sz="6" w:space="0" w:color="000000"/>
            </w:tcBorders>
          </w:tcPr>
          <w:p>
            <w:pPr>
              <w:pStyle w:val="TableParagraph"/>
              <w:spacing w:before="34"/>
              <w:ind w:left="503"/>
              <w:jc w:val="left"/>
              <w:rPr>
                <w:rFonts w:ascii="Times New Roman"/>
                <w:sz w:val="21"/>
              </w:rPr>
            </w:pPr>
            <w:r>
              <w:rPr>
                <w:rFonts w:ascii="Times New Roman"/>
                <w:sz w:val="21"/>
              </w:rPr>
              <w:t>P4</w:t>
            </w:r>
          </w:p>
        </w:tc>
      </w:tr>
    </w:tbl>
    <w:p>
      <w:pPr>
        <w:pStyle w:val="BodyText"/>
        <w:spacing w:line="220" w:lineRule="auto"/>
        <w:ind w:left="578" w:right="686" w:firstLine="479"/>
      </w:pPr>
      <w:r>
        <w:rPr/>
        <w:t>本项目危险物质数量与临界量比值 </w:t>
      </w:r>
      <w:r>
        <w:rPr>
          <w:rFonts w:ascii="Times New Roman" w:hAnsi="Times New Roman" w:eastAsia="Times New Roman"/>
        </w:rPr>
        <w:t>1≤Q</w:t>
      </w:r>
      <w:r>
        <w:rPr/>
        <w:t>＜</w:t>
      </w:r>
      <w:r>
        <w:rPr>
          <w:rFonts w:ascii="Times New Roman" w:hAnsi="Times New Roman" w:eastAsia="Times New Roman"/>
        </w:rPr>
        <w:t>10</w:t>
      </w:r>
      <w:r>
        <w:rPr/>
        <w:t>，行业及生产工艺以 </w:t>
      </w:r>
      <w:r>
        <w:rPr>
          <w:rFonts w:ascii="Times New Roman" w:hAnsi="Times New Roman" w:eastAsia="Times New Roman"/>
        </w:rPr>
        <w:t>M1 </w:t>
      </w:r>
      <w:r>
        <w:rPr/>
        <w:t>表示， 按照表 </w:t>
      </w:r>
      <w:r>
        <w:rPr>
          <w:rFonts w:ascii="Times New Roman" w:hAnsi="Times New Roman" w:eastAsia="Times New Roman"/>
        </w:rPr>
        <w:t>7.2-4 </w:t>
      </w:r>
      <w:r>
        <w:rPr/>
        <w:t>确定危险物质及工艺系统危险性等级为 </w:t>
      </w:r>
      <w:r>
        <w:rPr>
          <w:rFonts w:ascii="Times New Roman" w:hAnsi="Times New Roman" w:eastAsia="Times New Roman"/>
        </w:rPr>
        <w:t>P2</w:t>
      </w:r>
      <w:r>
        <w:rPr/>
        <w:t>。</w:t>
      </w:r>
    </w:p>
    <w:p>
      <w:pPr>
        <w:pStyle w:val="BodyText"/>
        <w:spacing w:line="460" w:lineRule="exact"/>
        <w:ind w:left="1058"/>
      </w:pPr>
      <w:r>
        <w:rPr>
          <w:rFonts w:ascii="Times New Roman" w:eastAsia="Times New Roman"/>
        </w:rPr>
        <w:t>2</w:t>
      </w:r>
      <w:r>
        <w:rPr/>
        <w:t>、</w:t>
      </w:r>
      <w:r>
        <w:rPr>
          <w:rFonts w:ascii="Times New Roman" w:eastAsia="Times New Roman"/>
        </w:rPr>
        <w:t>E </w:t>
      </w:r>
      <w:r>
        <w:rPr/>
        <w:t>的分级确定</w:t>
      </w:r>
    </w:p>
    <w:p>
      <w:pPr>
        <w:pStyle w:val="BodyText"/>
        <w:spacing w:line="468" w:lineRule="exact"/>
        <w:ind w:left="1058"/>
      </w:pPr>
      <w:r>
        <w:rPr/>
        <w:t>（</w:t>
      </w:r>
      <w:r>
        <w:rPr>
          <w:rFonts w:ascii="Times New Roman" w:eastAsia="Times New Roman"/>
        </w:rPr>
        <w:t>1</w:t>
      </w:r>
      <w:r>
        <w:rPr/>
        <w:t>）大气环境敏感程度判定</w:t>
      </w:r>
    </w:p>
    <w:p>
      <w:pPr>
        <w:pStyle w:val="BodyText"/>
        <w:spacing w:line="220" w:lineRule="auto" w:before="8"/>
        <w:ind w:left="578" w:right="753" w:firstLine="479"/>
        <w:jc w:val="both"/>
      </w:pPr>
      <w:r>
        <w:rPr>
          <w:spacing w:val="-3"/>
        </w:rPr>
        <w:t>依据环境敏感目标环境敏感性及人口密度划分环境风险受体的敏感性，共分</w:t>
      </w:r>
      <w:r>
        <w:rPr>
          <w:spacing w:val="-5"/>
        </w:rPr>
        <w:t>为三种类型，</w:t>
      </w:r>
      <w:r>
        <w:rPr>
          <w:rFonts w:ascii="Times New Roman" w:eastAsia="Times New Roman"/>
          <w:spacing w:val="-13"/>
        </w:rPr>
        <w:t>E1 </w:t>
      </w:r>
      <w:r>
        <w:rPr>
          <w:spacing w:val="-2"/>
        </w:rPr>
        <w:t>为环境高度敏感区，</w:t>
      </w:r>
      <w:r>
        <w:rPr>
          <w:rFonts w:ascii="Times New Roman" w:eastAsia="Times New Roman"/>
          <w:spacing w:val="-13"/>
        </w:rPr>
        <w:t>E2 </w:t>
      </w:r>
      <w:r>
        <w:rPr>
          <w:spacing w:val="-2"/>
        </w:rPr>
        <w:t>为环境中度敏感区，</w:t>
      </w:r>
      <w:r>
        <w:rPr>
          <w:rFonts w:ascii="Times New Roman" w:eastAsia="Times New Roman"/>
          <w:spacing w:val="-13"/>
        </w:rPr>
        <w:t>E3 </w:t>
      </w:r>
      <w:r>
        <w:rPr/>
        <w:t>为环境低度敏感区，分级原则见表 </w:t>
      </w:r>
      <w:r>
        <w:rPr>
          <w:rFonts w:ascii="Times New Roman" w:eastAsia="Times New Roman"/>
        </w:rPr>
        <w:t>7.2-5</w:t>
      </w:r>
      <w:r>
        <w:rPr/>
        <w:t>。</w:t>
      </w:r>
    </w:p>
    <w:p>
      <w:pPr>
        <w:spacing w:after="0" w:line="220" w:lineRule="auto"/>
        <w:jc w:val="both"/>
        <w:sectPr>
          <w:pgSz w:w="11910" w:h="16840"/>
          <w:pgMar w:header="877" w:footer="973" w:top="1340" w:bottom="1160" w:left="1220" w:right="1040"/>
        </w:sectPr>
      </w:pPr>
    </w:p>
    <w:p>
      <w:pPr>
        <w:pStyle w:val="BodyText"/>
        <w:spacing w:before="21"/>
        <w:rPr>
          <w:sz w:val="4"/>
        </w:rPr>
      </w:pPr>
    </w:p>
    <w:p>
      <w:pPr>
        <w:tabs>
          <w:tab w:pos="911" w:val="left" w:leader="none"/>
        </w:tabs>
        <w:spacing w:line="423" w:lineRule="exact" w:before="0" w:after="24"/>
        <w:ind w:left="0" w:right="175" w:firstLine="0"/>
        <w:jc w:val="center"/>
        <w:rPr>
          <w:sz w:val="21"/>
        </w:rPr>
      </w:pPr>
      <w:r>
        <w:rPr>
          <w:sz w:val="21"/>
        </w:rPr>
        <w:t>表</w:t>
      </w:r>
      <w:r>
        <w:rPr>
          <w:spacing w:val="7"/>
          <w:sz w:val="21"/>
        </w:rPr>
        <w:t> </w:t>
      </w:r>
      <w:r>
        <w:rPr>
          <w:rFonts w:ascii="Times New Roman" w:eastAsia="Times New Roman"/>
          <w:b/>
          <w:sz w:val="21"/>
        </w:rPr>
        <w:t>7.2-5</w:t>
        <w:tab/>
      </w:r>
      <w:r>
        <w:rPr>
          <w:sz w:val="21"/>
        </w:rPr>
        <w:t>大气环境敏感</w:t>
      </w:r>
      <w:r>
        <w:rPr>
          <w:spacing w:val="-3"/>
          <w:sz w:val="21"/>
        </w:rPr>
        <w:t>程</w:t>
      </w:r>
      <w:r>
        <w:rPr>
          <w:sz w:val="21"/>
        </w:rPr>
        <w:t>度分级</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70"/>
        <w:gridCol w:w="7158"/>
      </w:tblGrid>
      <w:tr>
        <w:trPr>
          <w:trHeight w:val="311" w:hRule="atLeast"/>
        </w:trPr>
        <w:tc>
          <w:tcPr>
            <w:tcW w:w="1370" w:type="dxa"/>
            <w:tcBorders>
              <w:bottom w:val="single" w:sz="6" w:space="0" w:color="000000"/>
              <w:right w:val="single" w:sz="6" w:space="0" w:color="000000"/>
            </w:tcBorders>
          </w:tcPr>
          <w:p>
            <w:pPr>
              <w:pStyle w:val="TableParagraph"/>
              <w:spacing w:line="291" w:lineRule="exact"/>
              <w:ind w:left="455" w:right="432"/>
              <w:rPr>
                <w:sz w:val="21"/>
              </w:rPr>
            </w:pPr>
            <w:r>
              <w:rPr>
                <w:sz w:val="21"/>
              </w:rPr>
              <w:t>分级</w:t>
            </w:r>
          </w:p>
        </w:tc>
        <w:tc>
          <w:tcPr>
            <w:tcW w:w="7158" w:type="dxa"/>
            <w:tcBorders>
              <w:left w:val="single" w:sz="6" w:space="0" w:color="000000"/>
              <w:bottom w:val="single" w:sz="6" w:space="0" w:color="000000"/>
            </w:tcBorders>
          </w:tcPr>
          <w:p>
            <w:pPr>
              <w:pStyle w:val="TableParagraph"/>
              <w:spacing w:line="291" w:lineRule="exact"/>
              <w:ind w:left="85" w:right="44"/>
              <w:rPr>
                <w:sz w:val="21"/>
              </w:rPr>
            </w:pPr>
            <w:r>
              <w:rPr>
                <w:sz w:val="21"/>
              </w:rPr>
              <w:t>大气环境敏感性</w:t>
            </w:r>
          </w:p>
        </w:tc>
      </w:tr>
      <w:tr>
        <w:trPr>
          <w:trHeight w:val="1249" w:hRule="atLeast"/>
        </w:trPr>
        <w:tc>
          <w:tcPr>
            <w:tcW w:w="1370" w:type="dxa"/>
            <w:tcBorders>
              <w:top w:val="single" w:sz="6" w:space="0" w:color="000000"/>
              <w:bottom w:val="single" w:sz="6" w:space="0" w:color="000000"/>
              <w:right w:val="single" w:sz="6" w:space="0" w:color="000000"/>
            </w:tcBorders>
          </w:tcPr>
          <w:p>
            <w:pPr>
              <w:pStyle w:val="TableParagraph"/>
              <w:spacing w:before="16"/>
              <w:jc w:val="left"/>
              <w:rPr>
                <w:sz w:val="23"/>
              </w:rPr>
            </w:pPr>
          </w:p>
          <w:p>
            <w:pPr>
              <w:pStyle w:val="TableParagraph"/>
              <w:spacing w:before="1"/>
              <w:ind w:left="455" w:right="431"/>
              <w:rPr>
                <w:rFonts w:ascii="Times New Roman"/>
                <w:sz w:val="21"/>
              </w:rPr>
            </w:pPr>
            <w:r>
              <w:rPr>
                <w:rFonts w:ascii="Times New Roman"/>
                <w:sz w:val="21"/>
              </w:rPr>
              <w:t>E1</w:t>
            </w:r>
          </w:p>
        </w:tc>
        <w:tc>
          <w:tcPr>
            <w:tcW w:w="7158" w:type="dxa"/>
            <w:tcBorders>
              <w:top w:val="single" w:sz="6" w:space="0" w:color="000000"/>
              <w:left w:val="single" w:sz="6" w:space="0" w:color="000000"/>
              <w:bottom w:val="single" w:sz="6" w:space="0" w:color="000000"/>
            </w:tcBorders>
          </w:tcPr>
          <w:p>
            <w:pPr>
              <w:pStyle w:val="TableParagraph"/>
              <w:spacing w:line="168" w:lineRule="auto" w:before="17"/>
              <w:ind w:left="115" w:right="71"/>
              <w:jc w:val="both"/>
              <w:rPr>
                <w:sz w:val="21"/>
              </w:rPr>
            </w:pPr>
            <w:r>
              <w:rPr>
                <w:spacing w:val="7"/>
                <w:sz w:val="21"/>
              </w:rPr>
              <w:t>周边 </w:t>
            </w:r>
            <w:r>
              <w:rPr>
                <w:rFonts w:ascii="Times New Roman" w:eastAsia="Times New Roman"/>
                <w:sz w:val="21"/>
              </w:rPr>
              <w:t>5km </w:t>
            </w:r>
            <w:r>
              <w:rPr>
                <w:spacing w:val="-7"/>
                <w:sz w:val="21"/>
              </w:rPr>
              <w:t>范围内居住区、医疗卫生、文化教育、科研、行政办公等机构人口</w:t>
            </w:r>
            <w:r>
              <w:rPr>
                <w:spacing w:val="-2"/>
                <w:sz w:val="21"/>
              </w:rPr>
              <w:t>总数大于 </w:t>
            </w:r>
            <w:r>
              <w:rPr>
                <w:rFonts w:ascii="Times New Roman" w:eastAsia="Times New Roman"/>
                <w:sz w:val="21"/>
              </w:rPr>
              <w:t>5 </w:t>
            </w:r>
            <w:r>
              <w:rPr>
                <w:spacing w:val="-3"/>
                <w:sz w:val="21"/>
              </w:rPr>
              <w:t>万人，或其他需要特殊保护区域；或周边 </w:t>
            </w:r>
            <w:r>
              <w:rPr>
                <w:rFonts w:ascii="Times New Roman" w:eastAsia="Times New Roman"/>
                <w:sz w:val="21"/>
              </w:rPr>
              <w:t>500m </w:t>
            </w:r>
            <w:r>
              <w:rPr>
                <w:spacing w:val="-3"/>
                <w:sz w:val="21"/>
              </w:rPr>
              <w:t>范围内人口总数</w:t>
            </w:r>
            <w:r>
              <w:rPr>
                <w:spacing w:val="2"/>
                <w:sz w:val="21"/>
              </w:rPr>
              <w:t>大于 </w:t>
            </w:r>
            <w:r>
              <w:rPr>
                <w:rFonts w:ascii="Times New Roman" w:eastAsia="Times New Roman"/>
                <w:sz w:val="21"/>
              </w:rPr>
              <w:t>1000 </w:t>
            </w:r>
            <w:r>
              <w:rPr>
                <w:spacing w:val="-6"/>
                <w:sz w:val="21"/>
              </w:rPr>
              <w:t>人；油气、化学品输送管线管段周边 </w:t>
            </w:r>
            <w:r>
              <w:rPr>
                <w:rFonts w:ascii="Times New Roman" w:eastAsia="Times New Roman"/>
                <w:sz w:val="21"/>
              </w:rPr>
              <w:t>200m </w:t>
            </w:r>
            <w:r>
              <w:rPr>
                <w:spacing w:val="-4"/>
                <w:sz w:val="21"/>
              </w:rPr>
              <w:t>范围内，每千米管段人</w:t>
            </w:r>
          </w:p>
          <w:p>
            <w:pPr>
              <w:pStyle w:val="TableParagraph"/>
              <w:spacing w:line="278" w:lineRule="exact"/>
              <w:ind w:left="86" w:right="44"/>
              <w:rPr>
                <w:sz w:val="21"/>
              </w:rPr>
            </w:pPr>
            <w:r>
              <w:rPr>
                <w:sz w:val="21"/>
              </w:rPr>
              <w:t>口数大于 </w:t>
            </w:r>
            <w:r>
              <w:rPr>
                <w:rFonts w:ascii="Times New Roman" w:eastAsia="Times New Roman"/>
                <w:sz w:val="21"/>
              </w:rPr>
              <w:t>200 </w:t>
            </w:r>
            <w:r>
              <w:rPr>
                <w:sz w:val="21"/>
              </w:rPr>
              <w:t>人</w:t>
            </w:r>
          </w:p>
        </w:tc>
      </w:tr>
      <w:tr>
        <w:trPr>
          <w:trHeight w:val="1247" w:hRule="atLeast"/>
        </w:trPr>
        <w:tc>
          <w:tcPr>
            <w:tcW w:w="1370" w:type="dxa"/>
            <w:tcBorders>
              <w:top w:val="single" w:sz="6" w:space="0" w:color="000000"/>
              <w:bottom w:val="single" w:sz="6" w:space="0" w:color="000000"/>
              <w:right w:val="single" w:sz="6" w:space="0" w:color="000000"/>
            </w:tcBorders>
          </w:tcPr>
          <w:p>
            <w:pPr>
              <w:pStyle w:val="TableParagraph"/>
              <w:spacing w:before="14"/>
              <w:jc w:val="left"/>
              <w:rPr>
                <w:sz w:val="23"/>
              </w:rPr>
            </w:pPr>
          </w:p>
          <w:p>
            <w:pPr>
              <w:pStyle w:val="TableParagraph"/>
              <w:ind w:left="455" w:right="431"/>
              <w:rPr>
                <w:rFonts w:ascii="Times New Roman"/>
                <w:sz w:val="21"/>
              </w:rPr>
            </w:pPr>
            <w:r>
              <w:rPr>
                <w:rFonts w:ascii="Times New Roman"/>
                <w:sz w:val="21"/>
              </w:rPr>
              <w:t>E2</w:t>
            </w:r>
          </w:p>
        </w:tc>
        <w:tc>
          <w:tcPr>
            <w:tcW w:w="7158" w:type="dxa"/>
            <w:tcBorders>
              <w:top w:val="single" w:sz="6" w:space="0" w:color="000000"/>
              <w:left w:val="single" w:sz="6" w:space="0" w:color="000000"/>
              <w:bottom w:val="single" w:sz="6" w:space="0" w:color="000000"/>
            </w:tcBorders>
          </w:tcPr>
          <w:p>
            <w:pPr>
              <w:pStyle w:val="TableParagraph"/>
              <w:spacing w:line="168" w:lineRule="auto" w:before="15"/>
              <w:ind w:left="115" w:right="-44" w:firstLine="28"/>
              <w:jc w:val="left"/>
              <w:rPr>
                <w:sz w:val="21"/>
              </w:rPr>
            </w:pPr>
            <w:r>
              <w:rPr>
                <w:spacing w:val="3"/>
                <w:sz w:val="21"/>
              </w:rPr>
              <w:t>周边 </w:t>
            </w:r>
            <w:r>
              <w:rPr>
                <w:rFonts w:ascii="Times New Roman" w:eastAsia="Times New Roman"/>
                <w:sz w:val="21"/>
              </w:rPr>
              <w:t>5</w:t>
            </w:r>
            <w:r>
              <w:rPr>
                <w:rFonts w:ascii="Times New Roman" w:eastAsia="Times New Roman"/>
                <w:spacing w:val="2"/>
                <w:sz w:val="21"/>
              </w:rPr>
              <w:t> </w:t>
            </w:r>
            <w:r>
              <w:rPr>
                <w:rFonts w:ascii="Times New Roman" w:eastAsia="Times New Roman"/>
                <w:sz w:val="21"/>
              </w:rPr>
              <w:t>km</w:t>
            </w:r>
            <w:r>
              <w:rPr>
                <w:rFonts w:ascii="Times New Roman" w:eastAsia="Times New Roman"/>
                <w:spacing w:val="4"/>
                <w:sz w:val="21"/>
              </w:rPr>
              <w:t>  </w:t>
            </w:r>
            <w:r>
              <w:rPr>
                <w:spacing w:val="-3"/>
                <w:sz w:val="21"/>
              </w:rPr>
              <w:t>范围内居住区、医疗卫生、文化教育、科研、行政办公等机构人</w:t>
            </w:r>
            <w:r>
              <w:rPr>
                <w:spacing w:val="-1"/>
                <w:sz w:val="21"/>
              </w:rPr>
              <w:t>口总数大于 </w:t>
            </w:r>
            <w:r>
              <w:rPr>
                <w:rFonts w:ascii="Times New Roman" w:eastAsia="Times New Roman"/>
                <w:sz w:val="21"/>
              </w:rPr>
              <w:t>1</w:t>
            </w:r>
            <w:r>
              <w:rPr>
                <w:rFonts w:ascii="Times New Roman" w:eastAsia="Times New Roman"/>
                <w:spacing w:val="4"/>
                <w:sz w:val="21"/>
              </w:rPr>
              <w:t> </w:t>
            </w:r>
            <w:r>
              <w:rPr>
                <w:spacing w:val="-6"/>
                <w:sz w:val="21"/>
              </w:rPr>
              <w:t>万人，小于 </w:t>
            </w:r>
            <w:r>
              <w:rPr>
                <w:rFonts w:ascii="Times New Roman" w:eastAsia="Times New Roman"/>
                <w:sz w:val="21"/>
              </w:rPr>
              <w:t>5</w:t>
            </w:r>
            <w:r>
              <w:rPr>
                <w:rFonts w:ascii="Times New Roman" w:eastAsia="Times New Roman"/>
                <w:spacing w:val="4"/>
                <w:sz w:val="21"/>
              </w:rPr>
              <w:t> </w:t>
            </w:r>
            <w:r>
              <w:rPr>
                <w:spacing w:val="-4"/>
                <w:sz w:val="21"/>
              </w:rPr>
              <w:t>万人；或周边 </w:t>
            </w:r>
            <w:r>
              <w:rPr>
                <w:rFonts w:ascii="Times New Roman" w:eastAsia="Times New Roman"/>
                <w:sz w:val="21"/>
              </w:rPr>
              <w:t>500m</w:t>
            </w:r>
            <w:r>
              <w:rPr>
                <w:rFonts w:ascii="Times New Roman" w:eastAsia="Times New Roman"/>
                <w:spacing w:val="-1"/>
                <w:sz w:val="21"/>
              </w:rPr>
              <w:t> </w:t>
            </w:r>
            <w:r>
              <w:rPr>
                <w:spacing w:val="-2"/>
                <w:sz w:val="21"/>
              </w:rPr>
              <w:t>范围内人口总数大于 </w:t>
            </w:r>
            <w:r>
              <w:rPr>
                <w:rFonts w:ascii="Times New Roman" w:eastAsia="Times New Roman"/>
                <w:sz w:val="21"/>
              </w:rPr>
              <w:t>500</w:t>
            </w:r>
            <w:r>
              <w:rPr>
                <w:rFonts w:ascii="Times New Roman" w:eastAsia="Times New Roman"/>
                <w:spacing w:val="1"/>
                <w:sz w:val="21"/>
              </w:rPr>
              <w:t> </w:t>
            </w:r>
            <w:r>
              <w:rPr>
                <w:sz w:val="21"/>
              </w:rPr>
              <w:t>人，</w:t>
            </w:r>
          </w:p>
          <w:p>
            <w:pPr>
              <w:pStyle w:val="TableParagraph"/>
              <w:spacing w:line="286" w:lineRule="exact"/>
              <w:ind w:left="115"/>
              <w:jc w:val="left"/>
              <w:rPr>
                <w:sz w:val="21"/>
              </w:rPr>
            </w:pPr>
            <w:r>
              <w:rPr>
                <w:spacing w:val="3"/>
                <w:sz w:val="21"/>
              </w:rPr>
              <w:t>小于 </w:t>
            </w:r>
            <w:r>
              <w:rPr>
                <w:rFonts w:ascii="Times New Roman" w:eastAsia="Times New Roman"/>
                <w:sz w:val="21"/>
              </w:rPr>
              <w:t>1000 </w:t>
            </w:r>
            <w:r>
              <w:rPr>
                <w:spacing w:val="-9"/>
                <w:sz w:val="21"/>
              </w:rPr>
              <w:t>人；油气、化学品输送管线管段周边 </w:t>
            </w:r>
            <w:r>
              <w:rPr>
                <w:rFonts w:ascii="Times New Roman" w:eastAsia="Times New Roman"/>
                <w:sz w:val="21"/>
              </w:rPr>
              <w:t>200 m </w:t>
            </w:r>
            <w:r>
              <w:rPr>
                <w:spacing w:val="-7"/>
                <w:sz w:val="21"/>
              </w:rPr>
              <w:t>范围内，每千米管段人</w:t>
            </w:r>
          </w:p>
          <w:p>
            <w:pPr>
              <w:pStyle w:val="TableParagraph"/>
              <w:spacing w:line="303" w:lineRule="exact"/>
              <w:ind w:left="86" w:right="44"/>
              <w:rPr>
                <w:sz w:val="21"/>
              </w:rPr>
            </w:pPr>
            <w:r>
              <w:rPr>
                <w:sz w:val="21"/>
              </w:rPr>
              <w:t>口数大于 </w:t>
            </w:r>
            <w:r>
              <w:rPr>
                <w:rFonts w:ascii="Times New Roman" w:eastAsia="Times New Roman"/>
                <w:sz w:val="21"/>
              </w:rPr>
              <w:t>100 </w:t>
            </w:r>
            <w:r>
              <w:rPr>
                <w:sz w:val="21"/>
              </w:rPr>
              <w:t>人，小于 </w:t>
            </w:r>
            <w:r>
              <w:rPr>
                <w:rFonts w:ascii="Times New Roman" w:eastAsia="Times New Roman"/>
                <w:sz w:val="21"/>
              </w:rPr>
              <w:t>200 </w:t>
            </w:r>
            <w:r>
              <w:rPr>
                <w:sz w:val="21"/>
              </w:rPr>
              <w:t>人</w:t>
            </w:r>
          </w:p>
        </w:tc>
      </w:tr>
      <w:tr>
        <w:trPr>
          <w:trHeight w:val="935" w:hRule="atLeast"/>
        </w:trPr>
        <w:tc>
          <w:tcPr>
            <w:tcW w:w="1370" w:type="dxa"/>
            <w:tcBorders>
              <w:top w:val="single" w:sz="6" w:space="0" w:color="000000"/>
              <w:right w:val="single" w:sz="6" w:space="0" w:color="000000"/>
            </w:tcBorders>
          </w:tcPr>
          <w:p>
            <w:pPr>
              <w:pStyle w:val="TableParagraph"/>
              <w:spacing w:before="7"/>
              <w:jc w:val="left"/>
              <w:rPr>
                <w:sz w:val="16"/>
              </w:rPr>
            </w:pPr>
          </w:p>
          <w:p>
            <w:pPr>
              <w:pStyle w:val="TableParagraph"/>
              <w:ind w:left="455" w:right="431"/>
              <w:rPr>
                <w:rFonts w:ascii="Times New Roman"/>
                <w:sz w:val="21"/>
              </w:rPr>
            </w:pPr>
            <w:r>
              <w:rPr>
                <w:rFonts w:ascii="Times New Roman"/>
                <w:sz w:val="21"/>
              </w:rPr>
              <w:t>E3</w:t>
            </w:r>
          </w:p>
        </w:tc>
        <w:tc>
          <w:tcPr>
            <w:tcW w:w="7158" w:type="dxa"/>
            <w:tcBorders>
              <w:top w:val="single" w:sz="6" w:space="0" w:color="000000"/>
              <w:left w:val="single" w:sz="6" w:space="0" w:color="000000"/>
            </w:tcBorders>
          </w:tcPr>
          <w:p>
            <w:pPr>
              <w:pStyle w:val="TableParagraph"/>
              <w:spacing w:line="168" w:lineRule="auto" w:before="15"/>
              <w:ind w:left="88" w:right="44"/>
              <w:rPr>
                <w:sz w:val="21"/>
              </w:rPr>
            </w:pPr>
            <w:r>
              <w:rPr>
                <w:sz w:val="21"/>
              </w:rPr>
              <w:t>周边 </w:t>
            </w:r>
            <w:r>
              <w:rPr>
                <w:rFonts w:ascii="Times New Roman" w:eastAsia="Times New Roman"/>
                <w:sz w:val="21"/>
              </w:rPr>
              <w:t>5km </w:t>
            </w:r>
            <w:r>
              <w:rPr>
                <w:sz w:val="21"/>
              </w:rPr>
              <w:t>范围内居住区、医疗卫生、文化教育、科研、行政办公等机构人口总数小于 </w:t>
            </w:r>
            <w:r>
              <w:rPr>
                <w:rFonts w:ascii="Times New Roman" w:eastAsia="Times New Roman"/>
                <w:sz w:val="21"/>
              </w:rPr>
              <w:t>1 </w:t>
            </w:r>
            <w:r>
              <w:rPr>
                <w:sz w:val="21"/>
              </w:rPr>
              <w:t>万人；或周边 </w:t>
            </w:r>
            <w:r>
              <w:rPr>
                <w:rFonts w:ascii="Times New Roman" w:eastAsia="Times New Roman"/>
                <w:sz w:val="21"/>
              </w:rPr>
              <w:t>500m </w:t>
            </w:r>
            <w:r>
              <w:rPr>
                <w:sz w:val="21"/>
              </w:rPr>
              <w:t>范围内人口总数小于 </w:t>
            </w:r>
            <w:r>
              <w:rPr>
                <w:rFonts w:ascii="Times New Roman" w:eastAsia="Times New Roman"/>
                <w:sz w:val="21"/>
              </w:rPr>
              <w:t>500 </w:t>
            </w:r>
            <w:r>
              <w:rPr>
                <w:sz w:val="21"/>
              </w:rPr>
              <w:t>人；油气、化学品</w:t>
            </w:r>
          </w:p>
          <w:p>
            <w:pPr>
              <w:pStyle w:val="TableParagraph"/>
              <w:spacing w:line="277" w:lineRule="exact"/>
              <w:ind w:left="86" w:right="44"/>
              <w:rPr>
                <w:sz w:val="21"/>
              </w:rPr>
            </w:pPr>
            <w:r>
              <w:rPr>
                <w:sz w:val="21"/>
              </w:rPr>
              <w:t>输送管线管段周边 </w:t>
            </w:r>
            <w:r>
              <w:rPr>
                <w:rFonts w:ascii="Times New Roman" w:eastAsia="Times New Roman"/>
                <w:sz w:val="21"/>
              </w:rPr>
              <w:t>200 m </w:t>
            </w:r>
            <w:r>
              <w:rPr>
                <w:sz w:val="21"/>
              </w:rPr>
              <w:t>范围内，每千米管段人口数小于 </w:t>
            </w:r>
            <w:r>
              <w:rPr>
                <w:rFonts w:ascii="Times New Roman" w:eastAsia="Times New Roman"/>
                <w:sz w:val="21"/>
              </w:rPr>
              <w:t>100 </w:t>
            </w:r>
            <w:r>
              <w:rPr>
                <w:sz w:val="21"/>
              </w:rPr>
              <w:t>人</w:t>
            </w:r>
          </w:p>
        </w:tc>
      </w:tr>
    </w:tbl>
    <w:p>
      <w:pPr>
        <w:pStyle w:val="BodyText"/>
        <w:spacing w:line="220" w:lineRule="auto" w:before="151"/>
        <w:ind w:left="578" w:right="751" w:firstLine="479"/>
        <w:jc w:val="both"/>
      </w:pPr>
      <w:r>
        <w:rPr/>
        <w:t>根据调查，项目厂址周边 </w:t>
      </w:r>
      <w:r>
        <w:rPr>
          <w:rFonts w:ascii="Times New Roman" w:eastAsia="Times New Roman"/>
        </w:rPr>
        <w:t>5km </w:t>
      </w:r>
      <w:r>
        <w:rPr/>
        <w:t>范围内涉及人数约 </w:t>
      </w:r>
      <w:r>
        <w:rPr>
          <w:rFonts w:ascii="Times New Roman" w:eastAsia="Times New Roman"/>
        </w:rPr>
        <w:t>56778 </w:t>
      </w:r>
      <w:r>
        <w:rPr/>
        <w:t>人大于 </w:t>
      </w:r>
      <w:r>
        <w:rPr>
          <w:rFonts w:ascii="Times New Roman" w:eastAsia="Times New Roman"/>
        </w:rPr>
        <w:t>5 </w:t>
      </w:r>
      <w:r>
        <w:rPr/>
        <w:t>万人，从大气环境敏感程度分级为 </w:t>
      </w:r>
      <w:r>
        <w:rPr>
          <w:rFonts w:ascii="Times New Roman" w:eastAsia="Times New Roman"/>
        </w:rPr>
        <w:t>E1</w:t>
      </w:r>
      <w:r>
        <w:rPr/>
        <w:t>。</w:t>
      </w:r>
    </w:p>
    <w:p>
      <w:pPr>
        <w:pStyle w:val="BodyText"/>
        <w:spacing w:line="460" w:lineRule="exact"/>
        <w:ind w:left="1058"/>
      </w:pPr>
      <w:r>
        <w:rPr/>
        <w:t>（</w:t>
      </w:r>
      <w:r>
        <w:rPr>
          <w:rFonts w:ascii="Times New Roman" w:eastAsia="Times New Roman"/>
        </w:rPr>
        <w:t>2</w:t>
      </w:r>
      <w:r>
        <w:rPr/>
        <w:t>）地表水环境敏感程度判定</w:t>
      </w:r>
    </w:p>
    <w:p>
      <w:pPr>
        <w:pStyle w:val="BodyText"/>
        <w:spacing w:line="220" w:lineRule="auto" w:before="8"/>
        <w:ind w:left="578" w:right="753" w:firstLine="479"/>
        <w:jc w:val="both"/>
      </w:pPr>
      <w:r>
        <w:rPr>
          <w:spacing w:val="-3"/>
        </w:rPr>
        <w:t>依据事故情况下危险物质泄漏到水体的排放点受纳地表水体功能敏感性，与</w:t>
      </w:r>
      <w:r>
        <w:rPr>
          <w:spacing w:val="-4"/>
        </w:rPr>
        <w:t>下游环境敏感目标情况，共分为三种类型，</w:t>
      </w:r>
      <w:r>
        <w:rPr>
          <w:rFonts w:ascii="Times New Roman" w:eastAsia="Times New Roman"/>
          <w:spacing w:val="-3"/>
        </w:rPr>
        <w:t>E1 </w:t>
      </w:r>
      <w:r>
        <w:rPr>
          <w:spacing w:val="-1"/>
        </w:rPr>
        <w:t>为环境高度敏感区，</w:t>
      </w:r>
      <w:r>
        <w:rPr>
          <w:rFonts w:ascii="Times New Roman" w:eastAsia="Times New Roman"/>
          <w:spacing w:val="-3"/>
        </w:rPr>
        <w:t>E2 </w:t>
      </w:r>
      <w:r>
        <w:rPr/>
        <w:t>为环境中度敏感区，</w:t>
      </w:r>
      <w:r>
        <w:rPr>
          <w:rFonts w:ascii="Times New Roman" w:eastAsia="Times New Roman"/>
        </w:rPr>
        <w:t>E3 </w:t>
      </w:r>
      <w:r>
        <w:rPr>
          <w:spacing w:val="-1"/>
        </w:rPr>
        <w:t>为环境低度敏感区，分级原则见表 </w:t>
      </w:r>
      <w:r>
        <w:rPr>
          <w:rFonts w:ascii="Times New Roman" w:eastAsia="Times New Roman"/>
        </w:rPr>
        <w:t>7.2-6</w:t>
      </w:r>
      <w:r>
        <w:rPr>
          <w:spacing w:val="-2"/>
        </w:rPr>
        <w:t>。其中地表水功能敏感性分区和环境敏感目标分级分别见表 </w:t>
      </w:r>
      <w:r>
        <w:rPr>
          <w:rFonts w:ascii="Times New Roman" w:eastAsia="Times New Roman"/>
        </w:rPr>
        <w:t>7.2-7 </w:t>
      </w:r>
      <w:r>
        <w:rPr>
          <w:spacing w:val="2"/>
        </w:rPr>
        <w:t>和表 </w:t>
      </w:r>
      <w:r>
        <w:rPr>
          <w:rFonts w:ascii="Times New Roman" w:eastAsia="Times New Roman"/>
        </w:rPr>
        <w:t>7.2-8</w:t>
      </w:r>
      <w:r>
        <w:rPr/>
        <w:t>。</w:t>
      </w:r>
    </w:p>
    <w:p>
      <w:pPr>
        <w:tabs>
          <w:tab w:pos="911" w:val="left" w:leader="none"/>
        </w:tabs>
        <w:spacing w:before="162" w:after="24"/>
        <w:ind w:left="0" w:right="175" w:firstLine="0"/>
        <w:jc w:val="center"/>
        <w:rPr>
          <w:sz w:val="21"/>
        </w:rPr>
      </w:pPr>
      <w:r>
        <w:rPr>
          <w:sz w:val="21"/>
        </w:rPr>
        <w:t>表</w:t>
      </w:r>
      <w:r>
        <w:rPr>
          <w:spacing w:val="7"/>
          <w:sz w:val="21"/>
        </w:rPr>
        <w:t> </w:t>
      </w:r>
      <w:r>
        <w:rPr>
          <w:rFonts w:ascii="Times New Roman" w:eastAsia="Times New Roman"/>
          <w:b/>
          <w:sz w:val="21"/>
        </w:rPr>
        <w:t>7.2-6</w:t>
        <w:tab/>
      </w:r>
      <w:r>
        <w:rPr>
          <w:sz w:val="21"/>
        </w:rPr>
        <w:t>地表水环境敏</w:t>
      </w:r>
      <w:r>
        <w:rPr>
          <w:spacing w:val="-3"/>
          <w:sz w:val="21"/>
        </w:rPr>
        <w:t>感</w:t>
      </w:r>
      <w:r>
        <w:rPr>
          <w:sz w:val="21"/>
        </w:rPr>
        <w:t>程度分级</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09"/>
        <w:gridCol w:w="2163"/>
        <w:gridCol w:w="2163"/>
        <w:gridCol w:w="2295"/>
      </w:tblGrid>
      <w:tr>
        <w:trPr>
          <w:trHeight w:val="311" w:hRule="atLeast"/>
        </w:trPr>
        <w:tc>
          <w:tcPr>
            <w:tcW w:w="1909" w:type="dxa"/>
            <w:vMerge w:val="restart"/>
            <w:tcBorders>
              <w:bottom w:val="single" w:sz="6" w:space="0" w:color="000000"/>
              <w:right w:val="single" w:sz="6" w:space="0" w:color="000000"/>
            </w:tcBorders>
          </w:tcPr>
          <w:p>
            <w:pPr>
              <w:pStyle w:val="TableParagraph"/>
              <w:spacing w:before="84"/>
              <w:ind w:left="323"/>
              <w:jc w:val="left"/>
              <w:rPr>
                <w:sz w:val="21"/>
              </w:rPr>
            </w:pPr>
            <w:r>
              <w:rPr>
                <w:sz w:val="21"/>
              </w:rPr>
              <w:t>环境敏感目标</w:t>
            </w:r>
          </w:p>
        </w:tc>
        <w:tc>
          <w:tcPr>
            <w:tcW w:w="6621" w:type="dxa"/>
            <w:gridSpan w:val="3"/>
            <w:tcBorders>
              <w:left w:val="single" w:sz="6" w:space="0" w:color="000000"/>
              <w:bottom w:val="single" w:sz="6" w:space="0" w:color="000000"/>
            </w:tcBorders>
          </w:tcPr>
          <w:p>
            <w:pPr>
              <w:pStyle w:val="TableParagraph"/>
              <w:spacing w:line="291" w:lineRule="exact"/>
              <w:ind w:left="2457" w:right="2421"/>
              <w:rPr>
                <w:sz w:val="21"/>
              </w:rPr>
            </w:pPr>
            <w:r>
              <w:rPr>
                <w:sz w:val="21"/>
              </w:rPr>
              <w:t>地表水功能敏感性</w:t>
            </w:r>
          </w:p>
        </w:tc>
      </w:tr>
      <w:tr>
        <w:trPr>
          <w:trHeight w:val="311" w:hRule="atLeast"/>
        </w:trPr>
        <w:tc>
          <w:tcPr>
            <w:tcW w:w="1909" w:type="dxa"/>
            <w:vMerge/>
            <w:tcBorders>
              <w:top w:val="nil"/>
              <w:bottom w:val="single" w:sz="6" w:space="0" w:color="000000"/>
              <w:right w:val="single" w:sz="6" w:space="0" w:color="000000"/>
            </w:tcBorders>
          </w:tcPr>
          <w:p>
            <w:pPr>
              <w:rPr>
                <w:sz w:val="2"/>
                <w:szCs w:val="2"/>
              </w:rPr>
            </w:pP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4"/>
              <w:ind w:left="927" w:right="910"/>
              <w:rPr>
                <w:rFonts w:ascii="Times New Roman"/>
                <w:sz w:val="21"/>
              </w:rPr>
            </w:pPr>
            <w:r>
              <w:rPr>
                <w:rFonts w:ascii="Times New Roman"/>
                <w:sz w:val="21"/>
              </w:rPr>
              <w:t>F1</w:t>
            </w: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4"/>
              <w:ind w:left="927" w:right="910"/>
              <w:rPr>
                <w:rFonts w:ascii="Times New Roman"/>
                <w:sz w:val="21"/>
              </w:rPr>
            </w:pPr>
            <w:r>
              <w:rPr>
                <w:rFonts w:ascii="Times New Roman"/>
                <w:sz w:val="21"/>
              </w:rPr>
              <w:t>F2</w:t>
            </w:r>
          </w:p>
        </w:tc>
        <w:tc>
          <w:tcPr>
            <w:tcW w:w="2295" w:type="dxa"/>
            <w:tcBorders>
              <w:top w:val="single" w:sz="6" w:space="0" w:color="000000"/>
              <w:left w:val="single" w:sz="6" w:space="0" w:color="000000"/>
              <w:bottom w:val="single" w:sz="6" w:space="0" w:color="000000"/>
            </w:tcBorders>
          </w:tcPr>
          <w:p>
            <w:pPr>
              <w:pStyle w:val="TableParagraph"/>
              <w:spacing w:before="34"/>
              <w:ind w:left="992" w:right="970"/>
              <w:rPr>
                <w:rFonts w:ascii="Times New Roman"/>
                <w:sz w:val="21"/>
              </w:rPr>
            </w:pPr>
            <w:r>
              <w:rPr>
                <w:rFonts w:ascii="Times New Roman"/>
                <w:sz w:val="21"/>
              </w:rPr>
              <w:t>F3</w:t>
            </w:r>
          </w:p>
        </w:tc>
      </w:tr>
      <w:tr>
        <w:trPr>
          <w:trHeight w:val="313" w:hRule="atLeast"/>
        </w:trPr>
        <w:tc>
          <w:tcPr>
            <w:tcW w:w="1909" w:type="dxa"/>
            <w:tcBorders>
              <w:top w:val="single" w:sz="6" w:space="0" w:color="000000"/>
              <w:bottom w:val="single" w:sz="6" w:space="0" w:color="000000"/>
              <w:right w:val="single" w:sz="6" w:space="0" w:color="000000"/>
            </w:tcBorders>
          </w:tcPr>
          <w:p>
            <w:pPr>
              <w:pStyle w:val="TableParagraph"/>
              <w:spacing w:before="36"/>
              <w:ind w:left="803" w:right="783"/>
              <w:rPr>
                <w:rFonts w:ascii="Times New Roman"/>
                <w:sz w:val="21"/>
              </w:rPr>
            </w:pPr>
            <w:r>
              <w:rPr>
                <w:rFonts w:ascii="Times New Roman"/>
                <w:sz w:val="21"/>
              </w:rPr>
              <w:t>S1</w:t>
            </w: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6"/>
              <w:ind w:left="938" w:right="908"/>
              <w:rPr>
                <w:rFonts w:ascii="Times New Roman"/>
                <w:sz w:val="21"/>
              </w:rPr>
            </w:pPr>
            <w:r>
              <w:rPr>
                <w:rFonts w:ascii="Times New Roman"/>
                <w:sz w:val="21"/>
              </w:rPr>
              <w:t>E1</w:t>
            </w: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6"/>
              <w:ind w:left="934" w:right="910"/>
              <w:rPr>
                <w:rFonts w:ascii="Times New Roman"/>
                <w:sz w:val="21"/>
              </w:rPr>
            </w:pPr>
            <w:r>
              <w:rPr>
                <w:rFonts w:ascii="Times New Roman"/>
                <w:sz w:val="21"/>
              </w:rPr>
              <w:t>E1</w:t>
            </w:r>
          </w:p>
        </w:tc>
        <w:tc>
          <w:tcPr>
            <w:tcW w:w="2295" w:type="dxa"/>
            <w:tcBorders>
              <w:top w:val="single" w:sz="6" w:space="0" w:color="000000"/>
              <w:left w:val="single" w:sz="6" w:space="0" w:color="000000"/>
              <w:bottom w:val="single" w:sz="6" w:space="0" w:color="000000"/>
            </w:tcBorders>
          </w:tcPr>
          <w:p>
            <w:pPr>
              <w:pStyle w:val="TableParagraph"/>
              <w:spacing w:before="36"/>
              <w:ind w:left="1004" w:right="970"/>
              <w:rPr>
                <w:rFonts w:ascii="Times New Roman"/>
                <w:sz w:val="21"/>
              </w:rPr>
            </w:pPr>
            <w:r>
              <w:rPr>
                <w:rFonts w:ascii="Times New Roman"/>
                <w:sz w:val="21"/>
              </w:rPr>
              <w:t>E2</w:t>
            </w:r>
          </w:p>
        </w:tc>
      </w:tr>
      <w:tr>
        <w:trPr>
          <w:trHeight w:val="311" w:hRule="atLeast"/>
        </w:trPr>
        <w:tc>
          <w:tcPr>
            <w:tcW w:w="1909" w:type="dxa"/>
            <w:tcBorders>
              <w:top w:val="single" w:sz="6" w:space="0" w:color="000000"/>
              <w:bottom w:val="single" w:sz="6" w:space="0" w:color="000000"/>
              <w:right w:val="single" w:sz="6" w:space="0" w:color="000000"/>
            </w:tcBorders>
          </w:tcPr>
          <w:p>
            <w:pPr>
              <w:pStyle w:val="TableParagraph"/>
              <w:spacing w:before="34"/>
              <w:ind w:left="803" w:right="783"/>
              <w:rPr>
                <w:rFonts w:ascii="Times New Roman"/>
                <w:sz w:val="21"/>
              </w:rPr>
            </w:pPr>
            <w:r>
              <w:rPr>
                <w:rFonts w:ascii="Times New Roman"/>
                <w:sz w:val="21"/>
              </w:rPr>
              <w:t>S2</w:t>
            </w: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4"/>
              <w:ind w:left="938" w:right="908"/>
              <w:rPr>
                <w:rFonts w:ascii="Times New Roman"/>
                <w:sz w:val="21"/>
              </w:rPr>
            </w:pPr>
            <w:r>
              <w:rPr>
                <w:rFonts w:ascii="Times New Roman"/>
                <w:sz w:val="21"/>
              </w:rPr>
              <w:t>E1</w:t>
            </w: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4"/>
              <w:ind w:left="934" w:right="910"/>
              <w:rPr>
                <w:rFonts w:ascii="Times New Roman"/>
                <w:sz w:val="21"/>
              </w:rPr>
            </w:pPr>
            <w:r>
              <w:rPr>
                <w:rFonts w:ascii="Times New Roman"/>
                <w:sz w:val="21"/>
              </w:rPr>
              <w:t>E2</w:t>
            </w:r>
          </w:p>
        </w:tc>
        <w:tc>
          <w:tcPr>
            <w:tcW w:w="2295" w:type="dxa"/>
            <w:tcBorders>
              <w:top w:val="single" w:sz="6" w:space="0" w:color="000000"/>
              <w:left w:val="single" w:sz="6" w:space="0" w:color="000000"/>
              <w:bottom w:val="single" w:sz="6" w:space="0" w:color="000000"/>
            </w:tcBorders>
          </w:tcPr>
          <w:p>
            <w:pPr>
              <w:pStyle w:val="TableParagraph"/>
              <w:spacing w:before="34"/>
              <w:ind w:left="1004" w:right="970"/>
              <w:rPr>
                <w:rFonts w:ascii="Times New Roman"/>
                <w:sz w:val="21"/>
              </w:rPr>
            </w:pPr>
            <w:r>
              <w:rPr>
                <w:rFonts w:ascii="Times New Roman"/>
                <w:sz w:val="21"/>
              </w:rPr>
              <w:t>E3</w:t>
            </w:r>
          </w:p>
        </w:tc>
      </w:tr>
      <w:tr>
        <w:trPr>
          <w:trHeight w:val="311" w:hRule="atLeast"/>
        </w:trPr>
        <w:tc>
          <w:tcPr>
            <w:tcW w:w="1909" w:type="dxa"/>
            <w:tcBorders>
              <w:top w:val="single" w:sz="6" w:space="0" w:color="000000"/>
              <w:right w:val="single" w:sz="6" w:space="0" w:color="000000"/>
            </w:tcBorders>
          </w:tcPr>
          <w:p>
            <w:pPr>
              <w:pStyle w:val="TableParagraph"/>
              <w:spacing w:before="34"/>
              <w:ind w:left="803" w:right="783"/>
              <w:rPr>
                <w:rFonts w:ascii="Times New Roman"/>
                <w:sz w:val="21"/>
              </w:rPr>
            </w:pPr>
            <w:r>
              <w:rPr>
                <w:rFonts w:ascii="Times New Roman"/>
                <w:sz w:val="21"/>
              </w:rPr>
              <w:t>S3</w:t>
            </w:r>
          </w:p>
        </w:tc>
        <w:tc>
          <w:tcPr>
            <w:tcW w:w="2163" w:type="dxa"/>
            <w:tcBorders>
              <w:top w:val="single" w:sz="6" w:space="0" w:color="000000"/>
              <w:left w:val="single" w:sz="6" w:space="0" w:color="000000"/>
              <w:right w:val="single" w:sz="6" w:space="0" w:color="000000"/>
            </w:tcBorders>
          </w:tcPr>
          <w:p>
            <w:pPr>
              <w:pStyle w:val="TableParagraph"/>
              <w:spacing w:before="34"/>
              <w:ind w:left="938" w:right="908"/>
              <w:rPr>
                <w:rFonts w:ascii="Times New Roman"/>
                <w:sz w:val="21"/>
              </w:rPr>
            </w:pPr>
            <w:r>
              <w:rPr>
                <w:rFonts w:ascii="Times New Roman"/>
                <w:sz w:val="21"/>
              </w:rPr>
              <w:t>E1</w:t>
            </w:r>
          </w:p>
        </w:tc>
        <w:tc>
          <w:tcPr>
            <w:tcW w:w="2163" w:type="dxa"/>
            <w:tcBorders>
              <w:top w:val="single" w:sz="6" w:space="0" w:color="000000"/>
              <w:left w:val="single" w:sz="6" w:space="0" w:color="000000"/>
              <w:right w:val="single" w:sz="6" w:space="0" w:color="000000"/>
            </w:tcBorders>
          </w:tcPr>
          <w:p>
            <w:pPr>
              <w:pStyle w:val="TableParagraph"/>
              <w:spacing w:before="34"/>
              <w:ind w:left="934" w:right="910"/>
              <w:rPr>
                <w:rFonts w:ascii="Times New Roman"/>
                <w:sz w:val="21"/>
              </w:rPr>
            </w:pPr>
            <w:r>
              <w:rPr>
                <w:rFonts w:ascii="Times New Roman"/>
                <w:sz w:val="21"/>
              </w:rPr>
              <w:t>E2</w:t>
            </w:r>
          </w:p>
        </w:tc>
        <w:tc>
          <w:tcPr>
            <w:tcW w:w="2295" w:type="dxa"/>
            <w:tcBorders>
              <w:top w:val="single" w:sz="6" w:space="0" w:color="000000"/>
              <w:left w:val="single" w:sz="6" w:space="0" w:color="000000"/>
            </w:tcBorders>
          </w:tcPr>
          <w:p>
            <w:pPr>
              <w:pStyle w:val="TableParagraph"/>
              <w:spacing w:before="34"/>
              <w:ind w:left="1004" w:right="970"/>
              <w:rPr>
                <w:rFonts w:ascii="Times New Roman"/>
                <w:sz w:val="21"/>
              </w:rPr>
            </w:pPr>
            <w:r>
              <w:rPr>
                <w:rFonts w:ascii="Times New Roman"/>
                <w:sz w:val="21"/>
              </w:rPr>
              <w:t>E3</w:t>
            </w:r>
          </w:p>
        </w:tc>
      </w:tr>
    </w:tbl>
    <w:p>
      <w:pPr>
        <w:tabs>
          <w:tab w:pos="911" w:val="left" w:leader="none"/>
        </w:tabs>
        <w:spacing w:before="157" w:after="25"/>
        <w:ind w:left="0" w:right="175" w:firstLine="0"/>
        <w:jc w:val="center"/>
        <w:rPr>
          <w:sz w:val="21"/>
        </w:rPr>
      </w:pPr>
      <w:r>
        <w:rPr>
          <w:sz w:val="21"/>
        </w:rPr>
        <w:t>表</w:t>
      </w:r>
      <w:r>
        <w:rPr>
          <w:spacing w:val="7"/>
          <w:sz w:val="21"/>
        </w:rPr>
        <w:t> </w:t>
      </w:r>
      <w:r>
        <w:rPr>
          <w:rFonts w:ascii="Times New Roman" w:eastAsia="Times New Roman"/>
          <w:b/>
          <w:sz w:val="21"/>
        </w:rPr>
        <w:t>7.2-7</w:t>
        <w:tab/>
      </w:r>
      <w:r>
        <w:rPr>
          <w:sz w:val="21"/>
        </w:rPr>
        <w:t>地表水功能敏</w:t>
      </w:r>
      <w:r>
        <w:rPr>
          <w:spacing w:val="-3"/>
          <w:sz w:val="21"/>
        </w:rPr>
        <w:t>感</w:t>
      </w:r>
      <w:r>
        <w:rPr>
          <w:sz w:val="21"/>
        </w:rPr>
        <w:t>性分区</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341"/>
      </w:tblGrid>
      <w:tr>
        <w:trPr>
          <w:trHeight w:val="311" w:hRule="atLeast"/>
        </w:trPr>
        <w:tc>
          <w:tcPr>
            <w:tcW w:w="1188" w:type="dxa"/>
            <w:tcBorders>
              <w:bottom w:val="single" w:sz="6" w:space="0" w:color="000000"/>
              <w:right w:val="single" w:sz="6" w:space="0" w:color="000000"/>
            </w:tcBorders>
          </w:tcPr>
          <w:p>
            <w:pPr>
              <w:pStyle w:val="TableParagraph"/>
              <w:spacing w:line="291" w:lineRule="exact"/>
              <w:ind w:left="106" w:right="83"/>
              <w:rPr>
                <w:sz w:val="21"/>
              </w:rPr>
            </w:pPr>
            <w:r>
              <w:rPr>
                <w:sz w:val="21"/>
              </w:rPr>
              <w:t>敏感性</w:t>
            </w:r>
          </w:p>
        </w:tc>
        <w:tc>
          <w:tcPr>
            <w:tcW w:w="7341" w:type="dxa"/>
            <w:tcBorders>
              <w:left w:val="single" w:sz="6" w:space="0" w:color="000000"/>
              <w:bottom w:val="single" w:sz="6" w:space="0" w:color="000000"/>
            </w:tcBorders>
          </w:tcPr>
          <w:p>
            <w:pPr>
              <w:pStyle w:val="TableParagraph"/>
              <w:spacing w:line="291" w:lineRule="exact"/>
              <w:ind w:left="2606" w:right="2568"/>
              <w:rPr>
                <w:sz w:val="21"/>
              </w:rPr>
            </w:pPr>
            <w:r>
              <w:rPr>
                <w:sz w:val="21"/>
              </w:rPr>
              <w:t>地表水环境敏感特征</w:t>
            </w:r>
          </w:p>
        </w:tc>
      </w:tr>
      <w:tr>
        <w:trPr>
          <w:trHeight w:val="935" w:hRule="atLeast"/>
        </w:trPr>
        <w:tc>
          <w:tcPr>
            <w:tcW w:w="1188" w:type="dxa"/>
            <w:tcBorders>
              <w:top w:val="single" w:sz="6" w:space="0" w:color="000000"/>
              <w:bottom w:val="single" w:sz="6" w:space="0" w:color="000000"/>
              <w:right w:val="single" w:sz="6" w:space="0" w:color="000000"/>
            </w:tcBorders>
          </w:tcPr>
          <w:p>
            <w:pPr>
              <w:pStyle w:val="TableParagraph"/>
              <w:jc w:val="left"/>
              <w:rPr>
                <w:sz w:val="11"/>
              </w:rPr>
            </w:pPr>
          </w:p>
          <w:p>
            <w:pPr>
              <w:pStyle w:val="TableParagraph"/>
              <w:ind w:left="100" w:right="84"/>
              <w:rPr>
                <w:rFonts w:ascii="Times New Roman" w:eastAsia="Times New Roman"/>
                <w:sz w:val="21"/>
              </w:rPr>
            </w:pPr>
            <w:r>
              <w:rPr>
                <w:sz w:val="21"/>
              </w:rPr>
              <w:t>敏感 </w:t>
            </w:r>
            <w:r>
              <w:rPr>
                <w:rFonts w:ascii="Times New Roman" w:eastAsia="Times New Roman"/>
                <w:sz w:val="21"/>
              </w:rPr>
              <w:t>F1</w:t>
            </w:r>
          </w:p>
        </w:tc>
        <w:tc>
          <w:tcPr>
            <w:tcW w:w="7341" w:type="dxa"/>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sz w:val="21"/>
              </w:rPr>
              <w:t>排放点进入地表水水域环境功能为Ⅱ类及以上，或海水水质分类第一类；</w:t>
            </w:r>
          </w:p>
          <w:p>
            <w:pPr>
              <w:pStyle w:val="TableParagraph"/>
              <w:spacing w:line="312" w:lineRule="exact"/>
              <w:ind w:left="114"/>
              <w:jc w:val="left"/>
              <w:rPr>
                <w:sz w:val="21"/>
              </w:rPr>
            </w:pPr>
            <w:r>
              <w:rPr>
                <w:sz w:val="21"/>
              </w:rPr>
              <w:t>或以发生事故时，危险物质泄漏到水体的排放点算起，排放进入受纳河流最大</w:t>
            </w:r>
          </w:p>
          <w:p>
            <w:pPr>
              <w:pStyle w:val="TableParagraph"/>
              <w:spacing w:line="303" w:lineRule="exact"/>
              <w:ind w:left="114"/>
              <w:jc w:val="left"/>
              <w:rPr>
                <w:sz w:val="21"/>
              </w:rPr>
            </w:pPr>
            <w:r>
              <w:rPr>
                <w:sz w:val="21"/>
              </w:rPr>
              <w:t>流速时，</w:t>
            </w:r>
            <w:r>
              <w:rPr>
                <w:rFonts w:ascii="Times New Roman" w:eastAsia="Times New Roman"/>
                <w:sz w:val="21"/>
              </w:rPr>
              <w:t>24h </w:t>
            </w:r>
            <w:r>
              <w:rPr>
                <w:sz w:val="21"/>
              </w:rPr>
              <w:t>流经范围内涉跨国界的</w:t>
            </w:r>
          </w:p>
        </w:tc>
      </w:tr>
      <w:tr>
        <w:trPr>
          <w:trHeight w:val="937" w:hRule="atLeast"/>
        </w:trPr>
        <w:tc>
          <w:tcPr>
            <w:tcW w:w="1188" w:type="dxa"/>
            <w:tcBorders>
              <w:top w:val="single" w:sz="6" w:space="0" w:color="000000"/>
              <w:bottom w:val="single" w:sz="6" w:space="0" w:color="000000"/>
              <w:right w:val="single" w:sz="6" w:space="0" w:color="000000"/>
            </w:tcBorders>
          </w:tcPr>
          <w:p>
            <w:pPr>
              <w:pStyle w:val="TableParagraph"/>
              <w:spacing w:before="2"/>
              <w:jc w:val="left"/>
              <w:rPr>
                <w:sz w:val="11"/>
              </w:rPr>
            </w:pPr>
          </w:p>
          <w:p>
            <w:pPr>
              <w:pStyle w:val="TableParagraph"/>
              <w:spacing w:before="1"/>
              <w:ind w:left="98" w:right="84"/>
              <w:rPr>
                <w:rFonts w:ascii="Times New Roman" w:eastAsia="Times New Roman"/>
                <w:sz w:val="21"/>
              </w:rPr>
            </w:pPr>
            <w:r>
              <w:rPr>
                <w:sz w:val="21"/>
              </w:rPr>
              <w:t>较敏感 </w:t>
            </w:r>
            <w:r>
              <w:rPr>
                <w:rFonts w:ascii="Times New Roman" w:eastAsia="Times New Roman"/>
                <w:sz w:val="21"/>
              </w:rPr>
              <w:t>F2</w:t>
            </w:r>
          </w:p>
        </w:tc>
        <w:tc>
          <w:tcPr>
            <w:tcW w:w="7341" w:type="dxa"/>
            <w:tcBorders>
              <w:top w:val="single" w:sz="6" w:space="0" w:color="000000"/>
              <w:left w:val="single" w:sz="6" w:space="0" w:color="000000"/>
              <w:bottom w:val="single" w:sz="6" w:space="0" w:color="000000"/>
            </w:tcBorders>
          </w:tcPr>
          <w:p>
            <w:pPr>
              <w:pStyle w:val="TableParagraph"/>
              <w:spacing w:line="303" w:lineRule="exact"/>
              <w:ind w:left="114"/>
              <w:jc w:val="left"/>
              <w:rPr>
                <w:sz w:val="21"/>
              </w:rPr>
            </w:pPr>
            <w:r>
              <w:rPr>
                <w:sz w:val="21"/>
              </w:rPr>
              <w:t>排放点进入地表水水域环境功能为Ⅲ类，或海水水质分类第二类；</w:t>
            </w:r>
          </w:p>
          <w:p>
            <w:pPr>
              <w:pStyle w:val="TableParagraph"/>
              <w:spacing w:line="312" w:lineRule="exact"/>
              <w:ind w:left="114"/>
              <w:jc w:val="left"/>
              <w:rPr>
                <w:sz w:val="21"/>
              </w:rPr>
            </w:pPr>
            <w:r>
              <w:rPr>
                <w:sz w:val="21"/>
              </w:rPr>
              <w:t>或以发生事故时，危险物质泄漏到水体的排放点算起，排放进入受纳河流最大</w:t>
            </w:r>
          </w:p>
          <w:p>
            <w:pPr>
              <w:pStyle w:val="TableParagraph"/>
              <w:spacing w:line="303" w:lineRule="exact"/>
              <w:ind w:left="114"/>
              <w:jc w:val="left"/>
              <w:rPr>
                <w:sz w:val="21"/>
              </w:rPr>
            </w:pPr>
            <w:r>
              <w:rPr>
                <w:sz w:val="21"/>
              </w:rPr>
              <w:t>流速时，</w:t>
            </w:r>
            <w:r>
              <w:rPr>
                <w:rFonts w:ascii="Times New Roman" w:eastAsia="Times New Roman"/>
                <w:sz w:val="21"/>
              </w:rPr>
              <w:t>24h </w:t>
            </w:r>
            <w:r>
              <w:rPr>
                <w:sz w:val="21"/>
              </w:rPr>
              <w:t>流经范围内涉跨省界的</w:t>
            </w:r>
          </w:p>
        </w:tc>
      </w:tr>
      <w:tr>
        <w:trPr>
          <w:trHeight w:val="308" w:hRule="atLeast"/>
        </w:trPr>
        <w:tc>
          <w:tcPr>
            <w:tcW w:w="1188" w:type="dxa"/>
            <w:tcBorders>
              <w:top w:val="single" w:sz="6" w:space="0" w:color="000000"/>
              <w:right w:val="single" w:sz="6" w:space="0" w:color="000000"/>
            </w:tcBorders>
          </w:tcPr>
          <w:p>
            <w:pPr>
              <w:pStyle w:val="TableParagraph"/>
              <w:spacing w:line="289" w:lineRule="exact"/>
              <w:ind w:left="98" w:right="84"/>
              <w:rPr>
                <w:rFonts w:ascii="Times New Roman" w:eastAsia="Times New Roman"/>
                <w:sz w:val="21"/>
              </w:rPr>
            </w:pPr>
            <w:r>
              <w:rPr>
                <w:sz w:val="21"/>
              </w:rPr>
              <w:t>低敏感 </w:t>
            </w:r>
            <w:r>
              <w:rPr>
                <w:rFonts w:ascii="Times New Roman" w:eastAsia="Times New Roman"/>
                <w:sz w:val="21"/>
              </w:rPr>
              <w:t>F3</w:t>
            </w:r>
          </w:p>
        </w:tc>
        <w:tc>
          <w:tcPr>
            <w:tcW w:w="7341" w:type="dxa"/>
            <w:tcBorders>
              <w:top w:val="single" w:sz="6" w:space="0" w:color="000000"/>
              <w:left w:val="single" w:sz="6" w:space="0" w:color="000000"/>
            </w:tcBorders>
          </w:tcPr>
          <w:p>
            <w:pPr>
              <w:pStyle w:val="TableParagraph"/>
              <w:spacing w:line="289" w:lineRule="exact"/>
              <w:ind w:left="114"/>
              <w:jc w:val="left"/>
              <w:rPr>
                <w:sz w:val="21"/>
              </w:rPr>
            </w:pPr>
            <w:r>
              <w:rPr>
                <w:sz w:val="21"/>
              </w:rPr>
              <w:t>上述地区之外的其他地区</w:t>
            </w:r>
          </w:p>
        </w:tc>
      </w:tr>
    </w:tbl>
    <w:p>
      <w:pPr>
        <w:pStyle w:val="BodyText"/>
        <w:spacing w:before="123"/>
        <w:ind w:left="1058"/>
      </w:pPr>
      <w:r>
        <w:rPr/>
        <w:t>建设项目厂区南侧为白马河湿地公园，湿地出水进入白马河，白马河为当地</w:t>
      </w:r>
    </w:p>
    <w:p>
      <w:pPr>
        <w:spacing w:after="0"/>
        <w:sectPr>
          <w:pgSz w:w="11910" w:h="16840"/>
          <w:pgMar w:header="877" w:footer="973" w:top="1340" w:bottom="1160" w:left="1220" w:right="1040"/>
        </w:sectPr>
      </w:pPr>
    </w:p>
    <w:p>
      <w:pPr>
        <w:pStyle w:val="BodyText"/>
        <w:spacing w:line="220" w:lineRule="auto" w:before="77"/>
        <w:ind w:left="578" w:right="751"/>
        <w:jc w:val="both"/>
      </w:pPr>
      <w:r>
        <w:rPr>
          <w:spacing w:val="-8"/>
        </w:rPr>
        <w:t>纳污河，水环境功能为Ⅳ类，水体经白马河</w:t>
      </w:r>
      <w:r>
        <w:rPr>
          <w:rFonts w:ascii="Times New Roman" w:hAnsi="Times New Roman" w:eastAsia="Times New Roman"/>
        </w:rPr>
        <w:t>-</w:t>
      </w:r>
      <w:r>
        <w:rPr/>
        <w:t>鸡龙河</w:t>
      </w:r>
      <w:r>
        <w:rPr>
          <w:rFonts w:ascii="Times New Roman" w:hAnsi="Times New Roman" w:eastAsia="Times New Roman"/>
        </w:rPr>
        <w:t>-</w:t>
      </w:r>
      <w:r>
        <w:rPr/>
        <w:t>沭河</w:t>
      </w:r>
      <w:r>
        <w:rPr>
          <w:rFonts w:ascii="Times New Roman" w:hAnsi="Times New Roman" w:eastAsia="Times New Roman"/>
        </w:rPr>
        <w:t>-</w:t>
      </w:r>
      <w:r>
        <w:rPr>
          <w:spacing w:val="-4"/>
        </w:rPr>
        <w:t>新沭河进入江苏省，项目废水沿河流向到到江苏省距离约</w:t>
      </w:r>
      <w:r>
        <w:rPr>
          <w:rFonts w:ascii="Times New Roman" w:hAnsi="Times New Roman" w:eastAsia="Times New Roman"/>
        </w:rPr>
        <w:t>80km</w:t>
      </w:r>
      <w:r>
        <w:rPr/>
        <w:t>，且经调查目前白马河、鸡龙河上现已</w:t>
      </w:r>
      <w:r>
        <w:rPr>
          <w:spacing w:val="-8"/>
        </w:rPr>
        <w:t>建有多处橡胶坝，对河流进行拦蓄，现状白马河、鸡龙河上多处河段基本处于静流或小流量状态。故在风险事故状态下，事故废水</w:t>
      </w:r>
      <w:r>
        <w:rPr>
          <w:rFonts w:ascii="Times New Roman" w:hAnsi="Times New Roman" w:eastAsia="Times New Roman"/>
          <w:spacing w:val="-8"/>
        </w:rPr>
        <w:t>24h</w:t>
      </w:r>
      <w:r>
        <w:rPr>
          <w:spacing w:val="-8"/>
        </w:rPr>
        <w:t>不会流入江苏省，因此， 项目地表水功能敏感性为低敏感</w:t>
      </w:r>
      <w:r>
        <w:rPr>
          <w:rFonts w:ascii="Times New Roman" w:hAnsi="Times New Roman" w:eastAsia="Times New Roman"/>
          <w:spacing w:val="-8"/>
        </w:rPr>
        <w:t>F3</w:t>
      </w:r>
      <w:r>
        <w:rPr>
          <w:spacing w:val="-8"/>
        </w:rPr>
        <w:t>。</w:t>
      </w:r>
    </w:p>
    <w:p>
      <w:pPr>
        <w:tabs>
          <w:tab w:pos="911" w:val="left" w:leader="none"/>
        </w:tabs>
        <w:spacing w:before="162" w:after="24"/>
        <w:ind w:left="0" w:right="175" w:firstLine="0"/>
        <w:jc w:val="center"/>
        <w:rPr>
          <w:sz w:val="21"/>
        </w:rPr>
      </w:pPr>
      <w:r>
        <w:rPr>
          <w:sz w:val="21"/>
        </w:rPr>
        <w:t>表</w:t>
      </w:r>
      <w:r>
        <w:rPr>
          <w:spacing w:val="7"/>
          <w:sz w:val="21"/>
        </w:rPr>
        <w:t> </w:t>
      </w:r>
      <w:r>
        <w:rPr>
          <w:rFonts w:ascii="Times New Roman" w:eastAsia="Times New Roman"/>
          <w:b/>
          <w:sz w:val="21"/>
        </w:rPr>
        <w:t>7.2-8</w:t>
        <w:tab/>
      </w:r>
      <w:r>
        <w:rPr>
          <w:sz w:val="21"/>
        </w:rPr>
        <w:t>环境敏感目标</w:t>
      </w:r>
      <w:r>
        <w:rPr>
          <w:spacing w:val="-3"/>
          <w:sz w:val="21"/>
        </w:rPr>
        <w:t>分</w:t>
      </w:r>
      <w:r>
        <w:rPr>
          <w:sz w:val="21"/>
        </w:rPr>
        <w:t>级</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341"/>
      </w:tblGrid>
      <w:tr>
        <w:trPr>
          <w:trHeight w:val="311" w:hRule="atLeast"/>
        </w:trPr>
        <w:tc>
          <w:tcPr>
            <w:tcW w:w="1188" w:type="dxa"/>
            <w:tcBorders>
              <w:bottom w:val="single" w:sz="6" w:space="0" w:color="000000"/>
              <w:right w:val="single" w:sz="6" w:space="0" w:color="000000"/>
            </w:tcBorders>
          </w:tcPr>
          <w:p>
            <w:pPr>
              <w:pStyle w:val="TableParagraph"/>
              <w:spacing w:line="291" w:lineRule="exact"/>
              <w:ind w:left="106" w:right="83"/>
              <w:rPr>
                <w:sz w:val="21"/>
              </w:rPr>
            </w:pPr>
            <w:r>
              <w:rPr>
                <w:sz w:val="21"/>
              </w:rPr>
              <w:t>分级</w:t>
            </w:r>
          </w:p>
        </w:tc>
        <w:tc>
          <w:tcPr>
            <w:tcW w:w="7341" w:type="dxa"/>
            <w:tcBorders>
              <w:left w:val="single" w:sz="6" w:space="0" w:color="000000"/>
              <w:bottom w:val="single" w:sz="6" w:space="0" w:color="000000"/>
            </w:tcBorders>
          </w:tcPr>
          <w:p>
            <w:pPr>
              <w:pStyle w:val="TableParagraph"/>
              <w:spacing w:line="291" w:lineRule="exact"/>
              <w:ind w:left="2606" w:right="2571"/>
              <w:rPr>
                <w:sz w:val="21"/>
              </w:rPr>
            </w:pPr>
            <w:r>
              <w:rPr>
                <w:sz w:val="21"/>
              </w:rPr>
              <w:t>环境敏感目标</w:t>
            </w:r>
          </w:p>
        </w:tc>
      </w:tr>
      <w:tr>
        <w:trPr>
          <w:trHeight w:val="2810" w:hRule="atLeast"/>
        </w:trPr>
        <w:tc>
          <w:tcPr>
            <w:tcW w:w="1188" w:type="dxa"/>
            <w:tcBorders>
              <w:top w:val="single" w:sz="6" w:space="0" w:color="000000"/>
              <w:bottom w:val="single" w:sz="6" w:space="0" w:color="000000"/>
              <w:right w:val="single" w:sz="6" w:space="0" w:color="000000"/>
            </w:tcBorders>
          </w:tcPr>
          <w:p>
            <w:pPr>
              <w:pStyle w:val="TableParagraph"/>
              <w:jc w:val="left"/>
              <w:rPr>
                <w:sz w:val="22"/>
              </w:rPr>
            </w:pPr>
          </w:p>
          <w:p>
            <w:pPr>
              <w:pStyle w:val="TableParagraph"/>
              <w:jc w:val="left"/>
              <w:rPr>
                <w:sz w:val="22"/>
              </w:rPr>
            </w:pPr>
          </w:p>
          <w:p>
            <w:pPr>
              <w:pStyle w:val="TableParagraph"/>
              <w:spacing w:before="13"/>
              <w:jc w:val="left"/>
              <w:rPr>
                <w:sz w:val="16"/>
              </w:rPr>
            </w:pPr>
          </w:p>
          <w:p>
            <w:pPr>
              <w:pStyle w:val="TableParagraph"/>
              <w:ind w:left="105" w:right="84"/>
              <w:rPr>
                <w:rFonts w:ascii="Times New Roman"/>
                <w:sz w:val="21"/>
              </w:rPr>
            </w:pPr>
            <w:r>
              <w:rPr>
                <w:rFonts w:ascii="Times New Roman"/>
                <w:sz w:val="21"/>
              </w:rPr>
              <w:t>S1</w:t>
            </w:r>
          </w:p>
        </w:tc>
        <w:tc>
          <w:tcPr>
            <w:tcW w:w="7341" w:type="dxa"/>
            <w:tcBorders>
              <w:top w:val="single" w:sz="6" w:space="0" w:color="000000"/>
              <w:left w:val="single" w:sz="6" w:space="0" w:color="000000"/>
              <w:bottom w:val="single" w:sz="6" w:space="0" w:color="000000"/>
            </w:tcBorders>
          </w:tcPr>
          <w:p>
            <w:pPr>
              <w:pStyle w:val="TableParagraph"/>
              <w:spacing w:line="168" w:lineRule="auto" w:before="18"/>
              <w:ind w:left="114" w:right="-29"/>
              <w:jc w:val="both"/>
              <w:rPr>
                <w:sz w:val="21"/>
              </w:rPr>
            </w:pPr>
            <w:r>
              <w:rPr>
                <w:spacing w:val="-2"/>
                <w:sz w:val="21"/>
              </w:rPr>
              <w:t>发生事故时，危险物质泄漏到内陆水体的排放点下游</w:t>
            </w:r>
            <w:r>
              <w:rPr>
                <w:sz w:val="21"/>
              </w:rPr>
              <w:t>（顺水流向）</w:t>
            </w:r>
            <w:r>
              <w:rPr>
                <w:rFonts w:ascii="Times New Roman" w:eastAsia="Times New Roman"/>
                <w:sz w:val="21"/>
              </w:rPr>
              <w:t>10km </w:t>
            </w:r>
            <w:r>
              <w:rPr>
                <w:sz w:val="21"/>
              </w:rPr>
              <w:t>范围</w:t>
            </w:r>
            <w:r>
              <w:rPr>
                <w:spacing w:val="-5"/>
                <w:sz w:val="21"/>
              </w:rPr>
              <w:t>内、近岸海域一个潮周期水质点可能达到的最大水平距离的两倍范围内，有如</w:t>
            </w:r>
            <w:r>
              <w:rPr>
                <w:spacing w:val="-6"/>
                <w:sz w:val="21"/>
              </w:rPr>
              <w:t>下一类或多类环境风险受体：集中式地表水饮用水水源保护区</w:t>
            </w:r>
            <w:r>
              <w:rPr>
                <w:sz w:val="21"/>
              </w:rPr>
              <w:t>（</w:t>
            </w:r>
            <w:r>
              <w:rPr>
                <w:spacing w:val="-3"/>
                <w:sz w:val="21"/>
              </w:rPr>
              <w:t>包括一级保护</w:t>
            </w:r>
            <w:r>
              <w:rPr>
                <w:spacing w:val="-3"/>
                <w:w w:val="100"/>
                <w:sz w:val="21"/>
              </w:rPr>
              <w:t>区、二级保护区及准保护区</w:t>
            </w:r>
            <w:r>
              <w:rPr>
                <w:spacing w:val="-108"/>
                <w:w w:val="100"/>
                <w:sz w:val="21"/>
              </w:rPr>
              <w:t>）</w:t>
            </w:r>
            <w:r>
              <w:rPr>
                <w:spacing w:val="-4"/>
                <w:w w:val="100"/>
                <w:sz w:val="21"/>
              </w:rPr>
              <w:t>；农村及分散式饮用水水源保护区；自然保护区；</w:t>
            </w:r>
            <w:r>
              <w:rPr>
                <w:spacing w:val="-6"/>
                <w:sz w:val="21"/>
              </w:rPr>
              <w:t>重要湿地；珍稀濒危野生动植物天然集中分布区；重要水生生物的自然产卵场</w:t>
            </w:r>
            <w:r>
              <w:rPr>
                <w:spacing w:val="-7"/>
                <w:sz w:val="21"/>
              </w:rPr>
              <w:t>及索饵场、越冬场和洄游通道；世界文化和自然遗产地；红树林、珊瑚礁等滨</w:t>
            </w:r>
            <w:r>
              <w:rPr>
                <w:spacing w:val="-5"/>
                <w:sz w:val="21"/>
              </w:rPr>
              <w:t>海湿地生态系统；珍稀、濒危海洋生物的天然集中分布区；海洋特别保护区； </w:t>
            </w:r>
            <w:r>
              <w:rPr>
                <w:spacing w:val="-4"/>
                <w:sz w:val="21"/>
              </w:rPr>
              <w:t>海上自然保护区；盐场保护区；海水浴场；海洋自然历史遗迹；风景名胜区；</w:t>
            </w:r>
          </w:p>
          <w:p>
            <w:pPr>
              <w:pStyle w:val="TableParagraph"/>
              <w:spacing w:line="279" w:lineRule="exact"/>
              <w:ind w:left="114"/>
              <w:jc w:val="both"/>
              <w:rPr>
                <w:sz w:val="21"/>
              </w:rPr>
            </w:pPr>
            <w:r>
              <w:rPr>
                <w:sz w:val="21"/>
              </w:rPr>
              <w:t>或其他特殊重要保护区域</w:t>
            </w:r>
          </w:p>
        </w:tc>
      </w:tr>
      <w:tr>
        <w:trPr>
          <w:trHeight w:val="1247" w:hRule="atLeast"/>
        </w:trPr>
        <w:tc>
          <w:tcPr>
            <w:tcW w:w="1188" w:type="dxa"/>
            <w:tcBorders>
              <w:top w:val="single" w:sz="6" w:space="0" w:color="000000"/>
              <w:bottom w:val="single" w:sz="6" w:space="0" w:color="000000"/>
              <w:right w:val="single" w:sz="6" w:space="0" w:color="000000"/>
            </w:tcBorders>
          </w:tcPr>
          <w:p>
            <w:pPr>
              <w:pStyle w:val="TableParagraph"/>
              <w:spacing w:before="14"/>
              <w:jc w:val="left"/>
              <w:rPr>
                <w:sz w:val="23"/>
              </w:rPr>
            </w:pPr>
          </w:p>
          <w:p>
            <w:pPr>
              <w:pStyle w:val="TableParagraph"/>
              <w:spacing w:before="1"/>
              <w:ind w:left="105" w:right="84"/>
              <w:rPr>
                <w:rFonts w:ascii="Times New Roman"/>
                <w:sz w:val="21"/>
              </w:rPr>
            </w:pPr>
            <w:r>
              <w:rPr>
                <w:rFonts w:ascii="Times New Roman"/>
                <w:sz w:val="21"/>
              </w:rPr>
              <w:t>S2</w:t>
            </w:r>
          </w:p>
        </w:tc>
        <w:tc>
          <w:tcPr>
            <w:tcW w:w="7341" w:type="dxa"/>
            <w:tcBorders>
              <w:top w:val="single" w:sz="6" w:space="0" w:color="000000"/>
              <w:left w:val="single" w:sz="6" w:space="0" w:color="000000"/>
              <w:bottom w:val="single" w:sz="6" w:space="0" w:color="000000"/>
            </w:tcBorders>
          </w:tcPr>
          <w:p>
            <w:pPr>
              <w:pStyle w:val="TableParagraph"/>
              <w:spacing w:line="168" w:lineRule="auto" w:before="15"/>
              <w:ind w:left="114" w:right="-29"/>
              <w:jc w:val="both"/>
              <w:rPr>
                <w:sz w:val="21"/>
              </w:rPr>
            </w:pPr>
            <w:r>
              <w:rPr>
                <w:spacing w:val="-2"/>
                <w:sz w:val="21"/>
              </w:rPr>
              <w:t>发生事故时，危险物质泄漏到内陆水体的排放点下游</w:t>
            </w:r>
            <w:r>
              <w:rPr>
                <w:sz w:val="21"/>
              </w:rPr>
              <w:t>（顺水流向）</w:t>
            </w:r>
            <w:r>
              <w:rPr>
                <w:rFonts w:ascii="Times New Roman" w:eastAsia="Times New Roman"/>
                <w:sz w:val="21"/>
              </w:rPr>
              <w:t>10km </w:t>
            </w:r>
            <w:r>
              <w:rPr>
                <w:sz w:val="21"/>
              </w:rPr>
              <w:t>范围</w:t>
            </w:r>
            <w:r>
              <w:rPr>
                <w:spacing w:val="-5"/>
                <w:sz w:val="21"/>
              </w:rPr>
              <w:t>内、近岸海域一个潮周期水质点可能达到的最大水平距离的两倍范围内，有如</w:t>
            </w:r>
            <w:r>
              <w:rPr>
                <w:spacing w:val="-11"/>
                <w:sz w:val="21"/>
              </w:rPr>
              <w:t>下一类或多类环境风险受体的：水产养殖区；天然渔场；森林公园；地质公园；</w:t>
            </w:r>
          </w:p>
          <w:p>
            <w:pPr>
              <w:pStyle w:val="TableParagraph"/>
              <w:spacing w:line="278" w:lineRule="exact"/>
              <w:ind w:left="114"/>
              <w:jc w:val="both"/>
              <w:rPr>
                <w:sz w:val="21"/>
              </w:rPr>
            </w:pPr>
            <w:r>
              <w:rPr>
                <w:sz w:val="21"/>
              </w:rPr>
              <w:t>海滨风景游览区；具有重要经济价值的海洋生物生存区域</w:t>
            </w:r>
          </w:p>
        </w:tc>
      </w:tr>
      <w:tr>
        <w:trPr>
          <w:trHeight w:val="623" w:hRule="atLeast"/>
        </w:trPr>
        <w:tc>
          <w:tcPr>
            <w:tcW w:w="1188" w:type="dxa"/>
            <w:tcBorders>
              <w:top w:val="single" w:sz="6" w:space="0" w:color="000000"/>
              <w:right w:val="single" w:sz="6" w:space="0" w:color="000000"/>
            </w:tcBorders>
          </w:tcPr>
          <w:p>
            <w:pPr>
              <w:pStyle w:val="TableParagraph"/>
              <w:spacing w:before="190"/>
              <w:ind w:left="105" w:right="84"/>
              <w:rPr>
                <w:rFonts w:ascii="Times New Roman"/>
                <w:sz w:val="21"/>
              </w:rPr>
            </w:pPr>
            <w:r>
              <w:rPr>
                <w:rFonts w:ascii="Times New Roman"/>
                <w:sz w:val="21"/>
              </w:rPr>
              <w:t>S3</w:t>
            </w:r>
          </w:p>
        </w:tc>
        <w:tc>
          <w:tcPr>
            <w:tcW w:w="7341" w:type="dxa"/>
            <w:tcBorders>
              <w:top w:val="single" w:sz="6" w:space="0" w:color="000000"/>
              <w:left w:val="single" w:sz="6" w:space="0" w:color="000000"/>
            </w:tcBorders>
          </w:tcPr>
          <w:p>
            <w:pPr>
              <w:pStyle w:val="TableParagraph"/>
              <w:spacing w:line="300" w:lineRule="exact"/>
              <w:ind w:left="114"/>
              <w:jc w:val="left"/>
              <w:rPr>
                <w:sz w:val="21"/>
              </w:rPr>
            </w:pPr>
            <w:r>
              <w:rPr>
                <w:sz w:val="21"/>
              </w:rPr>
              <w:t>排放点下游（顺水流向）</w:t>
            </w:r>
            <w:r>
              <w:rPr>
                <w:rFonts w:ascii="Times New Roman" w:eastAsia="Times New Roman"/>
                <w:sz w:val="21"/>
              </w:rPr>
              <w:t>10km </w:t>
            </w:r>
            <w:r>
              <w:rPr>
                <w:sz w:val="21"/>
              </w:rPr>
              <w:t>范围、近岸海域一个潮周期水质点可能达到的</w:t>
            </w:r>
          </w:p>
          <w:p>
            <w:pPr>
              <w:pStyle w:val="TableParagraph"/>
              <w:spacing w:line="303" w:lineRule="exact"/>
              <w:ind w:left="114"/>
              <w:jc w:val="left"/>
              <w:rPr>
                <w:sz w:val="21"/>
              </w:rPr>
            </w:pPr>
            <w:r>
              <w:rPr>
                <w:sz w:val="21"/>
              </w:rPr>
              <w:t>最大水平距离的两倍范围内无上述类型 </w:t>
            </w:r>
            <w:r>
              <w:rPr>
                <w:rFonts w:ascii="Times New Roman" w:eastAsia="Times New Roman"/>
                <w:sz w:val="21"/>
              </w:rPr>
              <w:t>1 </w:t>
            </w:r>
            <w:r>
              <w:rPr>
                <w:sz w:val="21"/>
              </w:rPr>
              <w:t>和类型 </w:t>
            </w:r>
            <w:r>
              <w:rPr>
                <w:rFonts w:ascii="Times New Roman" w:eastAsia="Times New Roman"/>
                <w:sz w:val="21"/>
              </w:rPr>
              <w:t>2 </w:t>
            </w:r>
            <w:r>
              <w:rPr>
                <w:sz w:val="21"/>
              </w:rPr>
              <w:t>包括的敏感保护目标</w:t>
            </w:r>
          </w:p>
        </w:tc>
      </w:tr>
    </w:tbl>
    <w:p>
      <w:pPr>
        <w:pStyle w:val="BodyText"/>
        <w:spacing w:line="220" w:lineRule="auto" w:before="151"/>
        <w:ind w:left="578" w:right="751" w:firstLine="482"/>
        <w:jc w:val="both"/>
      </w:pPr>
      <w:r>
        <w:rPr>
          <w:spacing w:val="-6"/>
        </w:rPr>
        <w:t>项目厂区南侧白马河湿地公园，湿地出水进入白马河，发生事故后，如果危</w:t>
      </w:r>
      <w:r>
        <w:rPr>
          <w:spacing w:val="-4"/>
        </w:rPr>
        <w:t>险物质泄漏进入白马河后，下游 </w:t>
      </w:r>
      <w:r>
        <w:rPr>
          <w:rFonts w:ascii="Times New Roman" w:eastAsia="Times New Roman"/>
        </w:rPr>
        <w:t>10km </w:t>
      </w:r>
      <w:r>
        <w:rPr/>
        <w:t>范围内，通过白马河</w:t>
      </w:r>
      <w:r>
        <w:rPr>
          <w:rFonts w:ascii="Times New Roman" w:eastAsia="Times New Roman"/>
        </w:rPr>
        <w:t>-</w:t>
      </w:r>
      <w:r>
        <w:rPr/>
        <w:t>鸡龙河</w:t>
      </w:r>
      <w:r>
        <w:rPr>
          <w:rFonts w:ascii="Times New Roman" w:eastAsia="Times New Roman"/>
        </w:rPr>
        <w:t>-</w:t>
      </w:r>
      <w:r>
        <w:rPr/>
        <w:t>沭河，该范围内不含有 </w:t>
      </w:r>
      <w:r>
        <w:rPr>
          <w:rFonts w:ascii="Times New Roman" w:eastAsia="Times New Roman"/>
        </w:rPr>
        <w:t>S1</w:t>
      </w:r>
      <w:r>
        <w:rPr/>
        <w:t>、</w:t>
      </w:r>
      <w:r>
        <w:rPr>
          <w:rFonts w:ascii="Times New Roman" w:eastAsia="Times New Roman"/>
        </w:rPr>
        <w:t>S2 </w:t>
      </w:r>
      <w:r>
        <w:rPr>
          <w:spacing w:val="-2"/>
        </w:rPr>
        <w:t>表述的内容，因此，本次考虑环境敏感目标分解为 </w:t>
      </w:r>
      <w:r>
        <w:rPr>
          <w:rFonts w:ascii="Times New Roman" w:eastAsia="Times New Roman"/>
        </w:rPr>
        <w:t>S3</w:t>
      </w:r>
      <w:r>
        <w:rPr/>
        <w:t>。</w:t>
      </w:r>
    </w:p>
    <w:p>
      <w:pPr>
        <w:pStyle w:val="BodyText"/>
        <w:spacing w:line="460" w:lineRule="exact"/>
        <w:ind w:left="1058"/>
      </w:pPr>
      <w:r>
        <w:rPr/>
        <w:t>结合表 </w:t>
      </w:r>
      <w:r>
        <w:rPr>
          <w:rFonts w:ascii="Times New Roman" w:eastAsia="Times New Roman"/>
        </w:rPr>
        <w:t>7.2-6 </w:t>
      </w:r>
      <w:r>
        <w:rPr/>
        <w:t>可知，本项目地表水环境敏感程度为 </w:t>
      </w:r>
      <w:r>
        <w:rPr>
          <w:rFonts w:ascii="Times New Roman" w:eastAsia="Times New Roman"/>
        </w:rPr>
        <w:t>E3</w:t>
      </w:r>
      <w:r>
        <w:rPr/>
        <w:t>。</w:t>
      </w:r>
    </w:p>
    <w:p>
      <w:pPr>
        <w:pStyle w:val="BodyText"/>
        <w:spacing w:line="468" w:lineRule="exact"/>
        <w:ind w:left="1058"/>
      </w:pPr>
      <w:r>
        <w:rPr/>
        <w:t>（</w:t>
      </w:r>
      <w:r>
        <w:rPr>
          <w:rFonts w:ascii="Times New Roman" w:eastAsia="Times New Roman"/>
        </w:rPr>
        <w:t>3</w:t>
      </w:r>
      <w:r>
        <w:rPr/>
        <w:t>）地下水环境敏感程度判定</w:t>
      </w:r>
    </w:p>
    <w:p>
      <w:pPr>
        <w:pStyle w:val="BodyText"/>
        <w:spacing w:line="220" w:lineRule="auto" w:before="8"/>
        <w:ind w:left="578" w:right="652" w:firstLine="479"/>
        <w:jc w:val="both"/>
      </w:pPr>
      <w:r>
        <w:rPr/>
        <w:t>依据地下水功能敏感性与包气带防污性能，共分为三种类型，</w:t>
      </w:r>
      <w:r>
        <w:rPr>
          <w:rFonts w:ascii="Times New Roman" w:eastAsia="Times New Roman"/>
        </w:rPr>
        <w:t>E1 </w:t>
      </w:r>
      <w:r>
        <w:rPr/>
        <w:t>为环境高度敏感区，</w:t>
      </w:r>
      <w:r>
        <w:rPr>
          <w:rFonts w:ascii="Times New Roman" w:eastAsia="Times New Roman"/>
        </w:rPr>
        <w:t>E2 </w:t>
      </w:r>
      <w:r>
        <w:rPr/>
        <w:t>为环境中度敏感区，</w:t>
      </w:r>
      <w:r>
        <w:rPr>
          <w:rFonts w:ascii="Times New Roman" w:eastAsia="Times New Roman"/>
        </w:rPr>
        <w:t>E3 </w:t>
      </w:r>
      <w:r>
        <w:rPr/>
        <w:t>为环境低度敏感区，分级原则见表 </w:t>
      </w:r>
      <w:r>
        <w:rPr>
          <w:rFonts w:ascii="Times New Roman" w:eastAsia="Times New Roman"/>
        </w:rPr>
        <w:t>7.2-9</w:t>
      </w:r>
      <w:r>
        <w:rPr/>
        <w:t>。其中地下水功能敏感性分区和包气带防污性能分级分别见表 </w:t>
      </w:r>
      <w:r>
        <w:rPr>
          <w:rFonts w:ascii="Times New Roman" w:eastAsia="Times New Roman"/>
        </w:rPr>
        <w:t>7.2-10 </w:t>
      </w:r>
      <w:r>
        <w:rPr/>
        <w:t>和表 </w:t>
      </w:r>
      <w:r>
        <w:rPr>
          <w:rFonts w:ascii="Times New Roman" w:eastAsia="Times New Roman"/>
        </w:rPr>
        <w:t>7.2-11</w:t>
      </w:r>
      <w:r>
        <w:rPr/>
        <w:t>。当同一建设项目涉及两个 </w:t>
      </w:r>
      <w:r>
        <w:rPr>
          <w:rFonts w:ascii="Times New Roman" w:eastAsia="Times New Roman"/>
        </w:rPr>
        <w:t>G </w:t>
      </w:r>
      <w:r>
        <w:rPr/>
        <w:t>分区或 </w:t>
      </w:r>
      <w:r>
        <w:rPr>
          <w:rFonts w:ascii="Times New Roman" w:eastAsia="Times New Roman"/>
        </w:rPr>
        <w:t>D </w:t>
      </w:r>
      <w:r>
        <w:rPr/>
        <w:t>分级及以上时，取相对高值。</w:t>
      </w:r>
    </w:p>
    <w:p>
      <w:pPr>
        <w:tabs>
          <w:tab w:pos="911" w:val="left" w:leader="none"/>
        </w:tabs>
        <w:spacing w:before="162" w:after="24"/>
        <w:ind w:left="0" w:right="175" w:firstLine="0"/>
        <w:jc w:val="center"/>
        <w:rPr>
          <w:sz w:val="21"/>
        </w:rPr>
      </w:pPr>
      <w:r>
        <w:rPr>
          <w:sz w:val="21"/>
        </w:rPr>
        <w:t>表</w:t>
      </w:r>
      <w:r>
        <w:rPr>
          <w:spacing w:val="7"/>
          <w:sz w:val="21"/>
        </w:rPr>
        <w:t> </w:t>
      </w:r>
      <w:r>
        <w:rPr>
          <w:rFonts w:ascii="Times New Roman" w:eastAsia="Times New Roman"/>
          <w:b/>
          <w:sz w:val="21"/>
        </w:rPr>
        <w:t>7.2-9</w:t>
        <w:tab/>
      </w:r>
      <w:r>
        <w:rPr>
          <w:sz w:val="21"/>
        </w:rPr>
        <w:t>地下水环境敏</w:t>
      </w:r>
      <w:r>
        <w:rPr>
          <w:spacing w:val="-3"/>
          <w:sz w:val="21"/>
        </w:rPr>
        <w:t>感</w:t>
      </w:r>
      <w:r>
        <w:rPr>
          <w:sz w:val="21"/>
        </w:rPr>
        <w:t>程度分级</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09"/>
        <w:gridCol w:w="2163"/>
        <w:gridCol w:w="2163"/>
        <w:gridCol w:w="2295"/>
      </w:tblGrid>
      <w:tr>
        <w:trPr>
          <w:trHeight w:val="304" w:hRule="atLeast"/>
        </w:trPr>
        <w:tc>
          <w:tcPr>
            <w:tcW w:w="1909" w:type="dxa"/>
            <w:vMerge w:val="restart"/>
            <w:tcBorders>
              <w:right w:val="single" w:sz="6" w:space="0" w:color="000000"/>
            </w:tcBorders>
          </w:tcPr>
          <w:p>
            <w:pPr>
              <w:pStyle w:val="TableParagraph"/>
              <w:spacing w:before="85"/>
              <w:ind w:left="217"/>
              <w:jc w:val="left"/>
              <w:rPr>
                <w:sz w:val="21"/>
              </w:rPr>
            </w:pPr>
            <w:r>
              <w:rPr>
                <w:sz w:val="21"/>
              </w:rPr>
              <w:t>包气带防污性能</w:t>
            </w:r>
          </w:p>
        </w:tc>
        <w:tc>
          <w:tcPr>
            <w:tcW w:w="6621" w:type="dxa"/>
            <w:gridSpan w:val="3"/>
            <w:tcBorders>
              <w:left w:val="single" w:sz="6" w:space="0" w:color="000000"/>
              <w:bottom w:val="single" w:sz="6" w:space="0" w:color="000000"/>
            </w:tcBorders>
          </w:tcPr>
          <w:p>
            <w:pPr>
              <w:pStyle w:val="TableParagraph"/>
              <w:spacing w:line="284" w:lineRule="exact"/>
              <w:ind w:left="2457" w:right="2421"/>
              <w:rPr>
                <w:sz w:val="21"/>
              </w:rPr>
            </w:pPr>
            <w:r>
              <w:rPr>
                <w:sz w:val="21"/>
              </w:rPr>
              <w:t>地下水功能敏感性</w:t>
            </w:r>
          </w:p>
        </w:tc>
      </w:tr>
      <w:tr>
        <w:trPr>
          <w:trHeight w:val="305" w:hRule="atLeast"/>
        </w:trPr>
        <w:tc>
          <w:tcPr>
            <w:tcW w:w="1909" w:type="dxa"/>
            <w:vMerge/>
            <w:tcBorders>
              <w:top w:val="nil"/>
              <w:right w:val="single" w:sz="6" w:space="0" w:color="000000"/>
            </w:tcBorders>
          </w:tcPr>
          <w:p>
            <w:pPr>
              <w:rPr>
                <w:sz w:val="2"/>
                <w:szCs w:val="2"/>
              </w:rPr>
            </w:pPr>
          </w:p>
        </w:tc>
        <w:tc>
          <w:tcPr>
            <w:tcW w:w="2163" w:type="dxa"/>
            <w:tcBorders>
              <w:top w:val="single" w:sz="6" w:space="0" w:color="000000"/>
              <w:left w:val="single" w:sz="6" w:space="0" w:color="000000"/>
              <w:right w:val="single" w:sz="6" w:space="0" w:color="000000"/>
            </w:tcBorders>
          </w:tcPr>
          <w:p>
            <w:pPr>
              <w:pStyle w:val="TableParagraph"/>
              <w:spacing w:before="26"/>
              <w:ind w:left="938" w:right="908"/>
              <w:rPr>
                <w:rFonts w:ascii="Times New Roman"/>
                <w:sz w:val="21"/>
              </w:rPr>
            </w:pPr>
            <w:r>
              <w:rPr>
                <w:rFonts w:ascii="Times New Roman"/>
                <w:sz w:val="21"/>
              </w:rPr>
              <w:t>G1</w:t>
            </w:r>
          </w:p>
        </w:tc>
        <w:tc>
          <w:tcPr>
            <w:tcW w:w="2163" w:type="dxa"/>
            <w:tcBorders>
              <w:top w:val="single" w:sz="6" w:space="0" w:color="000000"/>
              <w:left w:val="single" w:sz="6" w:space="0" w:color="000000"/>
              <w:right w:val="single" w:sz="6" w:space="0" w:color="000000"/>
            </w:tcBorders>
          </w:tcPr>
          <w:p>
            <w:pPr>
              <w:pStyle w:val="TableParagraph"/>
              <w:spacing w:before="26"/>
              <w:ind w:left="935" w:right="910"/>
              <w:rPr>
                <w:rFonts w:ascii="Times New Roman"/>
                <w:sz w:val="21"/>
              </w:rPr>
            </w:pPr>
            <w:r>
              <w:rPr>
                <w:rFonts w:ascii="Times New Roman"/>
                <w:sz w:val="21"/>
              </w:rPr>
              <w:t>G2</w:t>
            </w:r>
          </w:p>
        </w:tc>
        <w:tc>
          <w:tcPr>
            <w:tcW w:w="2295" w:type="dxa"/>
            <w:tcBorders>
              <w:top w:val="single" w:sz="6" w:space="0" w:color="000000"/>
              <w:left w:val="single" w:sz="6" w:space="0" w:color="000000"/>
            </w:tcBorders>
          </w:tcPr>
          <w:p>
            <w:pPr>
              <w:pStyle w:val="TableParagraph"/>
              <w:spacing w:before="26"/>
              <w:ind w:left="1005" w:right="970"/>
              <w:rPr>
                <w:rFonts w:ascii="Times New Roman"/>
                <w:sz w:val="21"/>
              </w:rPr>
            </w:pPr>
            <w:r>
              <w:rPr>
                <w:rFonts w:ascii="Times New Roman"/>
                <w:sz w:val="21"/>
              </w:rPr>
              <w:t>G3</w:t>
            </w:r>
          </w:p>
        </w:tc>
      </w:tr>
    </w:tbl>
    <w:p>
      <w:pPr>
        <w:spacing w:after="0"/>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09"/>
        <w:gridCol w:w="2163"/>
        <w:gridCol w:w="2163"/>
        <w:gridCol w:w="2295"/>
      </w:tblGrid>
      <w:tr>
        <w:trPr>
          <w:trHeight w:val="311" w:hRule="atLeast"/>
        </w:trPr>
        <w:tc>
          <w:tcPr>
            <w:tcW w:w="1909" w:type="dxa"/>
            <w:tcBorders>
              <w:bottom w:val="single" w:sz="6" w:space="0" w:color="000000"/>
              <w:right w:val="single" w:sz="6" w:space="0" w:color="000000"/>
            </w:tcBorders>
          </w:tcPr>
          <w:p>
            <w:pPr>
              <w:pStyle w:val="TableParagraph"/>
              <w:spacing w:before="36"/>
              <w:ind w:left="806" w:right="783"/>
              <w:rPr>
                <w:rFonts w:ascii="Times New Roman"/>
                <w:sz w:val="21"/>
              </w:rPr>
            </w:pPr>
            <w:r>
              <w:rPr>
                <w:rFonts w:ascii="Times New Roman"/>
                <w:sz w:val="21"/>
              </w:rPr>
              <w:t>D1</w:t>
            </w:r>
          </w:p>
        </w:tc>
        <w:tc>
          <w:tcPr>
            <w:tcW w:w="2163" w:type="dxa"/>
            <w:tcBorders>
              <w:left w:val="single" w:sz="6" w:space="0" w:color="000000"/>
              <w:bottom w:val="single" w:sz="6" w:space="0" w:color="000000"/>
              <w:right w:val="single" w:sz="6" w:space="0" w:color="000000"/>
            </w:tcBorders>
          </w:tcPr>
          <w:p>
            <w:pPr>
              <w:pStyle w:val="TableParagraph"/>
              <w:spacing w:before="36"/>
              <w:ind w:left="938" w:right="908"/>
              <w:rPr>
                <w:rFonts w:ascii="Times New Roman"/>
                <w:sz w:val="21"/>
              </w:rPr>
            </w:pPr>
            <w:r>
              <w:rPr>
                <w:rFonts w:ascii="Times New Roman"/>
                <w:sz w:val="21"/>
              </w:rPr>
              <w:t>E1</w:t>
            </w:r>
          </w:p>
        </w:tc>
        <w:tc>
          <w:tcPr>
            <w:tcW w:w="2163" w:type="dxa"/>
            <w:tcBorders>
              <w:left w:val="single" w:sz="6" w:space="0" w:color="000000"/>
              <w:bottom w:val="single" w:sz="6" w:space="0" w:color="000000"/>
              <w:right w:val="single" w:sz="6" w:space="0" w:color="000000"/>
            </w:tcBorders>
          </w:tcPr>
          <w:p>
            <w:pPr>
              <w:pStyle w:val="TableParagraph"/>
              <w:spacing w:before="36"/>
              <w:ind w:left="934" w:right="910"/>
              <w:rPr>
                <w:rFonts w:ascii="Times New Roman"/>
                <w:sz w:val="21"/>
              </w:rPr>
            </w:pPr>
            <w:r>
              <w:rPr>
                <w:rFonts w:ascii="Times New Roman"/>
                <w:sz w:val="21"/>
              </w:rPr>
              <w:t>E1</w:t>
            </w:r>
          </w:p>
        </w:tc>
        <w:tc>
          <w:tcPr>
            <w:tcW w:w="2295" w:type="dxa"/>
            <w:tcBorders>
              <w:left w:val="single" w:sz="6" w:space="0" w:color="000000"/>
              <w:bottom w:val="single" w:sz="6" w:space="0" w:color="000000"/>
            </w:tcBorders>
          </w:tcPr>
          <w:p>
            <w:pPr>
              <w:pStyle w:val="TableParagraph"/>
              <w:spacing w:before="39"/>
              <w:ind w:left="1002" w:right="970"/>
              <w:rPr>
                <w:rFonts w:ascii="Times New Roman"/>
                <w:b/>
                <w:sz w:val="21"/>
              </w:rPr>
            </w:pPr>
            <w:r>
              <w:rPr>
                <w:rFonts w:ascii="Times New Roman"/>
                <w:b/>
                <w:sz w:val="21"/>
              </w:rPr>
              <w:t>E2</w:t>
            </w:r>
          </w:p>
        </w:tc>
      </w:tr>
      <w:tr>
        <w:trPr>
          <w:trHeight w:val="313" w:hRule="atLeast"/>
        </w:trPr>
        <w:tc>
          <w:tcPr>
            <w:tcW w:w="1909" w:type="dxa"/>
            <w:tcBorders>
              <w:top w:val="single" w:sz="6" w:space="0" w:color="000000"/>
              <w:bottom w:val="single" w:sz="6" w:space="0" w:color="000000"/>
              <w:right w:val="single" w:sz="6" w:space="0" w:color="000000"/>
            </w:tcBorders>
          </w:tcPr>
          <w:p>
            <w:pPr>
              <w:pStyle w:val="TableParagraph"/>
              <w:spacing w:before="36"/>
              <w:ind w:left="806" w:right="783"/>
              <w:rPr>
                <w:rFonts w:ascii="Times New Roman"/>
                <w:sz w:val="21"/>
              </w:rPr>
            </w:pPr>
            <w:r>
              <w:rPr>
                <w:rFonts w:ascii="Times New Roman"/>
                <w:sz w:val="21"/>
              </w:rPr>
              <w:t>D2</w:t>
            </w: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6"/>
              <w:ind w:left="938" w:right="908"/>
              <w:rPr>
                <w:rFonts w:ascii="Times New Roman"/>
                <w:sz w:val="21"/>
              </w:rPr>
            </w:pPr>
            <w:r>
              <w:rPr>
                <w:rFonts w:ascii="Times New Roman"/>
                <w:sz w:val="21"/>
              </w:rPr>
              <w:t>E1</w:t>
            </w:r>
          </w:p>
        </w:tc>
        <w:tc>
          <w:tcPr>
            <w:tcW w:w="2163" w:type="dxa"/>
            <w:tcBorders>
              <w:top w:val="single" w:sz="6" w:space="0" w:color="000000"/>
              <w:left w:val="single" w:sz="6" w:space="0" w:color="000000"/>
              <w:bottom w:val="single" w:sz="6" w:space="0" w:color="000000"/>
              <w:right w:val="single" w:sz="6" w:space="0" w:color="000000"/>
            </w:tcBorders>
          </w:tcPr>
          <w:p>
            <w:pPr>
              <w:pStyle w:val="TableParagraph"/>
              <w:spacing w:before="36"/>
              <w:ind w:left="934" w:right="910"/>
              <w:rPr>
                <w:rFonts w:ascii="Times New Roman"/>
                <w:sz w:val="21"/>
              </w:rPr>
            </w:pPr>
            <w:r>
              <w:rPr>
                <w:rFonts w:ascii="Times New Roman"/>
                <w:sz w:val="21"/>
              </w:rPr>
              <w:t>E2</w:t>
            </w:r>
          </w:p>
        </w:tc>
        <w:tc>
          <w:tcPr>
            <w:tcW w:w="2295" w:type="dxa"/>
            <w:tcBorders>
              <w:top w:val="single" w:sz="6" w:space="0" w:color="000000"/>
              <w:left w:val="single" w:sz="6" w:space="0" w:color="000000"/>
              <w:bottom w:val="single" w:sz="6" w:space="0" w:color="000000"/>
            </w:tcBorders>
          </w:tcPr>
          <w:p>
            <w:pPr>
              <w:pStyle w:val="TableParagraph"/>
              <w:spacing w:before="36"/>
              <w:ind w:left="1004" w:right="970"/>
              <w:rPr>
                <w:rFonts w:ascii="Times New Roman"/>
                <w:sz w:val="21"/>
              </w:rPr>
            </w:pPr>
            <w:r>
              <w:rPr>
                <w:rFonts w:ascii="Times New Roman"/>
                <w:sz w:val="21"/>
              </w:rPr>
              <w:t>E3</w:t>
            </w:r>
          </w:p>
        </w:tc>
      </w:tr>
      <w:tr>
        <w:trPr>
          <w:trHeight w:val="308" w:hRule="atLeast"/>
        </w:trPr>
        <w:tc>
          <w:tcPr>
            <w:tcW w:w="1909" w:type="dxa"/>
            <w:tcBorders>
              <w:top w:val="single" w:sz="6" w:space="0" w:color="000000"/>
              <w:right w:val="single" w:sz="6" w:space="0" w:color="000000"/>
            </w:tcBorders>
          </w:tcPr>
          <w:p>
            <w:pPr>
              <w:pStyle w:val="TableParagraph"/>
              <w:spacing w:before="34"/>
              <w:ind w:left="806" w:right="783"/>
              <w:rPr>
                <w:rFonts w:ascii="Times New Roman"/>
                <w:sz w:val="21"/>
              </w:rPr>
            </w:pPr>
            <w:r>
              <w:rPr>
                <w:rFonts w:ascii="Times New Roman"/>
                <w:sz w:val="21"/>
              </w:rPr>
              <w:t>D3</w:t>
            </w:r>
          </w:p>
        </w:tc>
        <w:tc>
          <w:tcPr>
            <w:tcW w:w="2163" w:type="dxa"/>
            <w:tcBorders>
              <w:top w:val="single" w:sz="6" w:space="0" w:color="000000"/>
              <w:left w:val="single" w:sz="6" w:space="0" w:color="000000"/>
              <w:right w:val="single" w:sz="6" w:space="0" w:color="000000"/>
            </w:tcBorders>
          </w:tcPr>
          <w:p>
            <w:pPr>
              <w:pStyle w:val="TableParagraph"/>
              <w:spacing w:before="34"/>
              <w:ind w:left="938" w:right="908"/>
              <w:rPr>
                <w:rFonts w:ascii="Times New Roman"/>
                <w:sz w:val="21"/>
              </w:rPr>
            </w:pPr>
            <w:r>
              <w:rPr>
                <w:rFonts w:ascii="Times New Roman"/>
                <w:sz w:val="21"/>
              </w:rPr>
              <w:t>E2</w:t>
            </w:r>
          </w:p>
        </w:tc>
        <w:tc>
          <w:tcPr>
            <w:tcW w:w="2163" w:type="dxa"/>
            <w:tcBorders>
              <w:top w:val="single" w:sz="6" w:space="0" w:color="000000"/>
              <w:left w:val="single" w:sz="6" w:space="0" w:color="000000"/>
              <w:right w:val="single" w:sz="6" w:space="0" w:color="000000"/>
            </w:tcBorders>
          </w:tcPr>
          <w:p>
            <w:pPr>
              <w:pStyle w:val="TableParagraph"/>
              <w:spacing w:before="34"/>
              <w:ind w:left="934" w:right="910"/>
              <w:rPr>
                <w:rFonts w:ascii="Times New Roman"/>
                <w:sz w:val="21"/>
              </w:rPr>
            </w:pPr>
            <w:r>
              <w:rPr>
                <w:rFonts w:ascii="Times New Roman"/>
                <w:sz w:val="21"/>
              </w:rPr>
              <w:t>E3</w:t>
            </w:r>
          </w:p>
        </w:tc>
        <w:tc>
          <w:tcPr>
            <w:tcW w:w="2295" w:type="dxa"/>
            <w:tcBorders>
              <w:top w:val="single" w:sz="6" w:space="0" w:color="000000"/>
              <w:left w:val="single" w:sz="6" w:space="0" w:color="000000"/>
            </w:tcBorders>
          </w:tcPr>
          <w:p>
            <w:pPr>
              <w:pStyle w:val="TableParagraph"/>
              <w:spacing w:before="34"/>
              <w:ind w:left="1004" w:right="970"/>
              <w:rPr>
                <w:rFonts w:ascii="Times New Roman"/>
                <w:sz w:val="21"/>
              </w:rPr>
            </w:pPr>
            <w:r>
              <w:rPr>
                <w:rFonts w:ascii="Times New Roman"/>
                <w:sz w:val="21"/>
              </w:rPr>
              <w:t>E3</w:t>
            </w:r>
          </w:p>
        </w:tc>
      </w:tr>
    </w:tbl>
    <w:p>
      <w:pPr>
        <w:pStyle w:val="BodyText"/>
        <w:spacing w:before="10"/>
        <w:rPr>
          <w:sz w:val="8"/>
        </w:rPr>
      </w:pPr>
    </w:p>
    <w:p>
      <w:pPr>
        <w:tabs>
          <w:tab w:pos="4188" w:val="left" w:leader="none"/>
        </w:tabs>
        <w:spacing w:line="423" w:lineRule="exact" w:before="0" w:after="20"/>
        <w:ind w:left="3170" w:right="0" w:firstLine="0"/>
        <w:jc w:val="left"/>
        <w:rPr>
          <w:sz w:val="21"/>
        </w:rPr>
      </w:pPr>
      <w:r>
        <w:rPr>
          <w:sz w:val="21"/>
        </w:rPr>
        <w:t>表</w:t>
      </w:r>
      <w:r>
        <w:rPr>
          <w:spacing w:val="7"/>
          <w:sz w:val="21"/>
        </w:rPr>
        <w:t> </w:t>
      </w:r>
      <w:r>
        <w:rPr>
          <w:rFonts w:ascii="Times New Roman" w:eastAsia="Times New Roman"/>
          <w:b/>
          <w:sz w:val="21"/>
        </w:rPr>
        <w:t>7.2-10</w:t>
        <w:tab/>
      </w:r>
      <w:r>
        <w:rPr>
          <w:sz w:val="21"/>
        </w:rPr>
        <w:t>地下水功能</w:t>
      </w:r>
      <w:r>
        <w:rPr>
          <w:spacing w:val="-3"/>
          <w:sz w:val="21"/>
        </w:rPr>
        <w:t>敏</w:t>
      </w:r>
      <w:r>
        <w:rPr>
          <w:sz w:val="21"/>
        </w:rPr>
        <w:t>感性分区</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341"/>
      </w:tblGrid>
      <w:tr>
        <w:trPr>
          <w:trHeight w:val="313" w:hRule="atLeast"/>
        </w:trPr>
        <w:tc>
          <w:tcPr>
            <w:tcW w:w="1188" w:type="dxa"/>
            <w:tcBorders>
              <w:bottom w:val="single" w:sz="6" w:space="0" w:color="000000"/>
              <w:right w:val="single" w:sz="6" w:space="0" w:color="000000"/>
            </w:tcBorders>
          </w:tcPr>
          <w:p>
            <w:pPr>
              <w:pStyle w:val="TableParagraph"/>
              <w:spacing w:line="294" w:lineRule="exact"/>
              <w:ind w:left="106" w:right="83"/>
              <w:rPr>
                <w:sz w:val="21"/>
              </w:rPr>
            </w:pPr>
            <w:r>
              <w:rPr>
                <w:sz w:val="21"/>
              </w:rPr>
              <w:t>敏感性</w:t>
            </w:r>
          </w:p>
        </w:tc>
        <w:tc>
          <w:tcPr>
            <w:tcW w:w="7341" w:type="dxa"/>
            <w:tcBorders>
              <w:left w:val="single" w:sz="6" w:space="0" w:color="000000"/>
              <w:bottom w:val="single" w:sz="6" w:space="0" w:color="000000"/>
            </w:tcBorders>
          </w:tcPr>
          <w:p>
            <w:pPr>
              <w:pStyle w:val="TableParagraph"/>
              <w:spacing w:line="294" w:lineRule="exact"/>
              <w:ind w:left="2606" w:right="2568"/>
              <w:rPr>
                <w:sz w:val="21"/>
              </w:rPr>
            </w:pPr>
            <w:r>
              <w:rPr>
                <w:sz w:val="21"/>
              </w:rPr>
              <w:t>地表水环境敏感特征</w:t>
            </w:r>
          </w:p>
        </w:tc>
      </w:tr>
      <w:tr>
        <w:trPr>
          <w:trHeight w:val="935" w:hRule="atLeast"/>
        </w:trPr>
        <w:tc>
          <w:tcPr>
            <w:tcW w:w="1188" w:type="dxa"/>
            <w:tcBorders>
              <w:top w:val="single" w:sz="6" w:space="0" w:color="000000"/>
              <w:bottom w:val="single" w:sz="6" w:space="0" w:color="000000"/>
              <w:right w:val="single" w:sz="6" w:space="0" w:color="000000"/>
            </w:tcBorders>
          </w:tcPr>
          <w:p>
            <w:pPr>
              <w:pStyle w:val="TableParagraph"/>
              <w:spacing w:before="4"/>
              <w:jc w:val="left"/>
              <w:rPr>
                <w:sz w:val="11"/>
              </w:rPr>
            </w:pPr>
          </w:p>
          <w:p>
            <w:pPr>
              <w:pStyle w:val="TableParagraph"/>
              <w:ind w:left="106" w:right="84"/>
              <w:rPr>
                <w:rFonts w:ascii="Times New Roman" w:eastAsia="Times New Roman"/>
                <w:sz w:val="21"/>
              </w:rPr>
            </w:pPr>
            <w:r>
              <w:rPr>
                <w:sz w:val="21"/>
              </w:rPr>
              <w:t>敏感 </w:t>
            </w:r>
            <w:r>
              <w:rPr>
                <w:rFonts w:ascii="Times New Roman" w:eastAsia="Times New Roman"/>
                <w:sz w:val="21"/>
              </w:rPr>
              <w:t>G1</w:t>
            </w:r>
          </w:p>
        </w:tc>
        <w:tc>
          <w:tcPr>
            <w:tcW w:w="7341" w:type="dxa"/>
            <w:tcBorders>
              <w:top w:val="single" w:sz="6" w:space="0" w:color="000000"/>
              <w:left w:val="single" w:sz="6" w:space="0" w:color="000000"/>
              <w:bottom w:val="single" w:sz="6" w:space="0" w:color="000000"/>
            </w:tcBorders>
          </w:tcPr>
          <w:p>
            <w:pPr>
              <w:pStyle w:val="TableParagraph"/>
              <w:spacing w:line="168" w:lineRule="auto" w:before="19"/>
              <w:ind w:left="114" w:right="41"/>
              <w:jc w:val="left"/>
              <w:rPr>
                <w:sz w:val="21"/>
              </w:rPr>
            </w:pPr>
            <w:r>
              <w:rPr>
                <w:sz w:val="21"/>
              </w:rPr>
              <w:t>集中式饮用水水源（包括已建成的在用、备用、应急水源，在建和规划的饮用水水源）准保护区；除集中式饮用水水源以外的国家或地方政府设定的与地下</w:t>
            </w:r>
          </w:p>
          <w:p>
            <w:pPr>
              <w:pStyle w:val="TableParagraph"/>
              <w:spacing w:line="273" w:lineRule="exact"/>
              <w:ind w:left="114"/>
              <w:jc w:val="left"/>
              <w:rPr>
                <w:sz w:val="21"/>
              </w:rPr>
            </w:pPr>
            <w:r>
              <w:rPr>
                <w:sz w:val="21"/>
              </w:rPr>
              <w:t>水环境相关的其他保护区，如热水、矿泉水、温泉等特殊地下水资源保护区</w:t>
            </w:r>
          </w:p>
        </w:tc>
      </w:tr>
      <w:tr>
        <w:trPr>
          <w:trHeight w:val="1560" w:hRule="atLeast"/>
        </w:trPr>
        <w:tc>
          <w:tcPr>
            <w:tcW w:w="1188" w:type="dxa"/>
            <w:tcBorders>
              <w:top w:val="single" w:sz="6" w:space="0" w:color="000000"/>
              <w:bottom w:val="single" w:sz="6" w:space="0" w:color="000000"/>
              <w:right w:val="single" w:sz="6" w:space="0" w:color="000000"/>
            </w:tcBorders>
          </w:tcPr>
          <w:p>
            <w:pPr>
              <w:pStyle w:val="TableParagraph"/>
              <w:spacing w:before="20"/>
              <w:jc w:val="left"/>
              <w:rPr>
                <w:sz w:val="25"/>
              </w:rPr>
            </w:pPr>
          </w:p>
          <w:p>
            <w:pPr>
              <w:pStyle w:val="TableParagraph"/>
              <w:ind w:left="106" w:right="84"/>
              <w:rPr>
                <w:rFonts w:ascii="Times New Roman" w:eastAsia="Times New Roman"/>
                <w:sz w:val="21"/>
              </w:rPr>
            </w:pPr>
            <w:r>
              <w:rPr>
                <w:sz w:val="21"/>
              </w:rPr>
              <w:t>较敏感 </w:t>
            </w:r>
            <w:r>
              <w:rPr>
                <w:rFonts w:ascii="Times New Roman" w:eastAsia="Times New Roman"/>
                <w:sz w:val="21"/>
              </w:rPr>
              <w:t>G2</w:t>
            </w:r>
          </w:p>
        </w:tc>
        <w:tc>
          <w:tcPr>
            <w:tcW w:w="7341" w:type="dxa"/>
            <w:tcBorders>
              <w:top w:val="single" w:sz="6" w:space="0" w:color="000000"/>
              <w:left w:val="single" w:sz="6" w:space="0" w:color="000000"/>
              <w:bottom w:val="single" w:sz="6" w:space="0" w:color="000000"/>
            </w:tcBorders>
          </w:tcPr>
          <w:p>
            <w:pPr>
              <w:pStyle w:val="TableParagraph"/>
              <w:spacing w:line="168" w:lineRule="auto" w:before="19"/>
              <w:ind w:left="114" w:right="-29"/>
              <w:jc w:val="both"/>
              <w:rPr>
                <w:sz w:val="21"/>
              </w:rPr>
            </w:pPr>
            <w:r>
              <w:rPr>
                <w:spacing w:val="-4"/>
                <w:sz w:val="21"/>
              </w:rPr>
              <w:t>集中式饮用水水源</w:t>
            </w:r>
            <w:r>
              <w:rPr>
                <w:spacing w:val="-3"/>
                <w:sz w:val="21"/>
              </w:rPr>
              <w:t>（</w:t>
            </w:r>
            <w:r>
              <w:rPr>
                <w:spacing w:val="-5"/>
                <w:sz w:val="21"/>
              </w:rPr>
              <w:t>包括已建成的在用、备用、应急水源，在建和规划的饮用水水源</w:t>
            </w:r>
            <w:r>
              <w:rPr>
                <w:sz w:val="21"/>
              </w:rPr>
              <w:t>）</w:t>
            </w:r>
            <w:r>
              <w:rPr>
                <w:spacing w:val="-3"/>
                <w:sz w:val="21"/>
              </w:rPr>
              <w:t>准保护区以外的补给径流区；未划定准保护区的集中式饮用水水源， </w:t>
            </w:r>
            <w:r>
              <w:rPr>
                <w:spacing w:val="-10"/>
                <w:sz w:val="21"/>
              </w:rPr>
              <w:t>其保护区以外的补给径流区；分散式饮用水水源地；特殊地下水资源</w:t>
            </w:r>
            <w:r>
              <w:rPr>
                <w:sz w:val="21"/>
              </w:rPr>
              <w:t>（</w:t>
            </w:r>
            <w:r>
              <w:rPr>
                <w:spacing w:val="-3"/>
                <w:sz w:val="21"/>
              </w:rPr>
              <w:t>如热水、</w:t>
            </w:r>
            <w:r>
              <w:rPr>
                <w:spacing w:val="-5"/>
                <w:sz w:val="21"/>
              </w:rPr>
              <w:t>矿泉水、温泉等</w:t>
            </w:r>
            <w:r>
              <w:rPr>
                <w:spacing w:val="-13"/>
                <w:sz w:val="21"/>
              </w:rPr>
              <w:t>）</w:t>
            </w:r>
            <w:r>
              <w:rPr>
                <w:spacing w:val="-3"/>
                <w:sz w:val="21"/>
              </w:rPr>
              <w:t>保护区以外的分布区等其他未列入上述敏感分级的环境敏感</w:t>
            </w:r>
          </w:p>
          <w:p>
            <w:pPr>
              <w:pStyle w:val="TableParagraph"/>
              <w:spacing w:line="275" w:lineRule="exact"/>
              <w:ind w:left="114"/>
              <w:jc w:val="both"/>
              <w:rPr>
                <w:rFonts w:ascii="Times New Roman" w:eastAsia="Times New Roman"/>
                <w:sz w:val="14"/>
              </w:rPr>
            </w:pPr>
            <w:r>
              <w:rPr>
                <w:position w:val="-6"/>
                <w:sz w:val="21"/>
              </w:rPr>
              <w:t>区 </w:t>
            </w:r>
            <w:r>
              <w:rPr>
                <w:rFonts w:ascii="Times New Roman" w:eastAsia="Times New Roman"/>
                <w:sz w:val="14"/>
              </w:rPr>
              <w:t>a</w:t>
            </w:r>
          </w:p>
        </w:tc>
      </w:tr>
      <w:tr>
        <w:trPr>
          <w:trHeight w:val="313" w:hRule="atLeast"/>
        </w:trPr>
        <w:tc>
          <w:tcPr>
            <w:tcW w:w="1188" w:type="dxa"/>
            <w:tcBorders>
              <w:top w:val="single" w:sz="6" w:space="0" w:color="000000"/>
              <w:bottom w:val="single" w:sz="6" w:space="0" w:color="000000"/>
              <w:right w:val="single" w:sz="6" w:space="0" w:color="000000"/>
            </w:tcBorders>
          </w:tcPr>
          <w:p>
            <w:pPr>
              <w:pStyle w:val="TableParagraph"/>
              <w:spacing w:line="294" w:lineRule="exact"/>
              <w:ind w:left="106" w:right="84"/>
              <w:rPr>
                <w:rFonts w:ascii="Times New Roman" w:eastAsia="Times New Roman"/>
                <w:sz w:val="21"/>
              </w:rPr>
            </w:pPr>
            <w:r>
              <w:rPr>
                <w:sz w:val="21"/>
              </w:rPr>
              <w:t>不敏感 </w:t>
            </w:r>
            <w:r>
              <w:rPr>
                <w:rFonts w:ascii="Times New Roman" w:eastAsia="Times New Roman"/>
                <w:sz w:val="21"/>
              </w:rPr>
              <w:t>G3</w:t>
            </w:r>
          </w:p>
        </w:tc>
        <w:tc>
          <w:tcPr>
            <w:tcW w:w="7341" w:type="dxa"/>
            <w:tcBorders>
              <w:top w:val="single" w:sz="6" w:space="0" w:color="000000"/>
              <w:left w:val="single" w:sz="6" w:space="0" w:color="000000"/>
              <w:bottom w:val="single" w:sz="6" w:space="0" w:color="000000"/>
            </w:tcBorders>
          </w:tcPr>
          <w:p>
            <w:pPr>
              <w:pStyle w:val="TableParagraph"/>
              <w:spacing w:line="294" w:lineRule="exact"/>
              <w:ind w:left="114"/>
              <w:jc w:val="left"/>
              <w:rPr>
                <w:sz w:val="21"/>
              </w:rPr>
            </w:pPr>
            <w:r>
              <w:rPr>
                <w:sz w:val="21"/>
              </w:rPr>
              <w:t>上述地区之外的其他地区</w:t>
            </w:r>
          </w:p>
        </w:tc>
      </w:tr>
      <w:tr>
        <w:trPr>
          <w:trHeight w:val="623" w:hRule="atLeast"/>
        </w:trPr>
        <w:tc>
          <w:tcPr>
            <w:tcW w:w="8529" w:type="dxa"/>
            <w:gridSpan w:val="2"/>
            <w:tcBorders>
              <w:top w:val="single" w:sz="6" w:space="0" w:color="000000"/>
            </w:tcBorders>
          </w:tcPr>
          <w:p>
            <w:pPr>
              <w:pStyle w:val="TableParagraph"/>
              <w:spacing w:line="304" w:lineRule="exact"/>
              <w:ind w:left="107"/>
              <w:jc w:val="left"/>
              <w:rPr>
                <w:sz w:val="21"/>
              </w:rPr>
            </w:pPr>
            <w:r>
              <w:rPr>
                <w:rFonts w:ascii="Times New Roman" w:hAnsi="Times New Roman" w:eastAsia="Times New Roman"/>
                <w:sz w:val="21"/>
              </w:rPr>
              <w:t>a“</w:t>
            </w:r>
            <w:r>
              <w:rPr>
                <w:sz w:val="21"/>
              </w:rPr>
              <w:t>环境敏感区</w:t>
            </w:r>
            <w:r>
              <w:rPr>
                <w:rFonts w:ascii="Times New Roman" w:hAnsi="Times New Roman" w:eastAsia="Times New Roman"/>
                <w:sz w:val="21"/>
              </w:rPr>
              <w:t>”</w:t>
            </w:r>
            <w:r>
              <w:rPr>
                <w:sz w:val="21"/>
              </w:rPr>
              <w:t>是指《建设项目环境影响评价分类管理名录》中所界定的涉及地下水的环境</w:t>
            </w:r>
          </w:p>
          <w:p>
            <w:pPr>
              <w:pStyle w:val="TableParagraph"/>
              <w:spacing w:line="299" w:lineRule="exact"/>
              <w:ind w:left="107"/>
              <w:jc w:val="left"/>
              <w:rPr>
                <w:sz w:val="21"/>
              </w:rPr>
            </w:pPr>
            <w:r>
              <w:rPr>
                <w:sz w:val="21"/>
              </w:rPr>
              <w:t>敏感区</w:t>
            </w:r>
          </w:p>
        </w:tc>
      </w:tr>
    </w:tbl>
    <w:p>
      <w:pPr>
        <w:pStyle w:val="BodyText"/>
        <w:spacing w:line="220" w:lineRule="auto"/>
        <w:ind w:left="578" w:right="632" w:firstLine="479"/>
        <w:jc w:val="both"/>
      </w:pPr>
      <w:r>
        <w:rPr>
          <w:spacing w:val="-6"/>
        </w:rPr>
        <w:t>根据搜集的资料和现场实地调查，厂区附近无划定的集中式饮用水水源地准</w:t>
      </w:r>
      <w:r>
        <w:rPr>
          <w:spacing w:val="-9"/>
        </w:rPr>
        <w:t>保护区；也无国家或地方政府设定的与地下水环境相关的如热水、矿泉水、温泉其它保护区；附近农村生活用水主要靠集中供水，水源为集中开采深层地下水， </w:t>
      </w:r>
      <w:r>
        <w:rPr>
          <w:spacing w:val="-19"/>
        </w:rPr>
        <w:t>浅层孔隙水仅用于农田灌溉，因此不属于分散式居民饮用水源地。根据以上条件， </w:t>
      </w:r>
      <w:r>
        <w:rPr>
          <w:spacing w:val="-18"/>
        </w:rPr>
        <w:t>确定项目的地下水环境程度不敏感 </w:t>
      </w:r>
      <w:r>
        <w:rPr>
          <w:rFonts w:ascii="Times New Roman" w:eastAsia="Times New Roman"/>
        </w:rPr>
        <w:t>G3</w:t>
      </w:r>
      <w:r>
        <w:rPr/>
        <w:t>。</w:t>
      </w:r>
    </w:p>
    <w:p>
      <w:pPr>
        <w:tabs>
          <w:tab w:pos="1005" w:val="left" w:leader="none"/>
        </w:tabs>
        <w:spacing w:before="162" w:after="24"/>
        <w:ind w:left="0" w:right="178" w:firstLine="0"/>
        <w:jc w:val="center"/>
        <w:rPr>
          <w:sz w:val="21"/>
        </w:rPr>
      </w:pPr>
      <w:r>
        <w:rPr>
          <w:sz w:val="21"/>
        </w:rPr>
        <w:t>表</w:t>
      </w:r>
      <w:r>
        <w:rPr>
          <w:spacing w:val="9"/>
          <w:sz w:val="21"/>
        </w:rPr>
        <w:t> </w:t>
      </w:r>
      <w:r>
        <w:rPr>
          <w:rFonts w:ascii="Times New Roman" w:eastAsia="Times New Roman"/>
          <w:b/>
          <w:spacing w:val="-3"/>
          <w:sz w:val="21"/>
        </w:rPr>
        <w:t>7.2-11</w:t>
        <w:tab/>
      </w:r>
      <w:r>
        <w:rPr>
          <w:sz w:val="21"/>
        </w:rPr>
        <w:t>包气带防污</w:t>
      </w:r>
      <w:r>
        <w:rPr>
          <w:spacing w:val="-3"/>
          <w:sz w:val="21"/>
        </w:rPr>
        <w:t>性</w:t>
      </w:r>
      <w:r>
        <w:rPr>
          <w:sz w:val="21"/>
        </w:rPr>
        <w:t>能分级</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7341"/>
      </w:tblGrid>
      <w:tr>
        <w:trPr>
          <w:trHeight w:val="313" w:hRule="atLeast"/>
        </w:trPr>
        <w:tc>
          <w:tcPr>
            <w:tcW w:w="1188" w:type="dxa"/>
            <w:tcBorders>
              <w:bottom w:val="single" w:sz="6" w:space="0" w:color="000000"/>
              <w:right w:val="single" w:sz="6" w:space="0" w:color="000000"/>
            </w:tcBorders>
          </w:tcPr>
          <w:p>
            <w:pPr>
              <w:pStyle w:val="TableParagraph"/>
              <w:spacing w:line="294" w:lineRule="exact"/>
              <w:ind w:left="106" w:right="83"/>
              <w:rPr>
                <w:sz w:val="21"/>
              </w:rPr>
            </w:pPr>
            <w:r>
              <w:rPr>
                <w:sz w:val="21"/>
              </w:rPr>
              <w:t>分级</w:t>
            </w:r>
          </w:p>
        </w:tc>
        <w:tc>
          <w:tcPr>
            <w:tcW w:w="7341" w:type="dxa"/>
            <w:tcBorders>
              <w:left w:val="single" w:sz="6" w:space="0" w:color="000000"/>
              <w:bottom w:val="single" w:sz="6" w:space="0" w:color="000000"/>
            </w:tcBorders>
          </w:tcPr>
          <w:p>
            <w:pPr>
              <w:pStyle w:val="TableParagraph"/>
              <w:spacing w:line="294" w:lineRule="exact"/>
              <w:ind w:left="2606" w:right="2571"/>
              <w:rPr>
                <w:sz w:val="21"/>
              </w:rPr>
            </w:pPr>
            <w:r>
              <w:rPr>
                <w:sz w:val="21"/>
              </w:rPr>
              <w:t>包气带岩土的渗透性能</w:t>
            </w:r>
          </w:p>
        </w:tc>
      </w:tr>
      <w:tr>
        <w:trPr>
          <w:trHeight w:val="311" w:hRule="atLeast"/>
        </w:trPr>
        <w:tc>
          <w:tcPr>
            <w:tcW w:w="1188" w:type="dxa"/>
            <w:tcBorders>
              <w:top w:val="single" w:sz="6" w:space="0" w:color="000000"/>
              <w:bottom w:val="single" w:sz="6" w:space="0" w:color="000000"/>
              <w:right w:val="single" w:sz="6" w:space="0" w:color="000000"/>
            </w:tcBorders>
          </w:tcPr>
          <w:p>
            <w:pPr>
              <w:pStyle w:val="TableParagraph"/>
              <w:spacing w:before="34"/>
              <w:ind w:left="106" w:right="82"/>
              <w:rPr>
                <w:rFonts w:ascii="Times New Roman"/>
                <w:sz w:val="21"/>
              </w:rPr>
            </w:pPr>
            <w:r>
              <w:rPr>
                <w:rFonts w:ascii="Times New Roman"/>
                <w:sz w:val="21"/>
              </w:rPr>
              <w:t>D3</w:t>
            </w:r>
          </w:p>
        </w:tc>
        <w:tc>
          <w:tcPr>
            <w:tcW w:w="7341" w:type="dxa"/>
            <w:tcBorders>
              <w:top w:val="single" w:sz="6" w:space="0" w:color="000000"/>
              <w:left w:val="single" w:sz="6" w:space="0" w:color="000000"/>
              <w:bottom w:val="single" w:sz="6" w:space="0" w:color="000000"/>
            </w:tcBorders>
          </w:tcPr>
          <w:p>
            <w:pPr>
              <w:pStyle w:val="TableParagraph"/>
              <w:spacing w:line="291" w:lineRule="exact"/>
              <w:ind w:left="114"/>
              <w:jc w:val="left"/>
              <w:rPr>
                <w:sz w:val="21"/>
              </w:rPr>
            </w:pPr>
            <w:r>
              <w:rPr>
                <w:rFonts w:ascii="Times New Roman" w:hAnsi="Times New Roman" w:eastAsia="Times New Roman"/>
                <w:sz w:val="21"/>
              </w:rPr>
              <w:t>Mb≥1.0m</w:t>
            </w:r>
            <w:r>
              <w:rPr>
                <w:sz w:val="21"/>
              </w:rPr>
              <w:t>，</w:t>
            </w:r>
            <w:r>
              <w:rPr>
                <w:rFonts w:ascii="Times New Roman" w:hAnsi="Times New Roman" w:eastAsia="Times New Roman"/>
                <w:sz w:val="21"/>
              </w:rPr>
              <w:t>K≤1.0×10</w:t>
            </w:r>
            <w:r>
              <w:rPr>
                <w:rFonts w:ascii="Times New Roman" w:hAnsi="Times New Roman" w:eastAsia="Times New Roman"/>
                <w:position w:val="7"/>
                <w:sz w:val="14"/>
              </w:rPr>
              <w:t>-6</w:t>
            </w:r>
            <w:r>
              <w:rPr>
                <w:rFonts w:ascii="Times New Roman" w:hAnsi="Times New Roman" w:eastAsia="Times New Roman"/>
                <w:sz w:val="21"/>
              </w:rPr>
              <w:t>cm/s</w:t>
            </w:r>
            <w:r>
              <w:rPr>
                <w:sz w:val="21"/>
              </w:rPr>
              <w:t>，且分布连续、稳定</w:t>
            </w:r>
          </w:p>
        </w:tc>
      </w:tr>
      <w:tr>
        <w:trPr>
          <w:trHeight w:val="623" w:hRule="atLeast"/>
        </w:trPr>
        <w:tc>
          <w:tcPr>
            <w:tcW w:w="1188" w:type="dxa"/>
            <w:tcBorders>
              <w:top w:val="single" w:sz="6" w:space="0" w:color="000000"/>
              <w:bottom w:val="single" w:sz="6" w:space="0" w:color="000000"/>
              <w:right w:val="single" w:sz="6" w:space="0" w:color="000000"/>
            </w:tcBorders>
          </w:tcPr>
          <w:p>
            <w:pPr>
              <w:pStyle w:val="TableParagraph"/>
              <w:spacing w:before="190"/>
              <w:ind w:left="106" w:right="82"/>
              <w:rPr>
                <w:rFonts w:ascii="Times New Roman"/>
                <w:sz w:val="21"/>
              </w:rPr>
            </w:pPr>
            <w:r>
              <w:rPr>
                <w:rFonts w:ascii="Times New Roman"/>
                <w:sz w:val="21"/>
              </w:rPr>
              <w:t>D2</w:t>
            </w:r>
          </w:p>
        </w:tc>
        <w:tc>
          <w:tcPr>
            <w:tcW w:w="7341" w:type="dxa"/>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rFonts w:ascii="Times New Roman" w:hAnsi="Times New Roman" w:eastAsia="Times New Roman"/>
                <w:sz w:val="21"/>
              </w:rPr>
              <w:t>0.5m≤Mb&lt;1.0m</w:t>
            </w:r>
            <w:r>
              <w:rPr>
                <w:sz w:val="21"/>
              </w:rPr>
              <w:t>，</w:t>
            </w:r>
            <w:r>
              <w:rPr>
                <w:rFonts w:ascii="Times New Roman" w:hAnsi="Times New Roman" w:eastAsia="Times New Roman"/>
                <w:sz w:val="21"/>
              </w:rPr>
              <w:t>K≤1.0×10</w:t>
            </w:r>
            <w:r>
              <w:rPr>
                <w:rFonts w:ascii="Times New Roman" w:hAnsi="Times New Roman" w:eastAsia="Times New Roman"/>
                <w:position w:val="7"/>
                <w:sz w:val="14"/>
              </w:rPr>
              <w:t>-6</w:t>
            </w:r>
            <w:r>
              <w:rPr>
                <w:rFonts w:ascii="Times New Roman" w:hAnsi="Times New Roman" w:eastAsia="Times New Roman"/>
                <w:sz w:val="21"/>
              </w:rPr>
              <w:t>cm/s</w:t>
            </w:r>
            <w:r>
              <w:rPr>
                <w:sz w:val="21"/>
              </w:rPr>
              <w:t>，且分布连续、稳定</w:t>
            </w:r>
          </w:p>
          <w:p>
            <w:pPr>
              <w:pStyle w:val="TableParagraph"/>
              <w:spacing w:line="303" w:lineRule="exact"/>
              <w:ind w:left="114"/>
              <w:jc w:val="left"/>
              <w:rPr>
                <w:sz w:val="21"/>
              </w:rPr>
            </w:pPr>
            <w:r>
              <w:rPr>
                <w:rFonts w:ascii="Times New Roman" w:hAnsi="Times New Roman" w:eastAsia="Times New Roman"/>
                <w:sz w:val="21"/>
              </w:rPr>
              <w:t>Mb≥1.0m</w:t>
            </w:r>
            <w:r>
              <w:rPr>
                <w:sz w:val="21"/>
              </w:rPr>
              <w:t>，</w:t>
            </w:r>
            <w:r>
              <w:rPr>
                <w:rFonts w:ascii="Times New Roman" w:hAnsi="Times New Roman" w:eastAsia="Times New Roman"/>
                <w:sz w:val="21"/>
              </w:rPr>
              <w:t>1.0×10 </w:t>
            </w:r>
            <w:r>
              <w:rPr>
                <w:rFonts w:ascii="Times New Roman" w:hAnsi="Times New Roman" w:eastAsia="Times New Roman"/>
                <w:position w:val="7"/>
                <w:sz w:val="14"/>
              </w:rPr>
              <w:t>-6</w:t>
            </w:r>
            <w:r>
              <w:rPr>
                <w:rFonts w:ascii="Times New Roman" w:hAnsi="Times New Roman" w:eastAsia="Times New Roman"/>
                <w:sz w:val="21"/>
              </w:rPr>
              <w:t>cm/s</w:t>
            </w:r>
            <w:r>
              <w:rPr>
                <w:sz w:val="21"/>
              </w:rPr>
              <w:t>＜</w:t>
            </w:r>
            <w:r>
              <w:rPr>
                <w:rFonts w:ascii="Times New Roman" w:hAnsi="Times New Roman" w:eastAsia="Times New Roman"/>
                <w:sz w:val="21"/>
              </w:rPr>
              <w:t>K≤1.0×10</w:t>
            </w:r>
            <w:r>
              <w:rPr>
                <w:rFonts w:ascii="Times New Roman" w:hAnsi="Times New Roman" w:eastAsia="Times New Roman"/>
                <w:position w:val="7"/>
                <w:sz w:val="14"/>
              </w:rPr>
              <w:t>-4</w:t>
            </w:r>
            <w:r>
              <w:rPr>
                <w:rFonts w:ascii="Times New Roman" w:hAnsi="Times New Roman" w:eastAsia="Times New Roman"/>
                <w:sz w:val="21"/>
              </w:rPr>
              <w:t>cm/s</w:t>
            </w:r>
            <w:r>
              <w:rPr>
                <w:sz w:val="21"/>
              </w:rPr>
              <w:t>，且分布连续、稳定</w:t>
            </w:r>
          </w:p>
        </w:tc>
      </w:tr>
      <w:tr>
        <w:trPr>
          <w:trHeight w:val="314" w:hRule="atLeast"/>
        </w:trPr>
        <w:tc>
          <w:tcPr>
            <w:tcW w:w="1188" w:type="dxa"/>
            <w:tcBorders>
              <w:top w:val="single" w:sz="6" w:space="0" w:color="000000"/>
              <w:bottom w:val="single" w:sz="6" w:space="0" w:color="000000"/>
              <w:right w:val="single" w:sz="6" w:space="0" w:color="000000"/>
            </w:tcBorders>
          </w:tcPr>
          <w:p>
            <w:pPr>
              <w:pStyle w:val="TableParagraph"/>
              <w:spacing w:before="39"/>
              <w:ind w:left="106" w:right="82"/>
              <w:rPr>
                <w:rFonts w:ascii="Times New Roman"/>
                <w:b/>
                <w:sz w:val="21"/>
              </w:rPr>
            </w:pPr>
            <w:r>
              <w:rPr>
                <w:rFonts w:ascii="Times New Roman"/>
                <w:b/>
                <w:sz w:val="21"/>
              </w:rPr>
              <w:t>D1</w:t>
            </w:r>
          </w:p>
        </w:tc>
        <w:tc>
          <w:tcPr>
            <w:tcW w:w="7341" w:type="dxa"/>
            <w:tcBorders>
              <w:top w:val="single" w:sz="6" w:space="0" w:color="000000"/>
              <w:left w:val="single" w:sz="6" w:space="0" w:color="000000"/>
              <w:bottom w:val="single" w:sz="6" w:space="0" w:color="000000"/>
            </w:tcBorders>
          </w:tcPr>
          <w:p>
            <w:pPr>
              <w:pStyle w:val="TableParagraph"/>
              <w:spacing w:line="294" w:lineRule="exact"/>
              <w:ind w:left="114"/>
              <w:jc w:val="left"/>
              <w:rPr>
                <w:sz w:val="21"/>
              </w:rPr>
            </w:pPr>
            <w:r>
              <w:rPr>
                <w:sz w:val="21"/>
              </w:rPr>
              <w:t>岩（土）层不满足上述</w:t>
            </w:r>
            <w:r>
              <w:rPr>
                <w:rFonts w:ascii="Times New Roman" w:hAnsi="Times New Roman" w:eastAsia="Times New Roman"/>
                <w:b/>
                <w:sz w:val="21"/>
              </w:rPr>
              <w:t>“D2”</w:t>
            </w:r>
            <w:r>
              <w:rPr>
                <w:sz w:val="21"/>
              </w:rPr>
              <w:t>和</w:t>
            </w:r>
            <w:r>
              <w:rPr>
                <w:rFonts w:ascii="Times New Roman" w:hAnsi="Times New Roman" w:eastAsia="Times New Roman"/>
                <w:b/>
                <w:sz w:val="21"/>
              </w:rPr>
              <w:t>“D3”</w:t>
            </w:r>
            <w:r>
              <w:rPr>
                <w:sz w:val="21"/>
              </w:rPr>
              <w:t>条件</w:t>
            </w:r>
          </w:p>
        </w:tc>
      </w:tr>
      <w:tr>
        <w:trPr>
          <w:trHeight w:val="311" w:hRule="atLeast"/>
        </w:trPr>
        <w:tc>
          <w:tcPr>
            <w:tcW w:w="8529" w:type="dxa"/>
            <w:gridSpan w:val="2"/>
            <w:tcBorders>
              <w:top w:val="single" w:sz="6" w:space="0" w:color="000000"/>
            </w:tcBorders>
          </w:tcPr>
          <w:p>
            <w:pPr>
              <w:pStyle w:val="TableParagraph"/>
              <w:spacing w:line="291" w:lineRule="exact"/>
              <w:ind w:left="107"/>
              <w:jc w:val="left"/>
              <w:rPr>
                <w:sz w:val="21"/>
              </w:rPr>
            </w:pPr>
            <w:r>
              <w:rPr>
                <w:rFonts w:ascii="Times New Roman" w:eastAsia="Times New Roman"/>
                <w:sz w:val="21"/>
              </w:rPr>
              <w:t>Mb</w:t>
            </w:r>
            <w:r>
              <w:rPr>
                <w:sz w:val="21"/>
              </w:rPr>
              <w:t>：岩土层单层厚度。</w:t>
            </w:r>
            <w:r>
              <w:rPr>
                <w:rFonts w:ascii="Times New Roman" w:eastAsia="Times New Roman"/>
                <w:sz w:val="21"/>
              </w:rPr>
              <w:t>K</w:t>
            </w:r>
            <w:r>
              <w:rPr>
                <w:sz w:val="21"/>
              </w:rPr>
              <w:t>：渗透系数</w:t>
            </w:r>
          </w:p>
        </w:tc>
      </w:tr>
    </w:tbl>
    <w:p>
      <w:pPr>
        <w:pStyle w:val="BodyText"/>
        <w:spacing w:line="220" w:lineRule="auto" w:before="148"/>
        <w:ind w:left="578" w:right="691" w:firstLine="482"/>
        <w:rPr>
          <w:rFonts w:ascii="Times New Roman" w:hAnsi="Times New Roman" w:eastAsia="Times New Roman"/>
        </w:rPr>
      </w:pPr>
      <w:r>
        <w:rPr/>
        <w:t>根据项目厂区岩土勘察报告，项目区岩土层厚度为 </w:t>
      </w:r>
      <w:r>
        <w:rPr>
          <w:rFonts w:ascii="Times New Roman" w:hAnsi="Times New Roman" w:eastAsia="Times New Roman"/>
        </w:rPr>
        <w:t>0.4-1.6m</w:t>
      </w:r>
      <w:r>
        <w:rPr/>
        <w:t>，项目区砂土渗透系数为 </w:t>
      </w:r>
      <w:r>
        <w:rPr>
          <w:rFonts w:ascii="Times New Roman" w:hAnsi="Times New Roman" w:eastAsia="Times New Roman"/>
        </w:rPr>
        <w:t>1.0×10 </w:t>
      </w:r>
      <w:r>
        <w:rPr>
          <w:rFonts w:ascii="Times New Roman" w:hAnsi="Times New Roman" w:eastAsia="Times New Roman"/>
          <w:position w:val="9"/>
          <w:sz w:val="16"/>
        </w:rPr>
        <w:t>-4</w:t>
      </w:r>
      <w:r>
        <w:rPr/>
        <w:t>～</w:t>
      </w:r>
      <w:r>
        <w:rPr>
          <w:rFonts w:ascii="Times New Roman" w:hAnsi="Times New Roman" w:eastAsia="Times New Roman"/>
        </w:rPr>
        <w:t>6.0×10 </w:t>
      </w:r>
      <w:r>
        <w:rPr>
          <w:rFonts w:ascii="Times New Roman" w:hAnsi="Times New Roman" w:eastAsia="Times New Roman"/>
          <w:position w:val="9"/>
          <w:sz w:val="16"/>
        </w:rPr>
        <w:t>-4 </w:t>
      </w:r>
      <w:r>
        <w:rPr>
          <w:rFonts w:ascii="Times New Roman" w:hAnsi="Times New Roman" w:eastAsia="Times New Roman"/>
        </w:rPr>
        <w:t>cm/s</w:t>
      </w:r>
      <w:r>
        <w:rPr/>
        <w:t>，因此场区包气带防污性能为</w:t>
      </w:r>
      <w:r>
        <w:rPr>
          <w:rFonts w:ascii="Times New Roman" w:hAnsi="Times New Roman" w:eastAsia="Times New Roman"/>
        </w:rPr>
        <w:t>“D1”</w:t>
      </w:r>
      <w:r>
        <w:rPr/>
        <w:t>。</w:t>
      </w:r>
      <w:r>
        <w:rPr>
          <w:rFonts w:ascii="Times New Roman" w:hAnsi="Times New Roman" w:eastAsia="Times New Roman"/>
        </w:rPr>
        <w:t>”</w:t>
      </w:r>
    </w:p>
    <w:p>
      <w:pPr>
        <w:pStyle w:val="BodyText"/>
        <w:spacing w:line="460" w:lineRule="exact"/>
        <w:ind w:left="1058"/>
      </w:pPr>
      <w:r>
        <w:rPr/>
        <w:t>结合表 </w:t>
      </w:r>
      <w:r>
        <w:rPr>
          <w:rFonts w:ascii="Times New Roman" w:eastAsia="Times New Roman"/>
        </w:rPr>
        <w:t>7.2-9-</w:t>
      </w:r>
      <w:r>
        <w:rPr/>
        <w:t>表 </w:t>
      </w:r>
      <w:r>
        <w:rPr>
          <w:rFonts w:ascii="Times New Roman" w:eastAsia="Times New Roman"/>
        </w:rPr>
        <w:t>7.2-11</w:t>
      </w:r>
      <w:r>
        <w:rPr/>
        <w:t>，因此建设项目地下水环境敏感程度为 </w:t>
      </w:r>
      <w:r>
        <w:rPr>
          <w:rFonts w:ascii="Times New Roman" w:eastAsia="Times New Roman"/>
        </w:rPr>
        <w:t>E2</w:t>
      </w:r>
      <w:r>
        <w:rPr/>
        <w:t>。</w:t>
      </w:r>
    </w:p>
    <w:p>
      <w:pPr>
        <w:pStyle w:val="BodyText"/>
        <w:spacing w:line="468" w:lineRule="exact"/>
        <w:ind w:left="1058"/>
      </w:pPr>
      <w:r>
        <w:rPr>
          <w:rFonts w:ascii="Times New Roman" w:eastAsia="Times New Roman"/>
        </w:rPr>
        <w:t>3 </w:t>
      </w:r>
      <w:r>
        <w:rPr/>
        <w:t>环境风险潜势划分</w:t>
      </w:r>
    </w:p>
    <w:p>
      <w:pPr>
        <w:pStyle w:val="BodyText"/>
        <w:spacing w:line="488" w:lineRule="exact"/>
        <w:ind w:left="1058"/>
      </w:pPr>
      <w:r>
        <w:rPr/>
        <w:t>建设项目环境风险潜势划分为Ⅰ、Ⅱ、Ⅲ、Ⅳ</w:t>
      </w:r>
      <w:r>
        <w:rPr>
          <w:rFonts w:ascii="Times New Roman" w:hAnsi="Times New Roman" w:eastAsia="Times New Roman"/>
        </w:rPr>
        <w:t>/</w:t>
      </w:r>
      <w:r>
        <w:rPr/>
        <w:t>Ⅳ</w:t>
      </w:r>
      <w:r>
        <w:rPr>
          <w:rFonts w:ascii="Times New Roman" w:hAnsi="Times New Roman" w:eastAsia="Times New Roman"/>
          <w:vertAlign w:val="superscript"/>
        </w:rPr>
        <w:t>+</w:t>
      </w:r>
      <w:r>
        <w:rPr>
          <w:vertAlign w:val="baseline"/>
        </w:rPr>
        <w:t>级。</w:t>
      </w:r>
    </w:p>
    <w:p>
      <w:pPr>
        <w:spacing w:after="0" w:line="488" w:lineRule="exact"/>
        <w:sectPr>
          <w:pgSz w:w="11910" w:h="16840"/>
          <w:pgMar w:header="877" w:footer="973" w:top="1340" w:bottom="1160" w:left="1220" w:right="1040"/>
        </w:sectPr>
      </w:pPr>
    </w:p>
    <w:p>
      <w:pPr>
        <w:pStyle w:val="BodyText"/>
        <w:spacing w:line="220" w:lineRule="auto" w:before="77"/>
        <w:ind w:left="578" w:right="666" w:firstLine="479"/>
        <w:jc w:val="both"/>
      </w:pPr>
      <w:r>
        <w:rPr/>
        <w:t>根据建设项目涉及的物质和工艺系统的危险性及其所在地的环境敏感程度， 结合事故情形下环境影响途径，对建设项目潜在环境危害程度进行概化分析，按照表 </w:t>
      </w:r>
      <w:r>
        <w:rPr>
          <w:rFonts w:ascii="Times New Roman" w:eastAsia="Times New Roman"/>
        </w:rPr>
        <w:t>7.2-12 </w:t>
      </w:r>
      <w:r>
        <w:rPr/>
        <w:t>确定环境风险潜势。</w:t>
      </w:r>
    </w:p>
    <w:p>
      <w:pPr>
        <w:tabs>
          <w:tab w:pos="1017" w:val="left" w:leader="none"/>
        </w:tabs>
        <w:spacing w:before="162" w:after="24"/>
        <w:ind w:left="0" w:right="175" w:firstLine="0"/>
        <w:jc w:val="center"/>
        <w:rPr>
          <w:sz w:val="21"/>
        </w:rPr>
      </w:pPr>
      <w:r>
        <w:rPr>
          <w:sz w:val="21"/>
        </w:rPr>
        <w:t>表</w:t>
      </w:r>
      <w:r>
        <w:rPr>
          <w:spacing w:val="7"/>
          <w:sz w:val="21"/>
        </w:rPr>
        <w:t> </w:t>
      </w:r>
      <w:r>
        <w:rPr>
          <w:rFonts w:ascii="Times New Roman" w:eastAsia="Times New Roman"/>
          <w:b/>
          <w:sz w:val="21"/>
        </w:rPr>
        <w:t>7.2-12</w:t>
        <w:tab/>
      </w:r>
      <w:r>
        <w:rPr>
          <w:sz w:val="21"/>
        </w:rPr>
        <w:t>建设项目环</w:t>
      </w:r>
      <w:r>
        <w:rPr>
          <w:spacing w:val="-3"/>
          <w:sz w:val="21"/>
        </w:rPr>
        <w:t>境</w:t>
      </w:r>
      <w:r>
        <w:rPr>
          <w:sz w:val="21"/>
        </w:rPr>
        <w:t>风险潜势划分</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71"/>
        <w:gridCol w:w="1620"/>
        <w:gridCol w:w="1623"/>
        <w:gridCol w:w="1443"/>
        <w:gridCol w:w="1572"/>
      </w:tblGrid>
      <w:tr>
        <w:trPr>
          <w:trHeight w:val="311" w:hRule="atLeast"/>
        </w:trPr>
        <w:tc>
          <w:tcPr>
            <w:tcW w:w="2271" w:type="dxa"/>
            <w:vMerge w:val="restart"/>
            <w:tcBorders>
              <w:bottom w:val="single" w:sz="2" w:space="0" w:color="000000"/>
              <w:right w:val="single" w:sz="2" w:space="0" w:color="000000"/>
            </w:tcBorders>
          </w:tcPr>
          <w:p>
            <w:pPr>
              <w:pStyle w:val="TableParagraph"/>
              <w:spacing w:before="5"/>
              <w:jc w:val="left"/>
              <w:rPr>
                <w:sz w:val="11"/>
              </w:rPr>
            </w:pPr>
          </w:p>
          <w:p>
            <w:pPr>
              <w:pStyle w:val="TableParagraph"/>
              <w:ind w:left="229"/>
              <w:jc w:val="left"/>
              <w:rPr>
                <w:sz w:val="21"/>
              </w:rPr>
            </w:pPr>
            <w:r>
              <w:rPr>
                <w:sz w:val="21"/>
              </w:rPr>
              <w:t>环境敏感程度（</w:t>
            </w:r>
            <w:r>
              <w:rPr>
                <w:rFonts w:ascii="Times New Roman" w:eastAsia="Times New Roman"/>
                <w:sz w:val="21"/>
              </w:rPr>
              <w:t>E</w:t>
            </w:r>
            <w:r>
              <w:rPr>
                <w:sz w:val="21"/>
              </w:rPr>
              <w:t>）</w:t>
            </w:r>
          </w:p>
        </w:tc>
        <w:tc>
          <w:tcPr>
            <w:tcW w:w="6258" w:type="dxa"/>
            <w:gridSpan w:val="4"/>
            <w:tcBorders>
              <w:left w:val="single" w:sz="2" w:space="0" w:color="000000"/>
              <w:bottom w:val="single" w:sz="2" w:space="0" w:color="000000"/>
              <w:right w:val="single" w:sz="4" w:space="0" w:color="000000"/>
            </w:tcBorders>
          </w:tcPr>
          <w:p>
            <w:pPr>
              <w:pStyle w:val="TableParagraph"/>
              <w:spacing w:line="291" w:lineRule="exact"/>
              <w:ind w:left="1610"/>
              <w:jc w:val="left"/>
              <w:rPr>
                <w:sz w:val="21"/>
              </w:rPr>
            </w:pPr>
            <w:r>
              <w:rPr>
                <w:sz w:val="21"/>
              </w:rPr>
              <w:t>危险物质及工艺系统危险性（</w:t>
            </w:r>
            <w:r>
              <w:rPr>
                <w:rFonts w:ascii="Times New Roman" w:eastAsia="Times New Roman"/>
                <w:sz w:val="21"/>
              </w:rPr>
              <w:t>P</w:t>
            </w:r>
            <w:r>
              <w:rPr>
                <w:sz w:val="21"/>
              </w:rPr>
              <w:t>）</w:t>
            </w:r>
          </w:p>
        </w:tc>
      </w:tr>
      <w:tr>
        <w:trPr>
          <w:trHeight w:val="626" w:hRule="atLeast"/>
        </w:trPr>
        <w:tc>
          <w:tcPr>
            <w:tcW w:w="2271" w:type="dxa"/>
            <w:vMerge/>
            <w:tcBorders>
              <w:top w:val="nil"/>
              <w:bottom w:val="single" w:sz="2" w:space="0" w:color="000000"/>
              <w:right w:val="single" w:sz="2" w:space="0" w:color="000000"/>
            </w:tcBorders>
          </w:tcPr>
          <w:p>
            <w:pPr>
              <w:rPr>
                <w:sz w:val="2"/>
                <w:szCs w:val="2"/>
              </w:rPr>
            </w:pPr>
          </w:p>
        </w:tc>
        <w:tc>
          <w:tcPr>
            <w:tcW w:w="1620" w:type="dxa"/>
            <w:tcBorders>
              <w:top w:val="single" w:sz="2" w:space="0" w:color="000000"/>
              <w:left w:val="single" w:sz="2" w:space="0" w:color="000000"/>
              <w:bottom w:val="single" w:sz="2" w:space="0" w:color="000000"/>
              <w:right w:val="single" w:sz="2" w:space="0" w:color="000000"/>
            </w:tcBorders>
          </w:tcPr>
          <w:p>
            <w:pPr>
              <w:pStyle w:val="TableParagraph"/>
              <w:spacing w:line="303" w:lineRule="exact"/>
              <w:ind w:left="276" w:right="248"/>
              <w:rPr>
                <w:sz w:val="21"/>
              </w:rPr>
            </w:pPr>
            <w:r>
              <w:rPr>
                <w:sz w:val="21"/>
              </w:rPr>
              <w:t>极高危害</w:t>
            </w:r>
          </w:p>
          <w:p>
            <w:pPr>
              <w:pStyle w:val="TableParagraph"/>
              <w:spacing w:line="303" w:lineRule="exact"/>
              <w:ind w:left="276" w:right="245"/>
              <w:rPr>
                <w:sz w:val="21"/>
              </w:rPr>
            </w:pPr>
            <w:r>
              <w:rPr>
                <w:sz w:val="21"/>
              </w:rPr>
              <w:t>（</w:t>
            </w:r>
            <w:r>
              <w:rPr>
                <w:rFonts w:ascii="Times New Roman" w:eastAsia="Times New Roman"/>
                <w:sz w:val="21"/>
              </w:rPr>
              <w:t>P1</w:t>
            </w:r>
            <w:r>
              <w:rPr>
                <w:sz w:val="21"/>
              </w:rPr>
              <w:t>）</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spacing w:line="303" w:lineRule="exact"/>
              <w:ind w:left="403"/>
              <w:jc w:val="left"/>
              <w:rPr>
                <w:sz w:val="21"/>
              </w:rPr>
            </w:pPr>
            <w:r>
              <w:rPr>
                <w:sz w:val="21"/>
              </w:rPr>
              <w:t>高度危害</w:t>
            </w:r>
          </w:p>
          <w:p>
            <w:pPr>
              <w:pStyle w:val="TableParagraph"/>
              <w:spacing w:line="303" w:lineRule="exact"/>
              <w:ind w:left="501"/>
              <w:jc w:val="left"/>
              <w:rPr>
                <w:sz w:val="21"/>
              </w:rPr>
            </w:pPr>
            <w:r>
              <w:rPr>
                <w:sz w:val="21"/>
              </w:rPr>
              <w:t>（</w:t>
            </w:r>
            <w:r>
              <w:rPr>
                <w:rFonts w:ascii="Times New Roman" w:eastAsia="Times New Roman"/>
                <w:sz w:val="21"/>
              </w:rPr>
              <w:t>P2</w:t>
            </w:r>
            <w:r>
              <w:rPr>
                <w:sz w:val="21"/>
              </w:rPr>
              <w:t>）</w:t>
            </w:r>
          </w:p>
        </w:tc>
        <w:tc>
          <w:tcPr>
            <w:tcW w:w="1443" w:type="dxa"/>
            <w:tcBorders>
              <w:top w:val="single" w:sz="2" w:space="0" w:color="000000"/>
              <w:left w:val="single" w:sz="2" w:space="0" w:color="000000"/>
              <w:bottom w:val="single" w:sz="2" w:space="0" w:color="000000"/>
              <w:right w:val="single" w:sz="2" w:space="0" w:color="000000"/>
            </w:tcBorders>
          </w:tcPr>
          <w:p>
            <w:pPr>
              <w:pStyle w:val="TableParagraph"/>
              <w:spacing w:line="303" w:lineRule="exact"/>
              <w:ind w:left="311"/>
              <w:jc w:val="left"/>
              <w:rPr>
                <w:sz w:val="21"/>
              </w:rPr>
            </w:pPr>
            <w:r>
              <w:rPr>
                <w:sz w:val="21"/>
              </w:rPr>
              <w:t>中度危害</w:t>
            </w:r>
          </w:p>
          <w:p>
            <w:pPr>
              <w:pStyle w:val="TableParagraph"/>
              <w:spacing w:line="303" w:lineRule="exact"/>
              <w:ind w:left="410"/>
              <w:jc w:val="left"/>
              <w:rPr>
                <w:sz w:val="21"/>
              </w:rPr>
            </w:pPr>
            <w:r>
              <w:rPr>
                <w:sz w:val="21"/>
              </w:rPr>
              <w:t>（</w:t>
            </w:r>
            <w:r>
              <w:rPr>
                <w:rFonts w:ascii="Times New Roman" w:eastAsia="Times New Roman"/>
                <w:sz w:val="21"/>
              </w:rPr>
              <w:t>P3</w:t>
            </w:r>
            <w:r>
              <w:rPr>
                <w:sz w:val="21"/>
              </w:rPr>
              <w:t>）</w:t>
            </w:r>
          </w:p>
        </w:tc>
        <w:tc>
          <w:tcPr>
            <w:tcW w:w="1572" w:type="dxa"/>
            <w:tcBorders>
              <w:top w:val="single" w:sz="2" w:space="0" w:color="000000"/>
              <w:left w:val="single" w:sz="2" w:space="0" w:color="000000"/>
              <w:bottom w:val="single" w:sz="2" w:space="0" w:color="000000"/>
              <w:right w:val="single" w:sz="4" w:space="0" w:color="000000"/>
            </w:tcBorders>
          </w:tcPr>
          <w:p>
            <w:pPr>
              <w:pStyle w:val="TableParagraph"/>
              <w:spacing w:line="303" w:lineRule="exact"/>
              <w:ind w:left="376"/>
              <w:jc w:val="left"/>
              <w:rPr>
                <w:sz w:val="21"/>
              </w:rPr>
            </w:pPr>
            <w:r>
              <w:rPr>
                <w:sz w:val="21"/>
              </w:rPr>
              <w:t>轻度危害</w:t>
            </w:r>
          </w:p>
          <w:p>
            <w:pPr>
              <w:pStyle w:val="TableParagraph"/>
              <w:spacing w:line="303" w:lineRule="exact"/>
              <w:ind w:left="474"/>
              <w:jc w:val="left"/>
              <w:rPr>
                <w:sz w:val="21"/>
              </w:rPr>
            </w:pPr>
            <w:r>
              <w:rPr>
                <w:sz w:val="21"/>
              </w:rPr>
              <w:t>（</w:t>
            </w:r>
            <w:r>
              <w:rPr>
                <w:rFonts w:ascii="Times New Roman" w:eastAsia="Times New Roman"/>
                <w:sz w:val="21"/>
              </w:rPr>
              <w:t>P4</w:t>
            </w:r>
            <w:r>
              <w:rPr>
                <w:sz w:val="21"/>
              </w:rPr>
              <w:t>）</w:t>
            </w:r>
          </w:p>
        </w:tc>
      </w:tr>
      <w:tr>
        <w:trPr>
          <w:trHeight w:val="311" w:hRule="atLeast"/>
        </w:trPr>
        <w:tc>
          <w:tcPr>
            <w:tcW w:w="2271" w:type="dxa"/>
            <w:tcBorders>
              <w:top w:val="single" w:sz="2" w:space="0" w:color="000000"/>
              <w:bottom w:val="single" w:sz="2" w:space="0" w:color="000000"/>
              <w:right w:val="single" w:sz="2" w:space="0" w:color="000000"/>
            </w:tcBorders>
          </w:tcPr>
          <w:p>
            <w:pPr>
              <w:pStyle w:val="TableParagraph"/>
              <w:spacing w:line="292" w:lineRule="exact"/>
              <w:ind w:left="87" w:right="2"/>
              <w:rPr>
                <w:sz w:val="21"/>
              </w:rPr>
            </w:pPr>
            <w:r>
              <w:rPr>
                <w:sz w:val="21"/>
              </w:rPr>
              <w:t>环境高度敏感区（</w:t>
            </w:r>
            <w:r>
              <w:rPr>
                <w:rFonts w:ascii="Times New Roman" w:eastAsia="Times New Roman"/>
                <w:sz w:val="21"/>
              </w:rPr>
              <w:t>E1</w:t>
            </w:r>
            <w:r>
              <w:rPr>
                <w:sz w:val="21"/>
              </w:rPr>
              <w:t>）</w:t>
            </w:r>
          </w:p>
        </w:tc>
        <w:tc>
          <w:tcPr>
            <w:tcW w:w="1620"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676"/>
              <w:jc w:val="left"/>
              <w:rPr>
                <w:rFonts w:ascii="Times New Roman" w:hAnsi="Times New Roman"/>
                <w:sz w:val="14"/>
              </w:rPr>
            </w:pPr>
            <w:r>
              <w:rPr>
                <w:position w:val="-6"/>
                <w:sz w:val="21"/>
              </w:rPr>
              <w:t>Ⅳ</w:t>
            </w:r>
            <w:r>
              <w:rPr>
                <w:rFonts w:ascii="Times New Roman" w:hAnsi="Times New Roman"/>
                <w:sz w:val="14"/>
              </w:rPr>
              <w:t>+</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8"/>
              <w:rPr>
                <w:sz w:val="21"/>
              </w:rPr>
            </w:pPr>
            <w:r>
              <w:rPr>
                <w:w w:val="100"/>
                <w:sz w:val="21"/>
              </w:rPr>
              <w:t>Ⅳ</w:t>
            </w:r>
          </w:p>
        </w:tc>
        <w:tc>
          <w:tcPr>
            <w:tcW w:w="1443"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5"/>
              <w:rPr>
                <w:sz w:val="21"/>
              </w:rPr>
            </w:pPr>
            <w:r>
              <w:rPr>
                <w:w w:val="100"/>
                <w:sz w:val="21"/>
              </w:rPr>
              <w:t>Ⅲ</w:t>
            </w:r>
          </w:p>
        </w:tc>
        <w:tc>
          <w:tcPr>
            <w:tcW w:w="1572" w:type="dxa"/>
            <w:tcBorders>
              <w:top w:val="single" w:sz="2" w:space="0" w:color="000000"/>
              <w:left w:val="single" w:sz="2" w:space="0" w:color="000000"/>
              <w:bottom w:val="single" w:sz="2" w:space="0" w:color="000000"/>
              <w:right w:val="single" w:sz="4" w:space="0" w:color="000000"/>
            </w:tcBorders>
          </w:tcPr>
          <w:p>
            <w:pPr>
              <w:pStyle w:val="TableParagraph"/>
              <w:spacing w:line="292" w:lineRule="exact"/>
              <w:ind w:left="28"/>
              <w:rPr>
                <w:sz w:val="21"/>
              </w:rPr>
            </w:pPr>
            <w:r>
              <w:rPr>
                <w:w w:val="100"/>
                <w:sz w:val="21"/>
              </w:rPr>
              <w:t>Ⅲ</w:t>
            </w:r>
          </w:p>
        </w:tc>
      </w:tr>
      <w:tr>
        <w:trPr>
          <w:trHeight w:val="312" w:hRule="atLeast"/>
        </w:trPr>
        <w:tc>
          <w:tcPr>
            <w:tcW w:w="2271" w:type="dxa"/>
            <w:tcBorders>
              <w:top w:val="single" w:sz="2" w:space="0" w:color="000000"/>
              <w:bottom w:val="single" w:sz="2" w:space="0" w:color="000000"/>
              <w:right w:val="single" w:sz="2" w:space="0" w:color="000000"/>
            </w:tcBorders>
          </w:tcPr>
          <w:p>
            <w:pPr>
              <w:pStyle w:val="TableParagraph"/>
              <w:spacing w:line="292" w:lineRule="exact"/>
              <w:ind w:left="87" w:right="2"/>
              <w:rPr>
                <w:sz w:val="21"/>
              </w:rPr>
            </w:pPr>
            <w:r>
              <w:rPr>
                <w:sz w:val="21"/>
              </w:rPr>
              <w:t>环境中度敏感区（</w:t>
            </w:r>
            <w:r>
              <w:rPr>
                <w:rFonts w:ascii="Times New Roman" w:eastAsia="Times New Roman"/>
                <w:sz w:val="21"/>
              </w:rPr>
              <w:t>E2</w:t>
            </w:r>
            <w:r>
              <w:rPr>
                <w:sz w:val="21"/>
              </w:rPr>
              <w:t>）</w:t>
            </w:r>
          </w:p>
        </w:tc>
        <w:tc>
          <w:tcPr>
            <w:tcW w:w="1620"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715"/>
              <w:jc w:val="left"/>
              <w:rPr>
                <w:sz w:val="21"/>
              </w:rPr>
            </w:pPr>
            <w:r>
              <w:rPr>
                <w:w w:val="100"/>
                <w:sz w:val="21"/>
              </w:rPr>
              <w:t>Ⅳ</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8"/>
              <w:rPr>
                <w:sz w:val="21"/>
              </w:rPr>
            </w:pPr>
            <w:r>
              <w:rPr>
                <w:w w:val="100"/>
                <w:sz w:val="21"/>
              </w:rPr>
              <w:t>Ⅲ</w:t>
            </w:r>
          </w:p>
        </w:tc>
        <w:tc>
          <w:tcPr>
            <w:tcW w:w="1443"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5"/>
              <w:rPr>
                <w:sz w:val="21"/>
              </w:rPr>
            </w:pPr>
            <w:r>
              <w:rPr>
                <w:w w:val="100"/>
                <w:sz w:val="21"/>
              </w:rPr>
              <w:t>Ⅲ</w:t>
            </w:r>
          </w:p>
        </w:tc>
        <w:tc>
          <w:tcPr>
            <w:tcW w:w="1572" w:type="dxa"/>
            <w:tcBorders>
              <w:top w:val="single" w:sz="2" w:space="0" w:color="000000"/>
              <w:left w:val="single" w:sz="2" w:space="0" w:color="000000"/>
              <w:bottom w:val="single" w:sz="2" w:space="0" w:color="000000"/>
              <w:right w:val="single" w:sz="4" w:space="0" w:color="000000"/>
            </w:tcBorders>
          </w:tcPr>
          <w:p>
            <w:pPr>
              <w:pStyle w:val="TableParagraph"/>
              <w:spacing w:line="292" w:lineRule="exact"/>
              <w:ind w:left="28"/>
              <w:rPr>
                <w:sz w:val="21"/>
              </w:rPr>
            </w:pPr>
            <w:r>
              <w:rPr>
                <w:w w:val="100"/>
                <w:sz w:val="21"/>
              </w:rPr>
              <w:t>Ⅱ</w:t>
            </w:r>
          </w:p>
        </w:tc>
      </w:tr>
      <w:tr>
        <w:trPr>
          <w:trHeight w:val="311" w:hRule="atLeast"/>
        </w:trPr>
        <w:tc>
          <w:tcPr>
            <w:tcW w:w="2271" w:type="dxa"/>
            <w:tcBorders>
              <w:top w:val="single" w:sz="2" w:space="0" w:color="000000"/>
              <w:bottom w:val="single" w:sz="2" w:space="0" w:color="000000"/>
              <w:right w:val="single" w:sz="2" w:space="0" w:color="000000"/>
            </w:tcBorders>
          </w:tcPr>
          <w:p>
            <w:pPr>
              <w:pStyle w:val="TableParagraph"/>
              <w:spacing w:line="292" w:lineRule="exact"/>
              <w:ind w:left="87" w:right="2"/>
              <w:rPr>
                <w:sz w:val="21"/>
              </w:rPr>
            </w:pPr>
            <w:r>
              <w:rPr>
                <w:sz w:val="21"/>
              </w:rPr>
              <w:t>环境低度敏感区（</w:t>
            </w:r>
            <w:r>
              <w:rPr>
                <w:rFonts w:ascii="Times New Roman" w:eastAsia="Times New Roman"/>
                <w:sz w:val="21"/>
              </w:rPr>
              <w:t>E3</w:t>
            </w:r>
            <w:r>
              <w:rPr>
                <w:sz w:val="21"/>
              </w:rPr>
              <w:t>）</w:t>
            </w:r>
          </w:p>
        </w:tc>
        <w:tc>
          <w:tcPr>
            <w:tcW w:w="1620"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715"/>
              <w:jc w:val="left"/>
              <w:rPr>
                <w:sz w:val="21"/>
              </w:rPr>
            </w:pPr>
            <w:r>
              <w:rPr>
                <w:w w:val="100"/>
                <w:sz w:val="21"/>
              </w:rPr>
              <w:t>Ⅲ</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8"/>
              <w:rPr>
                <w:sz w:val="21"/>
              </w:rPr>
            </w:pPr>
            <w:r>
              <w:rPr>
                <w:w w:val="100"/>
                <w:sz w:val="21"/>
              </w:rPr>
              <w:t>Ⅲ</w:t>
            </w:r>
          </w:p>
        </w:tc>
        <w:tc>
          <w:tcPr>
            <w:tcW w:w="1443"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5"/>
              <w:rPr>
                <w:sz w:val="21"/>
              </w:rPr>
            </w:pPr>
            <w:r>
              <w:rPr>
                <w:w w:val="100"/>
                <w:sz w:val="21"/>
              </w:rPr>
              <w:t>Ⅱ</w:t>
            </w:r>
          </w:p>
        </w:tc>
        <w:tc>
          <w:tcPr>
            <w:tcW w:w="1572" w:type="dxa"/>
            <w:tcBorders>
              <w:top w:val="single" w:sz="2" w:space="0" w:color="000000"/>
              <w:left w:val="single" w:sz="2" w:space="0" w:color="000000"/>
              <w:bottom w:val="single" w:sz="2" w:space="0" w:color="000000"/>
              <w:right w:val="single" w:sz="4" w:space="0" w:color="000000"/>
            </w:tcBorders>
          </w:tcPr>
          <w:p>
            <w:pPr>
              <w:pStyle w:val="TableParagraph"/>
              <w:spacing w:line="292" w:lineRule="exact"/>
              <w:ind w:left="28"/>
              <w:rPr>
                <w:sz w:val="21"/>
              </w:rPr>
            </w:pPr>
            <w:r>
              <w:rPr>
                <w:w w:val="100"/>
                <w:sz w:val="21"/>
              </w:rPr>
              <w:t>Ⅰ</w:t>
            </w:r>
          </w:p>
        </w:tc>
      </w:tr>
      <w:tr>
        <w:trPr>
          <w:trHeight w:val="311" w:hRule="atLeast"/>
        </w:trPr>
        <w:tc>
          <w:tcPr>
            <w:tcW w:w="8529" w:type="dxa"/>
            <w:gridSpan w:val="5"/>
            <w:tcBorders>
              <w:top w:val="single" w:sz="2" w:space="0" w:color="000000"/>
              <w:right w:val="single" w:sz="4" w:space="0" w:color="000000"/>
            </w:tcBorders>
          </w:tcPr>
          <w:p>
            <w:pPr>
              <w:pStyle w:val="TableParagraph"/>
              <w:spacing w:line="291" w:lineRule="exact"/>
              <w:ind w:left="107"/>
              <w:jc w:val="left"/>
              <w:rPr>
                <w:sz w:val="21"/>
              </w:rPr>
            </w:pPr>
            <w:r>
              <w:rPr>
                <w:sz w:val="21"/>
              </w:rPr>
              <w:t>注：Ⅳ</w:t>
            </w:r>
            <w:r>
              <w:rPr>
                <w:rFonts w:ascii="Times New Roman" w:hAnsi="Times New Roman" w:eastAsia="Times New Roman"/>
                <w:position w:val="7"/>
                <w:sz w:val="14"/>
              </w:rPr>
              <w:t>+</w:t>
            </w:r>
            <w:r>
              <w:rPr>
                <w:sz w:val="21"/>
              </w:rPr>
              <w:t>为极高环境风险</w:t>
            </w:r>
          </w:p>
        </w:tc>
      </w:tr>
    </w:tbl>
    <w:p>
      <w:pPr>
        <w:pStyle w:val="BodyText"/>
        <w:spacing w:before="120"/>
        <w:ind w:left="1060"/>
      </w:pPr>
      <w:r>
        <w:rPr/>
        <w:t>本项目各环境要素环境风险潜势见表 </w:t>
      </w:r>
      <w:r>
        <w:rPr>
          <w:rFonts w:ascii="Times New Roman" w:eastAsia="Times New Roman"/>
        </w:rPr>
        <w:t>7.2-13</w:t>
      </w:r>
      <w:r>
        <w:rPr/>
        <w:t>。</w:t>
      </w:r>
    </w:p>
    <w:p>
      <w:pPr>
        <w:tabs>
          <w:tab w:pos="1017" w:val="left" w:leader="none"/>
        </w:tabs>
        <w:spacing w:before="150" w:after="24"/>
        <w:ind w:left="0" w:right="175" w:firstLine="0"/>
        <w:jc w:val="center"/>
        <w:rPr>
          <w:sz w:val="21"/>
        </w:rPr>
      </w:pPr>
      <w:r>
        <w:rPr>
          <w:sz w:val="21"/>
        </w:rPr>
        <w:t>表</w:t>
      </w:r>
      <w:r>
        <w:rPr>
          <w:spacing w:val="7"/>
          <w:sz w:val="21"/>
        </w:rPr>
        <w:t> </w:t>
      </w:r>
      <w:r>
        <w:rPr>
          <w:rFonts w:ascii="Times New Roman" w:eastAsia="Times New Roman"/>
          <w:b/>
          <w:sz w:val="21"/>
        </w:rPr>
        <w:t>7.2-13</w:t>
        <w:tab/>
      </w:r>
      <w:r>
        <w:rPr>
          <w:sz w:val="21"/>
        </w:rPr>
        <w:t>建设项目各</w:t>
      </w:r>
      <w:r>
        <w:rPr>
          <w:spacing w:val="-3"/>
          <w:sz w:val="21"/>
        </w:rPr>
        <w:t>环</w:t>
      </w:r>
      <w:r>
        <w:rPr>
          <w:sz w:val="21"/>
        </w:rPr>
        <w:t>境要素环境风险潜势</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68"/>
        <w:gridCol w:w="1645"/>
        <w:gridCol w:w="3596"/>
        <w:gridCol w:w="1921"/>
      </w:tblGrid>
      <w:tr>
        <w:trPr>
          <w:trHeight w:val="313" w:hRule="atLeast"/>
        </w:trPr>
        <w:tc>
          <w:tcPr>
            <w:tcW w:w="1368" w:type="dxa"/>
            <w:tcBorders>
              <w:bottom w:val="single" w:sz="6" w:space="0" w:color="000000"/>
              <w:right w:val="single" w:sz="6" w:space="0" w:color="000000"/>
            </w:tcBorders>
          </w:tcPr>
          <w:p>
            <w:pPr>
              <w:pStyle w:val="TableParagraph"/>
              <w:spacing w:line="294" w:lineRule="exact"/>
              <w:ind w:left="139" w:right="116"/>
              <w:rPr>
                <w:sz w:val="21"/>
              </w:rPr>
            </w:pPr>
            <w:r>
              <w:rPr>
                <w:sz w:val="21"/>
              </w:rPr>
              <w:t>环境要素</w:t>
            </w:r>
          </w:p>
        </w:tc>
        <w:tc>
          <w:tcPr>
            <w:tcW w:w="1645" w:type="dxa"/>
            <w:tcBorders>
              <w:left w:val="single" w:sz="6" w:space="0" w:color="000000"/>
              <w:bottom w:val="single" w:sz="6" w:space="0" w:color="000000"/>
              <w:right w:val="single" w:sz="6" w:space="0" w:color="000000"/>
            </w:tcBorders>
          </w:tcPr>
          <w:p>
            <w:pPr>
              <w:pStyle w:val="TableParagraph"/>
              <w:spacing w:line="294" w:lineRule="exact"/>
              <w:ind w:left="281" w:right="259"/>
              <w:rPr>
                <w:sz w:val="21"/>
              </w:rPr>
            </w:pPr>
            <w:r>
              <w:rPr>
                <w:sz w:val="21"/>
              </w:rPr>
              <w:t>环境敏感区</w:t>
            </w:r>
          </w:p>
        </w:tc>
        <w:tc>
          <w:tcPr>
            <w:tcW w:w="3596" w:type="dxa"/>
            <w:tcBorders>
              <w:left w:val="single" w:sz="6" w:space="0" w:color="000000"/>
              <w:bottom w:val="single" w:sz="6" w:space="0" w:color="000000"/>
              <w:right w:val="single" w:sz="6" w:space="0" w:color="000000"/>
            </w:tcBorders>
          </w:tcPr>
          <w:p>
            <w:pPr>
              <w:pStyle w:val="TableParagraph"/>
              <w:spacing w:line="294" w:lineRule="exact"/>
              <w:ind w:left="539"/>
              <w:jc w:val="left"/>
              <w:rPr>
                <w:sz w:val="21"/>
              </w:rPr>
            </w:pPr>
            <w:r>
              <w:rPr>
                <w:sz w:val="21"/>
              </w:rPr>
              <w:t>危险物质及工艺系统危险性</w:t>
            </w:r>
          </w:p>
        </w:tc>
        <w:tc>
          <w:tcPr>
            <w:tcW w:w="1921" w:type="dxa"/>
            <w:tcBorders>
              <w:left w:val="single" w:sz="6" w:space="0" w:color="000000"/>
              <w:bottom w:val="single" w:sz="6" w:space="0" w:color="000000"/>
            </w:tcBorders>
          </w:tcPr>
          <w:p>
            <w:pPr>
              <w:pStyle w:val="TableParagraph"/>
              <w:spacing w:line="294" w:lineRule="exact"/>
              <w:ind w:left="316" w:right="282"/>
              <w:rPr>
                <w:sz w:val="21"/>
              </w:rPr>
            </w:pPr>
            <w:r>
              <w:rPr>
                <w:sz w:val="21"/>
              </w:rPr>
              <w:t>环境风险潜势</w:t>
            </w:r>
          </w:p>
        </w:tc>
      </w:tr>
      <w:tr>
        <w:trPr>
          <w:trHeight w:val="303" w:hRule="atLeast"/>
        </w:trPr>
        <w:tc>
          <w:tcPr>
            <w:tcW w:w="1368" w:type="dxa"/>
            <w:tcBorders>
              <w:top w:val="single" w:sz="6" w:space="0" w:color="000000"/>
              <w:bottom w:val="single" w:sz="6" w:space="0" w:color="000000"/>
              <w:right w:val="single" w:sz="6" w:space="0" w:color="000000"/>
            </w:tcBorders>
          </w:tcPr>
          <w:p>
            <w:pPr>
              <w:pStyle w:val="TableParagraph"/>
              <w:spacing w:line="284" w:lineRule="exact"/>
              <w:ind w:left="137" w:right="116"/>
              <w:rPr>
                <w:sz w:val="21"/>
              </w:rPr>
            </w:pPr>
            <w:r>
              <w:rPr>
                <w:sz w:val="21"/>
              </w:rPr>
              <w:t>大气</w:t>
            </w:r>
          </w:p>
        </w:tc>
        <w:tc>
          <w:tcPr>
            <w:tcW w:w="1645" w:type="dxa"/>
            <w:tcBorders>
              <w:top w:val="single" w:sz="6" w:space="0" w:color="000000"/>
              <w:left w:val="single" w:sz="6" w:space="0" w:color="000000"/>
              <w:bottom w:val="single" w:sz="6" w:space="0" w:color="000000"/>
              <w:right w:val="single" w:sz="6" w:space="0" w:color="000000"/>
            </w:tcBorders>
          </w:tcPr>
          <w:p>
            <w:pPr>
              <w:pStyle w:val="TableParagraph"/>
              <w:spacing w:before="34"/>
              <w:ind w:left="281" w:right="255"/>
              <w:rPr>
                <w:rFonts w:ascii="Times New Roman"/>
                <w:sz w:val="21"/>
              </w:rPr>
            </w:pPr>
            <w:r>
              <w:rPr>
                <w:rFonts w:ascii="Times New Roman"/>
                <w:sz w:val="21"/>
              </w:rPr>
              <w:t>E1</w:t>
            </w:r>
          </w:p>
        </w:tc>
        <w:tc>
          <w:tcPr>
            <w:tcW w:w="3596" w:type="dxa"/>
            <w:vMerge w:val="restart"/>
            <w:tcBorders>
              <w:top w:val="single" w:sz="6" w:space="0" w:color="000000"/>
              <w:left w:val="single" w:sz="6" w:space="0" w:color="000000"/>
              <w:right w:val="single" w:sz="6" w:space="0" w:color="000000"/>
            </w:tcBorders>
          </w:tcPr>
          <w:p>
            <w:pPr>
              <w:pStyle w:val="TableParagraph"/>
              <w:jc w:val="left"/>
              <w:rPr>
                <w:sz w:val="17"/>
              </w:rPr>
            </w:pPr>
          </w:p>
          <w:p>
            <w:pPr>
              <w:pStyle w:val="TableParagraph"/>
              <w:ind w:left="1672" w:right="1647"/>
              <w:rPr>
                <w:rFonts w:ascii="Times New Roman"/>
                <w:sz w:val="21"/>
              </w:rPr>
            </w:pPr>
            <w:r>
              <w:rPr>
                <w:rFonts w:ascii="Times New Roman"/>
                <w:sz w:val="21"/>
              </w:rPr>
              <w:t>P2</w:t>
            </w:r>
          </w:p>
        </w:tc>
        <w:tc>
          <w:tcPr>
            <w:tcW w:w="1921" w:type="dxa"/>
            <w:tcBorders>
              <w:top w:val="single" w:sz="6" w:space="0" w:color="000000"/>
              <w:left w:val="single" w:sz="6" w:space="0" w:color="000000"/>
              <w:bottom w:val="single" w:sz="6" w:space="0" w:color="000000"/>
            </w:tcBorders>
          </w:tcPr>
          <w:p>
            <w:pPr>
              <w:pStyle w:val="TableParagraph"/>
              <w:spacing w:line="284" w:lineRule="exact"/>
              <w:ind w:left="29"/>
              <w:rPr>
                <w:sz w:val="21"/>
              </w:rPr>
            </w:pPr>
            <w:r>
              <w:rPr>
                <w:w w:val="100"/>
                <w:sz w:val="21"/>
              </w:rPr>
              <w:t>Ⅳ</w:t>
            </w:r>
          </w:p>
        </w:tc>
      </w:tr>
      <w:tr>
        <w:trPr>
          <w:trHeight w:val="296" w:hRule="atLeast"/>
        </w:trPr>
        <w:tc>
          <w:tcPr>
            <w:tcW w:w="1368" w:type="dxa"/>
            <w:tcBorders>
              <w:top w:val="single" w:sz="6" w:space="0" w:color="000000"/>
              <w:bottom w:val="single" w:sz="6" w:space="0" w:color="000000"/>
              <w:right w:val="single" w:sz="6" w:space="0" w:color="000000"/>
            </w:tcBorders>
          </w:tcPr>
          <w:p>
            <w:pPr>
              <w:pStyle w:val="TableParagraph"/>
              <w:spacing w:line="276" w:lineRule="exact"/>
              <w:ind w:left="137" w:right="116"/>
              <w:rPr>
                <w:sz w:val="21"/>
              </w:rPr>
            </w:pPr>
            <w:r>
              <w:rPr>
                <w:sz w:val="21"/>
              </w:rPr>
              <w:t>地表水</w:t>
            </w:r>
          </w:p>
        </w:tc>
        <w:tc>
          <w:tcPr>
            <w:tcW w:w="1645" w:type="dxa"/>
            <w:tcBorders>
              <w:top w:val="single" w:sz="6" w:space="0" w:color="000000"/>
              <w:left w:val="single" w:sz="6" w:space="0" w:color="000000"/>
              <w:bottom w:val="single" w:sz="6" w:space="0" w:color="000000"/>
              <w:right w:val="single" w:sz="6" w:space="0" w:color="000000"/>
            </w:tcBorders>
          </w:tcPr>
          <w:p>
            <w:pPr>
              <w:pStyle w:val="TableParagraph"/>
              <w:spacing w:before="26"/>
              <w:ind w:left="281" w:right="255"/>
              <w:rPr>
                <w:rFonts w:ascii="Times New Roman"/>
                <w:sz w:val="21"/>
              </w:rPr>
            </w:pPr>
            <w:r>
              <w:rPr>
                <w:rFonts w:ascii="Times New Roman"/>
                <w:sz w:val="21"/>
              </w:rPr>
              <w:t>E3</w:t>
            </w:r>
          </w:p>
        </w:tc>
        <w:tc>
          <w:tcPr>
            <w:tcW w:w="3596" w:type="dxa"/>
            <w:vMerge/>
            <w:tcBorders>
              <w:top w:val="nil"/>
              <w:left w:val="single" w:sz="6" w:space="0" w:color="000000"/>
              <w:right w:val="single" w:sz="6" w:space="0" w:color="000000"/>
            </w:tcBorders>
          </w:tcPr>
          <w:p>
            <w:pPr>
              <w:rPr>
                <w:sz w:val="2"/>
                <w:szCs w:val="2"/>
              </w:rPr>
            </w:pPr>
          </w:p>
        </w:tc>
        <w:tc>
          <w:tcPr>
            <w:tcW w:w="1921" w:type="dxa"/>
            <w:tcBorders>
              <w:top w:val="single" w:sz="6" w:space="0" w:color="000000"/>
              <w:left w:val="single" w:sz="6" w:space="0" w:color="000000"/>
              <w:bottom w:val="single" w:sz="6" w:space="0" w:color="000000"/>
            </w:tcBorders>
          </w:tcPr>
          <w:p>
            <w:pPr>
              <w:pStyle w:val="TableParagraph"/>
              <w:spacing w:line="276" w:lineRule="exact"/>
              <w:ind w:left="29"/>
              <w:rPr>
                <w:sz w:val="21"/>
              </w:rPr>
            </w:pPr>
            <w:r>
              <w:rPr>
                <w:w w:val="100"/>
                <w:sz w:val="21"/>
              </w:rPr>
              <w:t>Ⅲ</w:t>
            </w:r>
          </w:p>
        </w:tc>
      </w:tr>
      <w:tr>
        <w:trPr>
          <w:trHeight w:val="304" w:hRule="atLeast"/>
        </w:trPr>
        <w:tc>
          <w:tcPr>
            <w:tcW w:w="1368" w:type="dxa"/>
            <w:tcBorders>
              <w:top w:val="single" w:sz="6" w:space="0" w:color="000000"/>
              <w:right w:val="single" w:sz="6" w:space="0" w:color="000000"/>
            </w:tcBorders>
          </w:tcPr>
          <w:p>
            <w:pPr>
              <w:pStyle w:val="TableParagraph"/>
              <w:spacing w:line="284" w:lineRule="exact"/>
              <w:ind w:left="137" w:right="116"/>
              <w:rPr>
                <w:sz w:val="21"/>
              </w:rPr>
            </w:pPr>
            <w:r>
              <w:rPr>
                <w:sz w:val="21"/>
              </w:rPr>
              <w:t>地下水</w:t>
            </w:r>
          </w:p>
        </w:tc>
        <w:tc>
          <w:tcPr>
            <w:tcW w:w="1645" w:type="dxa"/>
            <w:tcBorders>
              <w:top w:val="single" w:sz="6" w:space="0" w:color="000000"/>
              <w:left w:val="single" w:sz="6" w:space="0" w:color="000000"/>
              <w:right w:val="single" w:sz="6" w:space="0" w:color="000000"/>
            </w:tcBorders>
          </w:tcPr>
          <w:p>
            <w:pPr>
              <w:pStyle w:val="TableParagraph"/>
              <w:spacing w:before="29"/>
              <w:ind w:left="281" w:right="255"/>
              <w:rPr>
                <w:rFonts w:ascii="Times New Roman"/>
                <w:sz w:val="21"/>
              </w:rPr>
            </w:pPr>
            <w:r>
              <w:rPr>
                <w:rFonts w:ascii="Times New Roman"/>
                <w:sz w:val="21"/>
              </w:rPr>
              <w:t>E2</w:t>
            </w:r>
          </w:p>
        </w:tc>
        <w:tc>
          <w:tcPr>
            <w:tcW w:w="3596" w:type="dxa"/>
            <w:vMerge/>
            <w:tcBorders>
              <w:top w:val="nil"/>
              <w:left w:val="single" w:sz="6" w:space="0" w:color="000000"/>
              <w:right w:val="single" w:sz="6" w:space="0" w:color="000000"/>
            </w:tcBorders>
          </w:tcPr>
          <w:p>
            <w:pPr>
              <w:rPr>
                <w:sz w:val="2"/>
                <w:szCs w:val="2"/>
              </w:rPr>
            </w:pPr>
          </w:p>
        </w:tc>
        <w:tc>
          <w:tcPr>
            <w:tcW w:w="1921" w:type="dxa"/>
            <w:tcBorders>
              <w:top w:val="single" w:sz="6" w:space="0" w:color="000000"/>
              <w:left w:val="single" w:sz="6" w:space="0" w:color="000000"/>
            </w:tcBorders>
          </w:tcPr>
          <w:p>
            <w:pPr>
              <w:pStyle w:val="TableParagraph"/>
              <w:spacing w:line="284" w:lineRule="exact"/>
              <w:ind w:left="29"/>
              <w:rPr>
                <w:sz w:val="21"/>
              </w:rPr>
            </w:pPr>
            <w:r>
              <w:rPr>
                <w:w w:val="100"/>
                <w:sz w:val="21"/>
              </w:rPr>
              <w:t>Ⅲ</w:t>
            </w:r>
          </w:p>
        </w:tc>
      </w:tr>
    </w:tbl>
    <w:p>
      <w:pPr>
        <w:pStyle w:val="Heading2"/>
        <w:numPr>
          <w:ilvl w:val="1"/>
          <w:numId w:val="11"/>
        </w:numPr>
        <w:tabs>
          <w:tab w:pos="1121" w:val="left" w:leader="none"/>
        </w:tabs>
        <w:spacing w:line="240" w:lineRule="auto" w:before="129" w:after="0"/>
        <w:ind w:left="1120" w:right="0" w:hanging="542"/>
        <w:jc w:val="left"/>
      </w:pPr>
      <w:r>
        <w:rPr/>
        <w:t>评价等级和评级范围</w:t>
      </w:r>
    </w:p>
    <w:p>
      <w:pPr>
        <w:pStyle w:val="BodyText"/>
        <w:spacing w:line="488" w:lineRule="exact" w:before="111"/>
        <w:ind w:left="1058"/>
      </w:pPr>
      <w:r>
        <w:rPr>
          <w:rFonts w:ascii="Times New Roman" w:eastAsia="Times New Roman"/>
        </w:rPr>
        <w:t>1</w:t>
      </w:r>
      <w:r>
        <w:rPr/>
        <w:t>、评价等级</w:t>
      </w:r>
    </w:p>
    <w:p>
      <w:pPr>
        <w:pStyle w:val="BodyText"/>
        <w:spacing w:line="220" w:lineRule="auto" w:before="8"/>
        <w:ind w:left="578" w:right="751" w:firstLine="479"/>
        <w:jc w:val="both"/>
      </w:pPr>
      <w:r>
        <w:rPr>
          <w:spacing w:val="-6"/>
        </w:rPr>
        <w:t>环境风险评价工作等级划分为一级、二级、三级。根据建设项目涉及的物质</w:t>
      </w:r>
      <w:r>
        <w:rPr>
          <w:spacing w:val="-10"/>
        </w:rPr>
        <w:t>及工艺系统危险性和所在地的环境敏感性确定环境风险潜势，按照表 </w:t>
      </w:r>
      <w:r>
        <w:rPr>
          <w:rFonts w:ascii="Times New Roman" w:hAnsi="Times New Roman" w:eastAsia="Times New Roman"/>
        </w:rPr>
        <w:t>7.2-14 </w:t>
      </w:r>
      <w:r>
        <w:rPr/>
        <w:t>确定</w:t>
      </w:r>
      <w:r>
        <w:rPr>
          <w:spacing w:val="-9"/>
        </w:rPr>
        <w:t>评价工作等级。风险潜势为Ⅳ及以上，进行一级评价；风险潜势为Ⅲ，进行二级评价；风险潜势为Ⅱ，进行三级评价；风险潜势为Ⅰ，可开展简单分析。</w:t>
      </w:r>
    </w:p>
    <w:p>
      <w:pPr>
        <w:tabs>
          <w:tab w:pos="1017" w:val="left" w:leader="none"/>
        </w:tabs>
        <w:spacing w:before="162" w:after="25"/>
        <w:ind w:left="0" w:right="175" w:firstLine="0"/>
        <w:jc w:val="center"/>
        <w:rPr>
          <w:sz w:val="21"/>
        </w:rPr>
      </w:pPr>
      <w:r>
        <w:rPr>
          <w:sz w:val="21"/>
        </w:rPr>
        <w:t>表</w:t>
      </w:r>
      <w:r>
        <w:rPr>
          <w:spacing w:val="7"/>
          <w:sz w:val="21"/>
        </w:rPr>
        <w:t> </w:t>
      </w:r>
      <w:r>
        <w:rPr>
          <w:rFonts w:ascii="Times New Roman" w:eastAsia="Times New Roman"/>
          <w:b/>
          <w:sz w:val="21"/>
        </w:rPr>
        <w:t>7.2-14</w:t>
        <w:tab/>
      </w:r>
      <w:r>
        <w:rPr>
          <w:sz w:val="21"/>
        </w:rPr>
        <w:t>评价工作等</w:t>
      </w:r>
      <w:r>
        <w:rPr>
          <w:spacing w:val="-3"/>
          <w:sz w:val="21"/>
        </w:rPr>
        <w:t>级</w:t>
      </w:r>
      <w:r>
        <w:rPr>
          <w:sz w:val="21"/>
        </w:rPr>
        <w:t>划分</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4"/>
        <w:gridCol w:w="2559"/>
        <w:gridCol w:w="1263"/>
        <w:gridCol w:w="1784"/>
        <w:gridCol w:w="1339"/>
      </w:tblGrid>
      <w:tr>
        <w:trPr>
          <w:trHeight w:val="313" w:hRule="atLeast"/>
        </w:trPr>
        <w:tc>
          <w:tcPr>
            <w:tcW w:w="1584" w:type="dxa"/>
            <w:tcBorders>
              <w:bottom w:val="single" w:sz="2" w:space="0" w:color="000000"/>
              <w:right w:val="single" w:sz="2" w:space="0" w:color="000000"/>
            </w:tcBorders>
          </w:tcPr>
          <w:p>
            <w:pPr>
              <w:pStyle w:val="TableParagraph"/>
              <w:spacing w:line="294" w:lineRule="exact"/>
              <w:ind w:left="141" w:right="125"/>
              <w:rPr>
                <w:sz w:val="21"/>
              </w:rPr>
            </w:pPr>
            <w:r>
              <w:rPr>
                <w:sz w:val="21"/>
              </w:rPr>
              <w:t>环境风险潜势</w:t>
            </w:r>
          </w:p>
        </w:tc>
        <w:tc>
          <w:tcPr>
            <w:tcW w:w="2559" w:type="dxa"/>
            <w:tcBorders>
              <w:left w:val="single" w:sz="2" w:space="0" w:color="000000"/>
              <w:bottom w:val="single" w:sz="2" w:space="0" w:color="000000"/>
              <w:right w:val="single" w:sz="2" w:space="0" w:color="000000"/>
            </w:tcBorders>
          </w:tcPr>
          <w:p>
            <w:pPr>
              <w:pStyle w:val="TableParagraph"/>
              <w:spacing w:line="294" w:lineRule="exact"/>
              <w:ind w:left="118" w:right="90"/>
              <w:rPr>
                <w:rFonts w:ascii="Times New Roman" w:hAnsi="Times New Roman" w:eastAsia="Times New Roman"/>
                <w:sz w:val="14"/>
              </w:rPr>
            </w:pPr>
            <w:r>
              <w:rPr>
                <w:sz w:val="21"/>
              </w:rPr>
              <w:t>Ⅳ、Ⅳ</w:t>
            </w:r>
            <w:r>
              <w:rPr>
                <w:rFonts w:ascii="Times New Roman" w:hAnsi="Times New Roman" w:eastAsia="Times New Roman"/>
                <w:position w:val="7"/>
                <w:sz w:val="14"/>
              </w:rPr>
              <w:t>+</w:t>
            </w:r>
          </w:p>
        </w:tc>
        <w:tc>
          <w:tcPr>
            <w:tcW w:w="1263" w:type="dxa"/>
            <w:tcBorders>
              <w:left w:val="single" w:sz="2" w:space="0" w:color="000000"/>
              <w:bottom w:val="single" w:sz="2" w:space="0" w:color="000000"/>
              <w:right w:val="single" w:sz="2" w:space="0" w:color="000000"/>
            </w:tcBorders>
          </w:tcPr>
          <w:p>
            <w:pPr>
              <w:pStyle w:val="TableParagraph"/>
              <w:spacing w:line="294" w:lineRule="exact"/>
              <w:ind w:left="537"/>
              <w:jc w:val="left"/>
              <w:rPr>
                <w:sz w:val="21"/>
              </w:rPr>
            </w:pPr>
            <w:r>
              <w:rPr>
                <w:w w:val="100"/>
                <w:sz w:val="21"/>
              </w:rPr>
              <w:t>Ⅲ</w:t>
            </w:r>
          </w:p>
        </w:tc>
        <w:tc>
          <w:tcPr>
            <w:tcW w:w="1784" w:type="dxa"/>
            <w:tcBorders>
              <w:left w:val="single" w:sz="2" w:space="0" w:color="000000"/>
              <w:bottom w:val="single" w:sz="2" w:space="0" w:color="000000"/>
              <w:right w:val="single" w:sz="2" w:space="0" w:color="000000"/>
            </w:tcBorders>
          </w:tcPr>
          <w:p>
            <w:pPr>
              <w:pStyle w:val="TableParagraph"/>
              <w:spacing w:line="294" w:lineRule="exact"/>
              <w:ind w:left="25"/>
              <w:rPr>
                <w:sz w:val="21"/>
              </w:rPr>
            </w:pPr>
            <w:r>
              <w:rPr>
                <w:w w:val="100"/>
                <w:sz w:val="21"/>
              </w:rPr>
              <w:t>Ⅱ</w:t>
            </w:r>
          </w:p>
        </w:tc>
        <w:tc>
          <w:tcPr>
            <w:tcW w:w="1339" w:type="dxa"/>
            <w:tcBorders>
              <w:left w:val="single" w:sz="2" w:space="0" w:color="000000"/>
              <w:bottom w:val="single" w:sz="2" w:space="0" w:color="000000"/>
              <w:right w:val="single" w:sz="4" w:space="0" w:color="000000"/>
            </w:tcBorders>
          </w:tcPr>
          <w:p>
            <w:pPr>
              <w:pStyle w:val="TableParagraph"/>
              <w:spacing w:line="294" w:lineRule="exact"/>
              <w:ind w:left="25"/>
              <w:rPr>
                <w:sz w:val="21"/>
              </w:rPr>
            </w:pPr>
            <w:r>
              <w:rPr>
                <w:w w:val="100"/>
                <w:sz w:val="21"/>
              </w:rPr>
              <w:t>Ⅰ</w:t>
            </w:r>
          </w:p>
        </w:tc>
      </w:tr>
      <w:tr>
        <w:trPr>
          <w:trHeight w:val="311" w:hRule="atLeast"/>
        </w:trPr>
        <w:tc>
          <w:tcPr>
            <w:tcW w:w="1584" w:type="dxa"/>
            <w:tcBorders>
              <w:top w:val="single" w:sz="2" w:space="0" w:color="000000"/>
              <w:bottom w:val="single" w:sz="2" w:space="0" w:color="000000"/>
              <w:right w:val="single" w:sz="2" w:space="0" w:color="000000"/>
            </w:tcBorders>
          </w:tcPr>
          <w:p>
            <w:pPr>
              <w:pStyle w:val="TableParagraph"/>
              <w:spacing w:line="292" w:lineRule="exact"/>
              <w:ind w:left="141" w:right="125"/>
              <w:rPr>
                <w:sz w:val="21"/>
              </w:rPr>
            </w:pPr>
            <w:r>
              <w:rPr>
                <w:sz w:val="21"/>
              </w:rPr>
              <w:t>评价工作等级</w:t>
            </w:r>
          </w:p>
        </w:tc>
        <w:tc>
          <w:tcPr>
            <w:tcW w:w="2559"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9"/>
              <w:rPr>
                <w:sz w:val="21"/>
              </w:rPr>
            </w:pPr>
            <w:r>
              <w:rPr>
                <w:w w:val="100"/>
                <w:sz w:val="21"/>
              </w:rPr>
              <w:t>一</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537"/>
              <w:jc w:val="left"/>
              <w:rPr>
                <w:sz w:val="21"/>
              </w:rPr>
            </w:pPr>
            <w:r>
              <w:rPr>
                <w:w w:val="100"/>
                <w:sz w:val="21"/>
              </w:rPr>
              <w:t>二</w:t>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spacing w:line="292" w:lineRule="exact"/>
              <w:ind w:left="25"/>
              <w:rPr>
                <w:sz w:val="21"/>
              </w:rPr>
            </w:pPr>
            <w:r>
              <w:rPr>
                <w:w w:val="100"/>
                <w:sz w:val="21"/>
              </w:rPr>
              <w:t>三</w:t>
            </w:r>
          </w:p>
        </w:tc>
        <w:tc>
          <w:tcPr>
            <w:tcW w:w="1339" w:type="dxa"/>
            <w:tcBorders>
              <w:top w:val="single" w:sz="2" w:space="0" w:color="000000"/>
              <w:left w:val="single" w:sz="2" w:space="0" w:color="000000"/>
              <w:bottom w:val="single" w:sz="2" w:space="0" w:color="000000"/>
              <w:right w:val="single" w:sz="4" w:space="0" w:color="000000"/>
            </w:tcBorders>
          </w:tcPr>
          <w:p>
            <w:pPr>
              <w:pStyle w:val="TableParagraph"/>
              <w:spacing w:line="292" w:lineRule="exact"/>
              <w:ind w:left="184" w:right="157"/>
              <w:rPr>
                <w:rFonts w:ascii="Times New Roman" w:eastAsia="Times New Roman"/>
                <w:sz w:val="14"/>
              </w:rPr>
            </w:pPr>
            <w:r>
              <w:rPr>
                <w:sz w:val="21"/>
              </w:rPr>
              <w:t>简单分析 </w:t>
            </w:r>
            <w:r>
              <w:rPr>
                <w:rFonts w:ascii="Times New Roman" w:eastAsia="Times New Roman"/>
                <w:position w:val="7"/>
                <w:sz w:val="14"/>
              </w:rPr>
              <w:t>a</w:t>
            </w:r>
          </w:p>
        </w:tc>
      </w:tr>
      <w:tr>
        <w:trPr>
          <w:trHeight w:val="623" w:hRule="atLeast"/>
        </w:trPr>
        <w:tc>
          <w:tcPr>
            <w:tcW w:w="8529" w:type="dxa"/>
            <w:gridSpan w:val="5"/>
            <w:tcBorders>
              <w:top w:val="single" w:sz="2" w:space="0" w:color="000000"/>
              <w:right w:val="single" w:sz="4" w:space="0" w:color="000000"/>
            </w:tcBorders>
          </w:tcPr>
          <w:p>
            <w:pPr>
              <w:pStyle w:val="TableParagraph"/>
              <w:spacing w:line="300" w:lineRule="exact"/>
              <w:ind w:left="107"/>
              <w:jc w:val="left"/>
              <w:rPr>
                <w:sz w:val="21"/>
              </w:rPr>
            </w:pPr>
            <w:r>
              <w:rPr>
                <w:rFonts w:ascii="Times New Roman" w:eastAsia="Times New Roman"/>
                <w:sz w:val="21"/>
              </w:rPr>
              <w:t>a </w:t>
            </w:r>
            <w:r>
              <w:rPr>
                <w:sz w:val="21"/>
              </w:rPr>
              <w:t>是相对于详细评价工作内容而言，在描述危险物质、环境影响途径、环境危害后果、风险</w:t>
            </w:r>
          </w:p>
          <w:p>
            <w:pPr>
              <w:pStyle w:val="TableParagraph"/>
              <w:spacing w:line="303" w:lineRule="exact"/>
              <w:ind w:left="107"/>
              <w:jc w:val="left"/>
              <w:rPr>
                <w:rFonts w:ascii="Times New Roman" w:eastAsia="Times New Roman"/>
                <w:sz w:val="21"/>
              </w:rPr>
            </w:pPr>
            <w:r>
              <w:rPr>
                <w:sz w:val="21"/>
              </w:rPr>
              <w:t>防范措施等方面给出定性的说明。见附录 </w:t>
            </w:r>
            <w:r>
              <w:rPr>
                <w:rFonts w:ascii="Times New Roman" w:eastAsia="Times New Roman"/>
                <w:sz w:val="21"/>
              </w:rPr>
              <w:t>A</w:t>
            </w:r>
          </w:p>
        </w:tc>
      </w:tr>
    </w:tbl>
    <w:p>
      <w:pPr>
        <w:pStyle w:val="BodyText"/>
        <w:spacing w:line="220" w:lineRule="auto" w:before="148"/>
        <w:ind w:left="578" w:right="752" w:firstLine="482"/>
        <w:jc w:val="both"/>
      </w:pPr>
      <w:r>
        <w:rPr>
          <w:spacing w:val="1"/>
        </w:rPr>
        <w:t>结合表 </w:t>
      </w:r>
      <w:r>
        <w:rPr>
          <w:rFonts w:ascii="Times New Roman" w:eastAsia="Times New Roman"/>
        </w:rPr>
        <w:t>7.2-13 </w:t>
      </w:r>
      <w:r>
        <w:rPr>
          <w:spacing w:val="2"/>
        </w:rPr>
        <w:t>至表 </w:t>
      </w:r>
      <w:r>
        <w:rPr>
          <w:rFonts w:ascii="Times New Roman" w:eastAsia="Times New Roman"/>
          <w:spacing w:val="-4"/>
        </w:rPr>
        <w:t>7.2-14</w:t>
      </w:r>
      <w:r>
        <w:rPr>
          <w:spacing w:val="-8"/>
        </w:rPr>
        <w:t>，本项目大气、地表水、地下水环境风险评价等级</w:t>
      </w:r>
      <w:r>
        <w:rPr>
          <w:spacing w:val="-4"/>
        </w:rPr>
        <w:t>见表 </w:t>
      </w:r>
      <w:r>
        <w:rPr>
          <w:rFonts w:ascii="Times New Roman" w:eastAsia="Times New Roman"/>
        </w:rPr>
        <w:t>7.2-15</w:t>
      </w:r>
      <w:r>
        <w:rPr/>
        <w:t>。</w:t>
      </w:r>
    </w:p>
    <w:p>
      <w:pPr>
        <w:tabs>
          <w:tab w:pos="1017" w:val="left" w:leader="none"/>
        </w:tabs>
        <w:spacing w:before="163"/>
        <w:ind w:left="0" w:right="175" w:firstLine="0"/>
        <w:jc w:val="center"/>
        <w:rPr>
          <w:sz w:val="21"/>
        </w:rPr>
      </w:pPr>
      <w:r>
        <w:rPr>
          <w:sz w:val="21"/>
        </w:rPr>
        <w:t>表</w:t>
      </w:r>
      <w:r>
        <w:rPr>
          <w:spacing w:val="7"/>
          <w:sz w:val="21"/>
        </w:rPr>
        <w:t> </w:t>
      </w:r>
      <w:r>
        <w:rPr>
          <w:rFonts w:ascii="Times New Roman" w:eastAsia="Times New Roman"/>
          <w:b/>
          <w:sz w:val="21"/>
        </w:rPr>
        <w:t>7.2-15</w:t>
        <w:tab/>
      </w:r>
      <w:r>
        <w:rPr>
          <w:sz w:val="21"/>
        </w:rPr>
        <w:t>拟建项目环</w:t>
      </w:r>
      <w:r>
        <w:rPr>
          <w:spacing w:val="-3"/>
          <w:sz w:val="21"/>
        </w:rPr>
        <w:t>境</w:t>
      </w:r>
      <w:r>
        <w:rPr>
          <w:sz w:val="21"/>
        </w:rPr>
        <w:t>风险评价等级判定</w:t>
      </w:r>
    </w:p>
    <w:p>
      <w:pPr>
        <w:spacing w:after="0"/>
        <w:jc w:val="center"/>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2"/>
        <w:gridCol w:w="2844"/>
        <w:gridCol w:w="2842"/>
      </w:tblGrid>
      <w:tr>
        <w:trPr>
          <w:trHeight w:val="311" w:hRule="atLeast"/>
        </w:trPr>
        <w:tc>
          <w:tcPr>
            <w:tcW w:w="2842" w:type="dxa"/>
            <w:tcBorders>
              <w:bottom w:val="single" w:sz="6" w:space="0" w:color="000000"/>
              <w:right w:val="single" w:sz="6" w:space="0" w:color="000000"/>
            </w:tcBorders>
          </w:tcPr>
          <w:p>
            <w:pPr>
              <w:pStyle w:val="TableParagraph"/>
              <w:spacing w:line="292" w:lineRule="exact"/>
              <w:ind w:left="762" w:right="739"/>
              <w:rPr>
                <w:sz w:val="21"/>
              </w:rPr>
            </w:pPr>
            <w:r>
              <w:rPr>
                <w:sz w:val="21"/>
              </w:rPr>
              <w:t>环境要素</w:t>
            </w:r>
          </w:p>
        </w:tc>
        <w:tc>
          <w:tcPr>
            <w:tcW w:w="2844" w:type="dxa"/>
            <w:tcBorders>
              <w:left w:val="single" w:sz="6" w:space="0" w:color="000000"/>
              <w:bottom w:val="single" w:sz="6" w:space="0" w:color="000000"/>
              <w:right w:val="single" w:sz="6" w:space="0" w:color="000000"/>
            </w:tcBorders>
          </w:tcPr>
          <w:p>
            <w:pPr>
              <w:pStyle w:val="TableParagraph"/>
              <w:spacing w:line="292" w:lineRule="exact"/>
              <w:ind w:left="780" w:right="749"/>
              <w:rPr>
                <w:sz w:val="21"/>
              </w:rPr>
            </w:pPr>
            <w:r>
              <w:rPr>
                <w:sz w:val="21"/>
              </w:rPr>
              <w:t>环境风险潜势</w:t>
            </w:r>
          </w:p>
        </w:tc>
        <w:tc>
          <w:tcPr>
            <w:tcW w:w="2842" w:type="dxa"/>
            <w:tcBorders>
              <w:left w:val="single" w:sz="6" w:space="0" w:color="000000"/>
              <w:bottom w:val="single" w:sz="6" w:space="0" w:color="000000"/>
            </w:tcBorders>
          </w:tcPr>
          <w:p>
            <w:pPr>
              <w:pStyle w:val="TableParagraph"/>
              <w:spacing w:line="292" w:lineRule="exact"/>
              <w:ind w:left="780" w:right="739"/>
              <w:rPr>
                <w:sz w:val="21"/>
              </w:rPr>
            </w:pPr>
            <w:r>
              <w:rPr>
                <w:sz w:val="21"/>
              </w:rPr>
              <w:t>评价工作等级</w:t>
            </w:r>
          </w:p>
        </w:tc>
      </w:tr>
      <w:tr>
        <w:trPr>
          <w:trHeight w:val="313" w:hRule="atLeast"/>
        </w:trPr>
        <w:tc>
          <w:tcPr>
            <w:tcW w:w="2842" w:type="dxa"/>
            <w:tcBorders>
              <w:top w:val="single" w:sz="6" w:space="0" w:color="000000"/>
              <w:bottom w:val="single" w:sz="6" w:space="0" w:color="000000"/>
              <w:right w:val="single" w:sz="6" w:space="0" w:color="000000"/>
            </w:tcBorders>
          </w:tcPr>
          <w:p>
            <w:pPr>
              <w:pStyle w:val="TableParagraph"/>
              <w:spacing w:line="294" w:lineRule="exact"/>
              <w:ind w:left="759" w:right="739"/>
              <w:rPr>
                <w:sz w:val="21"/>
              </w:rPr>
            </w:pPr>
            <w:r>
              <w:rPr>
                <w:sz w:val="21"/>
              </w:rPr>
              <w:t>大气</w:t>
            </w:r>
          </w:p>
        </w:tc>
        <w:tc>
          <w:tcPr>
            <w:tcW w:w="2844"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6"/>
              <w:rPr>
                <w:sz w:val="21"/>
              </w:rPr>
            </w:pPr>
            <w:r>
              <w:rPr>
                <w:w w:val="100"/>
                <w:sz w:val="21"/>
              </w:rPr>
              <w:t>Ⅳ</w:t>
            </w:r>
          </w:p>
        </w:tc>
        <w:tc>
          <w:tcPr>
            <w:tcW w:w="2842" w:type="dxa"/>
            <w:tcBorders>
              <w:top w:val="single" w:sz="6" w:space="0" w:color="000000"/>
              <w:left w:val="single" w:sz="6" w:space="0" w:color="000000"/>
              <w:bottom w:val="single" w:sz="6" w:space="0" w:color="000000"/>
            </w:tcBorders>
          </w:tcPr>
          <w:p>
            <w:pPr>
              <w:pStyle w:val="TableParagraph"/>
              <w:spacing w:line="294" w:lineRule="exact"/>
              <w:ind w:left="38"/>
              <w:rPr>
                <w:sz w:val="21"/>
              </w:rPr>
            </w:pPr>
            <w:r>
              <w:rPr>
                <w:w w:val="100"/>
                <w:sz w:val="21"/>
              </w:rPr>
              <w:t>一</w:t>
            </w:r>
          </w:p>
        </w:tc>
      </w:tr>
      <w:tr>
        <w:trPr>
          <w:trHeight w:val="311" w:hRule="atLeast"/>
        </w:trPr>
        <w:tc>
          <w:tcPr>
            <w:tcW w:w="2842" w:type="dxa"/>
            <w:tcBorders>
              <w:top w:val="single" w:sz="6" w:space="0" w:color="000000"/>
              <w:bottom w:val="single" w:sz="6" w:space="0" w:color="000000"/>
              <w:right w:val="single" w:sz="6" w:space="0" w:color="000000"/>
            </w:tcBorders>
          </w:tcPr>
          <w:p>
            <w:pPr>
              <w:pStyle w:val="TableParagraph"/>
              <w:spacing w:line="291" w:lineRule="exact"/>
              <w:ind w:left="759" w:right="739"/>
              <w:rPr>
                <w:sz w:val="21"/>
              </w:rPr>
            </w:pPr>
            <w:r>
              <w:rPr>
                <w:sz w:val="21"/>
              </w:rPr>
              <w:t>地表水</w:t>
            </w:r>
          </w:p>
        </w:tc>
        <w:tc>
          <w:tcPr>
            <w:tcW w:w="2844"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6"/>
              <w:rPr>
                <w:sz w:val="21"/>
              </w:rPr>
            </w:pPr>
            <w:r>
              <w:rPr>
                <w:w w:val="100"/>
                <w:sz w:val="21"/>
              </w:rPr>
              <w:t>Ⅲ</w:t>
            </w:r>
          </w:p>
        </w:tc>
        <w:tc>
          <w:tcPr>
            <w:tcW w:w="2842" w:type="dxa"/>
            <w:tcBorders>
              <w:top w:val="single" w:sz="6" w:space="0" w:color="000000"/>
              <w:left w:val="single" w:sz="6" w:space="0" w:color="000000"/>
              <w:bottom w:val="single" w:sz="6" w:space="0" w:color="000000"/>
            </w:tcBorders>
          </w:tcPr>
          <w:p>
            <w:pPr>
              <w:pStyle w:val="TableParagraph"/>
              <w:spacing w:line="291" w:lineRule="exact"/>
              <w:ind w:left="38"/>
              <w:rPr>
                <w:sz w:val="21"/>
              </w:rPr>
            </w:pPr>
            <w:r>
              <w:rPr>
                <w:w w:val="100"/>
                <w:sz w:val="21"/>
              </w:rPr>
              <w:t>二</w:t>
            </w:r>
          </w:p>
        </w:tc>
      </w:tr>
      <w:tr>
        <w:trPr>
          <w:trHeight w:val="311" w:hRule="atLeast"/>
        </w:trPr>
        <w:tc>
          <w:tcPr>
            <w:tcW w:w="2842" w:type="dxa"/>
            <w:tcBorders>
              <w:top w:val="single" w:sz="6" w:space="0" w:color="000000"/>
              <w:right w:val="single" w:sz="6" w:space="0" w:color="000000"/>
            </w:tcBorders>
          </w:tcPr>
          <w:p>
            <w:pPr>
              <w:pStyle w:val="TableParagraph"/>
              <w:spacing w:line="291" w:lineRule="exact"/>
              <w:ind w:left="759" w:right="739"/>
              <w:rPr>
                <w:sz w:val="21"/>
              </w:rPr>
            </w:pPr>
            <w:r>
              <w:rPr>
                <w:sz w:val="21"/>
              </w:rPr>
              <w:t>地下水</w:t>
            </w:r>
          </w:p>
        </w:tc>
        <w:tc>
          <w:tcPr>
            <w:tcW w:w="2844" w:type="dxa"/>
            <w:tcBorders>
              <w:top w:val="single" w:sz="6" w:space="0" w:color="000000"/>
              <w:left w:val="single" w:sz="6" w:space="0" w:color="000000"/>
              <w:right w:val="single" w:sz="6" w:space="0" w:color="000000"/>
            </w:tcBorders>
          </w:tcPr>
          <w:p>
            <w:pPr>
              <w:pStyle w:val="TableParagraph"/>
              <w:spacing w:line="291" w:lineRule="exact"/>
              <w:ind w:left="26"/>
              <w:rPr>
                <w:sz w:val="21"/>
              </w:rPr>
            </w:pPr>
            <w:r>
              <w:rPr>
                <w:w w:val="100"/>
                <w:sz w:val="21"/>
              </w:rPr>
              <w:t>Ⅲ</w:t>
            </w:r>
          </w:p>
        </w:tc>
        <w:tc>
          <w:tcPr>
            <w:tcW w:w="2842" w:type="dxa"/>
            <w:tcBorders>
              <w:top w:val="single" w:sz="6" w:space="0" w:color="000000"/>
              <w:left w:val="single" w:sz="6" w:space="0" w:color="000000"/>
            </w:tcBorders>
          </w:tcPr>
          <w:p>
            <w:pPr>
              <w:pStyle w:val="TableParagraph"/>
              <w:spacing w:line="291" w:lineRule="exact"/>
              <w:ind w:left="38"/>
              <w:rPr>
                <w:sz w:val="21"/>
              </w:rPr>
            </w:pPr>
            <w:r>
              <w:rPr>
                <w:w w:val="100"/>
                <w:sz w:val="21"/>
              </w:rPr>
              <w:t>二</w:t>
            </w:r>
          </w:p>
        </w:tc>
      </w:tr>
    </w:tbl>
    <w:p>
      <w:pPr>
        <w:pStyle w:val="BodyText"/>
        <w:spacing w:line="455" w:lineRule="exact"/>
        <w:ind w:left="1058"/>
      </w:pPr>
      <w:r>
        <w:rPr>
          <w:rFonts w:ascii="Times New Roman" w:eastAsia="Times New Roman"/>
        </w:rPr>
        <w:t>2</w:t>
      </w:r>
      <w:r>
        <w:rPr/>
        <w:t>、评价范围</w:t>
      </w:r>
    </w:p>
    <w:p>
      <w:pPr>
        <w:pStyle w:val="BodyText"/>
        <w:spacing w:line="220" w:lineRule="auto" w:before="8"/>
        <w:ind w:left="578" w:right="679" w:firstLine="479"/>
      </w:pPr>
      <w:r>
        <w:rPr/>
        <w:t>根据《建设项目环境风险评价技术导则》（</w:t>
      </w:r>
      <w:r>
        <w:rPr>
          <w:rFonts w:ascii="Times New Roman" w:eastAsia="Times New Roman"/>
        </w:rPr>
        <w:t>HJ169-2018</w:t>
      </w:r>
      <w:r>
        <w:rPr/>
        <w:t>）中推荐的环境风险等级划分依据：</w:t>
      </w:r>
    </w:p>
    <w:p>
      <w:pPr>
        <w:pStyle w:val="BodyText"/>
        <w:spacing w:line="220" w:lineRule="auto"/>
        <w:ind w:left="1058" w:right="756"/>
      </w:pPr>
      <w:r>
        <w:rPr/>
        <w:t>大气环境风险评价范围：一级评价范围距建设项目边界一般不低于 </w:t>
      </w:r>
      <w:r>
        <w:rPr>
          <w:rFonts w:ascii="Times New Roman" w:eastAsia="Times New Roman"/>
        </w:rPr>
        <w:t>5km</w:t>
      </w:r>
      <w:r>
        <w:rPr/>
        <w:t>。</w:t>
      </w:r>
      <w:r>
        <w:rPr>
          <w:color w:val="FF0000"/>
        </w:rPr>
        <w:t>地表水环境风险评价范围：结合《环境影响评价技术导则 地表水环境》，</w:t>
      </w:r>
    </w:p>
    <w:p>
      <w:pPr>
        <w:pStyle w:val="BodyText"/>
        <w:spacing w:line="220" w:lineRule="auto"/>
        <w:ind w:left="578" w:right="751"/>
      </w:pPr>
      <w:r>
        <w:rPr>
          <w:color w:val="FF0000"/>
          <w:spacing w:val="-7"/>
        </w:rPr>
        <w:t>二级评价的评价范围，应满足覆盖对照断面、控制断面与消减断面等关心断面的要求，本次评价范围为，项目排污口上游 </w:t>
      </w:r>
      <w:r>
        <w:rPr>
          <w:rFonts w:ascii="Times New Roman" w:eastAsia="Times New Roman"/>
          <w:color w:val="FF0000"/>
        </w:rPr>
        <w:t>500m </w:t>
      </w:r>
      <w:r>
        <w:rPr>
          <w:color w:val="FF0000"/>
          <w:spacing w:val="1"/>
        </w:rPr>
        <w:t>至下游 </w:t>
      </w:r>
      <w:r>
        <w:rPr>
          <w:rFonts w:ascii="Times New Roman" w:eastAsia="Times New Roman"/>
          <w:color w:val="FF0000"/>
        </w:rPr>
        <w:t>1000m </w:t>
      </w:r>
      <w:r>
        <w:rPr>
          <w:color w:val="FF0000"/>
        </w:rPr>
        <w:t>范围。</w:t>
      </w:r>
    </w:p>
    <w:p>
      <w:pPr>
        <w:pStyle w:val="BodyText"/>
        <w:spacing w:line="460" w:lineRule="exact"/>
        <w:ind w:left="1058"/>
      </w:pPr>
      <w:r>
        <w:rPr>
          <w:color w:val="FF0000"/>
          <w:spacing w:val="4"/>
        </w:rPr>
        <w:t>地下水环境风险评价范围：根据《环境影响评价技术导则  地下水环境》</w:t>
      </w:r>
    </w:p>
    <w:p>
      <w:pPr>
        <w:pStyle w:val="BodyText"/>
        <w:spacing w:line="468" w:lineRule="exact"/>
        <w:ind w:left="578"/>
        <w:rPr>
          <w:rFonts w:ascii="Times New Roman" w:eastAsia="Times New Roman"/>
          <w:sz w:val="16"/>
        </w:rPr>
      </w:pPr>
      <w:r>
        <w:rPr>
          <w:color w:val="FF0000"/>
          <w:spacing w:val="-8"/>
        </w:rPr>
        <w:t>（</w:t>
      </w:r>
      <w:r>
        <w:rPr>
          <w:rFonts w:ascii="Times New Roman" w:eastAsia="Times New Roman"/>
          <w:color w:val="FF0000"/>
          <w:spacing w:val="-8"/>
        </w:rPr>
        <w:t>HJ610-2018</w:t>
      </w:r>
      <w:r>
        <w:rPr>
          <w:color w:val="FF0000"/>
          <w:spacing w:val="-8"/>
        </w:rPr>
        <w:t>）</w:t>
      </w:r>
      <w:r>
        <w:rPr>
          <w:color w:val="FF0000"/>
          <w:spacing w:val="-16"/>
        </w:rPr>
        <w:t>的要求，项目地下水评级等级为二级，评价范围为项目周围 </w:t>
      </w:r>
      <w:r>
        <w:rPr>
          <w:rFonts w:ascii="Times New Roman" w:eastAsia="Times New Roman"/>
          <w:color w:val="FF0000"/>
        </w:rPr>
        <w:t>20km</w:t>
      </w:r>
      <w:r>
        <w:rPr>
          <w:rFonts w:ascii="Times New Roman" w:eastAsia="Times New Roman"/>
          <w:color w:val="FF0000"/>
          <w:position w:val="9"/>
          <w:sz w:val="16"/>
        </w:rPr>
        <w:t>2</w:t>
      </w:r>
    </w:p>
    <w:p>
      <w:pPr>
        <w:pStyle w:val="BodyText"/>
        <w:spacing w:line="468" w:lineRule="exact"/>
        <w:ind w:left="578"/>
      </w:pPr>
      <w:r>
        <w:rPr>
          <w:color w:val="FF0000"/>
        </w:rPr>
        <w:t>的区域范围内</w:t>
      </w:r>
    </w:p>
    <w:p>
      <w:pPr>
        <w:pStyle w:val="BodyText"/>
        <w:spacing w:line="488" w:lineRule="exact"/>
        <w:ind w:left="1058"/>
      </w:pPr>
      <w:r>
        <w:rPr/>
        <w:t>环境风险评价范围及环境敏感目标见图 </w:t>
      </w:r>
      <w:r>
        <w:rPr>
          <w:rFonts w:ascii="Times New Roman" w:eastAsia="Times New Roman"/>
        </w:rPr>
        <w:t>2.6-1</w:t>
      </w:r>
      <w:r>
        <w:rPr/>
        <w:t>。</w:t>
      </w:r>
    </w:p>
    <w:p>
      <w:pPr>
        <w:pStyle w:val="Heading2"/>
        <w:numPr>
          <w:ilvl w:val="1"/>
          <w:numId w:val="11"/>
        </w:numPr>
        <w:tabs>
          <w:tab w:pos="1210" w:val="left" w:leader="none"/>
        </w:tabs>
        <w:spacing w:line="240" w:lineRule="auto" w:before="122" w:after="0"/>
        <w:ind w:left="1209" w:right="0" w:hanging="631"/>
        <w:jc w:val="left"/>
      </w:pPr>
      <w:r>
        <w:rPr/>
        <w:t>风险识别</w:t>
      </w:r>
    </w:p>
    <w:p>
      <w:pPr>
        <w:pStyle w:val="BodyText"/>
        <w:spacing w:line="220" w:lineRule="auto" w:before="140"/>
        <w:ind w:left="578" w:right="752" w:firstLine="479"/>
      </w:pPr>
      <w:r>
        <w:rPr/>
        <w:t>依据《建设项目环境风险评价技术导则》</w:t>
      </w:r>
      <w:r>
        <w:rPr>
          <w:rFonts w:ascii="Times New Roman" w:eastAsia="Times New Roman"/>
        </w:rPr>
        <w:t>(HJ T169-2018)</w:t>
      </w:r>
      <w:r>
        <w:rPr/>
        <w:t>，风险识别包括以下内容：</w:t>
      </w:r>
    </w:p>
    <w:p>
      <w:pPr>
        <w:pStyle w:val="BodyText"/>
        <w:spacing w:line="220" w:lineRule="auto"/>
        <w:ind w:left="578" w:right="760" w:firstLine="479"/>
      </w:pPr>
      <w:r>
        <w:rPr/>
        <w:t>（</w:t>
      </w:r>
      <w:r>
        <w:rPr>
          <w:rFonts w:ascii="Times New Roman" w:eastAsia="Times New Roman"/>
        </w:rPr>
        <w:t>1</w:t>
      </w:r>
      <w:r>
        <w:rPr/>
        <w:t>）物质危险性识别，包括主要原辅材料、燃料、中间产品、副产品、最终产品、污染物、火灾和爆炸伴生</w:t>
      </w:r>
      <w:r>
        <w:rPr>
          <w:rFonts w:ascii="Times New Roman" w:eastAsia="Times New Roman"/>
        </w:rPr>
        <w:t>/</w:t>
      </w:r>
      <w:r>
        <w:rPr/>
        <w:t>次生物等。</w:t>
      </w:r>
    </w:p>
    <w:p>
      <w:pPr>
        <w:pStyle w:val="BodyText"/>
        <w:spacing w:line="220" w:lineRule="auto"/>
        <w:ind w:left="578" w:right="761" w:firstLine="479"/>
      </w:pPr>
      <w:r>
        <w:rPr/>
        <w:t>（</w:t>
      </w:r>
      <w:r>
        <w:rPr>
          <w:rFonts w:ascii="Times New Roman" w:eastAsia="Times New Roman"/>
        </w:rPr>
        <w:t>2</w:t>
      </w:r>
      <w:r>
        <w:rPr/>
        <w:t>）生产系统危险性识别，包括主要生产装置、储运设施、公用工程和辅助生产设施，以及环境保护设施等。</w:t>
      </w:r>
    </w:p>
    <w:p>
      <w:pPr>
        <w:pStyle w:val="BodyText"/>
        <w:spacing w:line="220" w:lineRule="auto"/>
        <w:ind w:left="578" w:right="760" w:firstLine="479"/>
      </w:pPr>
      <w:r>
        <w:rPr/>
        <w:t>（</w:t>
      </w:r>
      <w:r>
        <w:rPr>
          <w:rFonts w:ascii="Times New Roman" w:eastAsia="Times New Roman"/>
        </w:rPr>
        <w:t>3</w:t>
      </w:r>
      <w:r>
        <w:rPr/>
        <w:t>）危险物质向环境转移的途径识别，包括分析危险物质特性及可能的环境风险类型，识别危险物质影响环境的途径，分析可能影响的环境敏感目标。</w:t>
      </w:r>
    </w:p>
    <w:p>
      <w:pPr>
        <w:pStyle w:val="Heading3"/>
        <w:numPr>
          <w:ilvl w:val="2"/>
          <w:numId w:val="11"/>
        </w:numPr>
        <w:tabs>
          <w:tab w:pos="1378" w:val="left" w:leader="none"/>
        </w:tabs>
        <w:spacing w:line="240" w:lineRule="auto" w:before="150" w:after="0"/>
        <w:ind w:left="1377" w:right="0" w:hanging="799"/>
        <w:jc w:val="left"/>
      </w:pPr>
      <w:r>
        <w:rPr/>
        <w:t>物质危险性识别</w:t>
      </w:r>
    </w:p>
    <w:p>
      <w:pPr>
        <w:pStyle w:val="BodyText"/>
        <w:spacing w:line="488" w:lineRule="exact" w:before="168"/>
        <w:ind w:left="1058"/>
      </w:pPr>
      <w:r>
        <w:rPr>
          <w:rFonts w:ascii="Times New Roman" w:eastAsia="Times New Roman"/>
        </w:rPr>
        <w:t>1</w:t>
      </w:r>
      <w:r>
        <w:rPr/>
        <w:t>、危险物料危险性</w:t>
      </w:r>
    </w:p>
    <w:p>
      <w:pPr>
        <w:pStyle w:val="BodyText"/>
        <w:spacing w:line="488" w:lineRule="exact"/>
        <w:ind w:left="1058"/>
      </w:pPr>
      <w:r>
        <w:rPr/>
        <w:t>建设项目运行过程中涉及的化学品见表 </w:t>
      </w:r>
      <w:r>
        <w:rPr>
          <w:rFonts w:ascii="Times New Roman" w:eastAsia="Times New Roman"/>
        </w:rPr>
        <w:t>7.4-1</w:t>
      </w:r>
      <w:r>
        <w:rPr/>
        <w:t>。</w:t>
      </w:r>
    </w:p>
    <w:p>
      <w:pPr>
        <w:tabs>
          <w:tab w:pos="911" w:val="left" w:leader="none"/>
        </w:tabs>
        <w:spacing w:before="151"/>
        <w:ind w:left="0" w:right="175" w:firstLine="0"/>
        <w:jc w:val="center"/>
        <w:rPr>
          <w:sz w:val="21"/>
        </w:rPr>
      </w:pPr>
      <w:r>
        <w:rPr>
          <w:sz w:val="21"/>
        </w:rPr>
        <w:t>表</w:t>
      </w:r>
      <w:r>
        <w:rPr>
          <w:spacing w:val="7"/>
          <w:sz w:val="21"/>
        </w:rPr>
        <w:t> </w:t>
      </w:r>
      <w:r>
        <w:rPr>
          <w:rFonts w:ascii="Times New Roman" w:eastAsia="Times New Roman"/>
          <w:b/>
          <w:sz w:val="21"/>
        </w:rPr>
        <w:t>7.4-1</w:t>
        <w:tab/>
      </w:r>
      <w:r>
        <w:rPr>
          <w:sz w:val="21"/>
        </w:rPr>
        <w:t>危险化学品性</w:t>
      </w:r>
      <w:r>
        <w:rPr>
          <w:spacing w:val="-3"/>
          <w:sz w:val="21"/>
        </w:rPr>
        <w:t>质</w:t>
      </w:r>
      <w:r>
        <w:rPr>
          <w:sz w:val="21"/>
        </w:rPr>
        <w:t>一览表</w:t>
      </w:r>
    </w:p>
    <w:p>
      <w:pPr>
        <w:spacing w:after="0"/>
        <w:jc w:val="center"/>
        <w:rPr>
          <w:sz w:val="21"/>
        </w:rPr>
        <w:sectPr>
          <w:pgSz w:w="11910" w:h="16840"/>
          <w:pgMar w:header="877" w:footer="973" w:top="1340" w:bottom="1160" w:left="1220" w:right="1040"/>
        </w:sectPr>
      </w:pPr>
    </w:p>
    <w:p>
      <w:pPr>
        <w:pStyle w:val="BodyText"/>
        <w:spacing w:before="3"/>
        <w:rPr>
          <w:rFonts w:ascii="Times New Roman"/>
          <w:sz w:val="7"/>
        </w:rPr>
      </w:pPr>
    </w:p>
    <w:tbl>
      <w:tblPr>
        <w:tblW w:w="0" w:type="auto"/>
        <w:jc w:val="left"/>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7"/>
        <w:gridCol w:w="1985"/>
        <w:gridCol w:w="1702"/>
        <w:gridCol w:w="1558"/>
        <w:gridCol w:w="2372"/>
      </w:tblGrid>
      <w:tr>
        <w:trPr>
          <w:trHeight w:val="340" w:hRule="atLeast"/>
        </w:trPr>
        <w:tc>
          <w:tcPr>
            <w:tcW w:w="727" w:type="dxa"/>
            <w:tcBorders>
              <w:bottom w:val="single" w:sz="6" w:space="0" w:color="000000"/>
              <w:right w:val="single" w:sz="6" w:space="0" w:color="000000"/>
            </w:tcBorders>
          </w:tcPr>
          <w:p>
            <w:pPr>
              <w:pStyle w:val="TableParagraph"/>
              <w:spacing w:line="320" w:lineRule="exact"/>
              <w:ind w:left="136" w:right="108"/>
              <w:rPr>
                <w:sz w:val="21"/>
              </w:rPr>
            </w:pPr>
            <w:r>
              <w:rPr>
                <w:sz w:val="21"/>
              </w:rPr>
              <w:t>序号</w:t>
            </w:r>
          </w:p>
        </w:tc>
        <w:tc>
          <w:tcPr>
            <w:tcW w:w="1985" w:type="dxa"/>
            <w:tcBorders>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物料</w:t>
            </w:r>
          </w:p>
        </w:tc>
        <w:tc>
          <w:tcPr>
            <w:tcW w:w="1702" w:type="dxa"/>
            <w:tcBorders>
              <w:left w:val="single" w:sz="6" w:space="0" w:color="000000"/>
              <w:bottom w:val="single" w:sz="6" w:space="0" w:color="000000"/>
              <w:right w:val="single" w:sz="6" w:space="0" w:color="000000"/>
            </w:tcBorders>
          </w:tcPr>
          <w:p>
            <w:pPr>
              <w:pStyle w:val="TableParagraph"/>
              <w:spacing w:line="320" w:lineRule="exact"/>
              <w:ind w:left="102" w:right="73"/>
              <w:rPr>
                <w:sz w:val="21"/>
              </w:rPr>
            </w:pPr>
            <w:r>
              <w:rPr>
                <w:sz w:val="21"/>
              </w:rPr>
              <w:t>储存方式</w:t>
            </w:r>
          </w:p>
        </w:tc>
        <w:tc>
          <w:tcPr>
            <w:tcW w:w="1558" w:type="dxa"/>
            <w:tcBorders>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形态</w:t>
            </w:r>
          </w:p>
        </w:tc>
        <w:tc>
          <w:tcPr>
            <w:tcW w:w="2372" w:type="dxa"/>
            <w:tcBorders>
              <w:left w:val="single" w:sz="6" w:space="0" w:color="000000"/>
              <w:bottom w:val="single" w:sz="6" w:space="0" w:color="000000"/>
            </w:tcBorders>
          </w:tcPr>
          <w:p>
            <w:pPr>
              <w:pStyle w:val="TableParagraph"/>
              <w:spacing w:line="320" w:lineRule="exact"/>
              <w:ind w:left="27"/>
              <w:rPr>
                <w:sz w:val="21"/>
              </w:rPr>
            </w:pPr>
            <w:r>
              <w:rPr>
                <w:sz w:val="21"/>
              </w:rPr>
              <w:t>性质</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1</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吡啶</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2</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哌啶</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3</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溴乙烷</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毒性性、易燃性、刺激性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4</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呋喃</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5</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氯化亚砜</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腐蚀性、刺激性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6</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醋酸</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易燃、腐蚀性、刺激性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7</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甲醇钠</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7"/>
              <w:rPr>
                <w:sz w:val="21"/>
              </w:rPr>
            </w:pPr>
            <w:r>
              <w:rPr>
                <w:sz w:val="21"/>
              </w:rPr>
              <w:t>腐蚀性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8</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苯甲醛</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毒性性、刺激性</w:t>
            </w:r>
          </w:p>
        </w:tc>
      </w:tr>
      <w:tr>
        <w:trPr>
          <w:trHeight w:val="338" w:hRule="atLeast"/>
        </w:trPr>
        <w:tc>
          <w:tcPr>
            <w:tcW w:w="727" w:type="dxa"/>
            <w:tcBorders>
              <w:top w:val="single" w:sz="6" w:space="0" w:color="000000"/>
              <w:bottom w:val="single" w:sz="6" w:space="0" w:color="000000"/>
              <w:right w:val="single" w:sz="6" w:space="0" w:color="000000"/>
            </w:tcBorders>
          </w:tcPr>
          <w:p>
            <w:pPr>
              <w:pStyle w:val="TableParagraph"/>
              <w:spacing w:before="49"/>
              <w:ind w:left="28"/>
              <w:rPr>
                <w:rFonts w:ascii="Times New Roman"/>
                <w:sz w:val="21"/>
              </w:rPr>
            </w:pPr>
            <w:r>
              <w:rPr>
                <w:rFonts w:ascii="Times New Roman"/>
                <w:w w:val="100"/>
                <w:sz w:val="21"/>
              </w:rPr>
              <w:t>9</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43" w:right="12"/>
              <w:rPr>
                <w:sz w:val="21"/>
              </w:rPr>
            </w:pPr>
            <w:r>
              <w:rPr>
                <w:sz w:val="21"/>
              </w:rPr>
              <w:t>乙醇胺</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18" w:lineRule="exact"/>
              <w:ind w:left="26"/>
              <w:rPr>
                <w:sz w:val="21"/>
              </w:rPr>
            </w:pPr>
            <w:r>
              <w:rPr>
                <w:sz w:val="21"/>
              </w:rPr>
              <w:t>腐蚀性、刺激性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10</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氧化苯乙烯</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毒性性、刺激性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11</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环氧氯丙烷</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毒性性、刺激性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12</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正丙胺</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毒性性、刺激性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13</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正丁醇</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14</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溴丙烷</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7"/>
              <w:rPr>
                <w:sz w:val="21"/>
              </w:rPr>
            </w:pPr>
            <w:r>
              <w:rPr>
                <w:sz w:val="21"/>
              </w:rPr>
              <w:t>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15</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乙酰乙酸甲酯</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7"/>
              <w:rPr>
                <w:sz w:val="21"/>
              </w:rPr>
            </w:pPr>
            <w:r>
              <w:rPr>
                <w:sz w:val="21"/>
              </w:rPr>
              <w:t>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16</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rFonts w:ascii="Times New Roman" w:eastAsia="Times New Roman"/>
                <w:sz w:val="21"/>
              </w:rPr>
              <w:t>1-</w:t>
            </w:r>
            <w:r>
              <w:rPr>
                <w:sz w:val="21"/>
              </w:rPr>
              <w:t>溴</w:t>
            </w:r>
            <w:r>
              <w:rPr>
                <w:rFonts w:ascii="Times New Roman" w:eastAsia="Times New Roman"/>
                <w:sz w:val="21"/>
              </w:rPr>
              <w:t>-3-</w:t>
            </w:r>
            <w:r>
              <w:rPr>
                <w:sz w:val="21"/>
              </w:rPr>
              <w:t>氯丙烷</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7"/>
              <w:rPr>
                <w:sz w:val="21"/>
              </w:rPr>
            </w:pPr>
            <w:r>
              <w:rPr>
                <w:sz w:val="21"/>
              </w:rPr>
              <w:t>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17</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氯苯</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18</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43" w:right="12"/>
              <w:rPr>
                <w:sz w:val="21"/>
              </w:rPr>
            </w:pPr>
            <w:r>
              <w:rPr>
                <w:sz w:val="21"/>
              </w:rPr>
              <w:t>甲醛</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1" w:lineRule="exact"/>
              <w:ind w:left="26"/>
              <w:rPr>
                <w:sz w:val="21"/>
              </w:rPr>
            </w:pPr>
            <w:r>
              <w:rPr>
                <w:sz w:val="21"/>
              </w:rPr>
              <w:t>易燃、腐蚀性、刺激性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19</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rFonts w:ascii="Times New Roman" w:eastAsia="Times New Roman"/>
                <w:sz w:val="21"/>
              </w:rPr>
              <w:t>90%</w:t>
            </w:r>
            <w:r>
              <w:rPr>
                <w:sz w:val="21"/>
              </w:rPr>
              <w:t>甲酸</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3"/>
              <w:rPr>
                <w:sz w:val="21"/>
              </w:rPr>
            </w:pPr>
            <w:r>
              <w:rPr>
                <w:sz w:val="21"/>
              </w:rPr>
              <w:t>强腐蚀性、刺激性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20</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乙酸铵</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袋装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固体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7"/>
              <w:rPr>
                <w:sz w:val="21"/>
              </w:rPr>
            </w:pPr>
            <w:r>
              <w:rPr>
                <w:sz w:val="21"/>
              </w:rPr>
              <w:t>刺激性</w:t>
            </w:r>
          </w:p>
        </w:tc>
      </w:tr>
      <w:tr>
        <w:trPr>
          <w:trHeight w:val="337"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21</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43" w:right="12"/>
              <w:rPr>
                <w:sz w:val="21"/>
              </w:rPr>
            </w:pPr>
            <w:r>
              <w:rPr>
                <w:sz w:val="21"/>
              </w:rPr>
              <w:t>碳酸钾</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0" w:right="73"/>
              <w:rPr>
                <w:sz w:val="21"/>
              </w:rPr>
            </w:pPr>
            <w:r>
              <w:rPr>
                <w:sz w:val="21"/>
              </w:rPr>
              <w:t>袋装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544"/>
              <w:jc w:val="right"/>
              <w:rPr>
                <w:sz w:val="21"/>
              </w:rPr>
            </w:pPr>
            <w:r>
              <w:rPr>
                <w:sz w:val="21"/>
              </w:rPr>
              <w:t>固体</w:t>
            </w:r>
          </w:p>
        </w:tc>
        <w:tc>
          <w:tcPr>
            <w:tcW w:w="2372" w:type="dxa"/>
            <w:tcBorders>
              <w:top w:val="single" w:sz="6" w:space="0" w:color="000000"/>
              <w:left w:val="single" w:sz="6" w:space="0" w:color="000000"/>
              <w:bottom w:val="single" w:sz="6" w:space="0" w:color="000000"/>
            </w:tcBorders>
          </w:tcPr>
          <w:p>
            <w:pPr>
              <w:pStyle w:val="TableParagraph"/>
              <w:spacing w:line="318" w:lineRule="exact"/>
              <w:ind w:left="26"/>
              <w:rPr>
                <w:sz w:val="21"/>
              </w:rPr>
            </w:pPr>
            <w:r>
              <w:rPr>
                <w:sz w:val="21"/>
              </w:rPr>
              <w:t>腐蚀性、刺激性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22</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氯化铵</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袋装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固体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7"/>
              <w:rPr>
                <w:sz w:val="21"/>
              </w:rPr>
            </w:pPr>
            <w:r>
              <w:rPr>
                <w:sz w:val="21"/>
              </w:rPr>
              <w:t>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23</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顺丁烯二酸酐</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袋装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固体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7"/>
              <w:rPr>
                <w:sz w:val="21"/>
              </w:rPr>
            </w:pPr>
            <w:r>
              <w:rPr>
                <w:sz w:val="21"/>
              </w:rPr>
              <w:t>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24</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氢氧化钾</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袋装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固体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3"/>
              <w:rPr>
                <w:sz w:val="21"/>
              </w:rPr>
            </w:pPr>
            <w:r>
              <w:rPr>
                <w:sz w:val="21"/>
              </w:rPr>
              <w:t>强腐蚀性、强刺激性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25</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氯甲酸乙酯</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毒性、腐蚀性、刺激性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26</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硼氢化钾</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袋装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固体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3"/>
              <w:rPr>
                <w:sz w:val="21"/>
              </w:rPr>
            </w:pPr>
            <w:r>
              <w:rPr>
                <w:sz w:val="21"/>
              </w:rPr>
              <w:t>强刺激性、易燃性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27</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甲醇</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9"/>
              <w:ind w:left="136" w:right="108"/>
              <w:rPr>
                <w:rFonts w:ascii="Times New Roman"/>
                <w:sz w:val="21"/>
              </w:rPr>
            </w:pPr>
            <w:r>
              <w:rPr>
                <w:rFonts w:ascii="Times New Roman"/>
                <w:sz w:val="21"/>
              </w:rPr>
              <w:t>28</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43" w:right="12"/>
              <w:rPr>
                <w:sz w:val="21"/>
              </w:rPr>
            </w:pPr>
            <w:r>
              <w:rPr>
                <w:sz w:val="21"/>
              </w:rPr>
              <w:t>氢气</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0" w:right="73"/>
              <w:rPr>
                <w:sz w:val="21"/>
              </w:rPr>
            </w:pPr>
            <w:r>
              <w:rPr>
                <w:sz w:val="21"/>
              </w:rPr>
              <w:t>钢瓶</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544"/>
              <w:jc w:val="right"/>
              <w:rPr>
                <w:sz w:val="21"/>
              </w:rPr>
            </w:pPr>
            <w:r>
              <w:rPr>
                <w:sz w:val="21"/>
              </w:rPr>
              <w:t>气体</w:t>
            </w:r>
          </w:p>
        </w:tc>
        <w:tc>
          <w:tcPr>
            <w:tcW w:w="2372" w:type="dxa"/>
            <w:tcBorders>
              <w:top w:val="single" w:sz="6" w:space="0" w:color="000000"/>
              <w:left w:val="single" w:sz="6" w:space="0" w:color="000000"/>
              <w:bottom w:val="single" w:sz="6" w:space="0" w:color="000000"/>
            </w:tcBorders>
          </w:tcPr>
          <w:p>
            <w:pPr>
              <w:pStyle w:val="TableParagraph"/>
              <w:spacing w:line="321" w:lineRule="exact"/>
              <w:ind w:left="27"/>
              <w:rPr>
                <w:sz w:val="21"/>
              </w:rPr>
            </w:pPr>
            <w:r>
              <w:rPr>
                <w:sz w:val="21"/>
              </w:rPr>
              <w:t>易燃性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29</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工业乙醇</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30</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无水乙醇</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31</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乙酸乙酯</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32</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 w:right="12"/>
              <w:rPr>
                <w:sz w:val="21"/>
              </w:rPr>
            </w:pPr>
            <w:r>
              <w:rPr>
                <w:sz w:val="21"/>
              </w:rPr>
              <w:t>四氢呋喃</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37"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33</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43" w:right="12"/>
              <w:rPr>
                <w:sz w:val="21"/>
              </w:rPr>
            </w:pPr>
            <w:r>
              <w:rPr>
                <w:sz w:val="21"/>
              </w:rPr>
              <w:t>镁粉</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0" w:right="73"/>
              <w:rPr>
                <w:sz w:val="21"/>
              </w:rPr>
            </w:pPr>
            <w:r>
              <w:rPr>
                <w:sz w:val="21"/>
              </w:rPr>
              <w:t>袋装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544"/>
              <w:jc w:val="right"/>
              <w:rPr>
                <w:sz w:val="21"/>
              </w:rPr>
            </w:pPr>
            <w:r>
              <w:rPr>
                <w:sz w:val="21"/>
              </w:rPr>
              <w:t>固体</w:t>
            </w:r>
          </w:p>
        </w:tc>
        <w:tc>
          <w:tcPr>
            <w:tcW w:w="2372" w:type="dxa"/>
            <w:tcBorders>
              <w:top w:val="single" w:sz="6" w:space="0" w:color="000000"/>
              <w:left w:val="single" w:sz="6" w:space="0" w:color="000000"/>
              <w:bottom w:val="single" w:sz="6" w:space="0" w:color="000000"/>
            </w:tcBorders>
          </w:tcPr>
          <w:p>
            <w:pPr>
              <w:pStyle w:val="TableParagraph"/>
              <w:spacing w:line="318"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34</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硝酸</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罐装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3"/>
              <w:rPr>
                <w:sz w:val="21"/>
              </w:rPr>
            </w:pPr>
            <w:r>
              <w:rPr>
                <w:sz w:val="21"/>
              </w:rPr>
              <w:t>强腐蚀性、强刺激性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35</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甲苯</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6"/>
              <w:rPr>
                <w:sz w:val="21"/>
              </w:rPr>
            </w:pPr>
            <w:r>
              <w:rPr>
                <w:sz w:val="21"/>
              </w:rPr>
              <w:t>易燃性、刺激性</w:t>
            </w:r>
          </w:p>
        </w:tc>
      </w:tr>
      <w:tr>
        <w:trPr>
          <w:trHeight w:val="340" w:hRule="atLeast"/>
        </w:trPr>
        <w:tc>
          <w:tcPr>
            <w:tcW w:w="727" w:type="dxa"/>
            <w:tcBorders>
              <w:top w:val="single" w:sz="6" w:space="0" w:color="000000"/>
              <w:bottom w:val="single" w:sz="6" w:space="0" w:color="000000"/>
              <w:right w:val="single" w:sz="6" w:space="0" w:color="000000"/>
            </w:tcBorders>
          </w:tcPr>
          <w:p>
            <w:pPr>
              <w:pStyle w:val="TableParagraph"/>
              <w:spacing w:before="48"/>
              <w:ind w:left="136" w:right="108"/>
              <w:rPr>
                <w:rFonts w:ascii="Times New Roman"/>
                <w:sz w:val="21"/>
              </w:rPr>
            </w:pPr>
            <w:r>
              <w:rPr>
                <w:rFonts w:ascii="Times New Roman"/>
                <w:sz w:val="21"/>
              </w:rPr>
              <w:t>36</w:t>
            </w:r>
          </w:p>
        </w:tc>
        <w:tc>
          <w:tcPr>
            <w:tcW w:w="198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 w:right="12"/>
              <w:rPr>
                <w:sz w:val="21"/>
              </w:rPr>
            </w:pPr>
            <w:r>
              <w:rPr>
                <w:sz w:val="21"/>
              </w:rPr>
              <w:t>浓硫酸</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3"/>
              <w:rPr>
                <w:sz w:val="21"/>
              </w:rPr>
            </w:pPr>
            <w:r>
              <w:rPr>
                <w:sz w:val="21"/>
              </w:rPr>
              <w:t>瓶装</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bottom w:val="single" w:sz="6" w:space="0" w:color="000000"/>
            </w:tcBorders>
          </w:tcPr>
          <w:p>
            <w:pPr>
              <w:pStyle w:val="TableParagraph"/>
              <w:spacing w:line="320" w:lineRule="exact"/>
              <w:ind w:left="23"/>
              <w:rPr>
                <w:sz w:val="21"/>
              </w:rPr>
            </w:pPr>
            <w:r>
              <w:rPr>
                <w:sz w:val="21"/>
              </w:rPr>
              <w:t>强腐蚀性、强刺激性</w:t>
            </w:r>
          </w:p>
        </w:tc>
      </w:tr>
      <w:tr>
        <w:trPr>
          <w:trHeight w:val="340" w:hRule="atLeast"/>
        </w:trPr>
        <w:tc>
          <w:tcPr>
            <w:tcW w:w="727" w:type="dxa"/>
            <w:tcBorders>
              <w:top w:val="single" w:sz="6" w:space="0" w:color="000000"/>
              <w:right w:val="single" w:sz="6" w:space="0" w:color="000000"/>
            </w:tcBorders>
          </w:tcPr>
          <w:p>
            <w:pPr>
              <w:pStyle w:val="TableParagraph"/>
              <w:spacing w:before="49"/>
              <w:ind w:left="136" w:right="108"/>
              <w:rPr>
                <w:rFonts w:ascii="Times New Roman"/>
                <w:sz w:val="21"/>
              </w:rPr>
            </w:pPr>
            <w:r>
              <w:rPr>
                <w:rFonts w:ascii="Times New Roman"/>
                <w:sz w:val="21"/>
              </w:rPr>
              <w:t>37</w:t>
            </w:r>
          </w:p>
        </w:tc>
        <w:tc>
          <w:tcPr>
            <w:tcW w:w="1985" w:type="dxa"/>
            <w:tcBorders>
              <w:top w:val="single" w:sz="6" w:space="0" w:color="000000"/>
              <w:left w:val="single" w:sz="6" w:space="0" w:color="000000"/>
              <w:right w:val="single" w:sz="6" w:space="0" w:color="000000"/>
            </w:tcBorders>
          </w:tcPr>
          <w:p>
            <w:pPr>
              <w:pStyle w:val="TableParagraph"/>
              <w:spacing w:line="320" w:lineRule="exact"/>
              <w:ind w:left="43" w:right="12"/>
              <w:rPr>
                <w:sz w:val="21"/>
              </w:rPr>
            </w:pPr>
            <w:r>
              <w:rPr>
                <w:sz w:val="21"/>
              </w:rPr>
              <w:t>丙酮</w:t>
            </w:r>
          </w:p>
        </w:tc>
        <w:tc>
          <w:tcPr>
            <w:tcW w:w="1702" w:type="dxa"/>
            <w:tcBorders>
              <w:top w:val="single" w:sz="6" w:space="0" w:color="000000"/>
              <w:left w:val="single" w:sz="6" w:space="0" w:color="000000"/>
              <w:right w:val="single" w:sz="6" w:space="0" w:color="000000"/>
            </w:tcBorders>
          </w:tcPr>
          <w:p>
            <w:pPr>
              <w:pStyle w:val="TableParagraph"/>
              <w:spacing w:line="320" w:lineRule="exact"/>
              <w:ind w:left="100" w:right="73"/>
              <w:rPr>
                <w:sz w:val="21"/>
              </w:rPr>
            </w:pPr>
            <w:r>
              <w:rPr>
                <w:sz w:val="21"/>
              </w:rPr>
              <w:t>桶装</w:t>
            </w:r>
          </w:p>
        </w:tc>
        <w:tc>
          <w:tcPr>
            <w:tcW w:w="1558" w:type="dxa"/>
            <w:tcBorders>
              <w:top w:val="single" w:sz="6" w:space="0" w:color="000000"/>
              <w:left w:val="single" w:sz="6" w:space="0" w:color="000000"/>
              <w:right w:val="single" w:sz="6" w:space="0" w:color="000000"/>
            </w:tcBorders>
          </w:tcPr>
          <w:p>
            <w:pPr>
              <w:pStyle w:val="TableParagraph"/>
              <w:spacing w:line="320" w:lineRule="exact"/>
              <w:ind w:right="544"/>
              <w:jc w:val="right"/>
              <w:rPr>
                <w:sz w:val="21"/>
              </w:rPr>
            </w:pPr>
            <w:r>
              <w:rPr>
                <w:sz w:val="21"/>
              </w:rPr>
              <w:t>液体</w:t>
            </w:r>
          </w:p>
        </w:tc>
        <w:tc>
          <w:tcPr>
            <w:tcW w:w="2372" w:type="dxa"/>
            <w:tcBorders>
              <w:top w:val="single" w:sz="6" w:space="0" w:color="000000"/>
              <w:left w:val="single" w:sz="6" w:space="0" w:color="000000"/>
            </w:tcBorders>
          </w:tcPr>
          <w:p>
            <w:pPr>
              <w:pStyle w:val="TableParagraph"/>
              <w:spacing w:line="320" w:lineRule="exact"/>
              <w:ind w:left="26"/>
              <w:rPr>
                <w:sz w:val="21"/>
              </w:rPr>
            </w:pPr>
            <w:r>
              <w:rPr>
                <w:sz w:val="21"/>
              </w:rPr>
              <w:t>易燃性、刺激性</w:t>
            </w:r>
          </w:p>
        </w:tc>
      </w:tr>
    </w:tbl>
    <w:p>
      <w:pPr>
        <w:spacing w:after="0" w:line="320" w:lineRule="exact"/>
        <w:rPr>
          <w:sz w:val="21"/>
        </w:rPr>
        <w:sectPr>
          <w:pgSz w:w="11910" w:h="16840"/>
          <w:pgMar w:header="877" w:footer="973" w:top="1340" w:bottom="1160" w:left="1220" w:right="1040"/>
        </w:sectPr>
      </w:pPr>
    </w:p>
    <w:p>
      <w:pPr>
        <w:pStyle w:val="BodyText"/>
        <w:spacing w:line="220" w:lineRule="auto" w:before="77"/>
        <w:ind w:left="578" w:right="753" w:firstLine="479"/>
        <w:jc w:val="both"/>
      </w:pPr>
      <w:r>
        <w:rPr/>
        <w:t>由表 </w:t>
      </w:r>
      <w:r>
        <w:rPr>
          <w:rFonts w:ascii="Times New Roman" w:eastAsia="Times New Roman"/>
        </w:rPr>
        <w:t>7.4-1 </w:t>
      </w:r>
      <w:r>
        <w:rPr/>
        <w:t>可知，建设项目厂区所涉及的危险化学品较多，涉及毒性、腐蚀性、刺激性、易燃性。</w:t>
      </w:r>
    </w:p>
    <w:p>
      <w:pPr>
        <w:pStyle w:val="Heading3"/>
        <w:numPr>
          <w:ilvl w:val="2"/>
          <w:numId w:val="11"/>
        </w:numPr>
        <w:tabs>
          <w:tab w:pos="1219" w:val="left" w:leader="none"/>
        </w:tabs>
        <w:spacing w:line="240" w:lineRule="auto" w:before="150" w:after="0"/>
        <w:ind w:left="1218" w:right="0" w:hanging="640"/>
        <w:jc w:val="left"/>
      </w:pPr>
      <w:r>
        <w:rPr/>
        <w:t>生产设施风险识别</w:t>
      </w:r>
    </w:p>
    <w:p>
      <w:pPr>
        <w:pStyle w:val="BodyText"/>
        <w:spacing w:line="449" w:lineRule="exact" w:before="168"/>
        <w:ind w:left="1058"/>
      </w:pPr>
      <w:r>
        <w:rPr>
          <w:rFonts w:ascii="Times New Roman" w:eastAsia="Times New Roman"/>
        </w:rPr>
        <w:t>1</w:t>
      </w:r>
      <w:r>
        <w:rPr/>
        <w:t>、生产过程中的风险因素</w:t>
      </w:r>
    </w:p>
    <w:p>
      <w:pPr>
        <w:pStyle w:val="BodyText"/>
        <w:spacing w:line="428" w:lineRule="exact"/>
        <w:ind w:left="1058"/>
      </w:pPr>
      <w:r>
        <w:rPr/>
        <w:t>本项目生产装置主要包括原料药车间 </w:t>
      </w:r>
      <w:r>
        <w:rPr>
          <w:rFonts w:ascii="Times New Roman" w:eastAsia="Times New Roman"/>
        </w:rPr>
        <w:t>2 </w:t>
      </w:r>
      <w:r>
        <w:rPr/>
        <w:t>座、发酵车间 </w:t>
      </w:r>
      <w:r>
        <w:rPr>
          <w:rFonts w:ascii="Times New Roman" w:eastAsia="Times New Roman"/>
        </w:rPr>
        <w:t>1 </w:t>
      </w:r>
      <w:r>
        <w:rPr/>
        <w:t>座，装置涉及到的物</w:t>
      </w:r>
    </w:p>
    <w:p>
      <w:pPr>
        <w:pStyle w:val="BodyText"/>
        <w:spacing w:line="220" w:lineRule="auto" w:before="8"/>
        <w:ind w:left="578" w:right="631"/>
        <w:jc w:val="both"/>
      </w:pPr>
      <w:r>
        <w:rPr>
          <w:spacing w:val="-9"/>
        </w:rPr>
        <w:t>料正溴丙烷、乙酰乙酸甲酯、甲醇、吡啶、乙酸铵、醋酸、甲苯、乙醇、环氧氯</w:t>
      </w:r>
      <w:r>
        <w:rPr>
          <w:spacing w:val="-16"/>
        </w:rPr>
        <w:t>丙烷、正丙胺、盐酸、丙酮、硝酸、乙酸乙酯、哌啶、</w:t>
      </w:r>
      <w:r>
        <w:rPr>
          <w:rFonts w:ascii="Times New Roman" w:eastAsia="Times New Roman"/>
        </w:rPr>
        <w:t>1-</w:t>
      </w:r>
      <w:r>
        <w:rPr/>
        <w:t>溴</w:t>
      </w:r>
      <w:r>
        <w:rPr>
          <w:rFonts w:ascii="Times New Roman" w:eastAsia="Times New Roman"/>
        </w:rPr>
        <w:t>-3-</w:t>
      </w:r>
      <w:r>
        <w:rPr>
          <w:spacing w:val="-5"/>
        </w:rPr>
        <w:t>氯丙烷、四氢呋喃、</w:t>
      </w:r>
      <w:r>
        <w:rPr>
          <w:spacing w:val="-15"/>
        </w:rPr>
        <w:t>镁粉、溴乙烷等，涉及的危险化学品较多，涉及易燃性、刺激性、腐蚀性、毒性。发生事故的主要原因包括以下几个方面：</w:t>
      </w:r>
    </w:p>
    <w:p>
      <w:pPr>
        <w:pStyle w:val="BodyText"/>
        <w:spacing w:line="220" w:lineRule="auto" w:before="75"/>
        <w:ind w:left="578" w:right="666" w:firstLine="479"/>
        <w:jc w:val="both"/>
      </w:pPr>
      <w:r>
        <w:rPr>
          <w:rFonts w:ascii="Times New Roman" w:eastAsia="Times New Roman"/>
        </w:rPr>
        <w:t>(1)</w:t>
      </w:r>
      <w:r>
        <w:rPr/>
        <w:t>装置内使用的电气设备、机械设备的电机、照明、开关箱，应设计为防爆型；若电气设备不防爆或防爆级别不够，在电气设备运行时，能产生电火花， 存在引发火灾爆炸的危险。</w:t>
      </w:r>
    </w:p>
    <w:p>
      <w:pPr>
        <w:pStyle w:val="BodyText"/>
        <w:spacing w:line="220" w:lineRule="auto"/>
        <w:ind w:left="578" w:right="752" w:firstLine="479"/>
        <w:jc w:val="both"/>
      </w:pPr>
      <w:r>
        <w:rPr>
          <w:rFonts w:ascii="Times New Roman" w:eastAsia="Times New Roman"/>
        </w:rPr>
        <w:t>(2)</w:t>
      </w:r>
      <w:r>
        <w:rPr/>
        <w:t>在设备检修时，检修的设备如果没有与系统彻底的断开、隔离，并对被</w:t>
      </w:r>
      <w:r>
        <w:rPr>
          <w:spacing w:val="-6"/>
        </w:rPr>
        <w:t>检修的设备进行置换、清洗，没有进行易燃易爆物质的测定并达到合格，就违章进行动火、烧焊作业，存在发生爆炸的极大危险等。</w:t>
      </w:r>
    </w:p>
    <w:p>
      <w:pPr>
        <w:pStyle w:val="BodyText"/>
        <w:spacing w:line="220" w:lineRule="auto"/>
        <w:ind w:left="578" w:right="752" w:firstLine="479"/>
        <w:jc w:val="both"/>
      </w:pPr>
      <w:r>
        <w:rPr>
          <w:spacing w:val="-5"/>
        </w:rPr>
        <w:t>企业采取的生产工艺技术条件严格，但是仍存在潜在燃烧、爆炸危险。国内</w:t>
      </w:r>
      <w:r>
        <w:rPr>
          <w:spacing w:val="-12"/>
        </w:rPr>
        <w:t>外生产经验表明，设备故障、操作失误都可能发生物料泄漏，燃烧爆炸，危险人身安全，污染环境。有关生产过程中潜在的危害因素分析见表 </w:t>
      </w:r>
      <w:r>
        <w:rPr>
          <w:rFonts w:ascii="Times New Roman" w:eastAsia="Times New Roman"/>
        </w:rPr>
        <w:t>7.4-2</w:t>
      </w:r>
      <w:r>
        <w:rPr/>
        <w:t>。</w:t>
      </w:r>
    </w:p>
    <w:p>
      <w:pPr>
        <w:tabs>
          <w:tab w:pos="3292" w:val="left" w:leader="none"/>
        </w:tabs>
        <w:spacing w:before="6" w:after="24"/>
        <w:ind w:left="2381" w:right="0" w:firstLine="0"/>
        <w:jc w:val="left"/>
        <w:rPr>
          <w:sz w:val="21"/>
        </w:rPr>
      </w:pPr>
      <w:r>
        <w:rPr>
          <w:sz w:val="21"/>
        </w:rPr>
        <w:t>表</w:t>
      </w:r>
      <w:r>
        <w:rPr>
          <w:spacing w:val="7"/>
          <w:sz w:val="21"/>
        </w:rPr>
        <w:t> </w:t>
      </w:r>
      <w:r>
        <w:rPr>
          <w:rFonts w:ascii="Times New Roman" w:eastAsia="Times New Roman"/>
          <w:b/>
          <w:sz w:val="21"/>
        </w:rPr>
        <w:t>7.4-2</w:t>
        <w:tab/>
      </w:r>
      <w:r>
        <w:rPr>
          <w:sz w:val="21"/>
        </w:rPr>
        <w:t>生产过程潜在</w:t>
      </w:r>
      <w:r>
        <w:rPr>
          <w:spacing w:val="-3"/>
          <w:sz w:val="21"/>
        </w:rPr>
        <w:t>的</w:t>
      </w:r>
      <w:r>
        <w:rPr>
          <w:sz w:val="21"/>
        </w:rPr>
        <w:t>环境风险事故类型</w:t>
      </w:r>
      <w:r>
        <w:rPr>
          <w:spacing w:val="-3"/>
          <w:sz w:val="21"/>
        </w:rPr>
        <w:t>一</w:t>
      </w:r>
      <w:r>
        <w:rPr>
          <w:sz w:val="21"/>
        </w:rPr>
        <w:t>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0"/>
        <w:gridCol w:w="1769"/>
        <w:gridCol w:w="1327"/>
        <w:gridCol w:w="2086"/>
        <w:gridCol w:w="2506"/>
      </w:tblGrid>
      <w:tr>
        <w:trPr>
          <w:trHeight w:val="311" w:hRule="atLeast"/>
        </w:trPr>
        <w:tc>
          <w:tcPr>
            <w:tcW w:w="840" w:type="dxa"/>
            <w:tcBorders>
              <w:bottom w:val="single" w:sz="6" w:space="0" w:color="000000"/>
              <w:right w:val="single" w:sz="6" w:space="0" w:color="000000"/>
            </w:tcBorders>
          </w:tcPr>
          <w:p>
            <w:pPr>
              <w:pStyle w:val="TableParagraph"/>
              <w:spacing w:line="291" w:lineRule="exact"/>
              <w:ind w:left="152" w:right="131"/>
              <w:rPr>
                <w:sz w:val="21"/>
              </w:rPr>
            </w:pPr>
            <w:r>
              <w:rPr>
                <w:sz w:val="21"/>
              </w:rPr>
              <w:t>序号</w:t>
            </w:r>
          </w:p>
        </w:tc>
        <w:tc>
          <w:tcPr>
            <w:tcW w:w="1769" w:type="dxa"/>
            <w:tcBorders>
              <w:left w:val="single" w:sz="6" w:space="0" w:color="000000"/>
              <w:bottom w:val="single" w:sz="6" w:space="0" w:color="000000"/>
              <w:right w:val="single" w:sz="6" w:space="0" w:color="000000"/>
            </w:tcBorders>
          </w:tcPr>
          <w:p>
            <w:pPr>
              <w:pStyle w:val="TableParagraph"/>
              <w:spacing w:line="291" w:lineRule="exact"/>
              <w:ind w:left="344" w:right="318"/>
              <w:rPr>
                <w:sz w:val="21"/>
              </w:rPr>
            </w:pPr>
            <w:r>
              <w:rPr>
                <w:sz w:val="21"/>
              </w:rPr>
              <w:t>名称</w:t>
            </w:r>
          </w:p>
        </w:tc>
        <w:tc>
          <w:tcPr>
            <w:tcW w:w="1327" w:type="dxa"/>
            <w:tcBorders>
              <w:left w:val="single" w:sz="6" w:space="0" w:color="000000"/>
              <w:bottom w:val="single" w:sz="6" w:space="0" w:color="000000"/>
              <w:right w:val="single" w:sz="6" w:space="0" w:color="000000"/>
            </w:tcBorders>
          </w:tcPr>
          <w:p>
            <w:pPr>
              <w:pStyle w:val="TableParagraph"/>
              <w:spacing w:line="291" w:lineRule="exact"/>
              <w:ind w:left="230" w:right="201"/>
              <w:rPr>
                <w:sz w:val="21"/>
              </w:rPr>
            </w:pPr>
            <w:r>
              <w:rPr>
                <w:sz w:val="21"/>
              </w:rPr>
              <w:t>生产车间</w:t>
            </w:r>
          </w:p>
        </w:tc>
        <w:tc>
          <w:tcPr>
            <w:tcW w:w="2086" w:type="dxa"/>
            <w:tcBorders>
              <w:left w:val="single" w:sz="6" w:space="0" w:color="000000"/>
              <w:bottom w:val="single" w:sz="6" w:space="0" w:color="000000"/>
              <w:right w:val="single" w:sz="6" w:space="0" w:color="000000"/>
            </w:tcBorders>
          </w:tcPr>
          <w:p>
            <w:pPr>
              <w:pStyle w:val="TableParagraph"/>
              <w:spacing w:line="291" w:lineRule="exact"/>
              <w:ind w:left="505" w:right="475"/>
              <w:rPr>
                <w:sz w:val="21"/>
              </w:rPr>
            </w:pPr>
            <w:r>
              <w:rPr>
                <w:sz w:val="21"/>
              </w:rPr>
              <w:t>危化品仓库</w:t>
            </w:r>
          </w:p>
        </w:tc>
        <w:tc>
          <w:tcPr>
            <w:tcW w:w="2506" w:type="dxa"/>
            <w:tcBorders>
              <w:left w:val="single" w:sz="6" w:space="0" w:color="000000"/>
              <w:bottom w:val="single" w:sz="6" w:space="0" w:color="000000"/>
            </w:tcBorders>
          </w:tcPr>
          <w:p>
            <w:pPr>
              <w:pStyle w:val="TableParagraph"/>
              <w:spacing w:line="291" w:lineRule="exact"/>
              <w:ind w:left="1032" w:right="990"/>
              <w:rPr>
                <w:sz w:val="21"/>
              </w:rPr>
            </w:pPr>
            <w:r>
              <w:rPr>
                <w:sz w:val="21"/>
              </w:rPr>
              <w:t>罐区</w:t>
            </w:r>
          </w:p>
        </w:tc>
      </w:tr>
      <w:tr>
        <w:trPr>
          <w:trHeight w:val="311" w:hRule="atLeast"/>
        </w:trPr>
        <w:tc>
          <w:tcPr>
            <w:tcW w:w="840"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1</w:t>
            </w:r>
          </w:p>
        </w:tc>
        <w:tc>
          <w:tcPr>
            <w:tcW w:w="176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44" w:right="318"/>
              <w:rPr>
                <w:sz w:val="21"/>
              </w:rPr>
            </w:pPr>
            <w:r>
              <w:rPr>
                <w:sz w:val="21"/>
              </w:rPr>
              <w:t>火灾</w:t>
            </w:r>
          </w:p>
        </w:tc>
        <w:tc>
          <w:tcPr>
            <w:tcW w:w="1327" w:type="dxa"/>
            <w:tcBorders>
              <w:top w:val="single" w:sz="6" w:space="0" w:color="000000"/>
              <w:left w:val="single" w:sz="6" w:space="0" w:color="000000"/>
              <w:bottom w:val="single" w:sz="6" w:space="0" w:color="000000"/>
              <w:right w:val="single" w:sz="6" w:space="0" w:color="000000"/>
            </w:tcBorders>
          </w:tcPr>
          <w:p>
            <w:pPr>
              <w:pStyle w:val="TableParagraph"/>
              <w:spacing w:before="34"/>
              <w:ind w:left="27"/>
              <w:rPr>
                <w:rFonts w:ascii="Times New Roman" w:hAnsi="Times New Roman"/>
                <w:sz w:val="21"/>
              </w:rPr>
            </w:pPr>
            <w:r>
              <w:rPr>
                <w:rFonts w:ascii="Times New Roman" w:hAnsi="Times New Roman"/>
                <w:w w:val="100"/>
                <w:sz w:val="21"/>
              </w:rPr>
              <w:t>√</w:t>
            </w:r>
          </w:p>
        </w:tc>
        <w:tc>
          <w:tcPr>
            <w:tcW w:w="2086" w:type="dxa"/>
            <w:tcBorders>
              <w:top w:val="single" w:sz="6" w:space="0" w:color="000000"/>
              <w:left w:val="single" w:sz="6" w:space="0" w:color="000000"/>
              <w:bottom w:val="single" w:sz="6" w:space="0" w:color="000000"/>
              <w:right w:val="single" w:sz="6" w:space="0" w:color="000000"/>
            </w:tcBorders>
          </w:tcPr>
          <w:p>
            <w:pPr>
              <w:pStyle w:val="TableParagraph"/>
              <w:spacing w:before="34"/>
              <w:ind w:left="28"/>
              <w:rPr>
                <w:rFonts w:ascii="Times New Roman" w:hAnsi="Times New Roman"/>
                <w:sz w:val="21"/>
              </w:rPr>
            </w:pPr>
            <w:r>
              <w:rPr>
                <w:rFonts w:ascii="Times New Roman" w:hAnsi="Times New Roman"/>
                <w:w w:val="100"/>
                <w:sz w:val="21"/>
              </w:rPr>
              <w:t>√</w:t>
            </w:r>
          </w:p>
        </w:tc>
        <w:tc>
          <w:tcPr>
            <w:tcW w:w="250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14" w:hRule="atLeast"/>
        </w:trPr>
        <w:tc>
          <w:tcPr>
            <w:tcW w:w="840" w:type="dxa"/>
            <w:tcBorders>
              <w:top w:val="single" w:sz="6" w:space="0" w:color="000000"/>
              <w:bottom w:val="single" w:sz="6" w:space="0" w:color="000000"/>
              <w:right w:val="single" w:sz="6" w:space="0" w:color="000000"/>
            </w:tcBorders>
          </w:tcPr>
          <w:p>
            <w:pPr>
              <w:pStyle w:val="TableParagraph"/>
              <w:spacing w:before="37"/>
              <w:ind w:left="21"/>
              <w:rPr>
                <w:rFonts w:ascii="Times New Roman"/>
                <w:sz w:val="21"/>
              </w:rPr>
            </w:pPr>
            <w:r>
              <w:rPr>
                <w:rFonts w:ascii="Times New Roman"/>
                <w:w w:val="100"/>
                <w:sz w:val="21"/>
              </w:rPr>
              <w:t>2</w:t>
            </w:r>
          </w:p>
        </w:tc>
        <w:tc>
          <w:tcPr>
            <w:tcW w:w="176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46" w:right="318"/>
              <w:rPr>
                <w:sz w:val="21"/>
              </w:rPr>
            </w:pPr>
            <w:r>
              <w:rPr>
                <w:sz w:val="21"/>
              </w:rPr>
              <w:t>化学泄漏</w:t>
            </w:r>
          </w:p>
        </w:tc>
        <w:tc>
          <w:tcPr>
            <w:tcW w:w="1327" w:type="dxa"/>
            <w:tcBorders>
              <w:top w:val="single" w:sz="6" w:space="0" w:color="000000"/>
              <w:left w:val="single" w:sz="6" w:space="0" w:color="000000"/>
              <w:bottom w:val="single" w:sz="6" w:space="0" w:color="000000"/>
              <w:right w:val="single" w:sz="6" w:space="0" w:color="000000"/>
            </w:tcBorders>
          </w:tcPr>
          <w:p>
            <w:pPr>
              <w:pStyle w:val="TableParagraph"/>
              <w:spacing w:before="37"/>
              <w:ind w:left="27"/>
              <w:rPr>
                <w:rFonts w:ascii="Times New Roman" w:hAnsi="Times New Roman"/>
                <w:sz w:val="21"/>
              </w:rPr>
            </w:pPr>
            <w:r>
              <w:rPr>
                <w:rFonts w:ascii="Times New Roman" w:hAnsi="Times New Roman"/>
                <w:w w:val="100"/>
                <w:sz w:val="21"/>
              </w:rPr>
              <w:t>√</w:t>
            </w:r>
          </w:p>
        </w:tc>
        <w:tc>
          <w:tcPr>
            <w:tcW w:w="2086" w:type="dxa"/>
            <w:tcBorders>
              <w:top w:val="single" w:sz="6" w:space="0" w:color="000000"/>
              <w:left w:val="single" w:sz="6" w:space="0" w:color="000000"/>
              <w:bottom w:val="single" w:sz="6" w:space="0" w:color="000000"/>
              <w:right w:val="single" w:sz="6" w:space="0" w:color="000000"/>
            </w:tcBorders>
          </w:tcPr>
          <w:p>
            <w:pPr>
              <w:pStyle w:val="TableParagraph"/>
              <w:spacing w:before="37"/>
              <w:ind w:left="28"/>
              <w:rPr>
                <w:rFonts w:ascii="Times New Roman" w:hAnsi="Times New Roman"/>
                <w:sz w:val="21"/>
              </w:rPr>
            </w:pPr>
            <w:r>
              <w:rPr>
                <w:rFonts w:ascii="Times New Roman" w:hAnsi="Times New Roman"/>
                <w:w w:val="100"/>
                <w:sz w:val="21"/>
              </w:rPr>
              <w:t>√</w:t>
            </w:r>
          </w:p>
        </w:tc>
        <w:tc>
          <w:tcPr>
            <w:tcW w:w="2506" w:type="dxa"/>
            <w:tcBorders>
              <w:top w:val="single" w:sz="6" w:space="0" w:color="000000"/>
              <w:left w:val="single" w:sz="6" w:space="0" w:color="000000"/>
              <w:bottom w:val="single" w:sz="6" w:space="0" w:color="000000"/>
            </w:tcBorders>
          </w:tcPr>
          <w:p>
            <w:pPr>
              <w:pStyle w:val="TableParagraph"/>
              <w:spacing w:before="37"/>
              <w:ind w:left="38"/>
              <w:rPr>
                <w:rFonts w:ascii="Times New Roman" w:hAnsi="Times New Roman"/>
                <w:sz w:val="21"/>
              </w:rPr>
            </w:pPr>
            <w:r>
              <w:rPr>
                <w:rFonts w:ascii="Times New Roman" w:hAnsi="Times New Roman"/>
                <w:w w:val="100"/>
                <w:sz w:val="21"/>
              </w:rPr>
              <w:t>√</w:t>
            </w:r>
          </w:p>
        </w:tc>
      </w:tr>
      <w:tr>
        <w:trPr>
          <w:trHeight w:val="311" w:hRule="atLeast"/>
        </w:trPr>
        <w:tc>
          <w:tcPr>
            <w:tcW w:w="840"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3</w:t>
            </w:r>
          </w:p>
        </w:tc>
        <w:tc>
          <w:tcPr>
            <w:tcW w:w="176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46" w:right="318"/>
              <w:rPr>
                <w:sz w:val="21"/>
              </w:rPr>
            </w:pPr>
            <w:r>
              <w:rPr>
                <w:sz w:val="21"/>
              </w:rPr>
              <w:t>容器爆炸</w:t>
            </w:r>
          </w:p>
        </w:tc>
        <w:tc>
          <w:tcPr>
            <w:tcW w:w="1327" w:type="dxa"/>
            <w:tcBorders>
              <w:top w:val="single" w:sz="6" w:space="0" w:color="000000"/>
              <w:left w:val="single" w:sz="6" w:space="0" w:color="000000"/>
              <w:bottom w:val="single" w:sz="6" w:space="0" w:color="000000"/>
              <w:right w:val="single" w:sz="6" w:space="0" w:color="000000"/>
            </w:tcBorders>
          </w:tcPr>
          <w:p>
            <w:pPr>
              <w:pStyle w:val="TableParagraph"/>
              <w:spacing w:before="34"/>
              <w:ind w:left="27"/>
              <w:rPr>
                <w:rFonts w:ascii="Times New Roman" w:hAnsi="Times New Roman"/>
                <w:sz w:val="21"/>
              </w:rPr>
            </w:pPr>
            <w:r>
              <w:rPr>
                <w:rFonts w:ascii="Times New Roman" w:hAnsi="Times New Roman"/>
                <w:w w:val="100"/>
                <w:sz w:val="21"/>
              </w:rPr>
              <w:t>√</w:t>
            </w:r>
          </w:p>
        </w:tc>
        <w:tc>
          <w:tcPr>
            <w:tcW w:w="2086" w:type="dxa"/>
            <w:tcBorders>
              <w:top w:val="single" w:sz="6" w:space="0" w:color="000000"/>
              <w:left w:val="single" w:sz="6" w:space="0" w:color="000000"/>
              <w:bottom w:val="single" w:sz="6" w:space="0" w:color="000000"/>
              <w:right w:val="single" w:sz="6" w:space="0" w:color="000000"/>
            </w:tcBorders>
          </w:tcPr>
          <w:p>
            <w:pPr>
              <w:pStyle w:val="TableParagraph"/>
              <w:spacing w:before="34"/>
              <w:ind w:left="28"/>
              <w:rPr>
                <w:rFonts w:ascii="Times New Roman" w:hAnsi="Times New Roman"/>
                <w:sz w:val="21"/>
              </w:rPr>
            </w:pPr>
            <w:r>
              <w:rPr>
                <w:rFonts w:ascii="Times New Roman" w:hAnsi="Times New Roman"/>
                <w:w w:val="100"/>
                <w:sz w:val="21"/>
              </w:rPr>
              <w:t>√</w:t>
            </w:r>
          </w:p>
        </w:tc>
        <w:tc>
          <w:tcPr>
            <w:tcW w:w="250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11" w:hRule="atLeast"/>
        </w:trPr>
        <w:tc>
          <w:tcPr>
            <w:tcW w:w="840" w:type="dxa"/>
            <w:tcBorders>
              <w:top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4</w:t>
            </w:r>
          </w:p>
        </w:tc>
        <w:tc>
          <w:tcPr>
            <w:tcW w:w="1769" w:type="dxa"/>
            <w:tcBorders>
              <w:top w:val="single" w:sz="6" w:space="0" w:color="000000"/>
              <w:left w:val="single" w:sz="6" w:space="0" w:color="000000"/>
              <w:right w:val="single" w:sz="6" w:space="0" w:color="000000"/>
            </w:tcBorders>
          </w:tcPr>
          <w:p>
            <w:pPr>
              <w:pStyle w:val="TableParagraph"/>
              <w:spacing w:line="291" w:lineRule="exact"/>
              <w:ind w:left="346" w:right="318"/>
              <w:rPr>
                <w:sz w:val="21"/>
              </w:rPr>
            </w:pPr>
            <w:r>
              <w:rPr>
                <w:sz w:val="21"/>
              </w:rPr>
              <w:t>中毒和窒息</w:t>
            </w:r>
          </w:p>
        </w:tc>
        <w:tc>
          <w:tcPr>
            <w:tcW w:w="1327" w:type="dxa"/>
            <w:tcBorders>
              <w:top w:val="single" w:sz="6" w:space="0" w:color="000000"/>
              <w:left w:val="single" w:sz="6" w:space="0" w:color="000000"/>
              <w:right w:val="single" w:sz="6" w:space="0" w:color="000000"/>
            </w:tcBorders>
          </w:tcPr>
          <w:p>
            <w:pPr>
              <w:pStyle w:val="TableParagraph"/>
              <w:spacing w:before="34"/>
              <w:ind w:left="27"/>
              <w:rPr>
                <w:rFonts w:ascii="Times New Roman" w:hAnsi="Times New Roman"/>
                <w:sz w:val="21"/>
              </w:rPr>
            </w:pPr>
            <w:r>
              <w:rPr>
                <w:rFonts w:ascii="Times New Roman" w:hAnsi="Times New Roman"/>
                <w:w w:val="100"/>
                <w:sz w:val="21"/>
              </w:rPr>
              <w:t>√</w:t>
            </w:r>
          </w:p>
        </w:tc>
        <w:tc>
          <w:tcPr>
            <w:tcW w:w="2086" w:type="dxa"/>
            <w:tcBorders>
              <w:top w:val="single" w:sz="6" w:space="0" w:color="000000"/>
              <w:left w:val="single" w:sz="6" w:space="0" w:color="000000"/>
              <w:right w:val="single" w:sz="6" w:space="0" w:color="000000"/>
            </w:tcBorders>
          </w:tcPr>
          <w:p>
            <w:pPr>
              <w:pStyle w:val="TableParagraph"/>
              <w:spacing w:before="34"/>
              <w:ind w:left="28"/>
              <w:rPr>
                <w:rFonts w:ascii="Times New Roman" w:hAnsi="Times New Roman"/>
                <w:sz w:val="21"/>
              </w:rPr>
            </w:pPr>
            <w:r>
              <w:rPr>
                <w:rFonts w:ascii="Times New Roman" w:hAnsi="Times New Roman"/>
                <w:w w:val="100"/>
                <w:sz w:val="21"/>
              </w:rPr>
              <w:t>√</w:t>
            </w:r>
          </w:p>
        </w:tc>
        <w:tc>
          <w:tcPr>
            <w:tcW w:w="2506" w:type="dxa"/>
            <w:tcBorders>
              <w:top w:val="single" w:sz="6" w:space="0" w:color="000000"/>
              <w:left w:val="single" w:sz="6" w:space="0" w:color="000000"/>
            </w:tcBorders>
          </w:tcPr>
          <w:p>
            <w:pPr>
              <w:pStyle w:val="TableParagraph"/>
              <w:spacing w:before="34"/>
              <w:ind w:left="38"/>
              <w:rPr>
                <w:rFonts w:ascii="Times New Roman" w:hAnsi="Times New Roman"/>
                <w:sz w:val="21"/>
              </w:rPr>
            </w:pPr>
            <w:r>
              <w:rPr>
                <w:rFonts w:ascii="Times New Roman" w:hAnsi="Times New Roman"/>
                <w:w w:val="100"/>
                <w:sz w:val="21"/>
              </w:rPr>
              <w:t>√</w:t>
            </w:r>
          </w:p>
        </w:tc>
      </w:tr>
    </w:tbl>
    <w:p>
      <w:pPr>
        <w:pStyle w:val="BodyText"/>
        <w:spacing w:line="488" w:lineRule="exact" w:before="122"/>
        <w:ind w:left="1058"/>
      </w:pPr>
      <w:r>
        <w:rPr>
          <w:rFonts w:ascii="Times New Roman" w:eastAsia="Times New Roman"/>
        </w:rPr>
        <w:t>2</w:t>
      </w:r>
      <w:r>
        <w:rPr/>
        <w:t>、储存过程中的风险因素</w:t>
      </w:r>
    </w:p>
    <w:p>
      <w:pPr>
        <w:pStyle w:val="BodyText"/>
        <w:spacing w:line="468" w:lineRule="exact"/>
        <w:ind w:left="1058"/>
      </w:pPr>
      <w:r>
        <w:rPr>
          <w:color w:val="FF0000"/>
        </w:rPr>
        <w:t>本项目中所涉及的化学品储存环节特点有：</w:t>
      </w:r>
    </w:p>
    <w:p>
      <w:pPr>
        <w:pStyle w:val="BodyText"/>
        <w:spacing w:line="468" w:lineRule="exact"/>
        <w:ind w:left="1058"/>
      </w:pPr>
      <w:r>
        <w:rPr>
          <w:color w:val="FF0000"/>
        </w:rPr>
        <w:t>（</w:t>
      </w:r>
      <w:r>
        <w:rPr>
          <w:rFonts w:ascii="Times New Roman" w:eastAsia="Times New Roman"/>
          <w:color w:val="FF0000"/>
        </w:rPr>
        <w:t>1</w:t>
      </w:r>
      <w:r>
        <w:rPr>
          <w:color w:val="FF0000"/>
        </w:rPr>
        <w:t>）所涉及化学品种类繁多，但单品储存量较小，</w:t>
      </w:r>
    </w:p>
    <w:p>
      <w:pPr>
        <w:pStyle w:val="BodyText"/>
        <w:spacing w:line="220" w:lineRule="auto" w:before="8"/>
        <w:ind w:left="578" w:right="756" w:firstLine="479"/>
        <w:jc w:val="both"/>
      </w:pPr>
      <w:r>
        <w:rPr>
          <w:color w:val="FF0000"/>
        </w:rPr>
        <w:t>（</w:t>
      </w:r>
      <w:r>
        <w:rPr>
          <w:rFonts w:ascii="Times New Roman" w:eastAsia="Times New Roman"/>
          <w:color w:val="FF0000"/>
        </w:rPr>
        <w:t>2</w:t>
      </w:r>
      <w:r>
        <w:rPr>
          <w:color w:val="FF0000"/>
        </w:rPr>
        <w:t>）所涉及的化学品储存地点较多，包括有：甲类仓库、液体仓库、储罐区、镁粉库、硝化库、易制毒库等。</w:t>
      </w:r>
    </w:p>
    <w:p>
      <w:pPr>
        <w:pStyle w:val="BodyText"/>
        <w:spacing w:line="481" w:lineRule="exact"/>
        <w:ind w:left="1058"/>
      </w:pPr>
      <w:r>
        <w:rPr>
          <w:color w:val="FF0000"/>
        </w:rPr>
        <w:t>化学品储存过程中潜在事故主要是由于储存设施（储罐、原料桶、原料袋等）</w:t>
      </w:r>
    </w:p>
    <w:p>
      <w:pPr>
        <w:spacing w:after="0" w:line="481" w:lineRule="exact"/>
        <w:sectPr>
          <w:pgSz w:w="11910" w:h="16840"/>
          <w:pgMar w:header="877" w:footer="973" w:top="1340" w:bottom="1160" w:left="1220" w:right="1040"/>
        </w:sectPr>
      </w:pPr>
    </w:p>
    <w:p>
      <w:pPr>
        <w:pStyle w:val="BodyText"/>
        <w:spacing w:line="220" w:lineRule="auto" w:before="77"/>
        <w:ind w:left="578" w:right="634"/>
        <w:jc w:val="both"/>
      </w:pPr>
      <w:r>
        <w:rPr>
          <w:color w:val="FF0000"/>
        </w:rPr>
        <w:t>由于安装缺陷或因腐蚀等原因发生罐体破裂、泵泄漏及泵体裂纹、密封件损坏、</w:t>
      </w:r>
      <w:r>
        <w:rPr>
          <w:color w:val="FF0000"/>
          <w:spacing w:val="-9"/>
        </w:rPr>
        <w:t>阀门和法兰损坏，或包装桶、包装袋由于腐蚀或者外力等因素导致有毒有害物质</w:t>
      </w:r>
      <w:r>
        <w:rPr>
          <w:color w:val="FF0000"/>
          <w:spacing w:val="-19"/>
        </w:rPr>
        <w:t>的泄漏所造成的环境污染。一旦发生事故，将对周围人群及环境造成影响及危害。</w:t>
      </w:r>
    </w:p>
    <w:p>
      <w:pPr>
        <w:pStyle w:val="BodyText"/>
        <w:spacing w:line="460" w:lineRule="exact"/>
        <w:ind w:left="1058"/>
      </w:pPr>
      <w:r>
        <w:rPr>
          <w:rFonts w:ascii="Times New Roman" w:eastAsia="Times New Roman"/>
        </w:rPr>
        <w:t>3</w:t>
      </w:r>
      <w:r>
        <w:rPr/>
        <w:t>、运输过程中的风险因素</w:t>
      </w:r>
    </w:p>
    <w:p>
      <w:pPr>
        <w:pStyle w:val="BodyText"/>
        <w:spacing w:line="468" w:lineRule="exact"/>
        <w:ind w:left="1058"/>
      </w:pPr>
      <w:r>
        <w:rPr/>
        <w:t>（</w:t>
      </w:r>
      <w:r>
        <w:rPr>
          <w:rFonts w:ascii="Times New Roman" w:eastAsia="Times New Roman"/>
        </w:rPr>
        <w:t>1</w:t>
      </w:r>
      <w:r>
        <w:rPr/>
        <w:t>）厂外运输</w:t>
      </w:r>
    </w:p>
    <w:p>
      <w:pPr>
        <w:pStyle w:val="BodyText"/>
        <w:spacing w:line="220" w:lineRule="auto" w:before="8"/>
        <w:ind w:left="578" w:right="635" w:firstLine="479"/>
        <w:jc w:val="both"/>
      </w:pPr>
      <w:r>
        <w:rPr>
          <w:spacing w:val="-5"/>
        </w:rPr>
        <w:t>本项目使用的化学品大都为汽运运输。各类危险品在装卸、运输中可能由于</w:t>
      </w:r>
      <w:r>
        <w:rPr>
          <w:spacing w:val="-11"/>
        </w:rPr>
        <w:t>碰撞、震动、挤压等，或由于操作不当、重装重卸、容器多次回收利用，强度下</w:t>
      </w:r>
      <w:r>
        <w:rPr>
          <w:spacing w:val="-17"/>
        </w:rPr>
        <w:t>降，垫圈失落没有拧紧等造成物品泄漏，甚至引起火灾、爆炸或污染环境等事故。同时在运输过程中，由于各种意外造成危险品抛至水体、大气，造成较大事故， 因此危险品在运输过程中存在一定环境风险。</w:t>
      </w:r>
    </w:p>
    <w:p>
      <w:pPr>
        <w:pStyle w:val="BodyText"/>
        <w:spacing w:line="460" w:lineRule="exact"/>
        <w:ind w:left="1058"/>
      </w:pPr>
      <w:r>
        <w:rPr>
          <w:color w:val="FF0000"/>
        </w:rPr>
        <w:t>（</w:t>
      </w:r>
      <w:r>
        <w:rPr>
          <w:rFonts w:ascii="Times New Roman" w:eastAsia="Times New Roman"/>
          <w:color w:val="FF0000"/>
        </w:rPr>
        <w:t>2</w:t>
      </w:r>
      <w:r>
        <w:rPr>
          <w:color w:val="FF0000"/>
        </w:rPr>
        <w:t>）厂内运输</w:t>
      </w:r>
    </w:p>
    <w:p>
      <w:pPr>
        <w:pStyle w:val="BodyText"/>
        <w:spacing w:line="220" w:lineRule="auto" w:before="8"/>
        <w:ind w:left="578" w:right="666" w:firstLine="479"/>
        <w:jc w:val="both"/>
      </w:pPr>
      <w:r>
        <w:rPr>
          <w:color w:val="FF0000"/>
        </w:rPr>
        <w:t>本项目化学品主要集中在甲类仓库、液体仓库、罐区，距离生产车间较近， </w:t>
      </w:r>
      <w:r>
        <w:rPr>
          <w:color w:val="FF0000"/>
          <w:spacing w:val="-5"/>
        </w:rPr>
        <w:t>化学品厂内的运输采用拆车或电瓶车，液体在转运、倒桶过程中由于操作失误等</w:t>
      </w:r>
      <w:r>
        <w:rPr>
          <w:color w:val="FF0000"/>
          <w:spacing w:val="-11"/>
        </w:rPr>
        <w:t>原因造成液体桶的掉落、叉漏等原因导致液体化学品泄漏，遇静电或者明火引起火灾等环境污染事故。</w:t>
      </w:r>
    </w:p>
    <w:p>
      <w:pPr>
        <w:pStyle w:val="Heading3"/>
        <w:numPr>
          <w:ilvl w:val="2"/>
          <w:numId w:val="11"/>
        </w:numPr>
        <w:tabs>
          <w:tab w:pos="1378" w:val="left" w:leader="none"/>
        </w:tabs>
        <w:spacing w:line="240" w:lineRule="auto" w:before="150" w:after="0"/>
        <w:ind w:left="1377" w:right="0" w:hanging="799"/>
        <w:jc w:val="left"/>
      </w:pPr>
      <w:r>
        <w:rPr/>
        <w:t>风险识别结果</w:t>
      </w:r>
    </w:p>
    <w:p>
      <w:pPr>
        <w:pStyle w:val="BodyText"/>
        <w:spacing w:line="488" w:lineRule="exact" w:before="168"/>
        <w:ind w:left="1058"/>
      </w:pPr>
      <w:r>
        <w:rPr/>
        <w:t>在风险识别的基础上，给出项目危险单元分布图，见图 </w:t>
      </w:r>
      <w:r>
        <w:rPr>
          <w:rFonts w:ascii="Times New Roman" w:eastAsia="Times New Roman"/>
        </w:rPr>
        <w:t>7.4-1</w:t>
      </w:r>
      <w:r>
        <w:rPr/>
        <w:t>。</w:t>
      </w:r>
    </w:p>
    <w:p>
      <w:pPr>
        <w:pStyle w:val="BodyText"/>
        <w:spacing w:line="220" w:lineRule="auto" w:before="9"/>
        <w:ind w:left="578" w:right="753" w:firstLine="479"/>
      </w:pPr>
      <w:r>
        <w:rPr/>
        <w:t>综上所述，根据本项目所涉及有毒有害、易燃易爆物质危险性识别和生产过程潜在危险性识别结果，本项目环境风险识别表见 </w:t>
      </w:r>
      <w:r>
        <w:rPr>
          <w:rFonts w:ascii="Times New Roman" w:eastAsia="Times New Roman"/>
        </w:rPr>
        <w:t>7.4-3</w:t>
      </w:r>
      <w:r>
        <w:rPr/>
        <w:t>。</w:t>
      </w:r>
    </w:p>
    <w:p>
      <w:pPr>
        <w:tabs>
          <w:tab w:pos="911" w:val="left" w:leader="none"/>
        </w:tabs>
        <w:spacing w:before="6" w:after="24"/>
        <w:ind w:left="0" w:right="175" w:firstLine="0"/>
        <w:jc w:val="center"/>
        <w:rPr>
          <w:sz w:val="21"/>
        </w:rPr>
      </w:pPr>
      <w:r>
        <w:rPr>
          <w:sz w:val="21"/>
        </w:rPr>
        <w:t>表</w:t>
      </w:r>
      <w:r>
        <w:rPr>
          <w:spacing w:val="7"/>
          <w:sz w:val="21"/>
        </w:rPr>
        <w:t> </w:t>
      </w:r>
      <w:r>
        <w:rPr>
          <w:rFonts w:ascii="Times New Roman" w:eastAsia="Times New Roman"/>
          <w:b/>
          <w:sz w:val="21"/>
        </w:rPr>
        <w:t>7.4-3</w:t>
        <w:tab/>
      </w:r>
      <w:r>
        <w:rPr>
          <w:sz w:val="21"/>
        </w:rPr>
        <w:t>项目环境风险</w:t>
      </w:r>
      <w:r>
        <w:rPr>
          <w:spacing w:val="-3"/>
          <w:sz w:val="21"/>
        </w:rPr>
        <w:t>识</w:t>
      </w:r>
      <w:r>
        <w:rPr>
          <w:sz w:val="21"/>
        </w:rPr>
        <w:t>别表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8"/>
        <w:gridCol w:w="734"/>
        <w:gridCol w:w="939"/>
        <w:gridCol w:w="1555"/>
        <w:gridCol w:w="1455"/>
        <w:gridCol w:w="1047"/>
        <w:gridCol w:w="2272"/>
      </w:tblGrid>
      <w:tr>
        <w:trPr>
          <w:trHeight w:val="623" w:hRule="atLeast"/>
        </w:trPr>
        <w:tc>
          <w:tcPr>
            <w:tcW w:w="528" w:type="dxa"/>
            <w:tcBorders>
              <w:bottom w:val="single" w:sz="6" w:space="0" w:color="000000"/>
              <w:right w:val="single" w:sz="6" w:space="0" w:color="000000"/>
            </w:tcBorders>
          </w:tcPr>
          <w:p>
            <w:pPr>
              <w:pStyle w:val="TableParagraph"/>
              <w:spacing w:line="301" w:lineRule="exact"/>
              <w:ind w:left="157"/>
              <w:jc w:val="left"/>
              <w:rPr>
                <w:sz w:val="21"/>
              </w:rPr>
            </w:pPr>
            <w:r>
              <w:rPr>
                <w:w w:val="100"/>
                <w:sz w:val="21"/>
              </w:rPr>
              <w:t>序</w:t>
            </w:r>
          </w:p>
          <w:p>
            <w:pPr>
              <w:pStyle w:val="TableParagraph"/>
              <w:spacing w:line="303" w:lineRule="exact"/>
              <w:ind w:left="157"/>
              <w:jc w:val="left"/>
              <w:rPr>
                <w:sz w:val="21"/>
              </w:rPr>
            </w:pPr>
            <w:r>
              <w:rPr>
                <w:w w:val="100"/>
                <w:sz w:val="21"/>
              </w:rPr>
              <w:t>号</w:t>
            </w:r>
          </w:p>
        </w:tc>
        <w:tc>
          <w:tcPr>
            <w:tcW w:w="734" w:type="dxa"/>
            <w:tcBorders>
              <w:left w:val="single" w:sz="6" w:space="0" w:color="000000"/>
              <w:bottom w:val="single" w:sz="6" w:space="0" w:color="000000"/>
              <w:right w:val="single" w:sz="6" w:space="0" w:color="000000"/>
            </w:tcBorders>
          </w:tcPr>
          <w:p>
            <w:pPr>
              <w:pStyle w:val="TableParagraph"/>
              <w:spacing w:line="301" w:lineRule="exact"/>
              <w:ind w:left="162"/>
              <w:jc w:val="left"/>
              <w:rPr>
                <w:sz w:val="21"/>
              </w:rPr>
            </w:pPr>
            <w:r>
              <w:rPr>
                <w:sz w:val="21"/>
              </w:rPr>
              <w:t>危险</w:t>
            </w:r>
          </w:p>
          <w:p>
            <w:pPr>
              <w:pStyle w:val="TableParagraph"/>
              <w:spacing w:line="303" w:lineRule="exact"/>
              <w:ind w:left="162"/>
              <w:jc w:val="left"/>
              <w:rPr>
                <w:sz w:val="21"/>
              </w:rPr>
            </w:pPr>
            <w:r>
              <w:rPr>
                <w:sz w:val="21"/>
              </w:rPr>
              <w:t>单元</w:t>
            </w:r>
          </w:p>
        </w:tc>
        <w:tc>
          <w:tcPr>
            <w:tcW w:w="939" w:type="dxa"/>
            <w:tcBorders>
              <w:left w:val="single" w:sz="6" w:space="0" w:color="000000"/>
              <w:bottom w:val="single" w:sz="6" w:space="0" w:color="000000"/>
              <w:right w:val="single" w:sz="6" w:space="0" w:color="000000"/>
            </w:tcBorders>
          </w:tcPr>
          <w:p>
            <w:pPr>
              <w:pStyle w:val="TableParagraph"/>
              <w:spacing w:line="301" w:lineRule="exact"/>
              <w:ind w:left="160"/>
              <w:jc w:val="left"/>
              <w:rPr>
                <w:sz w:val="21"/>
              </w:rPr>
            </w:pPr>
            <w:r>
              <w:rPr>
                <w:sz w:val="21"/>
              </w:rPr>
              <w:t>本项目</w:t>
            </w:r>
          </w:p>
          <w:p>
            <w:pPr>
              <w:pStyle w:val="TableParagraph"/>
              <w:spacing w:line="303" w:lineRule="exact"/>
              <w:ind w:left="160"/>
              <w:jc w:val="left"/>
              <w:rPr>
                <w:sz w:val="21"/>
              </w:rPr>
            </w:pPr>
            <w:r>
              <w:rPr>
                <w:sz w:val="21"/>
              </w:rPr>
              <w:t>风险源</w:t>
            </w:r>
          </w:p>
        </w:tc>
        <w:tc>
          <w:tcPr>
            <w:tcW w:w="1555" w:type="dxa"/>
            <w:tcBorders>
              <w:left w:val="single" w:sz="6" w:space="0" w:color="000000"/>
              <w:bottom w:val="single" w:sz="6" w:space="0" w:color="000000"/>
              <w:right w:val="single" w:sz="6" w:space="0" w:color="000000"/>
            </w:tcBorders>
          </w:tcPr>
          <w:p>
            <w:pPr>
              <w:pStyle w:val="TableParagraph"/>
              <w:spacing w:before="78"/>
              <w:ind w:left="112" w:right="83"/>
              <w:rPr>
                <w:sz w:val="21"/>
              </w:rPr>
            </w:pPr>
            <w:r>
              <w:rPr>
                <w:sz w:val="21"/>
              </w:rPr>
              <w:t>主要危险物质</w:t>
            </w:r>
          </w:p>
        </w:tc>
        <w:tc>
          <w:tcPr>
            <w:tcW w:w="1455" w:type="dxa"/>
            <w:tcBorders>
              <w:left w:val="single" w:sz="6" w:space="0" w:color="000000"/>
              <w:bottom w:val="single" w:sz="6" w:space="0" w:color="000000"/>
              <w:right w:val="single" w:sz="6" w:space="0" w:color="000000"/>
            </w:tcBorders>
          </w:tcPr>
          <w:p>
            <w:pPr>
              <w:pStyle w:val="TableParagraph"/>
              <w:spacing w:line="301" w:lineRule="exact"/>
              <w:ind w:left="69" w:right="43"/>
              <w:rPr>
                <w:sz w:val="21"/>
              </w:rPr>
            </w:pPr>
            <w:r>
              <w:rPr>
                <w:sz w:val="21"/>
              </w:rPr>
              <w:t>环境风险类</w:t>
            </w:r>
          </w:p>
          <w:p>
            <w:pPr>
              <w:pStyle w:val="TableParagraph"/>
              <w:spacing w:line="303" w:lineRule="exact"/>
              <w:ind w:left="25"/>
              <w:rPr>
                <w:sz w:val="21"/>
              </w:rPr>
            </w:pPr>
            <w:r>
              <w:rPr>
                <w:w w:val="100"/>
                <w:sz w:val="21"/>
              </w:rPr>
              <w:t>型</w:t>
            </w:r>
          </w:p>
        </w:tc>
        <w:tc>
          <w:tcPr>
            <w:tcW w:w="1047" w:type="dxa"/>
            <w:tcBorders>
              <w:left w:val="single" w:sz="6" w:space="0" w:color="000000"/>
              <w:bottom w:val="single" w:sz="6" w:space="0" w:color="000000"/>
              <w:right w:val="single" w:sz="6" w:space="0" w:color="000000"/>
            </w:tcBorders>
          </w:tcPr>
          <w:p>
            <w:pPr>
              <w:pStyle w:val="TableParagraph"/>
              <w:spacing w:line="301" w:lineRule="exact"/>
              <w:ind w:left="213"/>
              <w:jc w:val="left"/>
              <w:rPr>
                <w:sz w:val="21"/>
              </w:rPr>
            </w:pPr>
            <w:r>
              <w:rPr>
                <w:sz w:val="21"/>
              </w:rPr>
              <w:t>环境影</w:t>
            </w:r>
          </w:p>
          <w:p>
            <w:pPr>
              <w:pStyle w:val="TableParagraph"/>
              <w:spacing w:line="303" w:lineRule="exact"/>
              <w:ind w:left="213"/>
              <w:jc w:val="left"/>
              <w:rPr>
                <w:sz w:val="21"/>
              </w:rPr>
            </w:pPr>
            <w:r>
              <w:rPr>
                <w:sz w:val="21"/>
              </w:rPr>
              <w:t>响途径</w:t>
            </w:r>
          </w:p>
        </w:tc>
        <w:tc>
          <w:tcPr>
            <w:tcW w:w="2272" w:type="dxa"/>
            <w:tcBorders>
              <w:left w:val="single" w:sz="6" w:space="0" w:color="000000"/>
              <w:bottom w:val="single" w:sz="6" w:space="0" w:color="000000"/>
            </w:tcBorders>
          </w:tcPr>
          <w:p>
            <w:pPr>
              <w:pStyle w:val="TableParagraph"/>
              <w:spacing w:line="301" w:lineRule="exact"/>
              <w:ind w:left="175" w:right="144"/>
              <w:rPr>
                <w:sz w:val="21"/>
              </w:rPr>
            </w:pPr>
            <w:r>
              <w:rPr>
                <w:sz w:val="21"/>
              </w:rPr>
              <w:t>可能受影响的环境敏</w:t>
            </w:r>
          </w:p>
          <w:p>
            <w:pPr>
              <w:pStyle w:val="TableParagraph"/>
              <w:spacing w:line="303" w:lineRule="exact"/>
              <w:ind w:left="175" w:right="140"/>
              <w:rPr>
                <w:sz w:val="21"/>
              </w:rPr>
            </w:pPr>
            <w:r>
              <w:rPr>
                <w:sz w:val="21"/>
              </w:rPr>
              <w:t>感目标</w:t>
            </w:r>
          </w:p>
        </w:tc>
      </w:tr>
      <w:tr>
        <w:trPr>
          <w:trHeight w:val="625" w:hRule="atLeast"/>
        </w:trPr>
        <w:tc>
          <w:tcPr>
            <w:tcW w:w="528" w:type="dxa"/>
            <w:tcBorders>
              <w:top w:val="single" w:sz="6" w:space="0" w:color="000000"/>
              <w:bottom w:val="single" w:sz="6" w:space="0" w:color="000000"/>
              <w:right w:val="single" w:sz="6" w:space="0" w:color="000000"/>
            </w:tcBorders>
          </w:tcPr>
          <w:p>
            <w:pPr>
              <w:pStyle w:val="TableParagraph"/>
              <w:spacing w:before="192"/>
              <w:ind w:left="21"/>
              <w:rPr>
                <w:rFonts w:ascii="Times New Roman"/>
                <w:sz w:val="21"/>
              </w:rPr>
            </w:pPr>
            <w:r>
              <w:rPr>
                <w:rFonts w:ascii="Times New Roman"/>
                <w:w w:val="100"/>
                <w:sz w:val="21"/>
              </w:rPr>
              <w:t>1</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62"/>
              <w:jc w:val="left"/>
              <w:rPr>
                <w:sz w:val="21"/>
              </w:rPr>
            </w:pPr>
            <w:r>
              <w:rPr>
                <w:sz w:val="21"/>
              </w:rPr>
              <w:t>盐酸</w:t>
            </w:r>
          </w:p>
          <w:p>
            <w:pPr>
              <w:pStyle w:val="TableParagraph"/>
              <w:spacing w:line="303" w:lineRule="exact"/>
              <w:ind w:left="162"/>
              <w:jc w:val="left"/>
              <w:rPr>
                <w:sz w:val="21"/>
              </w:rPr>
            </w:pPr>
            <w:r>
              <w:rPr>
                <w:sz w:val="21"/>
              </w:rPr>
              <w:t>罐区</w:t>
            </w:r>
          </w:p>
        </w:tc>
        <w:tc>
          <w:tcPr>
            <w:tcW w:w="93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42" w:right="111"/>
              <w:rPr>
                <w:sz w:val="21"/>
              </w:rPr>
            </w:pPr>
            <w:r>
              <w:rPr>
                <w:sz w:val="21"/>
              </w:rPr>
              <w:t>盐酸储</w:t>
            </w:r>
          </w:p>
          <w:p>
            <w:pPr>
              <w:pStyle w:val="TableParagraph"/>
              <w:spacing w:line="303" w:lineRule="exact"/>
              <w:ind w:left="26"/>
              <w:rPr>
                <w:sz w:val="21"/>
              </w:rPr>
            </w:pPr>
            <w:r>
              <w:rPr>
                <w:w w:val="100"/>
                <w:sz w:val="21"/>
              </w:rPr>
              <w:t>罐</w:t>
            </w:r>
          </w:p>
        </w:tc>
        <w:tc>
          <w:tcPr>
            <w:tcW w:w="1555" w:type="dxa"/>
            <w:tcBorders>
              <w:top w:val="single" w:sz="6" w:space="0" w:color="000000"/>
              <w:left w:val="single" w:sz="6" w:space="0" w:color="000000"/>
              <w:bottom w:val="single" w:sz="6" w:space="0" w:color="000000"/>
              <w:right w:val="single" w:sz="6" w:space="0" w:color="000000"/>
            </w:tcBorders>
          </w:tcPr>
          <w:p>
            <w:pPr>
              <w:pStyle w:val="TableParagraph"/>
              <w:spacing w:before="80"/>
              <w:ind w:left="112" w:right="83"/>
              <w:rPr>
                <w:sz w:val="21"/>
              </w:rPr>
            </w:pPr>
            <w:r>
              <w:rPr>
                <w:sz w:val="21"/>
              </w:rPr>
              <w:t>氯化氢</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ind w:left="69" w:right="43"/>
              <w:rPr>
                <w:sz w:val="21"/>
              </w:rPr>
            </w:pPr>
            <w:r>
              <w:rPr>
                <w:sz w:val="21"/>
              </w:rPr>
              <w:t>泄漏中毒</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spacing w:before="80"/>
              <w:ind w:right="81"/>
              <w:jc w:val="right"/>
              <w:rPr>
                <w:sz w:val="21"/>
              </w:rPr>
            </w:pPr>
            <w:r>
              <w:rPr>
                <w:sz w:val="21"/>
              </w:rPr>
              <w:t>大气、水</w:t>
            </w:r>
          </w:p>
        </w:tc>
        <w:tc>
          <w:tcPr>
            <w:tcW w:w="2272" w:type="dxa"/>
            <w:tcBorders>
              <w:top w:val="single" w:sz="6" w:space="0" w:color="000000"/>
              <w:left w:val="single" w:sz="6" w:space="0" w:color="000000"/>
              <w:bottom w:val="single" w:sz="6" w:space="0" w:color="000000"/>
            </w:tcBorders>
          </w:tcPr>
          <w:p>
            <w:pPr>
              <w:pStyle w:val="TableParagraph"/>
              <w:spacing w:line="303" w:lineRule="exact"/>
              <w:ind w:left="193"/>
              <w:jc w:val="left"/>
              <w:rPr>
                <w:sz w:val="21"/>
              </w:rPr>
            </w:pPr>
            <w:r>
              <w:rPr>
                <w:spacing w:val="-3"/>
                <w:sz w:val="21"/>
              </w:rPr>
              <w:t>周围居民小区及企事</w:t>
            </w:r>
          </w:p>
          <w:p>
            <w:pPr>
              <w:pStyle w:val="TableParagraph"/>
              <w:spacing w:line="303" w:lineRule="exact"/>
              <w:ind w:left="193"/>
              <w:jc w:val="left"/>
              <w:rPr>
                <w:sz w:val="21"/>
              </w:rPr>
            </w:pPr>
            <w:r>
              <w:rPr>
                <w:spacing w:val="-3"/>
                <w:sz w:val="21"/>
              </w:rPr>
              <w:t>业单位、区域地表水</w:t>
            </w:r>
          </w:p>
        </w:tc>
      </w:tr>
      <w:tr>
        <w:trPr>
          <w:trHeight w:val="623" w:hRule="atLeast"/>
        </w:trPr>
        <w:tc>
          <w:tcPr>
            <w:tcW w:w="528" w:type="dxa"/>
            <w:tcBorders>
              <w:top w:val="single" w:sz="6" w:space="0" w:color="000000"/>
              <w:bottom w:val="single" w:sz="6" w:space="0" w:color="000000"/>
              <w:right w:val="single" w:sz="6" w:space="0" w:color="000000"/>
            </w:tcBorders>
          </w:tcPr>
          <w:p>
            <w:pPr>
              <w:pStyle w:val="TableParagraph"/>
              <w:spacing w:before="190"/>
              <w:ind w:left="21"/>
              <w:rPr>
                <w:rFonts w:ascii="Times New Roman"/>
                <w:sz w:val="21"/>
              </w:rPr>
            </w:pPr>
            <w:r>
              <w:rPr>
                <w:rFonts w:ascii="Times New Roman"/>
                <w:w w:val="100"/>
                <w:sz w:val="21"/>
              </w:rPr>
              <w:t>2</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62"/>
              <w:jc w:val="left"/>
              <w:rPr>
                <w:sz w:val="21"/>
              </w:rPr>
            </w:pPr>
            <w:r>
              <w:rPr>
                <w:sz w:val="21"/>
              </w:rPr>
              <w:t>甲类</w:t>
            </w:r>
          </w:p>
          <w:p>
            <w:pPr>
              <w:pStyle w:val="TableParagraph"/>
              <w:spacing w:line="303" w:lineRule="exact"/>
              <w:ind w:left="162"/>
              <w:jc w:val="left"/>
              <w:rPr>
                <w:sz w:val="21"/>
              </w:rPr>
            </w:pPr>
            <w:r>
              <w:rPr>
                <w:sz w:val="21"/>
              </w:rPr>
              <w:t>仓库</w:t>
            </w:r>
          </w:p>
        </w:tc>
        <w:tc>
          <w:tcPr>
            <w:tcW w:w="939"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42" w:right="111"/>
              <w:rPr>
                <w:sz w:val="21"/>
              </w:rPr>
            </w:pPr>
            <w:r>
              <w:rPr>
                <w:sz w:val="21"/>
              </w:rPr>
              <w:t>危险化</w:t>
            </w:r>
          </w:p>
          <w:p>
            <w:pPr>
              <w:pStyle w:val="TableParagraph"/>
              <w:spacing w:line="303" w:lineRule="exact"/>
              <w:ind w:left="142" w:right="111"/>
              <w:rPr>
                <w:sz w:val="21"/>
              </w:rPr>
            </w:pPr>
            <w:r>
              <w:rPr>
                <w:sz w:val="21"/>
              </w:rPr>
              <w:t>学品</w:t>
            </w:r>
          </w:p>
        </w:tc>
        <w:tc>
          <w:tcPr>
            <w:tcW w:w="155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12" w:right="83"/>
              <w:rPr>
                <w:sz w:val="21"/>
              </w:rPr>
            </w:pPr>
            <w:r>
              <w:rPr>
                <w:sz w:val="21"/>
              </w:rPr>
              <w:t>甲醇、乙醇、</w:t>
            </w:r>
          </w:p>
          <w:p>
            <w:pPr>
              <w:pStyle w:val="TableParagraph"/>
              <w:spacing w:line="303" w:lineRule="exact"/>
              <w:ind w:left="112" w:right="85"/>
              <w:rPr>
                <w:sz w:val="21"/>
              </w:rPr>
            </w:pPr>
            <w:r>
              <w:rPr>
                <w:sz w:val="21"/>
              </w:rPr>
              <w:t>四氢呋喃等</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96" w:right="43"/>
              <w:rPr>
                <w:sz w:val="21"/>
              </w:rPr>
            </w:pPr>
            <w:r>
              <w:rPr>
                <w:sz w:val="21"/>
              </w:rPr>
              <w:t>火灾、爆炸、</w:t>
            </w:r>
          </w:p>
          <w:p>
            <w:pPr>
              <w:pStyle w:val="TableParagraph"/>
              <w:spacing w:line="303" w:lineRule="exact"/>
              <w:ind w:left="69" w:right="43"/>
              <w:rPr>
                <w:sz w:val="21"/>
              </w:rPr>
            </w:pPr>
            <w:r>
              <w:rPr>
                <w:sz w:val="21"/>
              </w:rPr>
              <w:t>泄漏中毒</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spacing w:before="77"/>
              <w:ind w:right="81"/>
              <w:jc w:val="right"/>
              <w:rPr>
                <w:sz w:val="21"/>
              </w:rPr>
            </w:pPr>
            <w:r>
              <w:rPr>
                <w:sz w:val="21"/>
              </w:rPr>
              <w:t>大气、水</w:t>
            </w:r>
          </w:p>
        </w:tc>
        <w:tc>
          <w:tcPr>
            <w:tcW w:w="2272" w:type="dxa"/>
            <w:tcBorders>
              <w:top w:val="single" w:sz="6" w:space="0" w:color="000000"/>
              <w:left w:val="single" w:sz="6" w:space="0" w:color="000000"/>
              <w:bottom w:val="single" w:sz="6" w:space="0" w:color="000000"/>
            </w:tcBorders>
          </w:tcPr>
          <w:p>
            <w:pPr>
              <w:pStyle w:val="TableParagraph"/>
              <w:spacing w:line="300" w:lineRule="exact"/>
              <w:ind w:left="193"/>
              <w:jc w:val="left"/>
              <w:rPr>
                <w:sz w:val="21"/>
              </w:rPr>
            </w:pPr>
            <w:r>
              <w:rPr>
                <w:spacing w:val="-3"/>
                <w:sz w:val="21"/>
              </w:rPr>
              <w:t>周围居民小区及企事</w:t>
            </w:r>
          </w:p>
          <w:p>
            <w:pPr>
              <w:pStyle w:val="TableParagraph"/>
              <w:spacing w:line="303" w:lineRule="exact"/>
              <w:ind w:left="193"/>
              <w:jc w:val="left"/>
              <w:rPr>
                <w:sz w:val="21"/>
              </w:rPr>
            </w:pPr>
            <w:r>
              <w:rPr>
                <w:spacing w:val="-3"/>
                <w:sz w:val="21"/>
              </w:rPr>
              <w:t>业单位、区域地表水</w:t>
            </w:r>
          </w:p>
        </w:tc>
      </w:tr>
      <w:tr>
        <w:trPr>
          <w:trHeight w:val="623" w:hRule="atLeast"/>
        </w:trPr>
        <w:tc>
          <w:tcPr>
            <w:tcW w:w="528" w:type="dxa"/>
            <w:tcBorders>
              <w:top w:val="single" w:sz="6" w:space="0" w:color="000000"/>
              <w:bottom w:val="single" w:sz="6" w:space="0" w:color="000000"/>
              <w:right w:val="single" w:sz="6" w:space="0" w:color="000000"/>
            </w:tcBorders>
          </w:tcPr>
          <w:p>
            <w:pPr>
              <w:pStyle w:val="TableParagraph"/>
              <w:spacing w:before="190"/>
              <w:ind w:left="21"/>
              <w:rPr>
                <w:rFonts w:ascii="Times New Roman"/>
                <w:sz w:val="21"/>
              </w:rPr>
            </w:pPr>
            <w:r>
              <w:rPr>
                <w:rFonts w:ascii="Times New Roman"/>
                <w:w w:val="100"/>
                <w:sz w:val="21"/>
              </w:rPr>
              <w:t>3</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62"/>
              <w:jc w:val="left"/>
              <w:rPr>
                <w:sz w:val="21"/>
              </w:rPr>
            </w:pPr>
            <w:r>
              <w:rPr>
                <w:sz w:val="21"/>
              </w:rPr>
              <w:t>丙类</w:t>
            </w:r>
          </w:p>
          <w:p>
            <w:pPr>
              <w:pStyle w:val="TableParagraph"/>
              <w:spacing w:line="303" w:lineRule="exact"/>
              <w:ind w:left="162"/>
              <w:jc w:val="left"/>
              <w:rPr>
                <w:sz w:val="21"/>
              </w:rPr>
            </w:pPr>
            <w:r>
              <w:rPr>
                <w:sz w:val="21"/>
              </w:rPr>
              <w:t>仓库</w:t>
            </w:r>
          </w:p>
        </w:tc>
        <w:tc>
          <w:tcPr>
            <w:tcW w:w="939"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42" w:right="111"/>
              <w:rPr>
                <w:sz w:val="21"/>
              </w:rPr>
            </w:pPr>
            <w:r>
              <w:rPr>
                <w:sz w:val="21"/>
              </w:rPr>
              <w:t>危险化</w:t>
            </w:r>
          </w:p>
          <w:p>
            <w:pPr>
              <w:pStyle w:val="TableParagraph"/>
              <w:spacing w:line="303" w:lineRule="exact"/>
              <w:ind w:left="142" w:right="111"/>
              <w:rPr>
                <w:sz w:val="21"/>
              </w:rPr>
            </w:pPr>
            <w:r>
              <w:rPr>
                <w:sz w:val="21"/>
              </w:rPr>
              <w:t>学品</w:t>
            </w:r>
          </w:p>
        </w:tc>
        <w:tc>
          <w:tcPr>
            <w:tcW w:w="1555" w:type="dxa"/>
            <w:tcBorders>
              <w:top w:val="single" w:sz="6" w:space="0" w:color="000000"/>
              <w:left w:val="single" w:sz="6" w:space="0" w:color="000000"/>
              <w:bottom w:val="single" w:sz="6" w:space="0" w:color="000000"/>
              <w:right w:val="single" w:sz="6" w:space="0" w:color="000000"/>
            </w:tcBorders>
          </w:tcPr>
          <w:p>
            <w:pPr>
              <w:pStyle w:val="TableParagraph"/>
              <w:spacing w:before="77"/>
              <w:ind w:left="112" w:right="85"/>
              <w:rPr>
                <w:sz w:val="21"/>
              </w:rPr>
            </w:pPr>
            <w:r>
              <w:rPr>
                <w:sz w:val="21"/>
              </w:rPr>
              <w:t>氯甲酸乙酯</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7"/>
              <w:ind w:left="69" w:right="43"/>
              <w:rPr>
                <w:sz w:val="21"/>
              </w:rPr>
            </w:pPr>
            <w:r>
              <w:rPr>
                <w:sz w:val="21"/>
              </w:rPr>
              <w:t>泄漏中毒</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spacing w:before="77"/>
              <w:ind w:right="81"/>
              <w:jc w:val="right"/>
              <w:rPr>
                <w:sz w:val="21"/>
              </w:rPr>
            </w:pPr>
            <w:r>
              <w:rPr>
                <w:sz w:val="21"/>
              </w:rPr>
              <w:t>大气、水</w:t>
            </w:r>
          </w:p>
        </w:tc>
        <w:tc>
          <w:tcPr>
            <w:tcW w:w="2272" w:type="dxa"/>
            <w:tcBorders>
              <w:top w:val="single" w:sz="6" w:space="0" w:color="000000"/>
              <w:left w:val="single" w:sz="6" w:space="0" w:color="000000"/>
              <w:bottom w:val="single" w:sz="6" w:space="0" w:color="000000"/>
            </w:tcBorders>
          </w:tcPr>
          <w:p>
            <w:pPr>
              <w:pStyle w:val="TableParagraph"/>
              <w:spacing w:line="300" w:lineRule="exact"/>
              <w:ind w:left="193"/>
              <w:jc w:val="left"/>
              <w:rPr>
                <w:sz w:val="21"/>
              </w:rPr>
            </w:pPr>
            <w:r>
              <w:rPr>
                <w:spacing w:val="-3"/>
                <w:sz w:val="21"/>
              </w:rPr>
              <w:t>周围居民小区及企事</w:t>
            </w:r>
          </w:p>
          <w:p>
            <w:pPr>
              <w:pStyle w:val="TableParagraph"/>
              <w:spacing w:line="303" w:lineRule="exact"/>
              <w:ind w:left="193"/>
              <w:jc w:val="left"/>
              <w:rPr>
                <w:sz w:val="21"/>
              </w:rPr>
            </w:pPr>
            <w:r>
              <w:rPr>
                <w:spacing w:val="-3"/>
                <w:sz w:val="21"/>
              </w:rPr>
              <w:t>业单位、区域地表水</w:t>
            </w:r>
          </w:p>
        </w:tc>
      </w:tr>
      <w:tr>
        <w:trPr>
          <w:trHeight w:val="623" w:hRule="atLeast"/>
        </w:trPr>
        <w:tc>
          <w:tcPr>
            <w:tcW w:w="528" w:type="dxa"/>
            <w:tcBorders>
              <w:top w:val="single" w:sz="6" w:space="0" w:color="000000"/>
              <w:bottom w:val="single" w:sz="6" w:space="0" w:color="000000"/>
              <w:right w:val="single" w:sz="6" w:space="0" w:color="000000"/>
            </w:tcBorders>
          </w:tcPr>
          <w:p>
            <w:pPr>
              <w:pStyle w:val="TableParagraph"/>
              <w:spacing w:before="190"/>
              <w:ind w:left="21"/>
              <w:rPr>
                <w:rFonts w:ascii="Times New Roman"/>
                <w:sz w:val="21"/>
              </w:rPr>
            </w:pPr>
            <w:r>
              <w:rPr>
                <w:rFonts w:ascii="Times New Roman"/>
                <w:w w:val="100"/>
                <w:sz w:val="21"/>
              </w:rPr>
              <w:t>4</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62"/>
              <w:jc w:val="left"/>
              <w:rPr>
                <w:sz w:val="21"/>
              </w:rPr>
            </w:pPr>
            <w:r>
              <w:rPr>
                <w:sz w:val="21"/>
              </w:rPr>
              <w:t>液体</w:t>
            </w:r>
          </w:p>
          <w:p>
            <w:pPr>
              <w:pStyle w:val="TableParagraph"/>
              <w:spacing w:line="303" w:lineRule="exact"/>
              <w:ind w:left="162"/>
              <w:jc w:val="left"/>
              <w:rPr>
                <w:sz w:val="21"/>
              </w:rPr>
            </w:pPr>
            <w:r>
              <w:rPr>
                <w:sz w:val="21"/>
              </w:rPr>
              <w:t>仓库</w:t>
            </w:r>
          </w:p>
        </w:tc>
        <w:tc>
          <w:tcPr>
            <w:tcW w:w="939"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42" w:right="111"/>
              <w:rPr>
                <w:sz w:val="21"/>
              </w:rPr>
            </w:pPr>
            <w:r>
              <w:rPr>
                <w:sz w:val="21"/>
              </w:rPr>
              <w:t>危险化</w:t>
            </w:r>
          </w:p>
          <w:p>
            <w:pPr>
              <w:pStyle w:val="TableParagraph"/>
              <w:spacing w:line="303" w:lineRule="exact"/>
              <w:ind w:left="142" w:right="111"/>
              <w:rPr>
                <w:sz w:val="21"/>
              </w:rPr>
            </w:pPr>
            <w:r>
              <w:rPr>
                <w:sz w:val="21"/>
              </w:rPr>
              <w:t>学品</w:t>
            </w:r>
          </w:p>
        </w:tc>
        <w:tc>
          <w:tcPr>
            <w:tcW w:w="155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12" w:right="-29"/>
              <w:rPr>
                <w:sz w:val="21"/>
              </w:rPr>
            </w:pPr>
            <w:r>
              <w:rPr>
                <w:spacing w:val="-6"/>
                <w:sz w:val="21"/>
              </w:rPr>
              <w:t>苯甲醛、氯苯、</w:t>
            </w:r>
          </w:p>
          <w:p>
            <w:pPr>
              <w:pStyle w:val="TableParagraph"/>
              <w:spacing w:line="303" w:lineRule="exact"/>
              <w:ind w:left="112" w:right="83"/>
              <w:rPr>
                <w:sz w:val="21"/>
              </w:rPr>
            </w:pPr>
            <w:r>
              <w:rPr>
                <w:sz w:val="21"/>
              </w:rPr>
              <w:t>甲醛</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96" w:right="43"/>
              <w:rPr>
                <w:sz w:val="21"/>
              </w:rPr>
            </w:pPr>
            <w:r>
              <w:rPr>
                <w:sz w:val="21"/>
              </w:rPr>
              <w:t>火灾、爆炸、</w:t>
            </w:r>
          </w:p>
          <w:p>
            <w:pPr>
              <w:pStyle w:val="TableParagraph"/>
              <w:spacing w:line="303" w:lineRule="exact"/>
              <w:ind w:left="69" w:right="43"/>
              <w:rPr>
                <w:sz w:val="21"/>
              </w:rPr>
            </w:pPr>
            <w:r>
              <w:rPr>
                <w:sz w:val="21"/>
              </w:rPr>
              <w:t>泄漏中毒</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spacing w:before="77"/>
              <w:ind w:right="81"/>
              <w:jc w:val="right"/>
              <w:rPr>
                <w:sz w:val="21"/>
              </w:rPr>
            </w:pPr>
            <w:r>
              <w:rPr>
                <w:sz w:val="21"/>
              </w:rPr>
              <w:t>大气、水</w:t>
            </w:r>
          </w:p>
        </w:tc>
        <w:tc>
          <w:tcPr>
            <w:tcW w:w="2272" w:type="dxa"/>
            <w:tcBorders>
              <w:top w:val="single" w:sz="6" w:space="0" w:color="000000"/>
              <w:left w:val="single" w:sz="6" w:space="0" w:color="000000"/>
              <w:bottom w:val="single" w:sz="6" w:space="0" w:color="000000"/>
            </w:tcBorders>
          </w:tcPr>
          <w:p>
            <w:pPr>
              <w:pStyle w:val="TableParagraph"/>
              <w:spacing w:line="300" w:lineRule="exact"/>
              <w:ind w:left="193"/>
              <w:jc w:val="left"/>
              <w:rPr>
                <w:sz w:val="21"/>
              </w:rPr>
            </w:pPr>
            <w:r>
              <w:rPr>
                <w:spacing w:val="-3"/>
                <w:sz w:val="21"/>
              </w:rPr>
              <w:t>周围居民小区及企事</w:t>
            </w:r>
          </w:p>
          <w:p>
            <w:pPr>
              <w:pStyle w:val="TableParagraph"/>
              <w:spacing w:line="303" w:lineRule="exact"/>
              <w:ind w:left="193"/>
              <w:jc w:val="left"/>
              <w:rPr>
                <w:sz w:val="21"/>
              </w:rPr>
            </w:pPr>
            <w:r>
              <w:rPr>
                <w:spacing w:val="-3"/>
                <w:sz w:val="21"/>
              </w:rPr>
              <w:t>业单位、区域地表水</w:t>
            </w:r>
          </w:p>
        </w:tc>
      </w:tr>
      <w:tr>
        <w:trPr>
          <w:trHeight w:val="623" w:hRule="atLeast"/>
        </w:trPr>
        <w:tc>
          <w:tcPr>
            <w:tcW w:w="528" w:type="dxa"/>
            <w:tcBorders>
              <w:top w:val="single" w:sz="6" w:space="0" w:color="000000"/>
              <w:right w:val="single" w:sz="6" w:space="0" w:color="000000"/>
            </w:tcBorders>
          </w:tcPr>
          <w:p>
            <w:pPr>
              <w:pStyle w:val="TableParagraph"/>
              <w:spacing w:before="193"/>
              <w:ind w:left="21"/>
              <w:rPr>
                <w:rFonts w:ascii="Times New Roman"/>
                <w:sz w:val="21"/>
              </w:rPr>
            </w:pPr>
            <w:r>
              <w:rPr>
                <w:rFonts w:ascii="Times New Roman"/>
                <w:w w:val="100"/>
                <w:sz w:val="21"/>
              </w:rPr>
              <w:t>5</w:t>
            </w:r>
          </w:p>
        </w:tc>
        <w:tc>
          <w:tcPr>
            <w:tcW w:w="734" w:type="dxa"/>
            <w:tcBorders>
              <w:top w:val="single" w:sz="6" w:space="0" w:color="000000"/>
              <w:left w:val="single" w:sz="6" w:space="0" w:color="000000"/>
              <w:right w:val="single" w:sz="6" w:space="0" w:color="000000"/>
            </w:tcBorders>
          </w:tcPr>
          <w:p>
            <w:pPr>
              <w:pStyle w:val="TableParagraph"/>
              <w:spacing w:line="303" w:lineRule="exact"/>
              <w:ind w:left="144" w:right="115"/>
              <w:rPr>
                <w:sz w:val="21"/>
              </w:rPr>
            </w:pPr>
            <w:r>
              <w:rPr>
                <w:sz w:val="21"/>
              </w:rPr>
              <w:t>镁粉</w:t>
            </w:r>
          </w:p>
          <w:p>
            <w:pPr>
              <w:pStyle w:val="TableParagraph"/>
              <w:spacing w:line="301" w:lineRule="exact"/>
              <w:ind w:left="24"/>
              <w:rPr>
                <w:sz w:val="21"/>
              </w:rPr>
            </w:pPr>
            <w:r>
              <w:rPr>
                <w:w w:val="100"/>
                <w:sz w:val="21"/>
              </w:rPr>
              <w:t>库</w:t>
            </w:r>
          </w:p>
        </w:tc>
        <w:tc>
          <w:tcPr>
            <w:tcW w:w="939" w:type="dxa"/>
            <w:tcBorders>
              <w:top w:val="single" w:sz="6" w:space="0" w:color="000000"/>
              <w:left w:val="single" w:sz="6" w:space="0" w:color="000000"/>
              <w:right w:val="single" w:sz="6" w:space="0" w:color="000000"/>
            </w:tcBorders>
          </w:tcPr>
          <w:p>
            <w:pPr>
              <w:pStyle w:val="TableParagraph"/>
              <w:spacing w:before="80"/>
              <w:ind w:left="266"/>
              <w:jc w:val="left"/>
              <w:rPr>
                <w:sz w:val="21"/>
              </w:rPr>
            </w:pPr>
            <w:r>
              <w:rPr>
                <w:sz w:val="21"/>
              </w:rPr>
              <w:t>镁粉</w:t>
            </w:r>
          </w:p>
        </w:tc>
        <w:tc>
          <w:tcPr>
            <w:tcW w:w="1555" w:type="dxa"/>
            <w:tcBorders>
              <w:top w:val="single" w:sz="6" w:space="0" w:color="000000"/>
              <w:left w:val="single" w:sz="6" w:space="0" w:color="000000"/>
              <w:right w:val="single" w:sz="6" w:space="0" w:color="000000"/>
            </w:tcBorders>
          </w:tcPr>
          <w:p>
            <w:pPr>
              <w:pStyle w:val="TableParagraph"/>
              <w:spacing w:before="80"/>
              <w:ind w:left="112" w:right="83"/>
              <w:rPr>
                <w:sz w:val="21"/>
              </w:rPr>
            </w:pPr>
            <w:r>
              <w:rPr>
                <w:sz w:val="21"/>
              </w:rPr>
              <w:t>镁粉</w:t>
            </w:r>
          </w:p>
        </w:tc>
        <w:tc>
          <w:tcPr>
            <w:tcW w:w="1455" w:type="dxa"/>
            <w:tcBorders>
              <w:top w:val="single" w:sz="6" w:space="0" w:color="000000"/>
              <w:left w:val="single" w:sz="6" w:space="0" w:color="000000"/>
              <w:right w:val="single" w:sz="6" w:space="0" w:color="000000"/>
            </w:tcBorders>
          </w:tcPr>
          <w:p>
            <w:pPr>
              <w:pStyle w:val="TableParagraph"/>
              <w:spacing w:before="80"/>
              <w:ind w:left="73" w:right="43"/>
              <w:rPr>
                <w:sz w:val="21"/>
              </w:rPr>
            </w:pPr>
            <w:r>
              <w:rPr>
                <w:sz w:val="21"/>
              </w:rPr>
              <w:t>火灾</w:t>
            </w:r>
          </w:p>
        </w:tc>
        <w:tc>
          <w:tcPr>
            <w:tcW w:w="1047" w:type="dxa"/>
            <w:tcBorders>
              <w:top w:val="single" w:sz="6" w:space="0" w:color="000000"/>
              <w:left w:val="single" w:sz="6" w:space="0" w:color="000000"/>
              <w:right w:val="single" w:sz="6" w:space="0" w:color="000000"/>
            </w:tcBorders>
          </w:tcPr>
          <w:p>
            <w:pPr>
              <w:pStyle w:val="TableParagraph"/>
              <w:spacing w:before="80"/>
              <w:ind w:right="81"/>
              <w:jc w:val="right"/>
              <w:rPr>
                <w:sz w:val="21"/>
              </w:rPr>
            </w:pPr>
            <w:r>
              <w:rPr>
                <w:sz w:val="21"/>
              </w:rPr>
              <w:t>大气、水</w:t>
            </w:r>
          </w:p>
        </w:tc>
        <w:tc>
          <w:tcPr>
            <w:tcW w:w="2272" w:type="dxa"/>
            <w:tcBorders>
              <w:top w:val="single" w:sz="6" w:space="0" w:color="000000"/>
              <w:left w:val="single" w:sz="6" w:space="0" w:color="000000"/>
            </w:tcBorders>
          </w:tcPr>
          <w:p>
            <w:pPr>
              <w:pStyle w:val="TableParagraph"/>
              <w:spacing w:line="303" w:lineRule="exact"/>
              <w:ind w:left="193"/>
              <w:jc w:val="left"/>
              <w:rPr>
                <w:sz w:val="21"/>
              </w:rPr>
            </w:pPr>
            <w:r>
              <w:rPr>
                <w:spacing w:val="-3"/>
                <w:sz w:val="21"/>
              </w:rPr>
              <w:t>周围居民小区及企事</w:t>
            </w:r>
          </w:p>
          <w:p>
            <w:pPr>
              <w:pStyle w:val="TableParagraph"/>
              <w:spacing w:line="301" w:lineRule="exact"/>
              <w:ind w:left="193"/>
              <w:jc w:val="left"/>
              <w:rPr>
                <w:sz w:val="21"/>
              </w:rPr>
            </w:pPr>
            <w:r>
              <w:rPr>
                <w:spacing w:val="-3"/>
                <w:sz w:val="21"/>
              </w:rPr>
              <w:t>业单位、区域地表水</w:t>
            </w:r>
          </w:p>
        </w:tc>
      </w:tr>
    </w:tbl>
    <w:p>
      <w:pPr>
        <w:spacing w:after="0" w:line="301"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8"/>
        <w:gridCol w:w="734"/>
        <w:gridCol w:w="939"/>
        <w:gridCol w:w="1555"/>
        <w:gridCol w:w="1455"/>
        <w:gridCol w:w="1047"/>
        <w:gridCol w:w="2272"/>
      </w:tblGrid>
      <w:tr>
        <w:trPr>
          <w:trHeight w:val="623" w:hRule="atLeast"/>
        </w:trPr>
        <w:tc>
          <w:tcPr>
            <w:tcW w:w="528" w:type="dxa"/>
            <w:tcBorders>
              <w:bottom w:val="single" w:sz="6" w:space="0" w:color="000000"/>
              <w:right w:val="single" w:sz="6" w:space="0" w:color="000000"/>
            </w:tcBorders>
          </w:tcPr>
          <w:p>
            <w:pPr>
              <w:pStyle w:val="TableParagraph"/>
              <w:spacing w:before="190"/>
              <w:ind w:left="21"/>
              <w:rPr>
                <w:rFonts w:ascii="Times New Roman"/>
                <w:sz w:val="21"/>
              </w:rPr>
            </w:pPr>
            <w:r>
              <w:rPr>
                <w:rFonts w:ascii="Times New Roman"/>
                <w:w w:val="100"/>
                <w:sz w:val="21"/>
              </w:rPr>
              <w:t>6</w:t>
            </w:r>
          </w:p>
        </w:tc>
        <w:tc>
          <w:tcPr>
            <w:tcW w:w="734" w:type="dxa"/>
            <w:tcBorders>
              <w:left w:val="single" w:sz="6" w:space="0" w:color="000000"/>
              <w:bottom w:val="single" w:sz="6" w:space="0" w:color="000000"/>
              <w:right w:val="single" w:sz="6" w:space="0" w:color="000000"/>
            </w:tcBorders>
          </w:tcPr>
          <w:p>
            <w:pPr>
              <w:pStyle w:val="TableParagraph"/>
              <w:spacing w:line="302" w:lineRule="exact"/>
              <w:ind w:left="162"/>
              <w:jc w:val="left"/>
              <w:rPr>
                <w:sz w:val="21"/>
              </w:rPr>
            </w:pPr>
            <w:r>
              <w:rPr>
                <w:sz w:val="21"/>
              </w:rPr>
              <w:t>易制</w:t>
            </w:r>
          </w:p>
          <w:p>
            <w:pPr>
              <w:pStyle w:val="TableParagraph"/>
              <w:spacing w:line="302" w:lineRule="exact"/>
              <w:ind w:left="162"/>
              <w:jc w:val="left"/>
              <w:rPr>
                <w:sz w:val="21"/>
              </w:rPr>
            </w:pPr>
            <w:r>
              <w:rPr>
                <w:sz w:val="21"/>
              </w:rPr>
              <w:t>毒库</w:t>
            </w:r>
          </w:p>
        </w:tc>
        <w:tc>
          <w:tcPr>
            <w:tcW w:w="939" w:type="dxa"/>
            <w:tcBorders>
              <w:left w:val="single" w:sz="6" w:space="0" w:color="000000"/>
              <w:bottom w:val="single" w:sz="6" w:space="0" w:color="000000"/>
              <w:right w:val="single" w:sz="6" w:space="0" w:color="000000"/>
            </w:tcBorders>
          </w:tcPr>
          <w:p>
            <w:pPr>
              <w:pStyle w:val="TableParagraph"/>
              <w:spacing w:line="302" w:lineRule="exact"/>
              <w:ind w:left="142" w:right="111"/>
              <w:rPr>
                <w:sz w:val="21"/>
              </w:rPr>
            </w:pPr>
            <w:r>
              <w:rPr>
                <w:sz w:val="21"/>
              </w:rPr>
              <w:t>危险化</w:t>
            </w:r>
          </w:p>
          <w:p>
            <w:pPr>
              <w:pStyle w:val="TableParagraph"/>
              <w:spacing w:line="302" w:lineRule="exact"/>
              <w:ind w:left="142" w:right="111"/>
              <w:rPr>
                <w:sz w:val="21"/>
              </w:rPr>
            </w:pPr>
            <w:r>
              <w:rPr>
                <w:sz w:val="21"/>
              </w:rPr>
              <w:t>学品</w:t>
            </w:r>
          </w:p>
        </w:tc>
        <w:tc>
          <w:tcPr>
            <w:tcW w:w="1555" w:type="dxa"/>
            <w:tcBorders>
              <w:left w:val="single" w:sz="6" w:space="0" w:color="000000"/>
              <w:bottom w:val="single" w:sz="6" w:space="0" w:color="000000"/>
              <w:right w:val="single" w:sz="6" w:space="0" w:color="000000"/>
            </w:tcBorders>
          </w:tcPr>
          <w:p>
            <w:pPr>
              <w:pStyle w:val="TableParagraph"/>
              <w:spacing w:line="302" w:lineRule="exact"/>
              <w:ind w:left="112" w:right="83"/>
              <w:rPr>
                <w:sz w:val="21"/>
              </w:rPr>
            </w:pPr>
            <w:r>
              <w:rPr>
                <w:sz w:val="21"/>
              </w:rPr>
              <w:t>甲苯、硫酸、</w:t>
            </w:r>
          </w:p>
          <w:p>
            <w:pPr>
              <w:pStyle w:val="TableParagraph"/>
              <w:spacing w:line="302" w:lineRule="exact"/>
              <w:ind w:left="112" w:right="83"/>
              <w:rPr>
                <w:sz w:val="21"/>
              </w:rPr>
            </w:pPr>
            <w:r>
              <w:rPr>
                <w:sz w:val="21"/>
              </w:rPr>
              <w:t>丙酮等</w:t>
            </w:r>
          </w:p>
        </w:tc>
        <w:tc>
          <w:tcPr>
            <w:tcW w:w="1455" w:type="dxa"/>
            <w:tcBorders>
              <w:left w:val="single" w:sz="6" w:space="0" w:color="000000"/>
              <w:bottom w:val="single" w:sz="6" w:space="0" w:color="000000"/>
              <w:right w:val="single" w:sz="6" w:space="0" w:color="000000"/>
            </w:tcBorders>
          </w:tcPr>
          <w:p>
            <w:pPr>
              <w:pStyle w:val="TableParagraph"/>
              <w:spacing w:line="302" w:lineRule="exact"/>
              <w:ind w:left="96" w:right="43"/>
              <w:rPr>
                <w:sz w:val="21"/>
              </w:rPr>
            </w:pPr>
            <w:r>
              <w:rPr>
                <w:sz w:val="21"/>
              </w:rPr>
              <w:t>火灾、爆炸、</w:t>
            </w:r>
          </w:p>
          <w:p>
            <w:pPr>
              <w:pStyle w:val="TableParagraph"/>
              <w:spacing w:line="302" w:lineRule="exact"/>
              <w:ind w:left="69" w:right="43"/>
              <w:rPr>
                <w:sz w:val="21"/>
              </w:rPr>
            </w:pPr>
            <w:r>
              <w:rPr>
                <w:sz w:val="21"/>
              </w:rPr>
              <w:t>泄漏中毒</w:t>
            </w:r>
          </w:p>
        </w:tc>
        <w:tc>
          <w:tcPr>
            <w:tcW w:w="1047" w:type="dxa"/>
            <w:tcBorders>
              <w:left w:val="single" w:sz="6" w:space="0" w:color="000000"/>
              <w:bottom w:val="single" w:sz="6" w:space="0" w:color="000000"/>
              <w:right w:val="single" w:sz="6" w:space="0" w:color="000000"/>
            </w:tcBorders>
          </w:tcPr>
          <w:p>
            <w:pPr>
              <w:pStyle w:val="TableParagraph"/>
              <w:spacing w:before="77"/>
              <w:ind w:left="91" w:right="60"/>
              <w:rPr>
                <w:sz w:val="21"/>
              </w:rPr>
            </w:pPr>
            <w:r>
              <w:rPr>
                <w:sz w:val="21"/>
              </w:rPr>
              <w:t>大气、水</w:t>
            </w:r>
          </w:p>
        </w:tc>
        <w:tc>
          <w:tcPr>
            <w:tcW w:w="2272" w:type="dxa"/>
            <w:tcBorders>
              <w:left w:val="single" w:sz="6" w:space="0" w:color="000000"/>
              <w:bottom w:val="single" w:sz="6" w:space="0" w:color="000000"/>
            </w:tcBorders>
          </w:tcPr>
          <w:p>
            <w:pPr>
              <w:pStyle w:val="TableParagraph"/>
              <w:spacing w:line="302" w:lineRule="exact"/>
              <w:ind w:left="193"/>
              <w:jc w:val="left"/>
              <w:rPr>
                <w:sz w:val="21"/>
              </w:rPr>
            </w:pPr>
            <w:r>
              <w:rPr>
                <w:spacing w:val="-3"/>
                <w:sz w:val="21"/>
              </w:rPr>
              <w:t>周围居民小区及企事</w:t>
            </w:r>
          </w:p>
          <w:p>
            <w:pPr>
              <w:pStyle w:val="TableParagraph"/>
              <w:spacing w:line="302" w:lineRule="exact"/>
              <w:ind w:left="193"/>
              <w:jc w:val="left"/>
              <w:rPr>
                <w:sz w:val="21"/>
              </w:rPr>
            </w:pPr>
            <w:r>
              <w:rPr>
                <w:spacing w:val="-3"/>
                <w:sz w:val="21"/>
              </w:rPr>
              <w:t>业单位、区域地表水</w:t>
            </w:r>
          </w:p>
        </w:tc>
      </w:tr>
      <w:tr>
        <w:trPr>
          <w:trHeight w:val="625" w:hRule="atLeast"/>
        </w:trPr>
        <w:tc>
          <w:tcPr>
            <w:tcW w:w="528" w:type="dxa"/>
            <w:tcBorders>
              <w:top w:val="single" w:sz="6" w:space="0" w:color="000000"/>
              <w:bottom w:val="single" w:sz="6" w:space="0" w:color="000000"/>
              <w:right w:val="single" w:sz="6" w:space="0" w:color="000000"/>
            </w:tcBorders>
          </w:tcPr>
          <w:p>
            <w:pPr>
              <w:pStyle w:val="TableParagraph"/>
              <w:spacing w:before="192"/>
              <w:ind w:left="21"/>
              <w:rPr>
                <w:rFonts w:ascii="Times New Roman"/>
                <w:sz w:val="21"/>
              </w:rPr>
            </w:pPr>
            <w:r>
              <w:rPr>
                <w:rFonts w:ascii="Times New Roman"/>
                <w:w w:val="100"/>
                <w:sz w:val="21"/>
              </w:rPr>
              <w:t>7</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44" w:right="115"/>
              <w:rPr>
                <w:sz w:val="21"/>
              </w:rPr>
            </w:pPr>
            <w:r>
              <w:rPr>
                <w:sz w:val="21"/>
              </w:rPr>
              <w:t>硝酸</w:t>
            </w:r>
          </w:p>
          <w:p>
            <w:pPr>
              <w:pStyle w:val="TableParagraph"/>
              <w:spacing w:line="303" w:lineRule="exact"/>
              <w:ind w:left="24"/>
              <w:rPr>
                <w:sz w:val="21"/>
              </w:rPr>
            </w:pPr>
            <w:r>
              <w:rPr>
                <w:w w:val="100"/>
                <w:sz w:val="21"/>
              </w:rPr>
              <w:t>库</w:t>
            </w:r>
          </w:p>
        </w:tc>
        <w:tc>
          <w:tcPr>
            <w:tcW w:w="939" w:type="dxa"/>
            <w:tcBorders>
              <w:top w:val="single" w:sz="6" w:space="0" w:color="000000"/>
              <w:left w:val="single" w:sz="6" w:space="0" w:color="000000"/>
              <w:bottom w:val="single" w:sz="6" w:space="0" w:color="000000"/>
              <w:right w:val="single" w:sz="6" w:space="0" w:color="000000"/>
            </w:tcBorders>
          </w:tcPr>
          <w:p>
            <w:pPr>
              <w:pStyle w:val="TableParagraph"/>
              <w:spacing w:before="80"/>
              <w:ind w:left="266"/>
              <w:jc w:val="left"/>
              <w:rPr>
                <w:sz w:val="21"/>
              </w:rPr>
            </w:pPr>
            <w:r>
              <w:rPr>
                <w:sz w:val="21"/>
              </w:rPr>
              <w:t>硝酸</w:t>
            </w:r>
          </w:p>
        </w:tc>
        <w:tc>
          <w:tcPr>
            <w:tcW w:w="1555" w:type="dxa"/>
            <w:tcBorders>
              <w:top w:val="single" w:sz="6" w:space="0" w:color="000000"/>
              <w:left w:val="single" w:sz="6" w:space="0" w:color="000000"/>
              <w:bottom w:val="single" w:sz="6" w:space="0" w:color="000000"/>
              <w:right w:val="single" w:sz="6" w:space="0" w:color="000000"/>
            </w:tcBorders>
          </w:tcPr>
          <w:p>
            <w:pPr>
              <w:pStyle w:val="TableParagraph"/>
              <w:spacing w:before="80"/>
              <w:ind w:left="112" w:right="83"/>
              <w:rPr>
                <w:sz w:val="21"/>
              </w:rPr>
            </w:pPr>
            <w:r>
              <w:rPr>
                <w:sz w:val="21"/>
              </w:rPr>
              <w:t>硝酸</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ind w:left="69" w:right="43"/>
              <w:rPr>
                <w:sz w:val="21"/>
              </w:rPr>
            </w:pPr>
            <w:r>
              <w:rPr>
                <w:sz w:val="21"/>
              </w:rPr>
              <w:t>泄漏中毒</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spacing w:before="80"/>
              <w:ind w:left="91" w:right="60"/>
              <w:rPr>
                <w:sz w:val="21"/>
              </w:rPr>
            </w:pPr>
            <w:r>
              <w:rPr>
                <w:sz w:val="21"/>
              </w:rPr>
              <w:t>大气、水</w:t>
            </w:r>
          </w:p>
        </w:tc>
        <w:tc>
          <w:tcPr>
            <w:tcW w:w="2272" w:type="dxa"/>
            <w:tcBorders>
              <w:top w:val="single" w:sz="6" w:space="0" w:color="000000"/>
              <w:left w:val="single" w:sz="6" w:space="0" w:color="000000"/>
              <w:bottom w:val="single" w:sz="6" w:space="0" w:color="000000"/>
            </w:tcBorders>
          </w:tcPr>
          <w:p>
            <w:pPr>
              <w:pStyle w:val="TableParagraph"/>
              <w:spacing w:line="303" w:lineRule="exact"/>
              <w:ind w:left="193"/>
              <w:jc w:val="left"/>
              <w:rPr>
                <w:sz w:val="21"/>
              </w:rPr>
            </w:pPr>
            <w:r>
              <w:rPr>
                <w:spacing w:val="-3"/>
                <w:sz w:val="21"/>
              </w:rPr>
              <w:t>周围居民小区及企事</w:t>
            </w:r>
          </w:p>
          <w:p>
            <w:pPr>
              <w:pStyle w:val="TableParagraph"/>
              <w:spacing w:line="303" w:lineRule="exact"/>
              <w:ind w:left="193"/>
              <w:jc w:val="left"/>
              <w:rPr>
                <w:sz w:val="21"/>
              </w:rPr>
            </w:pPr>
            <w:r>
              <w:rPr>
                <w:spacing w:val="-3"/>
                <w:sz w:val="21"/>
              </w:rPr>
              <w:t>业单位、区域地表水</w:t>
            </w:r>
          </w:p>
        </w:tc>
      </w:tr>
      <w:tr>
        <w:trPr>
          <w:trHeight w:val="620" w:hRule="atLeast"/>
        </w:trPr>
        <w:tc>
          <w:tcPr>
            <w:tcW w:w="528" w:type="dxa"/>
            <w:tcBorders>
              <w:top w:val="single" w:sz="6" w:space="0" w:color="000000"/>
              <w:right w:val="single" w:sz="6" w:space="0" w:color="000000"/>
            </w:tcBorders>
          </w:tcPr>
          <w:p>
            <w:pPr>
              <w:pStyle w:val="TableParagraph"/>
              <w:spacing w:before="190"/>
              <w:ind w:left="21"/>
              <w:rPr>
                <w:rFonts w:ascii="Times New Roman"/>
                <w:sz w:val="21"/>
              </w:rPr>
            </w:pPr>
            <w:r>
              <w:rPr>
                <w:rFonts w:ascii="Times New Roman"/>
                <w:w w:val="100"/>
                <w:sz w:val="21"/>
              </w:rPr>
              <w:t>9</w:t>
            </w:r>
          </w:p>
        </w:tc>
        <w:tc>
          <w:tcPr>
            <w:tcW w:w="734" w:type="dxa"/>
            <w:tcBorders>
              <w:top w:val="single" w:sz="6" w:space="0" w:color="000000"/>
              <w:left w:val="single" w:sz="6" w:space="0" w:color="000000"/>
              <w:right w:val="single" w:sz="6" w:space="0" w:color="000000"/>
            </w:tcBorders>
          </w:tcPr>
          <w:p>
            <w:pPr>
              <w:pStyle w:val="TableParagraph"/>
              <w:spacing w:line="300" w:lineRule="exact"/>
              <w:ind w:left="162"/>
              <w:jc w:val="left"/>
              <w:rPr>
                <w:sz w:val="21"/>
              </w:rPr>
            </w:pPr>
            <w:r>
              <w:rPr>
                <w:sz w:val="21"/>
              </w:rPr>
              <w:t>输送</w:t>
            </w:r>
          </w:p>
          <w:p>
            <w:pPr>
              <w:pStyle w:val="TableParagraph"/>
              <w:spacing w:line="300" w:lineRule="exact"/>
              <w:ind w:left="162"/>
              <w:jc w:val="left"/>
              <w:rPr>
                <w:sz w:val="21"/>
              </w:rPr>
            </w:pPr>
            <w:r>
              <w:rPr>
                <w:sz w:val="21"/>
              </w:rPr>
              <w:t>单元</w:t>
            </w:r>
          </w:p>
        </w:tc>
        <w:tc>
          <w:tcPr>
            <w:tcW w:w="939" w:type="dxa"/>
            <w:tcBorders>
              <w:top w:val="single" w:sz="6" w:space="0" w:color="000000"/>
              <w:left w:val="single" w:sz="6" w:space="0" w:color="000000"/>
              <w:right w:val="single" w:sz="6" w:space="0" w:color="000000"/>
            </w:tcBorders>
          </w:tcPr>
          <w:p>
            <w:pPr>
              <w:pStyle w:val="TableParagraph"/>
              <w:spacing w:line="300" w:lineRule="exact"/>
              <w:ind w:left="142" w:right="111"/>
              <w:rPr>
                <w:sz w:val="21"/>
              </w:rPr>
            </w:pPr>
            <w:r>
              <w:rPr>
                <w:sz w:val="21"/>
              </w:rPr>
              <w:t>污水管</w:t>
            </w:r>
          </w:p>
          <w:p>
            <w:pPr>
              <w:pStyle w:val="TableParagraph"/>
              <w:spacing w:line="300" w:lineRule="exact"/>
              <w:ind w:left="26"/>
              <w:rPr>
                <w:sz w:val="21"/>
              </w:rPr>
            </w:pPr>
            <w:r>
              <w:rPr>
                <w:w w:val="100"/>
                <w:sz w:val="21"/>
              </w:rPr>
              <w:t>线</w:t>
            </w:r>
          </w:p>
        </w:tc>
        <w:tc>
          <w:tcPr>
            <w:tcW w:w="1555" w:type="dxa"/>
            <w:tcBorders>
              <w:top w:val="single" w:sz="6" w:space="0" w:color="000000"/>
              <w:left w:val="single" w:sz="6" w:space="0" w:color="000000"/>
              <w:right w:val="single" w:sz="6" w:space="0" w:color="000000"/>
            </w:tcBorders>
          </w:tcPr>
          <w:p>
            <w:pPr>
              <w:pStyle w:val="TableParagraph"/>
              <w:spacing w:before="77"/>
              <w:ind w:left="112" w:right="83"/>
              <w:rPr>
                <w:sz w:val="21"/>
              </w:rPr>
            </w:pPr>
            <w:r>
              <w:rPr>
                <w:sz w:val="21"/>
              </w:rPr>
              <w:t>废水</w:t>
            </w:r>
          </w:p>
        </w:tc>
        <w:tc>
          <w:tcPr>
            <w:tcW w:w="1455" w:type="dxa"/>
            <w:tcBorders>
              <w:top w:val="single" w:sz="6" w:space="0" w:color="000000"/>
              <w:left w:val="single" w:sz="6" w:space="0" w:color="000000"/>
              <w:right w:val="single" w:sz="6" w:space="0" w:color="000000"/>
            </w:tcBorders>
          </w:tcPr>
          <w:p>
            <w:pPr>
              <w:pStyle w:val="TableParagraph"/>
              <w:spacing w:before="77"/>
              <w:ind w:left="73" w:right="43"/>
              <w:rPr>
                <w:sz w:val="21"/>
              </w:rPr>
            </w:pPr>
            <w:r>
              <w:rPr>
                <w:sz w:val="21"/>
              </w:rPr>
              <w:t>泄漏</w:t>
            </w:r>
          </w:p>
        </w:tc>
        <w:tc>
          <w:tcPr>
            <w:tcW w:w="1047" w:type="dxa"/>
            <w:tcBorders>
              <w:top w:val="single" w:sz="6" w:space="0" w:color="000000"/>
              <w:left w:val="single" w:sz="6" w:space="0" w:color="000000"/>
              <w:right w:val="single" w:sz="6" w:space="0" w:color="000000"/>
            </w:tcBorders>
          </w:tcPr>
          <w:p>
            <w:pPr>
              <w:pStyle w:val="TableParagraph"/>
              <w:spacing w:before="77"/>
              <w:ind w:left="28"/>
              <w:rPr>
                <w:sz w:val="21"/>
              </w:rPr>
            </w:pPr>
            <w:r>
              <w:rPr>
                <w:w w:val="100"/>
                <w:sz w:val="21"/>
              </w:rPr>
              <w:t>水</w:t>
            </w:r>
          </w:p>
        </w:tc>
        <w:tc>
          <w:tcPr>
            <w:tcW w:w="2272" w:type="dxa"/>
            <w:tcBorders>
              <w:top w:val="single" w:sz="6" w:space="0" w:color="000000"/>
              <w:left w:val="single" w:sz="6" w:space="0" w:color="000000"/>
            </w:tcBorders>
          </w:tcPr>
          <w:p>
            <w:pPr>
              <w:pStyle w:val="TableParagraph"/>
              <w:spacing w:before="77"/>
              <w:ind w:left="175" w:right="140"/>
              <w:rPr>
                <w:sz w:val="21"/>
              </w:rPr>
            </w:pPr>
            <w:r>
              <w:rPr>
                <w:sz w:val="21"/>
              </w:rPr>
              <w:t>地表水</w:t>
            </w:r>
          </w:p>
        </w:tc>
      </w:tr>
    </w:tbl>
    <w:p>
      <w:pPr>
        <w:pStyle w:val="BodyText"/>
        <w:spacing w:before="10"/>
        <w:rPr>
          <w:sz w:val="8"/>
        </w:rPr>
      </w:pPr>
    </w:p>
    <w:p>
      <w:pPr>
        <w:spacing w:line="612" w:lineRule="exact" w:before="0"/>
        <w:ind w:left="578" w:right="0" w:firstLine="0"/>
        <w:jc w:val="left"/>
        <w:rPr>
          <w:rFonts w:ascii="Droid Sans Fallback" w:eastAsia="Droid Sans Fallback" w:hint="eastAsia"/>
          <w:sz w:val="36"/>
        </w:rPr>
      </w:pPr>
      <w:r>
        <w:rPr>
          <w:rFonts w:ascii="Times New Roman" w:eastAsia="Times New Roman"/>
          <w:b/>
          <w:sz w:val="36"/>
        </w:rPr>
        <w:t>7.5 </w:t>
      </w:r>
      <w:r>
        <w:rPr>
          <w:rFonts w:ascii="Droid Sans Fallback" w:eastAsia="Droid Sans Fallback" w:hint="eastAsia"/>
          <w:sz w:val="36"/>
        </w:rPr>
        <w:t>风险事故情形分析</w:t>
      </w:r>
    </w:p>
    <w:p>
      <w:pPr>
        <w:pStyle w:val="BodyText"/>
        <w:spacing w:line="220" w:lineRule="auto" w:before="139"/>
        <w:ind w:left="578" w:right="751" w:firstLine="479"/>
        <w:jc w:val="both"/>
      </w:pPr>
      <w:r>
        <w:rPr>
          <w:spacing w:val="-6"/>
        </w:rPr>
        <w:t>针对风险污染事故发生的各类环节，分析风险污染事故发生后对环境的影响</w:t>
      </w:r>
      <w:r>
        <w:rPr>
          <w:spacing w:val="-10"/>
        </w:rPr>
        <w:t>方式。项目厂区盐酸储罐、液体仓库甲醛一旦发生事故，对周围环境及工作人员人身安全、健康均可能造成影响。</w:t>
      </w:r>
    </w:p>
    <w:p>
      <w:pPr>
        <w:pStyle w:val="BodyText"/>
        <w:spacing w:line="220" w:lineRule="auto" w:before="1"/>
        <w:ind w:left="578" w:right="754" w:firstLine="479"/>
        <w:jc w:val="both"/>
      </w:pPr>
      <w:r>
        <w:rPr>
          <w:spacing w:val="-7"/>
        </w:rPr>
        <w:t>根据环境风险识别结果，结合工程分析结论，本次评价将根据化学品性质不同，针对不同的环境要素进行事故风险情形分析。</w:t>
      </w:r>
    </w:p>
    <w:p>
      <w:pPr>
        <w:pStyle w:val="BodyText"/>
        <w:spacing w:line="220" w:lineRule="auto"/>
        <w:ind w:left="578" w:right="751" w:firstLine="479"/>
        <w:jc w:val="both"/>
      </w:pPr>
      <w:r>
        <w:rPr>
          <w:spacing w:val="-6"/>
        </w:rPr>
        <w:t>※针对环境空气风险分析，将侧重选取易挥发、具有典型泄露情形的物质进</w:t>
      </w:r>
      <w:r>
        <w:rPr>
          <w:spacing w:val="-10"/>
        </w:rPr>
        <w:t>行分析，故根据厂内化学品特性及储存条件，本次评价中选定厂内储存量最大的盐酸</w:t>
      </w:r>
      <w:r>
        <w:rPr>
          <w:spacing w:val="-1"/>
        </w:rPr>
        <w:t>（</w:t>
      </w:r>
      <w:r>
        <w:rPr>
          <w:rFonts w:ascii="Times New Roman" w:hAnsi="Times New Roman" w:eastAsia="Times New Roman"/>
        </w:rPr>
        <w:t>30</w:t>
      </w:r>
      <w:r>
        <w:rPr>
          <w:rFonts w:ascii="Times New Roman" w:hAnsi="Times New Roman" w:eastAsia="Times New Roman"/>
          <w:spacing w:val="-1"/>
        </w:rPr>
        <w:t>%</w:t>
      </w:r>
      <w:r>
        <w:rPr>
          <w:spacing w:val="-120"/>
        </w:rPr>
        <w:t>）</w:t>
      </w:r>
      <w:r>
        <w:rPr>
          <w:spacing w:val="-5"/>
        </w:rPr>
        <w:t>、表  </w:t>
      </w:r>
      <w:r>
        <w:rPr>
          <w:rFonts w:ascii="Times New Roman" w:hAnsi="Times New Roman" w:eastAsia="Times New Roman"/>
        </w:rPr>
        <w:t>7.2</w:t>
      </w:r>
      <w:r>
        <w:rPr>
          <w:rFonts w:ascii="Times New Roman" w:hAnsi="Times New Roman" w:eastAsia="Times New Roman"/>
          <w:spacing w:val="-1"/>
        </w:rPr>
        <w:t>-</w:t>
      </w:r>
      <w:r>
        <w:rPr>
          <w:rFonts w:ascii="Times New Roman" w:hAnsi="Times New Roman" w:eastAsia="Times New Roman"/>
        </w:rPr>
        <w:t>1</w:t>
      </w:r>
      <w:r>
        <w:rPr>
          <w:rFonts w:ascii="Times New Roman" w:hAnsi="Times New Roman" w:eastAsia="Times New Roman"/>
          <w:spacing w:val="-15"/>
        </w:rPr>
        <w:t>  </w:t>
      </w:r>
      <w:r>
        <w:rPr>
          <w:spacing w:val="-7"/>
        </w:rPr>
        <w:t>中  </w:t>
      </w:r>
      <w:r>
        <w:rPr>
          <w:rFonts w:ascii="Times New Roman" w:hAnsi="Times New Roman" w:eastAsia="Times New Roman"/>
          <w:w w:val="99"/>
        </w:rPr>
        <w:t>Q</w:t>
      </w:r>
      <w:r>
        <w:rPr>
          <w:rFonts w:ascii="Times New Roman" w:hAnsi="Times New Roman" w:eastAsia="Times New Roman"/>
        </w:rPr>
        <w:t> </w:t>
      </w:r>
      <w:r>
        <w:rPr/>
        <w:t>值最大的甲醛作为风险物质进行分析，分析其储存设施泄露情况下，所泄露的物料对周围环境空气产生的影响。</w:t>
      </w:r>
    </w:p>
    <w:p>
      <w:pPr>
        <w:pStyle w:val="BodyText"/>
        <w:spacing w:line="220" w:lineRule="auto"/>
        <w:ind w:left="578" w:right="751" w:firstLine="479"/>
        <w:jc w:val="both"/>
      </w:pPr>
      <w:r>
        <w:rPr/>
        <w:t>※针对水体环境风险分析（包括地表水、地下室</w:t>
      </w:r>
      <w:r>
        <w:rPr>
          <w:spacing w:val="-120"/>
        </w:rPr>
        <w:t>）</w:t>
      </w:r>
      <w:r>
        <w:rPr/>
        <w:t>，将侧重选取难降解、毒</w:t>
      </w:r>
      <w:r>
        <w:rPr>
          <w:spacing w:val="-6"/>
        </w:rPr>
        <w:t>性较大的物质进行分析，故根据厂内化学品特性及储存条件，本次评价中选定甲</w:t>
      </w:r>
      <w:r>
        <w:rPr>
          <w:spacing w:val="-12"/>
        </w:rPr>
        <w:t>苯为风险物质进行分析，分析其储存设施泄露情况下，所泄露的物料对周围环境水环境产生的影响。</w:t>
      </w:r>
    </w:p>
    <w:p>
      <w:pPr>
        <w:pStyle w:val="BodyText"/>
        <w:spacing w:line="220" w:lineRule="auto"/>
        <w:ind w:left="578" w:right="751" w:firstLine="479"/>
        <w:jc w:val="both"/>
      </w:pPr>
      <w:r>
        <w:rPr>
          <w:spacing w:val="-8"/>
        </w:rPr>
        <w:t>※针对火灾、爆炸环境风险分析，将侧重选取易燃、易爆物质进行分析，故</w:t>
      </w:r>
      <w:r>
        <w:rPr>
          <w:spacing w:val="-12"/>
        </w:rPr>
        <w:t>根据厂内化学品特性及储存条件，本次评价中选定乙醇为风险物质进行分析，分</w:t>
      </w:r>
      <w:r>
        <w:rPr>
          <w:spacing w:val="-15"/>
        </w:rPr>
        <w:t>析其储存设施泄露情况下，遇静电或明火等引发火灾爆炸事故对周围环境空气产生的影响。</w:t>
      </w:r>
    </w:p>
    <w:p>
      <w:pPr>
        <w:pStyle w:val="BodyText"/>
        <w:spacing w:line="460" w:lineRule="exact"/>
        <w:ind w:left="1058"/>
      </w:pPr>
      <w:r>
        <w:rPr>
          <w:rFonts w:ascii="Times New Roman" w:eastAsia="Times New Roman"/>
        </w:rPr>
        <w:t>1</w:t>
      </w:r>
      <w:r>
        <w:rPr/>
        <w:t>、环境风险事故分析</w:t>
      </w:r>
    </w:p>
    <w:p>
      <w:pPr>
        <w:pStyle w:val="BodyText"/>
        <w:spacing w:line="468" w:lineRule="exact"/>
        <w:ind w:left="1058"/>
      </w:pPr>
      <w:r>
        <w:rPr/>
        <w:t>（</w:t>
      </w:r>
      <w:r>
        <w:rPr>
          <w:rFonts w:ascii="Times New Roman" w:eastAsia="Times New Roman"/>
        </w:rPr>
        <w:t>1</w:t>
      </w:r>
      <w:r>
        <w:rPr/>
        <w:t>）风险类型</w:t>
      </w:r>
    </w:p>
    <w:p>
      <w:pPr>
        <w:pStyle w:val="BodyText"/>
        <w:spacing w:line="220" w:lineRule="auto" w:before="7"/>
        <w:ind w:left="578" w:right="752" w:firstLine="479"/>
        <w:jc w:val="both"/>
      </w:pPr>
      <w:r>
        <w:rPr>
          <w:spacing w:val="-5"/>
        </w:rPr>
        <w:t>项目事故的风险通常划分为火灾、爆炸、毒物泄漏三种类型，事故风险都可</w:t>
      </w:r>
      <w:r>
        <w:rPr>
          <w:spacing w:val="-11"/>
        </w:rPr>
        <w:t>能引发环境灾害。火灾和爆炸事故往往不是单独发生的，泄漏的化学品在遇明火</w:t>
      </w:r>
      <w:r>
        <w:rPr>
          <w:spacing w:val="-16"/>
        </w:rPr>
        <w:t>或遇热的条件下可能引起火灾的发生，而火灾带来的高温高热又极易引起爆炸的发生。</w:t>
      </w:r>
    </w:p>
    <w:p>
      <w:pPr>
        <w:spacing w:after="0" w:line="220" w:lineRule="auto"/>
        <w:jc w:val="both"/>
        <w:sectPr>
          <w:pgSz w:w="11910" w:h="16840"/>
          <w:pgMar w:header="877" w:footer="973" w:top="1340" w:bottom="1160" w:left="1220" w:right="1040"/>
        </w:sectPr>
      </w:pPr>
    </w:p>
    <w:p>
      <w:pPr>
        <w:pStyle w:val="BodyText"/>
        <w:spacing w:line="220" w:lineRule="auto" w:before="77"/>
        <w:ind w:left="578" w:right="755" w:firstLine="479"/>
        <w:jc w:val="both"/>
      </w:pPr>
      <w:r>
        <w:rPr>
          <w:spacing w:val="-6"/>
        </w:rPr>
        <w:t>根据危险物质及危险装置的识别结果，可以分析出风险的伴生事故以及环境事故、危险物质进入环境的途径。</w:t>
      </w:r>
    </w:p>
    <w:p>
      <w:pPr>
        <w:pStyle w:val="BodyText"/>
        <w:spacing w:line="460" w:lineRule="exact"/>
        <w:ind w:left="1058"/>
      </w:pPr>
      <w:r>
        <w:rPr/>
        <w:t>（</w:t>
      </w:r>
      <w:r>
        <w:rPr>
          <w:rFonts w:ascii="Times New Roman" w:eastAsia="Times New Roman"/>
        </w:rPr>
        <w:t>2</w:t>
      </w:r>
      <w:r>
        <w:rPr/>
        <w:t>）火灾影响</w:t>
      </w:r>
    </w:p>
    <w:p>
      <w:pPr>
        <w:pStyle w:val="BodyText"/>
        <w:spacing w:line="468" w:lineRule="exact"/>
        <w:ind w:left="1058"/>
      </w:pPr>
      <w:r>
        <w:rPr/>
        <w:t>火灾包括四种类型：池火、喷射火、火球</w:t>
      </w:r>
      <w:r>
        <w:rPr>
          <w:rFonts w:ascii="Times New Roman" w:eastAsia="Times New Roman"/>
        </w:rPr>
        <w:t>/</w:t>
      </w:r>
      <w:r>
        <w:rPr/>
        <w:t>气爆、突发火。</w:t>
      </w:r>
    </w:p>
    <w:p>
      <w:pPr>
        <w:pStyle w:val="BodyText"/>
        <w:spacing w:line="220" w:lineRule="auto" w:before="8"/>
        <w:ind w:left="578" w:right="752" w:firstLine="479"/>
        <w:jc w:val="both"/>
      </w:pPr>
      <w:r>
        <w:rPr>
          <w:spacing w:val="-5"/>
        </w:rPr>
        <w:t>火灾首先是通过放出辐射热影响周围环境。如果辐射热的能量足够大，可引起其他可燃物燃烧</w:t>
      </w:r>
      <w:r>
        <w:rPr>
          <w:rFonts w:ascii="Times New Roman" w:eastAsia="Times New Roman"/>
          <w:spacing w:val="-5"/>
        </w:rPr>
        <w:t>(</w:t>
      </w:r>
      <w:r>
        <w:rPr>
          <w:spacing w:val="-5"/>
        </w:rPr>
        <w:t>包括生物</w:t>
      </w:r>
      <w:r>
        <w:rPr>
          <w:rFonts w:ascii="Times New Roman" w:eastAsia="Times New Roman"/>
          <w:spacing w:val="-5"/>
        </w:rPr>
        <w:t>)</w:t>
      </w:r>
      <w:r>
        <w:rPr>
          <w:spacing w:val="-3"/>
        </w:rPr>
        <w:t>。一般来说火的辐射热局限于近火源的区域内，对邻近地区影响不大，其主要影响通常仅限于厂区范围内。</w:t>
      </w:r>
    </w:p>
    <w:p>
      <w:pPr>
        <w:pStyle w:val="BodyText"/>
        <w:spacing w:line="460" w:lineRule="exact"/>
        <w:ind w:left="1058"/>
      </w:pPr>
      <w:r>
        <w:rPr/>
        <w:t>（</w:t>
      </w:r>
      <w:r>
        <w:rPr>
          <w:rFonts w:ascii="Times New Roman" w:eastAsia="Times New Roman"/>
        </w:rPr>
        <w:t>3</w:t>
      </w:r>
      <w:r>
        <w:rPr/>
        <w:t>）爆炸影响</w:t>
      </w:r>
    </w:p>
    <w:p>
      <w:pPr>
        <w:pStyle w:val="BodyText"/>
        <w:spacing w:line="220" w:lineRule="auto" w:before="8"/>
        <w:ind w:left="578" w:right="752" w:firstLine="479"/>
        <w:jc w:val="both"/>
      </w:pPr>
      <w:r>
        <w:rPr>
          <w:spacing w:val="-6"/>
        </w:rPr>
        <w:t>爆炸是突发性的能量释放，是可燃气团燃烧的两种后果之一，造成大气中破坏性的冲击波，爆炸碎片等抛射物，造成危害。</w:t>
      </w:r>
    </w:p>
    <w:p>
      <w:pPr>
        <w:pStyle w:val="BodyText"/>
        <w:spacing w:line="460" w:lineRule="exact"/>
        <w:ind w:left="1058"/>
      </w:pPr>
      <w:r>
        <w:rPr/>
        <w:t>（</w:t>
      </w:r>
      <w:r>
        <w:rPr>
          <w:rFonts w:ascii="Times New Roman" w:eastAsia="Times New Roman"/>
        </w:rPr>
        <w:t>4</w:t>
      </w:r>
      <w:r>
        <w:rPr/>
        <w:t>）毒物的释放或泄漏</w:t>
      </w:r>
    </w:p>
    <w:p>
      <w:pPr>
        <w:pStyle w:val="BodyText"/>
        <w:spacing w:line="220" w:lineRule="auto" w:before="8"/>
        <w:ind w:left="578" w:right="752" w:firstLine="479"/>
        <w:jc w:val="both"/>
      </w:pPr>
      <w:r>
        <w:rPr>
          <w:spacing w:val="-9"/>
        </w:rPr>
        <w:t>由于各种原因，使有毒化学物质以气态或液态释放或泄漏到周围环境中，在</w:t>
      </w:r>
      <w:r>
        <w:rPr>
          <w:spacing w:val="-12"/>
        </w:rPr>
        <w:t>其迁移过程中，大多数情况下，其初期影响仅限于厂区范围内，后期进入环境才成为环境风险的主要考虑内容。</w:t>
      </w:r>
    </w:p>
    <w:p>
      <w:pPr>
        <w:pStyle w:val="BodyText"/>
        <w:spacing w:line="460" w:lineRule="exact"/>
        <w:ind w:left="1058"/>
      </w:pPr>
      <w:r>
        <w:rPr/>
        <w:t>①水体中的弥散</w:t>
      </w:r>
    </w:p>
    <w:p>
      <w:pPr>
        <w:pStyle w:val="BodyText"/>
        <w:spacing w:line="220" w:lineRule="auto" w:before="8"/>
        <w:ind w:left="578" w:right="755" w:firstLine="479"/>
        <w:jc w:val="both"/>
      </w:pPr>
      <w:r>
        <w:rPr>
          <w:spacing w:val="-4"/>
        </w:rPr>
        <w:t>有毒有害物质进入水体环境的方式主要有两种情况，一是液体泄漏直接进入</w:t>
      </w:r>
      <w:r>
        <w:rPr>
          <w:spacing w:val="-11"/>
        </w:rPr>
        <w:t>水体的情况，二是火灾爆炸时含油类或有毒有害化学物质的消防水由于处理措施不当直接排入地表水系统，引起环境污染。</w:t>
      </w:r>
    </w:p>
    <w:p>
      <w:pPr>
        <w:pStyle w:val="BodyText"/>
        <w:spacing w:line="220" w:lineRule="auto"/>
        <w:ind w:left="578" w:right="751" w:firstLine="479"/>
        <w:jc w:val="both"/>
      </w:pPr>
      <w:r>
        <w:rPr>
          <w:spacing w:val="2"/>
        </w:rPr>
        <w:t>进入水体环境的有毒物质是通过复杂的物理化学过程被稀释、扩散和降解</w:t>
      </w:r>
      <w:r>
        <w:rPr/>
        <w:t>的，包括水中颗粒物及底部沉积物对他的吸附作用、油类或有毒物质在水</w:t>
      </w:r>
      <w:r>
        <w:rPr>
          <w:rFonts w:ascii="Times New Roman" w:eastAsia="Times New Roman"/>
        </w:rPr>
        <w:t>/</w:t>
      </w:r>
      <w:r>
        <w:rPr/>
        <w:t>气界面上的挥发作用、生物化学的转化等过程。</w:t>
      </w:r>
    </w:p>
    <w:p>
      <w:pPr>
        <w:pStyle w:val="BodyText"/>
        <w:spacing w:line="460" w:lineRule="exact"/>
        <w:ind w:left="1058"/>
      </w:pPr>
      <w:r>
        <w:rPr/>
        <w:t>②大气中的扩散</w:t>
      </w:r>
    </w:p>
    <w:p>
      <w:pPr>
        <w:pStyle w:val="BodyText"/>
        <w:spacing w:line="220" w:lineRule="auto" w:before="7"/>
        <w:ind w:left="578" w:right="752" w:firstLine="479"/>
        <w:jc w:val="both"/>
      </w:pPr>
      <w:r>
        <w:rPr>
          <w:spacing w:val="-4"/>
        </w:rPr>
        <w:t>有毒有害物质进入环境空气的方式主要有三种情况，一是生产和贮存过程中</w:t>
      </w:r>
      <w:r>
        <w:rPr>
          <w:spacing w:val="-11"/>
        </w:rPr>
        <w:t>毒性气体的泄漏，二是火灾爆炸时未完全燃烧造成的有毒有害化学物质，三是液体泄漏事故中的挥发。</w:t>
      </w:r>
    </w:p>
    <w:p>
      <w:pPr>
        <w:pStyle w:val="BodyText"/>
        <w:spacing w:line="220" w:lineRule="auto"/>
        <w:ind w:left="578" w:right="752" w:firstLine="479"/>
        <w:jc w:val="both"/>
      </w:pPr>
      <w:r>
        <w:rPr>
          <w:spacing w:val="-5"/>
        </w:rPr>
        <w:t>毒性气体云团通过大气自身的净化作用被稀释、扩散，包括平流扩散、湍流</w:t>
      </w:r>
      <w:r>
        <w:rPr>
          <w:spacing w:val="-11"/>
        </w:rPr>
        <w:t>扩散和清除机制，对于密度高于空气的云团在其稀释至安全浓度前，这些云团可以在较大范围内扩散，影响范围较大。</w:t>
      </w:r>
    </w:p>
    <w:p>
      <w:pPr>
        <w:pStyle w:val="BodyText"/>
        <w:spacing w:line="480" w:lineRule="exact"/>
        <w:ind w:left="1058"/>
      </w:pPr>
      <w:r>
        <w:rPr>
          <w:rFonts w:ascii="Times New Roman" w:eastAsia="Times New Roman"/>
        </w:rPr>
        <w:t>2</w:t>
      </w:r>
      <w:r>
        <w:rPr/>
        <w:t>、事故树分析</w:t>
      </w:r>
    </w:p>
    <w:p>
      <w:pPr>
        <w:spacing w:after="0" w:line="480" w:lineRule="exact"/>
        <w:sectPr>
          <w:pgSz w:w="11910" w:h="16840"/>
          <w:pgMar w:header="877" w:footer="973" w:top="1340" w:bottom="1160" w:left="1220" w:right="1040"/>
        </w:sectPr>
      </w:pPr>
    </w:p>
    <w:p>
      <w:pPr>
        <w:pStyle w:val="BodyText"/>
        <w:spacing w:line="220" w:lineRule="auto" w:before="77"/>
        <w:ind w:left="578" w:right="672" w:firstLine="479"/>
      </w:pPr>
      <w:r>
        <w:rPr/>
        <w:t>本项目生产主要是火灾、爆炸事故及泄漏对环境的影响。项目顶端事故与基本事件关联见下图。</w:t>
      </w:r>
    </w:p>
    <w:p>
      <w:pPr>
        <w:pStyle w:val="BodyText"/>
        <w:spacing w:before="7"/>
        <w:rPr>
          <w:sz w:val="5"/>
        </w:rPr>
      </w:pPr>
      <w:r>
        <w:rPr/>
        <w:drawing>
          <wp:anchor distT="0" distB="0" distL="0" distR="0" allowOverlap="1" layoutInCell="1" locked="0" behindDoc="1" simplePos="0" relativeHeight="268434935">
            <wp:simplePos x="0" y="0"/>
            <wp:positionH relativeFrom="page">
              <wp:posOffset>1141730</wp:posOffset>
            </wp:positionH>
            <wp:positionV relativeFrom="paragraph">
              <wp:posOffset>97090</wp:posOffset>
            </wp:positionV>
            <wp:extent cx="5282741" cy="5172075"/>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33" cstate="print"/>
                    <a:stretch>
                      <a:fillRect/>
                    </a:stretch>
                  </pic:blipFill>
                  <pic:spPr>
                    <a:xfrm>
                      <a:off x="0" y="0"/>
                      <a:ext cx="5282741" cy="5172075"/>
                    </a:xfrm>
                    <a:prstGeom prst="rect">
                      <a:avLst/>
                    </a:prstGeom>
                  </pic:spPr>
                </pic:pic>
              </a:graphicData>
            </a:graphic>
          </wp:anchor>
        </w:drawing>
      </w:r>
    </w:p>
    <w:p>
      <w:pPr>
        <w:tabs>
          <w:tab w:pos="3924" w:val="left" w:leader="none"/>
        </w:tabs>
        <w:spacing w:before="104"/>
        <w:ind w:left="3012" w:right="0" w:firstLine="0"/>
        <w:jc w:val="left"/>
        <w:rPr>
          <w:sz w:val="21"/>
        </w:rPr>
      </w:pPr>
      <w:r>
        <w:rPr>
          <w:sz w:val="21"/>
        </w:rPr>
        <w:t>图</w:t>
      </w:r>
      <w:r>
        <w:rPr>
          <w:spacing w:val="7"/>
          <w:sz w:val="21"/>
        </w:rPr>
        <w:t> </w:t>
      </w:r>
      <w:r>
        <w:rPr>
          <w:rFonts w:ascii="Times New Roman" w:eastAsia="Times New Roman"/>
          <w:b/>
          <w:sz w:val="21"/>
        </w:rPr>
        <w:t>7.5-1</w:t>
        <w:tab/>
      </w:r>
      <w:r>
        <w:rPr>
          <w:sz w:val="21"/>
        </w:rPr>
        <w:t>顶端事故与基</w:t>
      </w:r>
      <w:r>
        <w:rPr>
          <w:spacing w:val="-3"/>
          <w:sz w:val="21"/>
        </w:rPr>
        <w:t>本</w:t>
      </w:r>
      <w:r>
        <w:rPr>
          <w:sz w:val="21"/>
        </w:rPr>
        <w:t>事件管理图</w:t>
      </w:r>
    </w:p>
    <w:p>
      <w:pPr>
        <w:pStyle w:val="BodyText"/>
        <w:spacing w:before="4"/>
        <w:rPr>
          <w:sz w:val="5"/>
        </w:rPr>
      </w:pPr>
      <w:r>
        <w:rPr/>
        <w:drawing>
          <wp:anchor distT="0" distB="0" distL="0" distR="0" allowOverlap="1" layoutInCell="1" locked="0" behindDoc="1" simplePos="0" relativeHeight="268434959">
            <wp:simplePos x="0" y="0"/>
            <wp:positionH relativeFrom="page">
              <wp:posOffset>1141730</wp:posOffset>
            </wp:positionH>
            <wp:positionV relativeFrom="paragraph">
              <wp:posOffset>95122</wp:posOffset>
            </wp:positionV>
            <wp:extent cx="5277994" cy="1819275"/>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34" cstate="print"/>
                    <a:stretch>
                      <a:fillRect/>
                    </a:stretch>
                  </pic:blipFill>
                  <pic:spPr>
                    <a:xfrm>
                      <a:off x="0" y="0"/>
                      <a:ext cx="5277994" cy="1819275"/>
                    </a:xfrm>
                    <a:prstGeom prst="rect">
                      <a:avLst/>
                    </a:prstGeom>
                  </pic:spPr>
                </pic:pic>
              </a:graphicData>
            </a:graphic>
          </wp:anchor>
        </w:drawing>
      </w:r>
    </w:p>
    <w:p>
      <w:pPr>
        <w:tabs>
          <w:tab w:pos="3924" w:val="left" w:leader="none"/>
        </w:tabs>
        <w:spacing w:line="439" w:lineRule="exact" w:before="99"/>
        <w:ind w:left="3012" w:right="0" w:firstLine="0"/>
        <w:jc w:val="left"/>
        <w:rPr>
          <w:sz w:val="21"/>
        </w:rPr>
      </w:pPr>
      <w:r>
        <w:rPr>
          <w:sz w:val="21"/>
        </w:rPr>
        <w:t>图</w:t>
      </w:r>
      <w:r>
        <w:rPr>
          <w:spacing w:val="7"/>
          <w:sz w:val="21"/>
        </w:rPr>
        <w:t> </w:t>
      </w:r>
      <w:r>
        <w:rPr>
          <w:rFonts w:ascii="Times New Roman" w:eastAsia="Times New Roman"/>
          <w:b/>
          <w:sz w:val="21"/>
        </w:rPr>
        <w:t>7.5-2</w:t>
        <w:tab/>
      </w:r>
      <w:r>
        <w:rPr>
          <w:sz w:val="21"/>
        </w:rPr>
        <w:t>储罐管道系统</w:t>
      </w:r>
      <w:r>
        <w:rPr>
          <w:spacing w:val="-3"/>
          <w:sz w:val="21"/>
        </w:rPr>
        <w:t>事</w:t>
      </w:r>
      <w:r>
        <w:rPr>
          <w:sz w:val="21"/>
        </w:rPr>
        <w:t>件树示意图</w:t>
      </w:r>
    </w:p>
    <w:p>
      <w:pPr>
        <w:pStyle w:val="BodyText"/>
        <w:spacing w:line="503" w:lineRule="exact"/>
        <w:ind w:left="1058"/>
      </w:pPr>
      <w:r>
        <w:rPr/>
        <w:t>由图 </w:t>
      </w:r>
      <w:r>
        <w:rPr>
          <w:rFonts w:ascii="Times New Roman" w:hAnsi="Times New Roman" w:eastAsia="Times New Roman"/>
        </w:rPr>
        <w:t>7.5-1  </w:t>
      </w:r>
      <w:r>
        <w:rPr/>
        <w:t>可知，燃烧爆炸是由两个</w:t>
      </w:r>
      <w:r>
        <w:rPr>
          <w:rFonts w:ascii="Times New Roman" w:hAnsi="Times New Roman" w:eastAsia="Times New Roman"/>
        </w:rPr>
        <w:t>“</w:t>
      </w:r>
      <w:r>
        <w:rPr/>
        <w:t>中间事件</w:t>
      </w:r>
      <w:r>
        <w:rPr>
          <w:rFonts w:ascii="Times New Roman" w:hAnsi="Times New Roman" w:eastAsia="Times New Roman"/>
        </w:rPr>
        <w:t>”</w:t>
      </w:r>
      <w:r>
        <w:rPr/>
        <w:t>、</w:t>
      </w:r>
      <w:r>
        <w:rPr>
          <w:rFonts w:ascii="Times New Roman" w:hAnsi="Times New Roman" w:eastAsia="Times New Roman"/>
        </w:rPr>
        <w:t>(</w:t>
      </w:r>
      <w:r>
        <w:rPr/>
        <w:t>设备泄漏、火源</w:t>
      </w:r>
      <w:r>
        <w:rPr>
          <w:rFonts w:ascii="Times New Roman" w:hAnsi="Times New Roman" w:eastAsia="Times New Roman"/>
        </w:rPr>
        <w:t>)</w:t>
      </w:r>
      <w:r>
        <w:rPr/>
        <w:t>同时发</w:t>
      </w:r>
    </w:p>
    <w:p>
      <w:pPr>
        <w:spacing w:after="0" w:line="503" w:lineRule="exact"/>
        <w:sectPr>
          <w:pgSz w:w="11910" w:h="16840"/>
          <w:pgMar w:header="877" w:footer="973" w:top="1340" w:bottom="1160" w:left="1220" w:right="1040"/>
        </w:sectPr>
      </w:pPr>
    </w:p>
    <w:p>
      <w:pPr>
        <w:pStyle w:val="BodyText"/>
        <w:spacing w:line="220" w:lineRule="auto" w:before="77"/>
        <w:ind w:left="578" w:right="750"/>
        <w:jc w:val="both"/>
      </w:pPr>
      <w:r>
        <w:rPr>
          <w:spacing w:val="-7"/>
        </w:rPr>
        <w:t>生所造成的。防止设备物料泄漏是防止发生燃爆事故的关键。另外，加强安全管</w:t>
      </w:r>
      <w:r>
        <w:rPr>
          <w:spacing w:val="-10"/>
        </w:rPr>
        <w:t>理，采取避雷和防静电措施，严禁吸烟和动用明火，防止铁器撞击，防止产生静</w:t>
      </w:r>
      <w:r>
        <w:rPr>
          <w:spacing w:val="1"/>
        </w:rPr>
        <w:t>电火花以及电气设备要符合防火防爆要求等，也是防止燃爆事故发生的必要条</w:t>
      </w:r>
      <w:r>
        <w:rPr/>
        <w:t>件。</w:t>
      </w:r>
    </w:p>
    <w:p>
      <w:pPr>
        <w:pStyle w:val="BodyText"/>
        <w:spacing w:line="220" w:lineRule="auto"/>
        <w:ind w:left="578" w:right="754" w:firstLine="479"/>
        <w:jc w:val="both"/>
      </w:pPr>
      <w:r>
        <w:rPr>
          <w:spacing w:val="4"/>
        </w:rPr>
        <w:t>由图 </w:t>
      </w:r>
      <w:r>
        <w:rPr>
          <w:rFonts w:ascii="Times New Roman" w:eastAsia="Times New Roman"/>
        </w:rPr>
        <w:t>7.5-2 </w:t>
      </w:r>
      <w:r>
        <w:rPr>
          <w:spacing w:val="-1"/>
        </w:rPr>
        <w:t>中可知，物料泄漏，可能引起燃爆炸危害事故或扩散污染事故。</w:t>
      </w:r>
      <w:r>
        <w:rPr>
          <w:spacing w:val="-4"/>
        </w:rPr>
        <w:t>风险事故对环境的影响与泄漏时间及各种应急处理措施的有效性密切相关。但该项目不涉及物料泄漏引发的事故。</w:t>
      </w:r>
    </w:p>
    <w:p>
      <w:pPr>
        <w:pStyle w:val="BodyText"/>
        <w:spacing w:line="421" w:lineRule="exact"/>
        <w:ind w:left="1058"/>
      </w:pPr>
      <w:r>
        <w:rPr>
          <w:rFonts w:ascii="Times New Roman" w:eastAsia="Times New Roman"/>
        </w:rPr>
        <w:t>3</w:t>
      </w:r>
      <w:r>
        <w:rPr/>
        <w:t>、典型事故案例分析</w:t>
      </w:r>
    </w:p>
    <w:p>
      <w:pPr>
        <w:pStyle w:val="BodyText"/>
        <w:spacing w:line="428" w:lineRule="exact"/>
        <w:ind w:left="1058"/>
      </w:pPr>
      <w:r>
        <w:rPr/>
        <w:t>本次评价收集了近几年国内化工行业 </w:t>
      </w:r>
      <w:r>
        <w:rPr>
          <w:rFonts w:ascii="Times New Roman" w:eastAsia="Times New Roman"/>
        </w:rPr>
        <w:t>116 </w:t>
      </w:r>
      <w:r>
        <w:rPr/>
        <w:t>次主要事故并对是故原因进行了</w:t>
      </w:r>
    </w:p>
    <w:p>
      <w:pPr>
        <w:pStyle w:val="BodyText"/>
        <w:spacing w:line="488" w:lineRule="exact"/>
        <w:ind w:left="578"/>
        <w:jc w:val="both"/>
      </w:pPr>
      <w:r>
        <w:rPr/>
        <w:t>统计分析，结果见表 </w:t>
      </w:r>
      <w:r>
        <w:rPr>
          <w:rFonts w:ascii="Times New Roman" w:eastAsia="Times New Roman"/>
        </w:rPr>
        <w:t>7.5-1</w:t>
      </w:r>
      <w:r>
        <w:rPr/>
        <w:t>。</w:t>
      </w:r>
    </w:p>
    <w:p>
      <w:pPr>
        <w:tabs>
          <w:tab w:pos="911" w:val="left" w:leader="none"/>
        </w:tabs>
        <w:spacing w:before="128"/>
        <w:ind w:left="0" w:right="175" w:firstLine="0"/>
        <w:jc w:val="center"/>
        <w:rPr>
          <w:sz w:val="21"/>
        </w:rPr>
      </w:pPr>
      <w:r>
        <w:rPr>
          <w:sz w:val="21"/>
        </w:rPr>
        <w:t>表</w:t>
      </w:r>
      <w:r>
        <w:rPr>
          <w:spacing w:val="7"/>
          <w:sz w:val="21"/>
        </w:rPr>
        <w:t> </w:t>
      </w:r>
      <w:r>
        <w:rPr>
          <w:rFonts w:ascii="Times New Roman" w:eastAsia="Times New Roman"/>
          <w:b/>
          <w:sz w:val="21"/>
        </w:rPr>
        <w:t>7.5-1</w:t>
        <w:tab/>
      </w:r>
      <w:r>
        <w:rPr>
          <w:sz w:val="21"/>
        </w:rPr>
        <w:t>国内主要化工</w:t>
      </w:r>
      <w:r>
        <w:rPr>
          <w:spacing w:val="-3"/>
          <w:sz w:val="21"/>
        </w:rPr>
        <w:t>事</w:t>
      </w:r>
      <w:r>
        <w:rPr>
          <w:sz w:val="21"/>
        </w:rPr>
        <w:t>故原因统计结果</w:t>
      </w:r>
    </w:p>
    <w:p>
      <w:pPr>
        <w:pStyle w:val="BodyText"/>
        <w:spacing w:before="19"/>
        <w:rPr>
          <w:sz w:val="2"/>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2"/>
        <w:gridCol w:w="2909"/>
        <w:gridCol w:w="2066"/>
        <w:gridCol w:w="2575"/>
      </w:tblGrid>
      <w:tr>
        <w:trPr>
          <w:trHeight w:val="339" w:hRule="atLeast"/>
        </w:trPr>
        <w:tc>
          <w:tcPr>
            <w:tcW w:w="972" w:type="dxa"/>
            <w:tcBorders>
              <w:bottom w:val="single" w:sz="6" w:space="0" w:color="000000"/>
              <w:right w:val="single" w:sz="6" w:space="0" w:color="000000"/>
            </w:tcBorders>
          </w:tcPr>
          <w:p>
            <w:pPr>
              <w:pStyle w:val="TableParagraph"/>
              <w:spacing w:line="320" w:lineRule="exact"/>
              <w:ind w:left="256" w:right="233"/>
              <w:rPr>
                <w:sz w:val="21"/>
              </w:rPr>
            </w:pPr>
            <w:r>
              <w:rPr>
                <w:sz w:val="21"/>
              </w:rPr>
              <w:t>序号</w:t>
            </w:r>
          </w:p>
        </w:tc>
        <w:tc>
          <w:tcPr>
            <w:tcW w:w="2909" w:type="dxa"/>
            <w:tcBorders>
              <w:left w:val="single" w:sz="6" w:space="0" w:color="000000"/>
              <w:bottom w:val="single" w:sz="6" w:space="0" w:color="000000"/>
              <w:right w:val="single" w:sz="6" w:space="0" w:color="000000"/>
            </w:tcBorders>
          </w:tcPr>
          <w:p>
            <w:pPr>
              <w:pStyle w:val="TableParagraph"/>
              <w:spacing w:line="320" w:lineRule="exact"/>
              <w:ind w:left="599" w:right="571"/>
              <w:rPr>
                <w:sz w:val="21"/>
              </w:rPr>
            </w:pPr>
            <w:r>
              <w:rPr>
                <w:sz w:val="21"/>
              </w:rPr>
              <w:t>主要事故原因</w:t>
            </w:r>
          </w:p>
        </w:tc>
        <w:tc>
          <w:tcPr>
            <w:tcW w:w="2066" w:type="dxa"/>
            <w:tcBorders>
              <w:left w:val="single" w:sz="6" w:space="0" w:color="000000"/>
              <w:bottom w:val="single" w:sz="6" w:space="0" w:color="000000"/>
              <w:right w:val="single" w:sz="6" w:space="0" w:color="000000"/>
            </w:tcBorders>
          </w:tcPr>
          <w:p>
            <w:pPr>
              <w:pStyle w:val="TableParagraph"/>
              <w:spacing w:line="320" w:lineRule="exact"/>
              <w:ind w:left="600" w:right="570"/>
              <w:rPr>
                <w:sz w:val="21"/>
              </w:rPr>
            </w:pPr>
            <w:r>
              <w:rPr>
                <w:sz w:val="21"/>
              </w:rPr>
              <w:t>出现次数</w:t>
            </w:r>
          </w:p>
        </w:tc>
        <w:tc>
          <w:tcPr>
            <w:tcW w:w="2575" w:type="dxa"/>
            <w:tcBorders>
              <w:left w:val="single" w:sz="6" w:space="0" w:color="000000"/>
              <w:bottom w:val="single" w:sz="6" w:space="0" w:color="000000"/>
            </w:tcBorders>
          </w:tcPr>
          <w:p>
            <w:pPr>
              <w:pStyle w:val="TableParagraph"/>
              <w:spacing w:line="320" w:lineRule="exact"/>
              <w:ind w:left="594" w:right="553"/>
              <w:rPr>
                <w:rFonts w:ascii="Times New Roman" w:eastAsia="Times New Roman"/>
                <w:sz w:val="21"/>
              </w:rPr>
            </w:pPr>
            <w:r>
              <w:rPr>
                <w:sz w:val="21"/>
              </w:rPr>
              <w:t>所占百分比</w:t>
            </w:r>
            <w:r>
              <w:rPr>
                <w:rFonts w:ascii="Times New Roman" w:eastAsia="Times New Roman"/>
                <w:sz w:val="21"/>
              </w:rPr>
              <w:t>(%)</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1</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99" w:right="571"/>
              <w:rPr>
                <w:sz w:val="21"/>
              </w:rPr>
            </w:pPr>
            <w:r>
              <w:rPr>
                <w:sz w:val="21"/>
              </w:rPr>
              <w:t>违反操作规程</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598" w:right="570"/>
              <w:rPr>
                <w:rFonts w:ascii="Times New Roman"/>
                <w:sz w:val="21"/>
              </w:rPr>
            </w:pPr>
            <w:r>
              <w:rPr>
                <w:rFonts w:ascii="Times New Roman"/>
                <w:sz w:val="21"/>
              </w:rPr>
              <w:t>60</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51.7</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2</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99" w:right="571"/>
              <w:rPr>
                <w:sz w:val="21"/>
              </w:rPr>
            </w:pPr>
            <w:r>
              <w:rPr>
                <w:sz w:val="21"/>
              </w:rPr>
              <w:t>不懂技术操作</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7</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6.0</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3</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99" w:right="571"/>
              <w:rPr>
                <w:sz w:val="21"/>
              </w:rPr>
            </w:pPr>
            <w:r>
              <w:rPr>
                <w:sz w:val="21"/>
              </w:rPr>
              <w:t>违反劳动纪律</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5</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4.3</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4"/>
              <w:ind w:left="18"/>
              <w:rPr>
                <w:rFonts w:ascii="Times New Roman"/>
                <w:sz w:val="21"/>
              </w:rPr>
            </w:pPr>
            <w:r>
              <w:rPr>
                <w:rFonts w:ascii="Times New Roman"/>
                <w:w w:val="100"/>
                <w:sz w:val="21"/>
              </w:rPr>
              <w:t>4</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602" w:right="570"/>
              <w:rPr>
                <w:sz w:val="21"/>
              </w:rPr>
            </w:pPr>
            <w:r>
              <w:rPr>
                <w:sz w:val="21"/>
              </w:rPr>
              <w:t>指挥失误</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Times New Roman"/>
                <w:sz w:val="21"/>
              </w:rPr>
            </w:pPr>
            <w:r>
              <w:rPr>
                <w:rFonts w:ascii="Times New Roman"/>
                <w:w w:val="100"/>
                <w:sz w:val="21"/>
              </w:rPr>
              <w:t>2</w:t>
            </w:r>
          </w:p>
        </w:tc>
        <w:tc>
          <w:tcPr>
            <w:tcW w:w="2575" w:type="dxa"/>
            <w:tcBorders>
              <w:top w:val="single" w:sz="6" w:space="0" w:color="000000"/>
              <w:left w:val="single" w:sz="6" w:space="0" w:color="000000"/>
              <w:bottom w:val="single" w:sz="6" w:space="0" w:color="000000"/>
            </w:tcBorders>
          </w:tcPr>
          <w:p>
            <w:pPr>
              <w:pStyle w:val="TableParagraph"/>
              <w:spacing w:before="44"/>
              <w:ind w:left="594" w:right="552"/>
              <w:rPr>
                <w:rFonts w:ascii="Times New Roman"/>
                <w:sz w:val="21"/>
              </w:rPr>
            </w:pPr>
            <w:r>
              <w:rPr>
                <w:rFonts w:ascii="Times New Roman"/>
                <w:sz w:val="21"/>
              </w:rPr>
              <w:t>1.7</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5</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99" w:right="571"/>
              <w:rPr>
                <w:sz w:val="21"/>
              </w:rPr>
            </w:pPr>
            <w:r>
              <w:rPr>
                <w:sz w:val="21"/>
              </w:rPr>
              <w:t>缺乏现场检查</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1.7</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6</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2" w:right="571"/>
              <w:rPr>
                <w:sz w:val="21"/>
              </w:rPr>
            </w:pPr>
            <w:r>
              <w:rPr>
                <w:sz w:val="21"/>
              </w:rPr>
              <w:t>个人防护用具缺陷</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0.9</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7</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2" w:right="570"/>
              <w:rPr>
                <w:sz w:val="21"/>
              </w:rPr>
            </w:pPr>
            <w:r>
              <w:rPr>
                <w:sz w:val="21"/>
              </w:rPr>
              <w:t>设备缺陷</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598" w:right="570"/>
              <w:rPr>
                <w:rFonts w:ascii="Times New Roman"/>
                <w:sz w:val="21"/>
              </w:rPr>
            </w:pPr>
            <w:r>
              <w:rPr>
                <w:rFonts w:ascii="Times New Roman"/>
                <w:sz w:val="21"/>
              </w:rPr>
              <w:t>25</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21.6</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8</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2" w:right="571"/>
              <w:rPr>
                <w:sz w:val="21"/>
              </w:rPr>
            </w:pPr>
            <w:r>
              <w:rPr>
                <w:sz w:val="21"/>
              </w:rPr>
              <w:t>个人防护用具缺乏</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9</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7.8</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3"/>
              <w:ind w:left="18"/>
              <w:rPr>
                <w:rFonts w:ascii="Times New Roman"/>
                <w:sz w:val="21"/>
              </w:rPr>
            </w:pPr>
            <w:r>
              <w:rPr>
                <w:rFonts w:ascii="Times New Roman"/>
                <w:w w:val="100"/>
                <w:sz w:val="21"/>
              </w:rPr>
              <w:t>9</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2" w:right="570"/>
              <w:rPr>
                <w:sz w:val="21"/>
              </w:rPr>
            </w:pPr>
            <w:r>
              <w:rPr>
                <w:sz w:val="21"/>
              </w:rPr>
              <w:t>设计缺陷</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2575" w:type="dxa"/>
            <w:tcBorders>
              <w:top w:val="single" w:sz="6" w:space="0" w:color="000000"/>
              <w:left w:val="single" w:sz="6" w:space="0" w:color="000000"/>
              <w:bottom w:val="single" w:sz="6" w:space="0" w:color="000000"/>
            </w:tcBorders>
          </w:tcPr>
          <w:p>
            <w:pPr>
              <w:pStyle w:val="TableParagraph"/>
              <w:spacing w:before="43"/>
              <w:ind w:left="594" w:right="552"/>
              <w:rPr>
                <w:rFonts w:ascii="Times New Roman"/>
                <w:sz w:val="21"/>
              </w:rPr>
            </w:pPr>
            <w:r>
              <w:rPr>
                <w:rFonts w:ascii="Times New Roman"/>
                <w:sz w:val="21"/>
              </w:rPr>
              <w:t>1.7</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1"/>
              <w:ind w:left="251" w:right="233"/>
              <w:rPr>
                <w:rFonts w:ascii="Times New Roman"/>
                <w:sz w:val="21"/>
              </w:rPr>
            </w:pPr>
            <w:r>
              <w:rPr>
                <w:rFonts w:ascii="Times New Roman"/>
                <w:sz w:val="21"/>
              </w:rPr>
              <w:t>10</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2" w:right="571"/>
              <w:rPr>
                <w:sz w:val="21"/>
              </w:rPr>
            </w:pPr>
            <w:r>
              <w:rPr>
                <w:sz w:val="21"/>
              </w:rPr>
              <w:t>原料质量控制不严</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2575" w:type="dxa"/>
            <w:tcBorders>
              <w:top w:val="single" w:sz="6" w:space="0" w:color="000000"/>
              <w:left w:val="single" w:sz="6" w:space="0" w:color="000000"/>
              <w:bottom w:val="single" w:sz="6" w:space="0" w:color="000000"/>
            </w:tcBorders>
          </w:tcPr>
          <w:p>
            <w:pPr>
              <w:pStyle w:val="TableParagraph"/>
              <w:spacing w:before="41"/>
              <w:ind w:left="594" w:right="552"/>
              <w:rPr>
                <w:rFonts w:ascii="Times New Roman"/>
                <w:sz w:val="21"/>
              </w:rPr>
            </w:pPr>
            <w:r>
              <w:rPr>
                <w:rFonts w:ascii="Times New Roman"/>
                <w:sz w:val="21"/>
              </w:rPr>
              <w:t>0.9</w:t>
            </w:r>
          </w:p>
        </w:tc>
      </w:tr>
      <w:tr>
        <w:trPr>
          <w:trHeight w:val="340" w:hRule="atLeast"/>
        </w:trPr>
        <w:tc>
          <w:tcPr>
            <w:tcW w:w="972" w:type="dxa"/>
            <w:tcBorders>
              <w:top w:val="single" w:sz="6" w:space="0" w:color="000000"/>
              <w:bottom w:val="single" w:sz="6" w:space="0" w:color="000000"/>
              <w:right w:val="single" w:sz="6" w:space="0" w:color="000000"/>
            </w:tcBorders>
          </w:tcPr>
          <w:p>
            <w:pPr>
              <w:pStyle w:val="TableParagraph"/>
              <w:spacing w:before="41"/>
              <w:ind w:left="246" w:right="233"/>
              <w:rPr>
                <w:rFonts w:ascii="Times New Roman"/>
                <w:sz w:val="21"/>
              </w:rPr>
            </w:pPr>
            <w:r>
              <w:rPr>
                <w:rFonts w:ascii="Times New Roman"/>
                <w:sz w:val="21"/>
              </w:rPr>
              <w:t>11</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2" w:right="570"/>
              <w:rPr>
                <w:sz w:val="21"/>
              </w:rPr>
            </w:pPr>
            <w:r>
              <w:rPr>
                <w:sz w:val="21"/>
              </w:rPr>
              <w:t>操作失灵</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2575" w:type="dxa"/>
            <w:tcBorders>
              <w:top w:val="single" w:sz="6" w:space="0" w:color="000000"/>
              <w:left w:val="single" w:sz="6" w:space="0" w:color="000000"/>
              <w:bottom w:val="single" w:sz="6" w:space="0" w:color="000000"/>
            </w:tcBorders>
          </w:tcPr>
          <w:p>
            <w:pPr>
              <w:pStyle w:val="TableParagraph"/>
              <w:spacing w:before="41"/>
              <w:ind w:left="594" w:right="552"/>
              <w:rPr>
                <w:rFonts w:ascii="Times New Roman"/>
                <w:sz w:val="21"/>
              </w:rPr>
            </w:pPr>
            <w:r>
              <w:rPr>
                <w:rFonts w:ascii="Times New Roman"/>
                <w:sz w:val="21"/>
              </w:rPr>
              <w:t>0.9</w:t>
            </w:r>
          </w:p>
        </w:tc>
      </w:tr>
      <w:tr>
        <w:trPr>
          <w:trHeight w:val="337" w:hRule="atLeast"/>
        </w:trPr>
        <w:tc>
          <w:tcPr>
            <w:tcW w:w="972" w:type="dxa"/>
            <w:tcBorders>
              <w:top w:val="single" w:sz="6" w:space="0" w:color="000000"/>
              <w:bottom w:val="single" w:sz="6" w:space="0" w:color="000000"/>
              <w:right w:val="single" w:sz="6" w:space="0" w:color="000000"/>
            </w:tcBorders>
          </w:tcPr>
          <w:p>
            <w:pPr>
              <w:pStyle w:val="TableParagraph"/>
              <w:spacing w:before="41"/>
              <w:ind w:left="251" w:right="233"/>
              <w:rPr>
                <w:rFonts w:ascii="Times New Roman"/>
                <w:sz w:val="21"/>
              </w:rPr>
            </w:pPr>
            <w:r>
              <w:rPr>
                <w:rFonts w:ascii="Times New Roman"/>
                <w:sz w:val="21"/>
              </w:rPr>
              <w:t>12</w:t>
            </w:r>
          </w:p>
        </w:tc>
        <w:tc>
          <w:tcPr>
            <w:tcW w:w="290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599" w:right="571"/>
              <w:rPr>
                <w:sz w:val="21"/>
              </w:rPr>
            </w:pPr>
            <w:r>
              <w:rPr>
                <w:sz w:val="21"/>
              </w:rPr>
              <w:t>没有安全规程</w:t>
            </w:r>
          </w:p>
        </w:tc>
        <w:tc>
          <w:tcPr>
            <w:tcW w:w="2066"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2575" w:type="dxa"/>
            <w:tcBorders>
              <w:top w:val="single" w:sz="6" w:space="0" w:color="000000"/>
              <w:left w:val="single" w:sz="6" w:space="0" w:color="000000"/>
              <w:bottom w:val="single" w:sz="6" w:space="0" w:color="000000"/>
            </w:tcBorders>
          </w:tcPr>
          <w:p>
            <w:pPr>
              <w:pStyle w:val="TableParagraph"/>
              <w:spacing w:before="41"/>
              <w:ind w:left="594" w:right="552"/>
              <w:rPr>
                <w:rFonts w:ascii="Times New Roman"/>
                <w:sz w:val="21"/>
              </w:rPr>
            </w:pPr>
            <w:r>
              <w:rPr>
                <w:rFonts w:ascii="Times New Roman"/>
                <w:sz w:val="21"/>
              </w:rPr>
              <w:t>0.9</w:t>
            </w:r>
          </w:p>
        </w:tc>
      </w:tr>
      <w:tr>
        <w:trPr>
          <w:trHeight w:val="342" w:hRule="atLeast"/>
        </w:trPr>
        <w:tc>
          <w:tcPr>
            <w:tcW w:w="3881" w:type="dxa"/>
            <w:gridSpan w:val="2"/>
            <w:tcBorders>
              <w:top w:val="single" w:sz="6" w:space="0" w:color="000000"/>
              <w:right w:val="single" w:sz="6" w:space="0" w:color="000000"/>
            </w:tcBorders>
          </w:tcPr>
          <w:p>
            <w:pPr>
              <w:pStyle w:val="TableParagraph"/>
              <w:spacing w:line="323" w:lineRule="exact"/>
              <w:ind w:left="1710" w:right="1687"/>
              <w:rPr>
                <w:sz w:val="21"/>
              </w:rPr>
            </w:pPr>
            <w:r>
              <w:rPr>
                <w:sz w:val="21"/>
              </w:rPr>
              <w:t>合计</w:t>
            </w:r>
          </w:p>
        </w:tc>
        <w:tc>
          <w:tcPr>
            <w:tcW w:w="2066" w:type="dxa"/>
            <w:tcBorders>
              <w:top w:val="single" w:sz="6" w:space="0" w:color="000000"/>
              <w:left w:val="single" w:sz="6" w:space="0" w:color="000000"/>
              <w:right w:val="single" w:sz="6" w:space="0" w:color="000000"/>
            </w:tcBorders>
          </w:tcPr>
          <w:p>
            <w:pPr>
              <w:pStyle w:val="TableParagraph"/>
              <w:spacing w:before="44"/>
              <w:ind w:left="600" w:right="570"/>
              <w:rPr>
                <w:rFonts w:ascii="Times New Roman"/>
                <w:sz w:val="21"/>
              </w:rPr>
            </w:pPr>
            <w:r>
              <w:rPr>
                <w:rFonts w:ascii="Times New Roman"/>
                <w:sz w:val="21"/>
              </w:rPr>
              <w:t>116</w:t>
            </w:r>
          </w:p>
        </w:tc>
        <w:tc>
          <w:tcPr>
            <w:tcW w:w="2575" w:type="dxa"/>
            <w:tcBorders>
              <w:top w:val="single" w:sz="6" w:space="0" w:color="000000"/>
              <w:left w:val="single" w:sz="6" w:space="0" w:color="000000"/>
            </w:tcBorders>
          </w:tcPr>
          <w:p>
            <w:pPr>
              <w:pStyle w:val="TableParagraph"/>
              <w:spacing w:before="44"/>
              <w:ind w:left="594" w:right="552"/>
              <w:rPr>
                <w:rFonts w:ascii="Times New Roman"/>
                <w:sz w:val="21"/>
              </w:rPr>
            </w:pPr>
            <w:r>
              <w:rPr>
                <w:rFonts w:ascii="Times New Roman"/>
                <w:sz w:val="21"/>
              </w:rPr>
              <w:t>100</w:t>
            </w:r>
          </w:p>
        </w:tc>
      </w:tr>
    </w:tbl>
    <w:p>
      <w:pPr>
        <w:pStyle w:val="BodyText"/>
        <w:spacing w:line="220" w:lineRule="auto" w:before="70"/>
        <w:ind w:left="578" w:right="754" w:firstLine="479"/>
        <w:jc w:val="both"/>
      </w:pPr>
      <w:r>
        <w:rPr>
          <w:spacing w:val="3"/>
        </w:rPr>
        <w:t>由表 </w:t>
      </w:r>
      <w:r>
        <w:rPr>
          <w:rFonts w:ascii="Times New Roman" w:eastAsia="Times New Roman"/>
        </w:rPr>
        <w:t>9.5-1 </w:t>
      </w:r>
      <w:r>
        <w:rPr>
          <w:spacing w:val="-1"/>
        </w:rPr>
        <w:t>可见，由于违反操作规程、违反劳动纪律、不懂技术操作等人为</w:t>
      </w:r>
      <w:r>
        <w:rPr>
          <w:spacing w:val="-5"/>
        </w:rPr>
        <w:t>因素发生的事故最多，占 </w:t>
      </w:r>
      <w:r>
        <w:rPr>
          <w:rFonts w:ascii="Times New Roman" w:eastAsia="Times New Roman"/>
        </w:rPr>
        <w:t>65%</w:t>
      </w:r>
      <w:r>
        <w:rPr>
          <w:spacing w:val="-9"/>
        </w:rPr>
        <w:t>以上，因设备缺陷、设计缺陷等引起事故次数约占</w:t>
      </w:r>
    </w:p>
    <w:p>
      <w:pPr>
        <w:pStyle w:val="BodyText"/>
        <w:spacing w:line="456" w:lineRule="exact"/>
        <w:ind w:left="578"/>
      </w:pPr>
      <w:r>
        <w:rPr>
          <w:rFonts w:ascii="Times New Roman" w:eastAsia="Times New Roman"/>
        </w:rPr>
        <w:t>23.3%</w:t>
      </w:r>
      <w:r>
        <w:rPr/>
        <w:t>。</w:t>
      </w:r>
    </w:p>
    <w:p>
      <w:pPr>
        <w:pStyle w:val="BodyText"/>
        <w:spacing w:line="220" w:lineRule="auto" w:before="7"/>
        <w:ind w:left="578" w:right="751" w:firstLine="479"/>
        <w:jc w:val="both"/>
      </w:pPr>
      <w:r>
        <w:rPr>
          <w:spacing w:val="1"/>
        </w:rPr>
        <w:t>根据美国 </w:t>
      </w:r>
      <w:r>
        <w:rPr>
          <w:rFonts w:ascii="Times New Roman" w:eastAsia="Times New Roman"/>
        </w:rPr>
        <w:t>J&amp;H</w:t>
      </w:r>
      <w:r>
        <w:rPr>
          <w:rFonts w:ascii="Times New Roman" w:eastAsia="Times New Roman"/>
          <w:spacing w:val="37"/>
        </w:rPr>
        <w:t> </w:t>
      </w:r>
      <w:r>
        <w:rPr>
          <w:rFonts w:ascii="Times New Roman" w:eastAsia="Times New Roman"/>
        </w:rPr>
        <w:t>Marsh&amp;Mclennan</w:t>
      </w:r>
      <w:r>
        <w:rPr>
          <w:rFonts w:ascii="Times New Roman" w:eastAsia="Times New Roman"/>
          <w:spacing w:val="1"/>
        </w:rPr>
        <w:t> </w:t>
      </w:r>
      <w:r>
        <w:rPr/>
        <w:t>咨询公司《世界石油化工行业近 </w:t>
      </w:r>
      <w:r>
        <w:rPr>
          <w:rFonts w:ascii="Times New Roman" w:eastAsia="Times New Roman"/>
        </w:rPr>
        <w:t>30 </w:t>
      </w:r>
      <w:r>
        <w:rPr/>
        <w:t>年来发</w:t>
      </w:r>
      <w:r>
        <w:rPr>
          <w:spacing w:val="1"/>
        </w:rPr>
        <w:t>生的 </w:t>
      </w:r>
      <w:r>
        <w:rPr>
          <w:rFonts w:ascii="Times New Roman" w:eastAsia="Times New Roman"/>
        </w:rPr>
        <w:t>100 </w:t>
      </w:r>
      <w:r>
        <w:rPr/>
        <w:t>例重大财产损失事故</w:t>
      </w:r>
      <w:r>
        <w:rPr>
          <w:spacing w:val="-164"/>
        </w:rPr>
        <w:t>》</w:t>
      </w:r>
      <w:r>
        <w:rPr/>
        <w:t>（损失在 </w:t>
      </w:r>
      <w:r>
        <w:rPr>
          <w:rFonts w:ascii="Times New Roman" w:eastAsia="Times New Roman"/>
        </w:rPr>
        <w:t>1000 </w:t>
      </w:r>
      <w:r>
        <w:rPr/>
        <w:t>万美元的特大型火灾爆炸事故</w:t>
      </w:r>
      <w:r>
        <w:rPr>
          <w:spacing w:val="-44"/>
        </w:rPr>
        <w:t>）</w:t>
      </w:r>
      <w:r>
        <w:rPr/>
        <w:t>统计分析结果见表 </w:t>
      </w:r>
      <w:r>
        <w:rPr>
          <w:rFonts w:ascii="Times New Roman" w:eastAsia="Times New Roman"/>
        </w:rPr>
        <w:t>7.5-2</w:t>
      </w:r>
      <w:r>
        <w:rPr/>
        <w:t>，按事故发生原因分类见表 </w:t>
      </w:r>
      <w:r>
        <w:rPr>
          <w:rFonts w:ascii="Times New Roman" w:eastAsia="Times New Roman"/>
        </w:rPr>
        <w:t>7.5-3</w:t>
      </w:r>
      <w:r>
        <w:rPr/>
        <w:t>。</w:t>
      </w:r>
    </w:p>
    <w:p>
      <w:pPr>
        <w:tabs>
          <w:tab w:pos="911" w:val="left" w:leader="none"/>
        </w:tabs>
        <w:spacing w:before="141"/>
        <w:ind w:left="0" w:right="175" w:firstLine="0"/>
        <w:jc w:val="center"/>
        <w:rPr>
          <w:sz w:val="21"/>
        </w:rPr>
      </w:pPr>
      <w:r>
        <w:rPr>
          <w:sz w:val="21"/>
        </w:rPr>
        <w:t>表</w:t>
      </w:r>
      <w:r>
        <w:rPr>
          <w:spacing w:val="7"/>
          <w:sz w:val="21"/>
        </w:rPr>
        <w:t> </w:t>
      </w:r>
      <w:r>
        <w:rPr>
          <w:rFonts w:ascii="Times New Roman" w:eastAsia="Times New Roman"/>
          <w:b/>
          <w:sz w:val="21"/>
        </w:rPr>
        <w:t>7.5-2</w:t>
        <w:tab/>
      </w:r>
      <w:r>
        <w:rPr>
          <w:sz w:val="21"/>
        </w:rPr>
        <w:t>易发生事故装</w:t>
      </w:r>
      <w:r>
        <w:rPr>
          <w:spacing w:val="-3"/>
          <w:sz w:val="21"/>
        </w:rPr>
        <w:t>置</w:t>
      </w:r>
      <w:r>
        <w:rPr>
          <w:sz w:val="21"/>
        </w:rPr>
        <w:t>统计一览表</w:t>
      </w:r>
    </w:p>
    <w:p>
      <w:pPr>
        <w:spacing w:after="0"/>
        <w:jc w:val="center"/>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6"/>
        <w:gridCol w:w="3565"/>
        <w:gridCol w:w="3953"/>
      </w:tblGrid>
      <w:tr>
        <w:trPr>
          <w:trHeight w:val="340" w:hRule="atLeast"/>
        </w:trPr>
        <w:tc>
          <w:tcPr>
            <w:tcW w:w="1006" w:type="dxa"/>
            <w:tcBorders>
              <w:bottom w:val="single" w:sz="6" w:space="0" w:color="000000"/>
              <w:right w:val="single" w:sz="6" w:space="0" w:color="000000"/>
            </w:tcBorders>
          </w:tcPr>
          <w:p>
            <w:pPr>
              <w:pStyle w:val="TableParagraph"/>
              <w:spacing w:line="320" w:lineRule="exact"/>
              <w:ind w:left="273" w:right="250"/>
              <w:rPr>
                <w:sz w:val="21"/>
              </w:rPr>
            </w:pPr>
            <w:r>
              <w:rPr>
                <w:sz w:val="21"/>
              </w:rPr>
              <w:t>序号</w:t>
            </w:r>
          </w:p>
        </w:tc>
        <w:tc>
          <w:tcPr>
            <w:tcW w:w="3565" w:type="dxa"/>
            <w:tcBorders>
              <w:left w:val="single" w:sz="6" w:space="0" w:color="000000"/>
              <w:bottom w:val="single" w:sz="6" w:space="0" w:color="000000"/>
              <w:right w:val="single" w:sz="6" w:space="0" w:color="000000"/>
            </w:tcBorders>
          </w:tcPr>
          <w:p>
            <w:pPr>
              <w:pStyle w:val="TableParagraph"/>
              <w:spacing w:line="320" w:lineRule="exact"/>
              <w:ind w:left="1138" w:right="1110"/>
              <w:rPr>
                <w:sz w:val="21"/>
              </w:rPr>
            </w:pPr>
            <w:r>
              <w:rPr>
                <w:sz w:val="21"/>
              </w:rPr>
              <w:t>装置类别</w:t>
            </w:r>
          </w:p>
        </w:tc>
        <w:tc>
          <w:tcPr>
            <w:tcW w:w="3953" w:type="dxa"/>
            <w:tcBorders>
              <w:left w:val="single" w:sz="6" w:space="0" w:color="000000"/>
              <w:bottom w:val="single" w:sz="6" w:space="0" w:color="000000"/>
            </w:tcBorders>
          </w:tcPr>
          <w:p>
            <w:pPr>
              <w:pStyle w:val="TableParagraph"/>
              <w:spacing w:line="320" w:lineRule="exact"/>
              <w:ind w:left="1245" w:right="1210"/>
              <w:rPr>
                <w:sz w:val="21"/>
              </w:rPr>
            </w:pPr>
            <w:r>
              <w:rPr>
                <w:sz w:val="21"/>
              </w:rPr>
              <w:t>所占比例（</w:t>
            </w:r>
            <w:r>
              <w:rPr>
                <w:rFonts w:ascii="Times New Roman" w:eastAsia="Times New Roman"/>
                <w:sz w:val="21"/>
              </w:rPr>
              <w:t>%</w:t>
            </w:r>
            <w:r>
              <w:rPr>
                <w:sz w:val="21"/>
              </w:rPr>
              <w:t>）</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1</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罐区</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16.80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2</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聚乙烯等塑料</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9.50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3</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38" w:right="1110"/>
              <w:rPr>
                <w:sz w:val="21"/>
              </w:rPr>
            </w:pPr>
            <w:r>
              <w:rPr>
                <w:sz w:val="21"/>
              </w:rPr>
              <w:t>乙烯加工</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8.70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4</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38" w:right="1110"/>
              <w:rPr>
                <w:sz w:val="21"/>
              </w:rPr>
            </w:pPr>
            <w:r>
              <w:rPr>
                <w:sz w:val="21"/>
              </w:rPr>
              <w:t>天然气输送</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8.40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5</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乙烯</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7.30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6</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加氢</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7.30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7</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38" w:right="1110"/>
              <w:rPr>
                <w:sz w:val="21"/>
              </w:rPr>
            </w:pPr>
            <w:r>
              <w:rPr>
                <w:sz w:val="21"/>
              </w:rPr>
              <w:t>催化空分</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7.30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8</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烷基化</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6.30</w:t>
            </w:r>
          </w:p>
        </w:tc>
      </w:tr>
      <w:tr>
        <w:trPr>
          <w:trHeight w:val="338"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w w:val="100"/>
                <w:sz w:val="21"/>
              </w:rPr>
              <w:t>9</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140" w:right="1110"/>
              <w:rPr>
                <w:sz w:val="21"/>
              </w:rPr>
            </w:pPr>
            <w:r>
              <w:rPr>
                <w:sz w:val="21"/>
              </w:rPr>
              <w:t>油船</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6.30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7" w:lineRule="exact"/>
              <w:ind w:left="268" w:right="250"/>
              <w:rPr>
                <w:rFonts w:ascii="Times New Roman"/>
                <w:sz w:val="21"/>
              </w:rPr>
            </w:pPr>
            <w:r>
              <w:rPr>
                <w:rFonts w:ascii="Times New Roman"/>
                <w:sz w:val="21"/>
              </w:rPr>
              <w:t>10</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焦化</w:t>
            </w:r>
          </w:p>
        </w:tc>
        <w:tc>
          <w:tcPr>
            <w:tcW w:w="3953" w:type="dxa"/>
            <w:tcBorders>
              <w:top w:val="single" w:sz="6" w:space="0" w:color="000000"/>
              <w:left w:val="single" w:sz="6" w:space="0" w:color="000000"/>
              <w:bottom w:val="single" w:sz="6" w:space="0" w:color="000000"/>
            </w:tcBorders>
          </w:tcPr>
          <w:p>
            <w:pPr>
              <w:pStyle w:val="TableParagraph"/>
              <w:spacing w:line="237" w:lineRule="exact"/>
              <w:ind w:left="1245" w:right="1208"/>
              <w:rPr>
                <w:rFonts w:ascii="Times New Roman"/>
                <w:sz w:val="21"/>
              </w:rPr>
            </w:pPr>
            <w:r>
              <w:rPr>
                <w:rFonts w:ascii="Times New Roman"/>
                <w:sz w:val="21"/>
              </w:rPr>
              <w:t>4.20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7" w:lineRule="exact"/>
              <w:ind w:left="263" w:right="250"/>
              <w:rPr>
                <w:rFonts w:ascii="Times New Roman"/>
                <w:sz w:val="21"/>
              </w:rPr>
            </w:pPr>
            <w:r>
              <w:rPr>
                <w:rFonts w:ascii="Times New Roman"/>
                <w:sz w:val="21"/>
              </w:rPr>
              <w:t>11</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蒸馏</w:t>
            </w:r>
          </w:p>
        </w:tc>
        <w:tc>
          <w:tcPr>
            <w:tcW w:w="3953" w:type="dxa"/>
            <w:tcBorders>
              <w:top w:val="single" w:sz="6" w:space="0" w:color="000000"/>
              <w:left w:val="single" w:sz="6" w:space="0" w:color="000000"/>
              <w:bottom w:val="single" w:sz="6" w:space="0" w:color="000000"/>
            </w:tcBorders>
          </w:tcPr>
          <w:p>
            <w:pPr>
              <w:pStyle w:val="TableParagraph"/>
              <w:spacing w:line="237" w:lineRule="exact"/>
              <w:ind w:left="1245" w:right="1208"/>
              <w:rPr>
                <w:rFonts w:ascii="Times New Roman"/>
                <w:sz w:val="21"/>
              </w:rPr>
            </w:pPr>
            <w:r>
              <w:rPr>
                <w:rFonts w:ascii="Times New Roman"/>
                <w:sz w:val="21"/>
              </w:rPr>
              <w:t>3.16</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7" w:lineRule="exact"/>
              <w:ind w:left="268" w:right="250"/>
              <w:rPr>
                <w:rFonts w:ascii="Times New Roman"/>
                <w:sz w:val="21"/>
              </w:rPr>
            </w:pPr>
            <w:r>
              <w:rPr>
                <w:rFonts w:ascii="Times New Roman"/>
                <w:sz w:val="21"/>
              </w:rPr>
              <w:t>12</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38" w:right="1110"/>
              <w:rPr>
                <w:sz w:val="21"/>
              </w:rPr>
            </w:pPr>
            <w:r>
              <w:rPr>
                <w:sz w:val="21"/>
              </w:rPr>
              <w:t>溶剂脱沥青</w:t>
            </w:r>
          </w:p>
        </w:tc>
        <w:tc>
          <w:tcPr>
            <w:tcW w:w="3953" w:type="dxa"/>
            <w:tcBorders>
              <w:top w:val="single" w:sz="6" w:space="0" w:color="000000"/>
              <w:left w:val="single" w:sz="6" w:space="0" w:color="000000"/>
              <w:bottom w:val="single" w:sz="6" w:space="0" w:color="000000"/>
            </w:tcBorders>
          </w:tcPr>
          <w:p>
            <w:pPr>
              <w:pStyle w:val="TableParagraph"/>
              <w:spacing w:line="237" w:lineRule="exact"/>
              <w:ind w:left="1245" w:right="1208"/>
              <w:rPr>
                <w:rFonts w:ascii="Times New Roman"/>
                <w:sz w:val="21"/>
              </w:rPr>
            </w:pPr>
            <w:r>
              <w:rPr>
                <w:rFonts w:ascii="Times New Roman"/>
                <w:sz w:val="21"/>
              </w:rPr>
              <w:t>3.16</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268" w:right="250"/>
              <w:rPr>
                <w:rFonts w:ascii="Times New Roman"/>
                <w:sz w:val="21"/>
              </w:rPr>
            </w:pPr>
            <w:r>
              <w:rPr>
                <w:rFonts w:ascii="Times New Roman"/>
                <w:sz w:val="21"/>
              </w:rPr>
              <w:t>13</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橡胶</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1.10</w:t>
            </w:r>
          </w:p>
        </w:tc>
      </w:tr>
      <w:tr>
        <w:trPr>
          <w:trHeight w:val="340" w:hRule="atLeast"/>
        </w:trPr>
        <w:tc>
          <w:tcPr>
            <w:tcW w:w="1006" w:type="dxa"/>
            <w:tcBorders>
              <w:top w:val="single" w:sz="6" w:space="0" w:color="000000"/>
              <w:bottom w:val="single" w:sz="6" w:space="0" w:color="000000"/>
              <w:right w:val="single" w:sz="6" w:space="0" w:color="000000"/>
            </w:tcBorders>
          </w:tcPr>
          <w:p>
            <w:pPr>
              <w:pStyle w:val="TableParagraph"/>
              <w:spacing w:line="235" w:lineRule="exact"/>
              <w:ind w:left="268" w:right="250"/>
              <w:rPr>
                <w:rFonts w:ascii="Times New Roman"/>
                <w:sz w:val="21"/>
              </w:rPr>
            </w:pPr>
            <w:r>
              <w:rPr>
                <w:rFonts w:ascii="Times New Roman"/>
                <w:sz w:val="21"/>
              </w:rPr>
              <w:t>14</w:t>
            </w:r>
          </w:p>
        </w:tc>
        <w:tc>
          <w:tcPr>
            <w:tcW w:w="356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0" w:right="1110"/>
              <w:rPr>
                <w:sz w:val="21"/>
              </w:rPr>
            </w:pPr>
            <w:r>
              <w:rPr>
                <w:sz w:val="21"/>
              </w:rPr>
              <w:t>合成氨</w:t>
            </w:r>
          </w:p>
        </w:tc>
        <w:tc>
          <w:tcPr>
            <w:tcW w:w="3953" w:type="dxa"/>
            <w:tcBorders>
              <w:top w:val="single" w:sz="6" w:space="0" w:color="000000"/>
              <w:left w:val="single" w:sz="6" w:space="0" w:color="000000"/>
              <w:bottom w:val="single" w:sz="6" w:space="0" w:color="000000"/>
            </w:tcBorders>
          </w:tcPr>
          <w:p>
            <w:pPr>
              <w:pStyle w:val="TableParagraph"/>
              <w:spacing w:line="235" w:lineRule="exact"/>
              <w:ind w:left="1245" w:right="1208"/>
              <w:rPr>
                <w:rFonts w:ascii="Times New Roman"/>
                <w:sz w:val="21"/>
              </w:rPr>
            </w:pPr>
            <w:r>
              <w:rPr>
                <w:rFonts w:ascii="Times New Roman"/>
                <w:sz w:val="21"/>
              </w:rPr>
              <w:t>1.10</w:t>
            </w:r>
          </w:p>
        </w:tc>
      </w:tr>
      <w:tr>
        <w:trPr>
          <w:trHeight w:val="270" w:hRule="atLeast"/>
        </w:trPr>
        <w:tc>
          <w:tcPr>
            <w:tcW w:w="1006" w:type="dxa"/>
            <w:tcBorders>
              <w:top w:val="single" w:sz="6" w:space="0" w:color="000000"/>
              <w:right w:val="single" w:sz="6" w:space="0" w:color="000000"/>
            </w:tcBorders>
          </w:tcPr>
          <w:p>
            <w:pPr>
              <w:pStyle w:val="TableParagraph"/>
              <w:spacing w:line="235" w:lineRule="exact"/>
              <w:ind w:left="268" w:right="250"/>
              <w:rPr>
                <w:rFonts w:ascii="Times New Roman"/>
                <w:sz w:val="21"/>
              </w:rPr>
            </w:pPr>
            <w:r>
              <w:rPr>
                <w:rFonts w:ascii="Times New Roman"/>
                <w:sz w:val="21"/>
              </w:rPr>
              <w:t>15</w:t>
            </w:r>
          </w:p>
        </w:tc>
        <w:tc>
          <w:tcPr>
            <w:tcW w:w="3565" w:type="dxa"/>
            <w:tcBorders>
              <w:top w:val="single" w:sz="6" w:space="0" w:color="000000"/>
              <w:left w:val="single" w:sz="6" w:space="0" w:color="000000"/>
              <w:right w:val="single" w:sz="6" w:space="0" w:color="000000"/>
            </w:tcBorders>
          </w:tcPr>
          <w:p>
            <w:pPr>
              <w:pStyle w:val="TableParagraph"/>
              <w:spacing w:line="250" w:lineRule="exact"/>
              <w:ind w:left="1140" w:right="1110"/>
              <w:rPr>
                <w:sz w:val="21"/>
              </w:rPr>
            </w:pPr>
            <w:r>
              <w:rPr>
                <w:sz w:val="21"/>
              </w:rPr>
              <w:t>电厂</w:t>
            </w:r>
          </w:p>
        </w:tc>
        <w:tc>
          <w:tcPr>
            <w:tcW w:w="3953" w:type="dxa"/>
            <w:tcBorders>
              <w:top w:val="single" w:sz="6" w:space="0" w:color="000000"/>
              <w:left w:val="single" w:sz="6" w:space="0" w:color="000000"/>
            </w:tcBorders>
          </w:tcPr>
          <w:p>
            <w:pPr>
              <w:pStyle w:val="TableParagraph"/>
              <w:spacing w:line="235" w:lineRule="exact"/>
              <w:ind w:left="1245" w:right="1208"/>
              <w:rPr>
                <w:rFonts w:ascii="Times New Roman"/>
                <w:sz w:val="21"/>
              </w:rPr>
            </w:pPr>
            <w:r>
              <w:rPr>
                <w:rFonts w:ascii="Times New Roman"/>
                <w:sz w:val="21"/>
              </w:rPr>
              <w:t>1.10</w:t>
            </w:r>
          </w:p>
        </w:tc>
      </w:tr>
    </w:tbl>
    <w:p>
      <w:pPr>
        <w:pStyle w:val="BodyText"/>
        <w:spacing w:before="18"/>
        <w:rPr>
          <w:sz w:val="3"/>
        </w:rPr>
      </w:pPr>
    </w:p>
    <w:p>
      <w:pPr>
        <w:tabs>
          <w:tab w:pos="4029" w:val="left" w:leader="none"/>
        </w:tabs>
        <w:spacing w:line="423" w:lineRule="exact" w:before="0"/>
        <w:ind w:left="3117" w:right="0" w:firstLine="0"/>
        <w:jc w:val="left"/>
        <w:rPr>
          <w:sz w:val="21"/>
        </w:rPr>
      </w:pPr>
      <w:r>
        <w:rPr>
          <w:sz w:val="21"/>
        </w:rPr>
        <w:t>表</w:t>
      </w:r>
      <w:r>
        <w:rPr>
          <w:spacing w:val="7"/>
          <w:sz w:val="21"/>
        </w:rPr>
        <w:t> </w:t>
      </w:r>
      <w:r>
        <w:rPr>
          <w:rFonts w:ascii="Times New Roman" w:eastAsia="Times New Roman"/>
          <w:b/>
          <w:sz w:val="21"/>
        </w:rPr>
        <w:t>7.5-3</w:t>
        <w:tab/>
      </w:r>
      <w:r>
        <w:rPr>
          <w:sz w:val="21"/>
        </w:rPr>
        <w:t>事故原因分类</w:t>
      </w:r>
      <w:r>
        <w:rPr>
          <w:spacing w:val="-3"/>
          <w:sz w:val="21"/>
        </w:rPr>
        <w:t>情</w:t>
      </w:r>
      <w:r>
        <w:rPr>
          <w:sz w:val="21"/>
        </w:rPr>
        <w:t>况一览表</w:t>
      </w:r>
    </w:p>
    <w:p>
      <w:pPr>
        <w:pStyle w:val="BodyText"/>
        <w:spacing w:before="20"/>
        <w:rPr>
          <w:sz w:val="2"/>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89"/>
        <w:gridCol w:w="3860"/>
        <w:gridCol w:w="2576"/>
      </w:tblGrid>
      <w:tr>
        <w:trPr>
          <w:trHeight w:val="342" w:hRule="atLeast"/>
        </w:trPr>
        <w:tc>
          <w:tcPr>
            <w:tcW w:w="2089" w:type="dxa"/>
            <w:tcBorders>
              <w:bottom w:val="single" w:sz="6" w:space="0" w:color="000000"/>
              <w:right w:val="single" w:sz="6" w:space="0" w:color="000000"/>
            </w:tcBorders>
          </w:tcPr>
          <w:p>
            <w:pPr>
              <w:pStyle w:val="TableParagraph"/>
              <w:spacing w:line="322" w:lineRule="exact"/>
              <w:ind w:left="813" w:right="793"/>
              <w:rPr>
                <w:sz w:val="21"/>
              </w:rPr>
            </w:pPr>
            <w:r>
              <w:rPr>
                <w:sz w:val="21"/>
              </w:rPr>
              <w:t>序号</w:t>
            </w:r>
          </w:p>
        </w:tc>
        <w:tc>
          <w:tcPr>
            <w:tcW w:w="3860" w:type="dxa"/>
            <w:tcBorders>
              <w:left w:val="single" w:sz="6" w:space="0" w:color="000000"/>
              <w:bottom w:val="single" w:sz="6" w:space="0" w:color="000000"/>
              <w:right w:val="single" w:sz="6" w:space="0" w:color="000000"/>
            </w:tcBorders>
          </w:tcPr>
          <w:p>
            <w:pPr>
              <w:pStyle w:val="TableParagraph"/>
              <w:spacing w:line="322" w:lineRule="exact"/>
              <w:ind w:left="1181" w:right="1154"/>
              <w:rPr>
                <w:sz w:val="21"/>
              </w:rPr>
            </w:pPr>
            <w:r>
              <w:rPr>
                <w:sz w:val="21"/>
              </w:rPr>
              <w:t>事故原因分类</w:t>
            </w:r>
          </w:p>
        </w:tc>
        <w:tc>
          <w:tcPr>
            <w:tcW w:w="2576" w:type="dxa"/>
            <w:tcBorders>
              <w:left w:val="single" w:sz="6" w:space="0" w:color="000000"/>
              <w:bottom w:val="single" w:sz="6" w:space="0" w:color="000000"/>
            </w:tcBorders>
          </w:tcPr>
          <w:p>
            <w:pPr>
              <w:pStyle w:val="TableParagraph"/>
              <w:spacing w:line="322" w:lineRule="exact"/>
              <w:ind w:left="556" w:right="522"/>
              <w:rPr>
                <w:sz w:val="21"/>
              </w:rPr>
            </w:pPr>
            <w:r>
              <w:rPr>
                <w:sz w:val="21"/>
              </w:rPr>
              <w:t>所占比例（</w:t>
            </w:r>
            <w:r>
              <w:rPr>
                <w:rFonts w:ascii="Times New Roman" w:eastAsia="Times New Roman"/>
                <w:sz w:val="21"/>
              </w:rPr>
              <w:t>%</w:t>
            </w:r>
            <w:r>
              <w:rPr>
                <w:sz w:val="21"/>
              </w:rPr>
              <w:t>）</w:t>
            </w:r>
          </w:p>
        </w:tc>
      </w:tr>
      <w:tr>
        <w:trPr>
          <w:trHeight w:val="340" w:hRule="atLeast"/>
        </w:trPr>
        <w:tc>
          <w:tcPr>
            <w:tcW w:w="2089" w:type="dxa"/>
            <w:tcBorders>
              <w:top w:val="single" w:sz="6" w:space="0" w:color="000000"/>
              <w:bottom w:val="single" w:sz="6" w:space="0" w:color="000000"/>
              <w:right w:val="single" w:sz="6" w:space="0" w:color="000000"/>
            </w:tcBorders>
          </w:tcPr>
          <w:p>
            <w:pPr>
              <w:pStyle w:val="TableParagraph"/>
              <w:spacing w:before="41"/>
              <w:ind w:left="20"/>
              <w:rPr>
                <w:rFonts w:ascii="Times New Roman"/>
                <w:sz w:val="21"/>
              </w:rPr>
            </w:pPr>
            <w:r>
              <w:rPr>
                <w:rFonts w:ascii="Times New Roman"/>
                <w:w w:val="100"/>
                <w:sz w:val="21"/>
              </w:rPr>
              <w:t>1</w:t>
            </w:r>
          </w:p>
        </w:tc>
        <w:tc>
          <w:tcPr>
            <w:tcW w:w="386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181" w:right="1154"/>
              <w:rPr>
                <w:sz w:val="21"/>
              </w:rPr>
            </w:pPr>
            <w:r>
              <w:rPr>
                <w:sz w:val="21"/>
              </w:rPr>
              <w:t>阀门管线泄漏</w:t>
            </w:r>
          </w:p>
        </w:tc>
        <w:tc>
          <w:tcPr>
            <w:tcW w:w="2576" w:type="dxa"/>
            <w:tcBorders>
              <w:top w:val="single" w:sz="6" w:space="0" w:color="000000"/>
              <w:left w:val="single" w:sz="6" w:space="0" w:color="000000"/>
              <w:bottom w:val="single" w:sz="6" w:space="0" w:color="000000"/>
            </w:tcBorders>
          </w:tcPr>
          <w:p>
            <w:pPr>
              <w:pStyle w:val="TableParagraph"/>
              <w:spacing w:before="41"/>
              <w:ind w:left="554" w:right="522"/>
              <w:rPr>
                <w:rFonts w:ascii="Times New Roman"/>
                <w:sz w:val="21"/>
              </w:rPr>
            </w:pPr>
            <w:r>
              <w:rPr>
                <w:rFonts w:ascii="Times New Roman"/>
                <w:sz w:val="21"/>
              </w:rPr>
              <w:t>35.1</w:t>
            </w:r>
          </w:p>
        </w:tc>
      </w:tr>
      <w:tr>
        <w:trPr>
          <w:trHeight w:val="337" w:hRule="atLeast"/>
        </w:trPr>
        <w:tc>
          <w:tcPr>
            <w:tcW w:w="2089" w:type="dxa"/>
            <w:tcBorders>
              <w:top w:val="single" w:sz="6" w:space="0" w:color="000000"/>
              <w:bottom w:val="single" w:sz="6" w:space="0" w:color="000000"/>
              <w:right w:val="single" w:sz="6" w:space="0" w:color="000000"/>
            </w:tcBorders>
          </w:tcPr>
          <w:p>
            <w:pPr>
              <w:pStyle w:val="TableParagraph"/>
              <w:spacing w:before="41"/>
              <w:ind w:left="20"/>
              <w:rPr>
                <w:rFonts w:ascii="Times New Roman"/>
                <w:sz w:val="21"/>
              </w:rPr>
            </w:pPr>
            <w:r>
              <w:rPr>
                <w:rFonts w:ascii="Times New Roman"/>
                <w:w w:val="100"/>
                <w:sz w:val="21"/>
              </w:rPr>
              <w:t>2</w:t>
            </w:r>
          </w:p>
        </w:tc>
        <w:tc>
          <w:tcPr>
            <w:tcW w:w="386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181" w:right="1152"/>
              <w:rPr>
                <w:sz w:val="21"/>
              </w:rPr>
            </w:pPr>
            <w:r>
              <w:rPr>
                <w:sz w:val="21"/>
              </w:rPr>
              <w:t>泵设备故障</w:t>
            </w:r>
          </w:p>
        </w:tc>
        <w:tc>
          <w:tcPr>
            <w:tcW w:w="2576" w:type="dxa"/>
            <w:tcBorders>
              <w:top w:val="single" w:sz="6" w:space="0" w:color="000000"/>
              <w:left w:val="single" w:sz="6" w:space="0" w:color="000000"/>
              <w:bottom w:val="single" w:sz="6" w:space="0" w:color="000000"/>
            </w:tcBorders>
          </w:tcPr>
          <w:p>
            <w:pPr>
              <w:pStyle w:val="TableParagraph"/>
              <w:spacing w:before="41"/>
              <w:ind w:left="554" w:right="522"/>
              <w:rPr>
                <w:rFonts w:ascii="Times New Roman"/>
                <w:sz w:val="21"/>
              </w:rPr>
            </w:pPr>
            <w:r>
              <w:rPr>
                <w:rFonts w:ascii="Times New Roman"/>
                <w:sz w:val="21"/>
              </w:rPr>
              <w:t>18.2</w:t>
            </w:r>
          </w:p>
        </w:tc>
      </w:tr>
      <w:tr>
        <w:trPr>
          <w:trHeight w:val="340" w:hRule="atLeast"/>
        </w:trPr>
        <w:tc>
          <w:tcPr>
            <w:tcW w:w="2089" w:type="dxa"/>
            <w:tcBorders>
              <w:top w:val="single" w:sz="6" w:space="0" w:color="000000"/>
              <w:bottom w:val="single" w:sz="6" w:space="0" w:color="000000"/>
              <w:right w:val="single" w:sz="6" w:space="0" w:color="000000"/>
            </w:tcBorders>
          </w:tcPr>
          <w:p>
            <w:pPr>
              <w:pStyle w:val="TableParagraph"/>
              <w:spacing w:before="43"/>
              <w:ind w:left="20"/>
              <w:rPr>
                <w:rFonts w:ascii="Times New Roman"/>
                <w:sz w:val="21"/>
              </w:rPr>
            </w:pPr>
            <w:r>
              <w:rPr>
                <w:rFonts w:ascii="Times New Roman"/>
                <w:w w:val="100"/>
                <w:sz w:val="21"/>
              </w:rPr>
              <w:t>3</w:t>
            </w:r>
          </w:p>
        </w:tc>
        <w:tc>
          <w:tcPr>
            <w:tcW w:w="38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81" w:right="1152"/>
              <w:rPr>
                <w:sz w:val="21"/>
              </w:rPr>
            </w:pPr>
            <w:r>
              <w:rPr>
                <w:sz w:val="21"/>
              </w:rPr>
              <w:t>操作失误</w:t>
            </w:r>
          </w:p>
        </w:tc>
        <w:tc>
          <w:tcPr>
            <w:tcW w:w="2576" w:type="dxa"/>
            <w:tcBorders>
              <w:top w:val="single" w:sz="6" w:space="0" w:color="000000"/>
              <w:left w:val="single" w:sz="6" w:space="0" w:color="000000"/>
              <w:bottom w:val="single" w:sz="6" w:space="0" w:color="000000"/>
            </w:tcBorders>
          </w:tcPr>
          <w:p>
            <w:pPr>
              <w:pStyle w:val="TableParagraph"/>
              <w:spacing w:before="43"/>
              <w:ind w:left="554" w:right="522"/>
              <w:rPr>
                <w:rFonts w:ascii="Times New Roman"/>
                <w:sz w:val="21"/>
              </w:rPr>
            </w:pPr>
            <w:r>
              <w:rPr>
                <w:rFonts w:ascii="Times New Roman"/>
                <w:sz w:val="21"/>
              </w:rPr>
              <w:t>15.6</w:t>
            </w:r>
          </w:p>
        </w:tc>
      </w:tr>
      <w:tr>
        <w:trPr>
          <w:trHeight w:val="340" w:hRule="atLeast"/>
        </w:trPr>
        <w:tc>
          <w:tcPr>
            <w:tcW w:w="2089" w:type="dxa"/>
            <w:tcBorders>
              <w:top w:val="single" w:sz="6" w:space="0" w:color="000000"/>
              <w:bottom w:val="single" w:sz="6" w:space="0" w:color="000000"/>
              <w:right w:val="single" w:sz="6" w:space="0" w:color="000000"/>
            </w:tcBorders>
          </w:tcPr>
          <w:p>
            <w:pPr>
              <w:pStyle w:val="TableParagraph"/>
              <w:spacing w:before="43"/>
              <w:ind w:left="20"/>
              <w:rPr>
                <w:rFonts w:ascii="Times New Roman"/>
                <w:sz w:val="21"/>
              </w:rPr>
            </w:pPr>
            <w:r>
              <w:rPr>
                <w:rFonts w:ascii="Times New Roman"/>
                <w:w w:val="100"/>
                <w:sz w:val="21"/>
              </w:rPr>
              <w:t>4</w:t>
            </w:r>
          </w:p>
        </w:tc>
        <w:tc>
          <w:tcPr>
            <w:tcW w:w="38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81" w:right="1154"/>
              <w:rPr>
                <w:sz w:val="21"/>
              </w:rPr>
            </w:pPr>
            <w:r>
              <w:rPr>
                <w:sz w:val="21"/>
              </w:rPr>
              <w:t>仪表、电器失灵</w:t>
            </w:r>
          </w:p>
        </w:tc>
        <w:tc>
          <w:tcPr>
            <w:tcW w:w="2576" w:type="dxa"/>
            <w:tcBorders>
              <w:top w:val="single" w:sz="6" w:space="0" w:color="000000"/>
              <w:left w:val="single" w:sz="6" w:space="0" w:color="000000"/>
              <w:bottom w:val="single" w:sz="6" w:space="0" w:color="000000"/>
            </w:tcBorders>
          </w:tcPr>
          <w:p>
            <w:pPr>
              <w:pStyle w:val="TableParagraph"/>
              <w:spacing w:before="43"/>
              <w:ind w:left="554" w:right="522"/>
              <w:rPr>
                <w:rFonts w:ascii="Times New Roman"/>
                <w:sz w:val="21"/>
              </w:rPr>
            </w:pPr>
            <w:r>
              <w:rPr>
                <w:rFonts w:ascii="Times New Roman"/>
                <w:sz w:val="21"/>
              </w:rPr>
              <w:t>12.4</w:t>
            </w:r>
          </w:p>
        </w:tc>
      </w:tr>
      <w:tr>
        <w:trPr>
          <w:trHeight w:val="340" w:hRule="atLeast"/>
        </w:trPr>
        <w:tc>
          <w:tcPr>
            <w:tcW w:w="2089" w:type="dxa"/>
            <w:tcBorders>
              <w:top w:val="single" w:sz="6" w:space="0" w:color="000000"/>
              <w:bottom w:val="single" w:sz="6" w:space="0" w:color="000000"/>
              <w:right w:val="single" w:sz="6" w:space="0" w:color="000000"/>
            </w:tcBorders>
          </w:tcPr>
          <w:p>
            <w:pPr>
              <w:pStyle w:val="TableParagraph"/>
              <w:spacing w:before="43"/>
              <w:ind w:left="20"/>
              <w:rPr>
                <w:rFonts w:ascii="Times New Roman"/>
                <w:sz w:val="21"/>
              </w:rPr>
            </w:pPr>
            <w:r>
              <w:rPr>
                <w:rFonts w:ascii="Times New Roman"/>
                <w:w w:val="100"/>
                <w:sz w:val="21"/>
              </w:rPr>
              <w:t>5</w:t>
            </w:r>
          </w:p>
        </w:tc>
        <w:tc>
          <w:tcPr>
            <w:tcW w:w="38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81" w:right="1154"/>
              <w:rPr>
                <w:sz w:val="21"/>
              </w:rPr>
            </w:pPr>
            <w:r>
              <w:rPr>
                <w:sz w:val="21"/>
              </w:rPr>
              <w:t>突沸、反应失控</w:t>
            </w:r>
          </w:p>
        </w:tc>
        <w:tc>
          <w:tcPr>
            <w:tcW w:w="2576" w:type="dxa"/>
            <w:tcBorders>
              <w:top w:val="single" w:sz="6" w:space="0" w:color="000000"/>
              <w:left w:val="single" w:sz="6" w:space="0" w:color="000000"/>
              <w:bottom w:val="single" w:sz="6" w:space="0" w:color="000000"/>
            </w:tcBorders>
          </w:tcPr>
          <w:p>
            <w:pPr>
              <w:pStyle w:val="TableParagraph"/>
              <w:spacing w:before="43"/>
              <w:ind w:left="554" w:right="522"/>
              <w:rPr>
                <w:rFonts w:ascii="Times New Roman"/>
                <w:sz w:val="21"/>
              </w:rPr>
            </w:pPr>
            <w:r>
              <w:rPr>
                <w:rFonts w:ascii="Times New Roman"/>
                <w:sz w:val="21"/>
              </w:rPr>
              <w:t>10.4</w:t>
            </w:r>
          </w:p>
        </w:tc>
      </w:tr>
      <w:tr>
        <w:trPr>
          <w:trHeight w:val="339" w:hRule="atLeast"/>
        </w:trPr>
        <w:tc>
          <w:tcPr>
            <w:tcW w:w="2089" w:type="dxa"/>
            <w:tcBorders>
              <w:top w:val="single" w:sz="6" w:space="0" w:color="000000"/>
              <w:right w:val="single" w:sz="6" w:space="0" w:color="000000"/>
            </w:tcBorders>
          </w:tcPr>
          <w:p>
            <w:pPr>
              <w:pStyle w:val="TableParagraph"/>
              <w:spacing w:before="43"/>
              <w:ind w:left="20"/>
              <w:rPr>
                <w:rFonts w:ascii="Times New Roman"/>
                <w:sz w:val="21"/>
              </w:rPr>
            </w:pPr>
            <w:r>
              <w:rPr>
                <w:rFonts w:ascii="Times New Roman"/>
                <w:w w:val="100"/>
                <w:sz w:val="21"/>
              </w:rPr>
              <w:t>6</w:t>
            </w:r>
          </w:p>
        </w:tc>
        <w:tc>
          <w:tcPr>
            <w:tcW w:w="3860" w:type="dxa"/>
            <w:tcBorders>
              <w:top w:val="single" w:sz="6" w:space="0" w:color="000000"/>
              <w:left w:val="single" w:sz="6" w:space="0" w:color="000000"/>
              <w:right w:val="single" w:sz="6" w:space="0" w:color="000000"/>
            </w:tcBorders>
          </w:tcPr>
          <w:p>
            <w:pPr>
              <w:pStyle w:val="TableParagraph"/>
              <w:spacing w:line="320" w:lineRule="exact"/>
              <w:ind w:left="1181" w:right="1154"/>
              <w:rPr>
                <w:sz w:val="21"/>
              </w:rPr>
            </w:pPr>
            <w:r>
              <w:rPr>
                <w:sz w:val="21"/>
              </w:rPr>
              <w:t>雷击、自然灾害</w:t>
            </w:r>
          </w:p>
        </w:tc>
        <w:tc>
          <w:tcPr>
            <w:tcW w:w="2576" w:type="dxa"/>
            <w:tcBorders>
              <w:top w:val="single" w:sz="6" w:space="0" w:color="000000"/>
              <w:left w:val="single" w:sz="6" w:space="0" w:color="000000"/>
            </w:tcBorders>
          </w:tcPr>
          <w:p>
            <w:pPr>
              <w:pStyle w:val="TableParagraph"/>
              <w:spacing w:before="43"/>
              <w:ind w:left="554" w:right="522"/>
              <w:rPr>
                <w:rFonts w:ascii="Times New Roman"/>
                <w:sz w:val="21"/>
              </w:rPr>
            </w:pPr>
            <w:r>
              <w:rPr>
                <w:rFonts w:ascii="Times New Roman"/>
                <w:sz w:val="21"/>
              </w:rPr>
              <w:t>8.2</w:t>
            </w:r>
          </w:p>
        </w:tc>
      </w:tr>
    </w:tbl>
    <w:p>
      <w:pPr>
        <w:pStyle w:val="BodyText"/>
        <w:spacing w:line="220" w:lineRule="auto" w:before="71"/>
        <w:ind w:left="578" w:right="751" w:firstLine="479"/>
        <w:jc w:val="both"/>
      </w:pPr>
      <w:r>
        <w:rPr>
          <w:spacing w:val="7"/>
        </w:rPr>
        <w:t>由表 </w:t>
      </w:r>
      <w:r>
        <w:rPr>
          <w:rFonts w:ascii="Times New Roman" w:eastAsia="Times New Roman"/>
        </w:rPr>
        <w:t>7.5-3 </w:t>
      </w:r>
      <w:r>
        <w:rPr>
          <w:spacing w:val="1"/>
        </w:rPr>
        <w:t>可见，罐区事故率最高，达 </w:t>
      </w:r>
      <w:r>
        <w:rPr>
          <w:rFonts w:ascii="Times New Roman" w:eastAsia="Times New Roman"/>
        </w:rPr>
        <w:t>16.8%</w:t>
      </w:r>
      <w:r>
        <w:rPr/>
        <w:t>，分析国内外石油化工装置事</w:t>
      </w:r>
      <w:r>
        <w:rPr>
          <w:spacing w:val="-3"/>
        </w:rPr>
        <w:t>故发生的原因，可以看出事故的起因多为阀门管线泄漏，占 </w:t>
      </w:r>
      <w:r>
        <w:rPr>
          <w:rFonts w:ascii="Times New Roman" w:eastAsia="Times New Roman"/>
          <w:spacing w:val="-3"/>
        </w:rPr>
        <w:t>35.1%</w:t>
      </w:r>
      <w:r>
        <w:rPr>
          <w:spacing w:val="-4"/>
        </w:rPr>
        <w:t>，此外，泵设备故障和操作不当也能酿成重大事故，应杜绝违章操作和误操作。</w:t>
      </w:r>
    </w:p>
    <w:p>
      <w:pPr>
        <w:pStyle w:val="BodyText"/>
        <w:spacing w:line="488" w:lineRule="exact" w:before="47"/>
        <w:ind w:left="1058"/>
      </w:pPr>
      <w:r>
        <w:rPr>
          <w:rFonts w:ascii="Times New Roman" w:eastAsia="Times New Roman"/>
        </w:rPr>
        <w:t>4</w:t>
      </w:r>
      <w:r>
        <w:rPr/>
        <w:t>、最大可信事故及概率</w:t>
      </w:r>
    </w:p>
    <w:p>
      <w:pPr>
        <w:pStyle w:val="BodyText"/>
        <w:spacing w:line="468" w:lineRule="exact"/>
        <w:ind w:left="1058"/>
      </w:pPr>
      <w:r>
        <w:rPr/>
        <w:t>（</w:t>
      </w:r>
      <w:r>
        <w:rPr>
          <w:rFonts w:ascii="Times New Roman" w:eastAsia="Times New Roman"/>
        </w:rPr>
        <w:t>1</w:t>
      </w:r>
      <w:r>
        <w:rPr/>
        <w:t>）最大可信事故</w:t>
      </w:r>
    </w:p>
    <w:p>
      <w:pPr>
        <w:pStyle w:val="BodyText"/>
        <w:spacing w:line="220" w:lineRule="auto" w:before="8"/>
        <w:ind w:left="578" w:right="672" w:firstLine="479"/>
      </w:pPr>
      <w:r>
        <w:rPr/>
        <w:t>根据环境风险识别结果，本次环评判定最大可信事故为：项目罐区盐酸、液体仓库甲醛泄漏导致盐酸、甲醛的挥发扩散事故。</w:t>
      </w:r>
    </w:p>
    <w:p>
      <w:pPr>
        <w:pStyle w:val="BodyText"/>
        <w:spacing w:line="460" w:lineRule="exact"/>
        <w:ind w:left="1058"/>
      </w:pPr>
      <w:r>
        <w:rPr/>
        <w:t>（</w:t>
      </w:r>
      <w:r>
        <w:rPr>
          <w:rFonts w:ascii="Times New Roman" w:eastAsia="Times New Roman"/>
        </w:rPr>
        <w:t>2</w:t>
      </w:r>
      <w:r>
        <w:rPr/>
        <w:t>）事故概率</w:t>
      </w:r>
    </w:p>
    <w:p>
      <w:pPr>
        <w:pStyle w:val="BodyText"/>
        <w:spacing w:line="220" w:lineRule="auto" w:before="8"/>
        <w:ind w:left="578" w:right="672" w:firstLine="479"/>
      </w:pPr>
      <w:r>
        <w:rPr/>
        <w:t>事故概率可以通过事故树分析，确定顶上事件后用概率计算法求得，也可以通过同类装置事故调查给出概率统计值，具体见表 </w:t>
      </w:r>
      <w:r>
        <w:rPr>
          <w:rFonts w:ascii="Times New Roman" w:eastAsia="Times New Roman"/>
        </w:rPr>
        <w:t>7.5-4</w:t>
      </w:r>
      <w:r>
        <w:rPr/>
        <w:t>。</w:t>
      </w:r>
    </w:p>
    <w:p>
      <w:pPr>
        <w:spacing w:after="0" w:line="220" w:lineRule="auto"/>
        <w:sectPr>
          <w:pgSz w:w="11910" w:h="16840"/>
          <w:pgMar w:header="877" w:footer="973" w:top="1340" w:bottom="1160" w:left="1220" w:right="1040"/>
        </w:sectPr>
      </w:pPr>
    </w:p>
    <w:p>
      <w:pPr>
        <w:tabs>
          <w:tab w:pos="4240" w:val="left" w:leader="none"/>
        </w:tabs>
        <w:spacing w:line="430" w:lineRule="exact" w:before="0"/>
        <w:ind w:left="3117" w:right="0" w:firstLine="0"/>
        <w:jc w:val="left"/>
        <w:rPr>
          <w:sz w:val="21"/>
        </w:rPr>
      </w:pPr>
      <w:r>
        <w:rPr>
          <w:sz w:val="21"/>
        </w:rPr>
        <w:t>表</w:t>
      </w:r>
      <w:r>
        <w:rPr>
          <w:spacing w:val="7"/>
          <w:sz w:val="21"/>
        </w:rPr>
        <w:t> </w:t>
      </w:r>
      <w:r>
        <w:rPr>
          <w:rFonts w:ascii="Times New Roman" w:eastAsia="Times New Roman"/>
          <w:b/>
          <w:sz w:val="21"/>
        </w:rPr>
        <w:t>7.5-4</w:t>
        <w:tab/>
      </w:r>
      <w:r>
        <w:rPr>
          <w:sz w:val="21"/>
        </w:rPr>
        <w:t>项目最大可</w:t>
      </w:r>
      <w:r>
        <w:rPr>
          <w:spacing w:val="-3"/>
          <w:sz w:val="21"/>
        </w:rPr>
        <w:t>信</w:t>
      </w:r>
      <w:r>
        <w:rPr>
          <w:sz w:val="21"/>
        </w:rPr>
        <w:t>事故概率</w:t>
      </w:r>
    </w:p>
    <w:p>
      <w:pPr>
        <w:pStyle w:val="BodyText"/>
        <w:spacing w:before="20"/>
        <w:rPr>
          <w:sz w:val="2"/>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1621"/>
        <w:gridCol w:w="1080"/>
        <w:gridCol w:w="2052"/>
        <w:gridCol w:w="1548"/>
        <w:gridCol w:w="1394"/>
      </w:tblGrid>
      <w:tr>
        <w:trPr>
          <w:trHeight w:val="272" w:hRule="atLeast"/>
        </w:trPr>
        <w:tc>
          <w:tcPr>
            <w:tcW w:w="828" w:type="dxa"/>
            <w:tcBorders>
              <w:bottom w:val="single" w:sz="6" w:space="0" w:color="000000"/>
              <w:right w:val="single" w:sz="6" w:space="0" w:color="000000"/>
            </w:tcBorders>
          </w:tcPr>
          <w:p>
            <w:pPr>
              <w:pStyle w:val="TableParagraph"/>
              <w:spacing w:line="253" w:lineRule="exact"/>
              <w:ind w:left="184" w:right="161"/>
              <w:rPr>
                <w:sz w:val="21"/>
              </w:rPr>
            </w:pPr>
            <w:r>
              <w:rPr>
                <w:sz w:val="21"/>
              </w:rPr>
              <w:t>序号</w:t>
            </w:r>
          </w:p>
        </w:tc>
        <w:tc>
          <w:tcPr>
            <w:tcW w:w="1621" w:type="dxa"/>
            <w:tcBorders>
              <w:left w:val="single" w:sz="6" w:space="0" w:color="000000"/>
              <w:bottom w:val="single" w:sz="6" w:space="0" w:color="000000"/>
              <w:right w:val="single" w:sz="6" w:space="0" w:color="000000"/>
            </w:tcBorders>
          </w:tcPr>
          <w:p>
            <w:pPr>
              <w:pStyle w:val="TableParagraph"/>
              <w:spacing w:line="253" w:lineRule="exact"/>
              <w:ind w:left="271" w:right="244"/>
              <w:rPr>
                <w:sz w:val="21"/>
              </w:rPr>
            </w:pPr>
            <w:r>
              <w:rPr>
                <w:sz w:val="21"/>
              </w:rPr>
              <w:t>装置或设备</w:t>
            </w:r>
          </w:p>
        </w:tc>
        <w:tc>
          <w:tcPr>
            <w:tcW w:w="1080" w:type="dxa"/>
            <w:tcBorders>
              <w:left w:val="single" w:sz="6" w:space="0" w:color="000000"/>
              <w:bottom w:val="single" w:sz="6" w:space="0" w:color="000000"/>
              <w:right w:val="single" w:sz="6" w:space="0" w:color="000000"/>
            </w:tcBorders>
          </w:tcPr>
          <w:p>
            <w:pPr>
              <w:pStyle w:val="TableParagraph"/>
              <w:spacing w:line="253" w:lineRule="exact"/>
              <w:ind w:left="30"/>
              <w:rPr>
                <w:sz w:val="21"/>
              </w:rPr>
            </w:pPr>
            <w:r>
              <w:rPr>
                <w:sz w:val="21"/>
              </w:rPr>
              <w:t>危险因子</w:t>
            </w:r>
          </w:p>
        </w:tc>
        <w:tc>
          <w:tcPr>
            <w:tcW w:w="2052" w:type="dxa"/>
            <w:tcBorders>
              <w:left w:val="single" w:sz="6" w:space="0" w:color="000000"/>
              <w:bottom w:val="single" w:sz="6" w:space="0" w:color="000000"/>
              <w:right w:val="single" w:sz="6" w:space="0" w:color="000000"/>
            </w:tcBorders>
          </w:tcPr>
          <w:p>
            <w:pPr>
              <w:pStyle w:val="TableParagraph"/>
              <w:spacing w:line="253" w:lineRule="exact"/>
              <w:ind w:left="170" w:right="144"/>
              <w:rPr>
                <w:sz w:val="21"/>
              </w:rPr>
            </w:pPr>
            <w:r>
              <w:rPr>
                <w:sz w:val="21"/>
              </w:rPr>
              <w:t>参数</w:t>
            </w:r>
          </w:p>
        </w:tc>
        <w:tc>
          <w:tcPr>
            <w:tcW w:w="1548" w:type="dxa"/>
            <w:tcBorders>
              <w:left w:val="single" w:sz="6" w:space="0" w:color="000000"/>
              <w:bottom w:val="single" w:sz="6" w:space="0" w:color="000000"/>
              <w:right w:val="single" w:sz="6" w:space="0" w:color="000000"/>
            </w:tcBorders>
          </w:tcPr>
          <w:p>
            <w:pPr>
              <w:pStyle w:val="TableParagraph"/>
              <w:spacing w:line="253" w:lineRule="exact"/>
              <w:ind w:left="122" w:right="96"/>
              <w:rPr>
                <w:sz w:val="21"/>
              </w:rPr>
            </w:pPr>
            <w:r>
              <w:rPr>
                <w:sz w:val="21"/>
              </w:rPr>
              <w:t>概率</w:t>
            </w:r>
          </w:p>
        </w:tc>
        <w:tc>
          <w:tcPr>
            <w:tcW w:w="1394" w:type="dxa"/>
            <w:tcBorders>
              <w:left w:val="single" w:sz="6" w:space="0" w:color="000000"/>
              <w:bottom w:val="single" w:sz="6" w:space="0" w:color="000000"/>
            </w:tcBorders>
          </w:tcPr>
          <w:p>
            <w:pPr>
              <w:pStyle w:val="TableParagraph"/>
              <w:spacing w:line="253" w:lineRule="exact"/>
              <w:ind w:left="283"/>
              <w:jc w:val="left"/>
              <w:rPr>
                <w:sz w:val="21"/>
              </w:rPr>
            </w:pPr>
            <w:r>
              <w:rPr>
                <w:sz w:val="21"/>
              </w:rPr>
              <w:t>数据来源</w:t>
            </w:r>
          </w:p>
        </w:tc>
      </w:tr>
      <w:tr>
        <w:trPr>
          <w:trHeight w:val="265" w:hRule="atLeast"/>
        </w:trPr>
        <w:tc>
          <w:tcPr>
            <w:tcW w:w="828" w:type="dxa"/>
            <w:tcBorders>
              <w:top w:val="single" w:sz="6" w:space="0" w:color="000000"/>
              <w:bottom w:val="single" w:sz="6" w:space="0" w:color="000000"/>
              <w:right w:val="single" w:sz="6" w:space="0" w:color="000000"/>
            </w:tcBorders>
          </w:tcPr>
          <w:p>
            <w:pPr>
              <w:pStyle w:val="TableParagraph"/>
              <w:spacing w:line="235" w:lineRule="exact" w:before="10"/>
              <w:ind w:left="18"/>
              <w:rPr>
                <w:rFonts w:ascii="Times New Roman"/>
                <w:sz w:val="21"/>
              </w:rPr>
            </w:pPr>
            <w:r>
              <w:rPr>
                <w:rFonts w:ascii="Times New Roman"/>
                <w:w w:val="100"/>
                <w:sz w:val="21"/>
              </w:rPr>
              <w:t>1</w:t>
            </w:r>
          </w:p>
        </w:tc>
        <w:tc>
          <w:tcPr>
            <w:tcW w:w="1621"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271" w:right="244"/>
              <w:rPr>
                <w:sz w:val="21"/>
              </w:rPr>
            </w:pPr>
            <w:r>
              <w:rPr>
                <w:sz w:val="21"/>
              </w:rPr>
              <w:t>盐酸储罐</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27"/>
              <w:rPr>
                <w:sz w:val="21"/>
              </w:rPr>
            </w:pPr>
            <w:r>
              <w:rPr>
                <w:sz w:val="21"/>
              </w:rPr>
              <w:t>氯化氢</w:t>
            </w:r>
          </w:p>
        </w:tc>
        <w:tc>
          <w:tcPr>
            <w:tcW w:w="2052"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172" w:right="144"/>
              <w:rPr>
                <w:sz w:val="21"/>
              </w:rPr>
            </w:pPr>
            <w:r>
              <w:rPr>
                <w:sz w:val="21"/>
              </w:rPr>
              <w:t>拱顶、常温、常压</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122" w:right="96"/>
              <w:rPr>
                <w:sz w:val="21"/>
              </w:rPr>
            </w:pPr>
            <w:r>
              <w:rPr>
                <w:rFonts w:ascii="Times New Roman" w:hAnsi="Times New Roman" w:eastAsia="Times New Roman"/>
                <w:sz w:val="21"/>
              </w:rPr>
              <w:t>5.9×10 </w:t>
            </w:r>
            <w:r>
              <w:rPr>
                <w:rFonts w:ascii="Times New Roman" w:hAnsi="Times New Roman" w:eastAsia="Times New Roman"/>
                <w:position w:val="7"/>
                <w:sz w:val="14"/>
              </w:rPr>
              <w:t>-5 </w:t>
            </w:r>
            <w:r>
              <w:rPr>
                <w:sz w:val="21"/>
              </w:rPr>
              <w:t>次</w:t>
            </w:r>
            <w:r>
              <w:rPr>
                <w:rFonts w:ascii="Times New Roman" w:hAnsi="Times New Roman" w:eastAsia="Times New Roman"/>
                <w:sz w:val="21"/>
              </w:rPr>
              <w:t>/</w:t>
            </w:r>
            <w:r>
              <w:rPr>
                <w:sz w:val="21"/>
              </w:rPr>
              <w:t>年</w:t>
            </w:r>
          </w:p>
        </w:tc>
        <w:tc>
          <w:tcPr>
            <w:tcW w:w="1394" w:type="dxa"/>
            <w:vMerge w:val="restart"/>
            <w:tcBorders>
              <w:top w:val="single" w:sz="6" w:space="0" w:color="000000"/>
              <w:left w:val="single" w:sz="6" w:space="0" w:color="000000"/>
            </w:tcBorders>
          </w:tcPr>
          <w:p>
            <w:pPr>
              <w:pStyle w:val="TableParagraph"/>
              <w:spacing w:before="44"/>
              <w:ind w:left="283"/>
              <w:jc w:val="left"/>
              <w:rPr>
                <w:sz w:val="21"/>
              </w:rPr>
            </w:pPr>
            <w:r>
              <w:rPr>
                <w:sz w:val="21"/>
              </w:rPr>
              <w:t>软件预测</w:t>
            </w:r>
          </w:p>
        </w:tc>
      </w:tr>
      <w:tr>
        <w:trPr>
          <w:trHeight w:val="262" w:hRule="atLeast"/>
        </w:trPr>
        <w:tc>
          <w:tcPr>
            <w:tcW w:w="828" w:type="dxa"/>
            <w:tcBorders>
              <w:top w:val="single" w:sz="6" w:space="0" w:color="000000"/>
              <w:right w:val="single" w:sz="6" w:space="0" w:color="000000"/>
            </w:tcBorders>
          </w:tcPr>
          <w:p>
            <w:pPr>
              <w:pStyle w:val="TableParagraph"/>
              <w:spacing w:line="240" w:lineRule="exact" w:before="2"/>
              <w:ind w:left="18"/>
              <w:rPr>
                <w:rFonts w:ascii="Times New Roman"/>
                <w:sz w:val="21"/>
              </w:rPr>
            </w:pPr>
            <w:r>
              <w:rPr>
                <w:rFonts w:ascii="Times New Roman"/>
                <w:w w:val="100"/>
                <w:sz w:val="21"/>
              </w:rPr>
              <w:t>2</w:t>
            </w:r>
          </w:p>
        </w:tc>
        <w:tc>
          <w:tcPr>
            <w:tcW w:w="1621" w:type="dxa"/>
            <w:tcBorders>
              <w:top w:val="single" w:sz="6" w:space="0" w:color="000000"/>
              <w:left w:val="single" w:sz="6" w:space="0" w:color="000000"/>
              <w:right w:val="single" w:sz="6" w:space="0" w:color="000000"/>
            </w:tcBorders>
          </w:tcPr>
          <w:p>
            <w:pPr>
              <w:pStyle w:val="TableParagraph"/>
              <w:spacing w:line="243" w:lineRule="exact"/>
              <w:ind w:left="271" w:right="241"/>
              <w:rPr>
                <w:sz w:val="21"/>
              </w:rPr>
            </w:pPr>
            <w:r>
              <w:rPr>
                <w:sz w:val="21"/>
              </w:rPr>
              <w:t>甲醛桶</w:t>
            </w:r>
          </w:p>
        </w:tc>
        <w:tc>
          <w:tcPr>
            <w:tcW w:w="1080" w:type="dxa"/>
            <w:tcBorders>
              <w:top w:val="single" w:sz="6" w:space="0" w:color="000000"/>
              <w:left w:val="single" w:sz="6" w:space="0" w:color="000000"/>
              <w:right w:val="single" w:sz="6" w:space="0" w:color="000000"/>
            </w:tcBorders>
          </w:tcPr>
          <w:p>
            <w:pPr>
              <w:pStyle w:val="TableParagraph"/>
              <w:spacing w:line="243" w:lineRule="exact"/>
              <w:ind w:left="27"/>
              <w:rPr>
                <w:sz w:val="21"/>
              </w:rPr>
            </w:pPr>
            <w:r>
              <w:rPr>
                <w:sz w:val="21"/>
              </w:rPr>
              <w:t>甲醛</w:t>
            </w:r>
          </w:p>
        </w:tc>
        <w:tc>
          <w:tcPr>
            <w:tcW w:w="2052" w:type="dxa"/>
            <w:tcBorders>
              <w:top w:val="single" w:sz="6" w:space="0" w:color="000000"/>
              <w:left w:val="single" w:sz="6" w:space="0" w:color="000000"/>
              <w:right w:val="single" w:sz="6" w:space="0" w:color="000000"/>
            </w:tcBorders>
          </w:tcPr>
          <w:p>
            <w:pPr>
              <w:pStyle w:val="TableParagraph"/>
              <w:spacing w:line="243" w:lineRule="exact"/>
              <w:ind w:left="171" w:right="144"/>
              <w:rPr>
                <w:sz w:val="21"/>
              </w:rPr>
            </w:pPr>
            <w:r>
              <w:rPr>
                <w:sz w:val="21"/>
              </w:rPr>
              <w:t>常温、常压</w:t>
            </w:r>
          </w:p>
        </w:tc>
        <w:tc>
          <w:tcPr>
            <w:tcW w:w="1548" w:type="dxa"/>
            <w:tcBorders>
              <w:top w:val="single" w:sz="6" w:space="0" w:color="000000"/>
              <w:left w:val="single" w:sz="6" w:space="0" w:color="000000"/>
              <w:right w:val="single" w:sz="6" w:space="0" w:color="000000"/>
            </w:tcBorders>
          </w:tcPr>
          <w:p>
            <w:pPr>
              <w:pStyle w:val="TableParagraph"/>
              <w:spacing w:line="243" w:lineRule="exact"/>
              <w:ind w:left="122" w:right="96"/>
              <w:rPr>
                <w:sz w:val="21"/>
              </w:rPr>
            </w:pPr>
            <w:r>
              <w:rPr>
                <w:rFonts w:ascii="Times New Roman" w:hAnsi="Times New Roman" w:eastAsia="Times New Roman"/>
                <w:sz w:val="21"/>
              </w:rPr>
              <w:t>1.6×10</w:t>
            </w:r>
            <w:r>
              <w:rPr>
                <w:rFonts w:ascii="Times New Roman" w:hAnsi="Times New Roman" w:eastAsia="Times New Roman"/>
                <w:position w:val="7"/>
                <w:sz w:val="14"/>
              </w:rPr>
              <w:t>-5 </w:t>
            </w:r>
            <w:r>
              <w:rPr>
                <w:sz w:val="21"/>
              </w:rPr>
              <w:t>次</w:t>
            </w:r>
            <w:r>
              <w:rPr>
                <w:rFonts w:ascii="Times New Roman" w:hAnsi="Times New Roman" w:eastAsia="Times New Roman"/>
                <w:sz w:val="21"/>
              </w:rPr>
              <w:t>/</w:t>
            </w:r>
            <w:r>
              <w:rPr>
                <w:sz w:val="21"/>
              </w:rPr>
              <w:t>年</w:t>
            </w:r>
          </w:p>
        </w:tc>
        <w:tc>
          <w:tcPr>
            <w:tcW w:w="1394" w:type="dxa"/>
            <w:vMerge/>
            <w:tcBorders>
              <w:top w:val="nil"/>
              <w:left w:val="single" w:sz="6" w:space="0" w:color="000000"/>
            </w:tcBorders>
          </w:tcPr>
          <w:p>
            <w:pPr>
              <w:rPr>
                <w:sz w:val="2"/>
                <w:szCs w:val="2"/>
              </w:rPr>
            </w:pPr>
          </w:p>
        </w:tc>
      </w:tr>
    </w:tbl>
    <w:p>
      <w:pPr>
        <w:pStyle w:val="BodyText"/>
        <w:spacing w:line="454" w:lineRule="exact"/>
        <w:ind w:left="1058"/>
      </w:pPr>
      <w:r>
        <w:rPr>
          <w:rFonts w:ascii="Times New Roman" w:eastAsia="Times New Roman"/>
        </w:rPr>
        <w:t>5</w:t>
      </w:r>
      <w:r>
        <w:rPr/>
        <w:t>、源项分析</w:t>
      </w:r>
    </w:p>
    <w:p>
      <w:pPr>
        <w:pStyle w:val="BodyText"/>
        <w:spacing w:line="468" w:lineRule="exact"/>
        <w:ind w:left="1058"/>
      </w:pPr>
      <w:r>
        <w:rPr/>
        <w:t>（</w:t>
      </w:r>
      <w:r>
        <w:rPr>
          <w:rFonts w:ascii="Times New Roman" w:eastAsia="Times New Roman"/>
        </w:rPr>
        <w:t>1</w:t>
      </w:r>
      <w:r>
        <w:rPr/>
        <w:t>）泄漏事故源强</w:t>
      </w:r>
    </w:p>
    <w:p>
      <w:pPr>
        <w:pStyle w:val="BodyText"/>
        <w:spacing w:line="220" w:lineRule="auto" w:before="8"/>
        <w:ind w:left="578" w:right="751" w:firstLine="479"/>
        <w:jc w:val="both"/>
      </w:pPr>
      <w:r>
        <w:rPr>
          <w:spacing w:val="-6"/>
        </w:rPr>
        <w:t>根据项目风险事故发生的类型，泄漏事故采用计算法；泄漏时间根据是否建</w:t>
      </w:r>
      <w:r>
        <w:rPr>
          <w:spacing w:val="-11"/>
        </w:rPr>
        <w:t>设项目探测和隔离系统来确定，项目盐酸罐区设置泄漏探测装置，项目储罐泄漏时间设定为</w:t>
      </w:r>
      <w:r>
        <w:rPr>
          <w:rFonts w:ascii="Times New Roman" w:eastAsia="Times New Roman"/>
          <w:spacing w:val="-11"/>
        </w:rPr>
        <w:t>10min</w:t>
      </w:r>
      <w:r>
        <w:rPr>
          <w:spacing w:val="-8"/>
        </w:rPr>
        <w:t>。泄漏液体的蒸发速率按照</w:t>
      </w:r>
      <w:r>
        <w:rPr>
          <w:rFonts w:ascii="Times New Roman" w:eastAsia="Times New Roman"/>
        </w:rPr>
        <w:t>20min</w:t>
      </w:r>
      <w:r>
        <w:rPr>
          <w:spacing w:val="-8"/>
        </w:rPr>
        <w:t>计算，液池面积按照围堰的面积计算。</w:t>
      </w:r>
    </w:p>
    <w:p>
      <w:pPr>
        <w:pStyle w:val="BodyText"/>
        <w:spacing w:line="460" w:lineRule="exact"/>
        <w:ind w:left="1058"/>
      </w:pPr>
      <w:r>
        <w:rPr/>
        <w:t>甲醛按照最不利情况，单桶完全泄漏计算，</w:t>
      </w:r>
    </w:p>
    <w:p>
      <w:pPr>
        <w:pStyle w:val="BodyText"/>
        <w:spacing w:line="220" w:lineRule="auto" w:before="8"/>
        <w:ind w:left="578" w:right="632" w:firstLine="479"/>
        <w:jc w:val="both"/>
      </w:pPr>
      <w:r>
        <w:rPr>
          <w:spacing w:val="-9"/>
        </w:rPr>
        <w:t>为从最大风险出发，源强计算按盐酸储罐在极端条件下接管口径全部断裂考</w:t>
      </w:r>
      <w:r>
        <w:rPr>
          <w:spacing w:val="-16"/>
        </w:rPr>
        <w:t>虑，泄漏后流入罐区围堰，然后随地表风的对流形成丙烯醛雾蒸发扩散进入大气。计算采用伯努利方程计算。</w:t>
      </w:r>
    </w:p>
    <w:p>
      <w:pPr>
        <w:pStyle w:val="BodyText"/>
        <w:spacing w:before="20"/>
        <w:rPr>
          <w:sz w:val="9"/>
        </w:rPr>
      </w:pPr>
      <w:r>
        <w:rPr/>
        <w:drawing>
          <wp:anchor distT="0" distB="0" distL="0" distR="0" allowOverlap="1" layoutInCell="1" locked="0" behindDoc="1" simplePos="0" relativeHeight="268434983">
            <wp:simplePos x="0" y="0"/>
            <wp:positionH relativeFrom="page">
              <wp:posOffset>2688360</wp:posOffset>
            </wp:positionH>
            <wp:positionV relativeFrom="paragraph">
              <wp:posOffset>158990</wp:posOffset>
            </wp:positionV>
            <wp:extent cx="2150666" cy="468629"/>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35" cstate="print"/>
                    <a:stretch>
                      <a:fillRect/>
                    </a:stretch>
                  </pic:blipFill>
                  <pic:spPr>
                    <a:xfrm>
                      <a:off x="0" y="0"/>
                      <a:ext cx="2150666" cy="468629"/>
                    </a:xfrm>
                    <a:prstGeom prst="rect">
                      <a:avLst/>
                    </a:prstGeom>
                  </pic:spPr>
                </pic:pic>
              </a:graphicData>
            </a:graphic>
          </wp:anchor>
        </w:drawing>
      </w:r>
    </w:p>
    <w:p>
      <w:pPr>
        <w:pStyle w:val="BodyText"/>
        <w:spacing w:line="488" w:lineRule="exact" w:before="122"/>
        <w:ind w:left="1058"/>
      </w:pPr>
      <w:r>
        <w:rPr>
          <w:position w:val="2"/>
        </w:rPr>
        <w:t>式中：</w:t>
      </w:r>
      <w:r>
        <w:rPr>
          <w:rFonts w:ascii="Times New Roman" w:hAnsi="Times New Roman" w:eastAsia="Times New Roman"/>
          <w:position w:val="2"/>
        </w:rPr>
        <w:t>Q</w:t>
      </w:r>
      <w:r>
        <w:rPr>
          <w:rFonts w:ascii="Times New Roman" w:hAnsi="Times New Roman" w:eastAsia="Times New Roman"/>
          <w:sz w:val="16"/>
        </w:rPr>
        <w:t>L</w:t>
      </w:r>
      <w:r>
        <w:rPr>
          <w:rFonts w:ascii="Times New Roman" w:hAnsi="Times New Roman" w:eastAsia="Times New Roman"/>
          <w:position w:val="2"/>
        </w:rPr>
        <w:t>—</w:t>
      </w:r>
      <w:r>
        <w:rPr>
          <w:position w:val="2"/>
        </w:rPr>
        <w:t>液体的泄漏速度，</w:t>
      </w:r>
      <w:r>
        <w:rPr>
          <w:rFonts w:ascii="Times New Roman" w:hAnsi="Times New Roman" w:eastAsia="Times New Roman"/>
          <w:position w:val="2"/>
        </w:rPr>
        <w:t>kg/s</w:t>
      </w:r>
      <w:r>
        <w:rPr>
          <w:position w:val="2"/>
        </w:rPr>
        <w:t>；</w:t>
      </w:r>
    </w:p>
    <w:p>
      <w:pPr>
        <w:pStyle w:val="BodyText"/>
        <w:spacing w:line="467" w:lineRule="exact"/>
        <w:ind w:left="1778"/>
      </w:pPr>
      <w:r>
        <w:rPr>
          <w:rFonts w:ascii="Times New Roman" w:hAnsi="Times New Roman" w:eastAsia="Times New Roman"/>
          <w:position w:val="2"/>
        </w:rPr>
        <w:t>C</w:t>
      </w:r>
      <w:r>
        <w:rPr>
          <w:rFonts w:ascii="Times New Roman" w:hAnsi="Times New Roman" w:eastAsia="Times New Roman"/>
          <w:sz w:val="16"/>
        </w:rPr>
        <w:t>d</w:t>
      </w:r>
      <w:r>
        <w:rPr>
          <w:rFonts w:ascii="Times New Roman" w:hAnsi="Times New Roman" w:eastAsia="Times New Roman"/>
          <w:position w:val="2"/>
        </w:rPr>
        <w:t>—</w:t>
      </w:r>
      <w:r>
        <w:rPr>
          <w:position w:val="2"/>
        </w:rPr>
        <w:t>液体泄漏系数，取 </w:t>
      </w:r>
      <w:r>
        <w:rPr>
          <w:rFonts w:ascii="Times New Roman" w:hAnsi="Times New Roman" w:eastAsia="Times New Roman"/>
          <w:position w:val="2"/>
        </w:rPr>
        <w:t>C</w:t>
      </w:r>
      <w:r>
        <w:rPr>
          <w:rFonts w:ascii="Times New Roman" w:hAnsi="Times New Roman" w:eastAsia="Times New Roman"/>
          <w:sz w:val="16"/>
        </w:rPr>
        <w:t>d</w:t>
      </w:r>
      <w:r>
        <w:rPr>
          <w:rFonts w:ascii="Times New Roman" w:hAnsi="Times New Roman" w:eastAsia="Times New Roman"/>
          <w:position w:val="2"/>
        </w:rPr>
        <w:t>=0.63</w:t>
      </w:r>
      <w:r>
        <w:rPr>
          <w:position w:val="2"/>
        </w:rPr>
        <w:t>；</w:t>
      </w:r>
    </w:p>
    <w:p>
      <w:pPr>
        <w:pStyle w:val="BodyText"/>
        <w:spacing w:line="220" w:lineRule="auto" w:before="7"/>
        <w:ind w:left="1778" w:right="5812"/>
      </w:pPr>
      <w:r>
        <w:rPr>
          <w:rFonts w:ascii="Times New Roman" w:hAnsi="Times New Roman" w:eastAsia="Times New Roman"/>
        </w:rPr>
        <w:t>A— </w:t>
      </w:r>
      <w:r>
        <w:rPr/>
        <w:t>裂 口 面 积 ； </w:t>
      </w:r>
      <w:r>
        <w:rPr>
          <w:rFonts w:ascii="Times New Roman" w:hAnsi="Times New Roman" w:eastAsia="Times New Roman"/>
        </w:rPr>
        <w:t>ρ—</w:t>
      </w:r>
      <w:r>
        <w:rPr/>
        <w:t>泄漏液体密度；</w:t>
      </w:r>
    </w:p>
    <w:p>
      <w:pPr>
        <w:pStyle w:val="BodyText"/>
        <w:spacing w:line="457" w:lineRule="exact"/>
        <w:ind w:left="1778"/>
      </w:pPr>
      <w:r>
        <w:rPr>
          <w:rFonts w:ascii="Times New Roman" w:hAnsi="Times New Roman" w:eastAsia="Times New Roman"/>
          <w:spacing w:val="-1"/>
        </w:rPr>
        <w:t>P—</w:t>
      </w:r>
      <w:r>
        <w:rPr/>
        <w:t>储罐内介质压力，</w:t>
      </w:r>
      <w:r>
        <w:rPr>
          <w:rFonts w:ascii="Times New Roman" w:hAnsi="Times New Roman" w:eastAsia="Times New Roman"/>
        </w:rPr>
        <w:t>Pa</w:t>
      </w:r>
      <w:r>
        <w:rPr/>
        <w:t>；</w:t>
      </w:r>
    </w:p>
    <w:p>
      <w:pPr>
        <w:pStyle w:val="BodyText"/>
        <w:spacing w:line="218" w:lineRule="auto" w:before="13"/>
        <w:ind w:left="1778" w:right="5096"/>
      </w:pPr>
      <w:r>
        <w:rPr>
          <w:rFonts w:ascii="Times New Roman" w:hAnsi="Times New Roman" w:eastAsia="Times New Roman"/>
          <w:position w:val="2"/>
        </w:rPr>
        <w:t>P</w:t>
      </w:r>
      <w:r>
        <w:rPr>
          <w:rFonts w:ascii="Times New Roman" w:hAnsi="Times New Roman" w:eastAsia="Times New Roman"/>
          <w:sz w:val="16"/>
        </w:rPr>
        <w:t>o</w:t>
      </w:r>
      <w:r>
        <w:rPr>
          <w:rFonts w:ascii="Times New Roman" w:hAnsi="Times New Roman" w:eastAsia="Times New Roman"/>
          <w:position w:val="2"/>
        </w:rPr>
        <w:t>— </w:t>
      </w:r>
      <w:r>
        <w:rPr>
          <w:position w:val="2"/>
        </w:rPr>
        <w:t>环 境 压 力 ，</w:t>
      </w:r>
      <w:r>
        <w:rPr>
          <w:rFonts w:ascii="Times New Roman" w:hAnsi="Times New Roman" w:eastAsia="Times New Roman"/>
          <w:position w:val="2"/>
        </w:rPr>
        <w:t>Pa</w:t>
      </w:r>
      <w:r>
        <w:rPr>
          <w:position w:val="2"/>
        </w:rPr>
        <w:t>；</w:t>
      </w:r>
      <w:r>
        <w:rPr/>
        <w:t> </w:t>
      </w:r>
      <w:r>
        <w:rPr>
          <w:rFonts w:ascii="Times New Roman" w:hAnsi="Times New Roman" w:eastAsia="Times New Roman"/>
          <w:spacing w:val="-1"/>
        </w:rPr>
        <w:t>g—</w:t>
      </w:r>
      <w:r>
        <w:rPr/>
        <w:t>重力加速度，</w:t>
      </w:r>
      <w:r>
        <w:rPr>
          <w:rFonts w:ascii="Times New Roman" w:hAnsi="Times New Roman" w:eastAsia="Times New Roman"/>
        </w:rPr>
        <w:t>9.8m/s</w:t>
      </w:r>
      <w:r>
        <w:rPr>
          <w:rFonts w:ascii="Times New Roman" w:hAnsi="Times New Roman" w:eastAsia="Times New Roman"/>
          <w:position w:val="9"/>
          <w:sz w:val="16"/>
        </w:rPr>
        <w:t>2</w:t>
      </w:r>
      <w:r>
        <w:rPr/>
        <w:t>；</w:t>
      </w:r>
    </w:p>
    <w:p>
      <w:pPr>
        <w:pStyle w:val="BodyText"/>
        <w:spacing w:line="462" w:lineRule="exact"/>
        <w:ind w:left="1778"/>
      </w:pPr>
      <w:r>
        <w:rPr>
          <w:rFonts w:ascii="Times New Roman" w:hAnsi="Times New Roman" w:eastAsia="Times New Roman"/>
        </w:rPr>
        <w:t>h—</w:t>
      </w:r>
      <w:r>
        <w:rPr/>
        <w:t>裂口之上液位高度。</w:t>
      </w:r>
    </w:p>
    <w:p>
      <w:pPr>
        <w:pStyle w:val="BodyText"/>
        <w:spacing w:line="220" w:lineRule="auto" w:before="7"/>
        <w:ind w:left="578" w:right="752" w:firstLine="479"/>
        <w:jc w:val="both"/>
      </w:pPr>
      <w:r>
        <w:rPr>
          <w:spacing w:val="-5"/>
        </w:rPr>
        <w:t>物料泄漏后即流入罐区围堰形成液池，在上方空气的对流扰动作用下，存在少量丙烯醛的蒸发，根据《建设项目环境风险评价技术导则》</w:t>
      </w:r>
      <w:r>
        <w:rPr>
          <w:spacing w:val="7"/>
        </w:rPr>
        <w:t>（</w:t>
      </w:r>
      <w:r>
        <w:rPr>
          <w:rFonts w:ascii="Times New Roman" w:eastAsia="Times New Roman"/>
          <w:spacing w:val="-3"/>
          <w:w w:val="99"/>
        </w:rPr>
        <w:t>H</w:t>
      </w:r>
      <w:r>
        <w:rPr>
          <w:rFonts w:ascii="Times New Roman" w:eastAsia="Times New Roman"/>
          <w:w w:val="99"/>
        </w:rPr>
        <w:t>J</w:t>
      </w:r>
      <w:r>
        <w:rPr>
          <w:rFonts w:ascii="Times New Roman" w:eastAsia="Times New Roman"/>
          <w:spacing w:val="2"/>
        </w:rPr>
        <w:t>  </w:t>
      </w:r>
      <w:r>
        <w:rPr>
          <w:rFonts w:ascii="Times New Roman" w:eastAsia="Times New Roman"/>
        </w:rPr>
        <w:t>1</w:t>
      </w:r>
      <w:r>
        <w:rPr>
          <w:rFonts w:ascii="Times New Roman" w:eastAsia="Times New Roman"/>
          <w:spacing w:val="-3"/>
        </w:rPr>
        <w:t>6</w:t>
      </w:r>
      <w:r>
        <w:rPr>
          <w:rFonts w:ascii="Times New Roman" w:eastAsia="Times New Roman"/>
        </w:rPr>
        <w:t>9</w:t>
      </w:r>
      <w:r>
        <w:rPr>
          <w:rFonts w:ascii="Times New Roman" w:eastAsia="Times New Roman"/>
          <w:spacing w:val="-1"/>
        </w:rPr>
        <w:t>-</w:t>
      </w:r>
      <w:r>
        <w:rPr>
          <w:rFonts w:ascii="Times New Roman" w:eastAsia="Times New Roman"/>
        </w:rPr>
        <w:t>201</w:t>
      </w:r>
      <w:r>
        <w:rPr>
          <w:rFonts w:ascii="Times New Roman" w:eastAsia="Times New Roman"/>
          <w:spacing w:val="2"/>
        </w:rPr>
        <w:t>8</w:t>
      </w:r>
      <w:r>
        <w:rPr>
          <w:spacing w:val="-118"/>
        </w:rPr>
        <w:t>），</w:t>
      </w:r>
      <w:r>
        <w:rPr>
          <w:position w:val="2"/>
        </w:rPr>
        <w:t>其蒸发量主要包括闪蒸（</w:t>
      </w:r>
      <w:r>
        <w:rPr>
          <w:rFonts w:ascii="Times New Roman" w:eastAsia="Times New Roman"/>
          <w:spacing w:val="-1"/>
          <w:w w:val="99"/>
          <w:position w:val="2"/>
        </w:rPr>
        <w:t>Q</w:t>
      </w:r>
      <w:r>
        <w:rPr>
          <w:rFonts w:ascii="Times New Roman" w:eastAsia="Times New Roman"/>
          <w:spacing w:val="1"/>
          <w:w w:val="100"/>
          <w:sz w:val="16"/>
        </w:rPr>
        <w:t>1</w:t>
      </w:r>
      <w:r>
        <w:rPr>
          <w:spacing w:val="-120"/>
          <w:position w:val="2"/>
        </w:rPr>
        <w:t>）</w:t>
      </w:r>
      <w:r>
        <w:rPr>
          <w:position w:val="2"/>
        </w:rPr>
        <w:t>、热量蒸发（</w:t>
      </w:r>
      <w:r>
        <w:rPr>
          <w:rFonts w:ascii="Times New Roman" w:eastAsia="Times New Roman"/>
          <w:spacing w:val="-1"/>
          <w:w w:val="99"/>
          <w:position w:val="2"/>
        </w:rPr>
        <w:t>Q</w:t>
      </w:r>
      <w:r>
        <w:rPr>
          <w:rFonts w:ascii="Times New Roman" w:eastAsia="Times New Roman"/>
          <w:spacing w:val="-2"/>
          <w:w w:val="100"/>
          <w:sz w:val="16"/>
        </w:rPr>
        <w:t>2</w:t>
      </w:r>
      <w:r>
        <w:rPr>
          <w:position w:val="2"/>
        </w:rPr>
        <w:t>）和质量蒸发（</w:t>
      </w:r>
      <w:r>
        <w:rPr>
          <w:rFonts w:ascii="Times New Roman" w:eastAsia="Times New Roman"/>
          <w:spacing w:val="-1"/>
          <w:w w:val="99"/>
          <w:position w:val="2"/>
        </w:rPr>
        <w:t>Q</w:t>
      </w:r>
      <w:r>
        <w:rPr>
          <w:rFonts w:ascii="Times New Roman" w:eastAsia="Times New Roman"/>
          <w:spacing w:val="1"/>
          <w:w w:val="100"/>
          <w:sz w:val="16"/>
        </w:rPr>
        <w:t>3</w:t>
      </w:r>
      <w:r>
        <w:rPr>
          <w:position w:val="2"/>
        </w:rPr>
        <w:t>）</w:t>
      </w:r>
      <w:r>
        <w:rPr>
          <w:rFonts w:ascii="Times New Roman" w:eastAsia="Times New Roman"/>
          <w:position w:val="2"/>
        </w:rPr>
        <w:t>3 </w:t>
      </w:r>
      <w:r>
        <w:rPr>
          <w:position w:val="2"/>
        </w:rPr>
        <w:t>个方面。</w:t>
      </w:r>
    </w:p>
    <w:p>
      <w:pPr>
        <w:pStyle w:val="BodyText"/>
        <w:spacing w:line="478" w:lineRule="exact"/>
        <w:ind w:left="1058"/>
      </w:pPr>
      <w:r>
        <w:rPr>
          <w:rFonts w:ascii="Times New Roman" w:eastAsia="Times New Roman"/>
        </w:rPr>
        <w:t>a </w:t>
      </w:r>
      <w:r>
        <w:rPr/>
        <w:t>对于液体闪蒸部分，可按照下式估算：</w:t>
      </w:r>
    </w:p>
    <w:p>
      <w:pPr>
        <w:spacing w:after="0" w:line="478" w:lineRule="exact"/>
        <w:sectPr>
          <w:pgSz w:w="11910" w:h="16840"/>
          <w:pgMar w:header="877" w:footer="973" w:top="1340" w:bottom="1160" w:left="1220" w:right="1040"/>
        </w:sectPr>
      </w:pPr>
    </w:p>
    <w:p>
      <w:pPr>
        <w:spacing w:before="211"/>
        <w:ind w:left="0" w:right="0" w:firstLine="0"/>
        <w:jc w:val="right"/>
        <w:rPr>
          <w:rFonts w:ascii="Times New Roman" w:hAnsi="Times New Roman"/>
          <w:i/>
          <w:sz w:val="14"/>
        </w:rPr>
      </w:pPr>
      <w:r>
        <w:rPr>
          <w:rFonts w:ascii="Times New Roman" w:hAnsi="Times New Roman"/>
          <w:i/>
          <w:w w:val="105"/>
          <w:sz w:val="24"/>
        </w:rPr>
        <w:t>F </w:t>
      </w:r>
      <w:r>
        <w:rPr>
          <w:rFonts w:ascii="Symbol" w:hAnsi="Symbol"/>
          <w:w w:val="105"/>
          <w:sz w:val="24"/>
        </w:rPr>
        <w:t></w:t>
      </w:r>
      <w:r>
        <w:rPr>
          <w:rFonts w:ascii="Times New Roman" w:hAnsi="Times New Roman"/>
          <w:w w:val="105"/>
          <w:sz w:val="24"/>
        </w:rPr>
        <w:t> </w:t>
      </w:r>
      <w:r>
        <w:rPr>
          <w:rFonts w:ascii="Times New Roman" w:hAnsi="Times New Roman"/>
          <w:i/>
          <w:w w:val="105"/>
          <w:sz w:val="24"/>
        </w:rPr>
        <w:t>C</w:t>
      </w:r>
      <w:r>
        <w:rPr>
          <w:rFonts w:ascii="Times New Roman" w:hAnsi="Times New Roman"/>
          <w:i/>
          <w:w w:val="105"/>
          <w:position w:val="-5"/>
          <w:sz w:val="14"/>
        </w:rPr>
        <w:t>p</w:t>
      </w:r>
    </w:p>
    <w:p>
      <w:pPr>
        <w:spacing w:before="57"/>
        <w:ind w:left="0" w:right="4238" w:firstLine="0"/>
        <w:jc w:val="center"/>
        <w:rPr>
          <w:rFonts w:ascii="Times New Roman" w:hAnsi="Times New Roman"/>
          <w:i/>
          <w:sz w:val="14"/>
        </w:rPr>
      </w:pPr>
      <w:r>
        <w:rPr/>
        <w:br w:type="column"/>
      </w:r>
      <w:r>
        <w:rPr>
          <w:rFonts w:ascii="Times New Roman" w:hAnsi="Times New Roman"/>
          <w:i/>
          <w:spacing w:val="-7"/>
          <w:w w:val="105"/>
          <w:sz w:val="24"/>
        </w:rPr>
        <w:t>T</w:t>
      </w:r>
      <w:r>
        <w:rPr>
          <w:rFonts w:ascii="Times New Roman" w:hAnsi="Times New Roman"/>
          <w:i/>
          <w:spacing w:val="-7"/>
          <w:w w:val="105"/>
          <w:position w:val="-5"/>
          <w:sz w:val="14"/>
        </w:rPr>
        <w:t>L </w:t>
      </w:r>
      <w:r>
        <w:rPr>
          <w:rFonts w:ascii="Symbol" w:hAnsi="Symbol"/>
          <w:w w:val="105"/>
          <w:sz w:val="24"/>
        </w:rPr>
        <w:t></w:t>
      </w:r>
      <w:r>
        <w:rPr>
          <w:rFonts w:ascii="Times New Roman" w:hAnsi="Times New Roman"/>
          <w:w w:val="105"/>
          <w:sz w:val="24"/>
        </w:rPr>
        <w:t> </w:t>
      </w:r>
      <w:r>
        <w:rPr>
          <w:rFonts w:ascii="Times New Roman" w:hAnsi="Times New Roman"/>
          <w:i/>
          <w:spacing w:val="-11"/>
          <w:w w:val="105"/>
          <w:sz w:val="24"/>
        </w:rPr>
        <w:t>T</w:t>
      </w:r>
      <w:r>
        <w:rPr>
          <w:rFonts w:ascii="Times New Roman" w:hAnsi="Times New Roman"/>
          <w:i/>
          <w:spacing w:val="-11"/>
          <w:w w:val="105"/>
          <w:position w:val="-5"/>
          <w:sz w:val="14"/>
        </w:rPr>
        <w:t>b</w:t>
      </w:r>
    </w:p>
    <w:p>
      <w:pPr>
        <w:pStyle w:val="BodyText"/>
        <w:spacing w:line="20" w:lineRule="exact"/>
        <w:ind w:left="18"/>
        <w:rPr>
          <w:rFonts w:ascii="Times New Roman"/>
          <w:sz w:val="2"/>
        </w:rPr>
      </w:pPr>
      <w:r>
        <w:rPr>
          <w:rFonts w:ascii="Times New Roman"/>
          <w:sz w:val="2"/>
        </w:rPr>
        <w:pict>
          <v:group style="width:32.7pt;height:.6pt;mso-position-horizontal-relative:char;mso-position-vertical-relative:line" coordorigin="0,0" coordsize="654,12">
            <v:line style="position:absolute" from="0,6" to="654,6" stroked="true" strokeweight=".581896pt" strokecolor="#000000">
              <v:stroke dashstyle="solid"/>
            </v:line>
          </v:group>
        </w:pict>
      </w:r>
      <w:r>
        <w:rPr>
          <w:rFonts w:ascii="Times New Roman"/>
          <w:sz w:val="2"/>
        </w:rPr>
      </w:r>
    </w:p>
    <w:p>
      <w:pPr>
        <w:spacing w:before="7"/>
        <w:ind w:left="0" w:right="4216" w:firstLine="0"/>
        <w:jc w:val="center"/>
        <w:rPr>
          <w:rFonts w:ascii="Times New Roman"/>
          <w:i/>
          <w:sz w:val="24"/>
        </w:rPr>
      </w:pPr>
      <w:r>
        <w:rPr>
          <w:rFonts w:ascii="Times New Roman"/>
          <w:i/>
          <w:w w:val="102"/>
          <w:sz w:val="24"/>
        </w:rPr>
        <w:t>H</w:t>
      </w:r>
    </w:p>
    <w:p>
      <w:pPr>
        <w:spacing w:after="0"/>
        <w:jc w:val="center"/>
        <w:rPr>
          <w:rFonts w:ascii="Times New Roman"/>
          <w:sz w:val="24"/>
        </w:rPr>
        <w:sectPr>
          <w:type w:val="continuous"/>
          <w:pgSz w:w="11910" w:h="16840"/>
          <w:pgMar w:top="1180" w:bottom="1160" w:left="1220" w:right="1040"/>
          <w:cols w:num="2" w:equalWidth="0">
            <w:col w:w="4701" w:space="40"/>
            <w:col w:w="4909"/>
          </w:cols>
        </w:sectPr>
      </w:pPr>
    </w:p>
    <w:p>
      <w:pPr>
        <w:pStyle w:val="BodyText"/>
        <w:spacing w:before="27"/>
        <w:ind w:left="578"/>
      </w:pPr>
      <w:r>
        <w:rPr/>
        <w:t>过热液体闪蒸蒸发速率可按照下式估算：</w:t>
      </w:r>
    </w:p>
    <w:p>
      <w:pPr>
        <w:spacing w:after="0"/>
        <w:sectPr>
          <w:type w:val="continuous"/>
          <w:pgSz w:w="11910" w:h="16840"/>
          <w:pgMar w:top="1180" w:bottom="1160" w:left="1220" w:right="1040"/>
        </w:sectPr>
      </w:pPr>
    </w:p>
    <w:p>
      <w:pPr>
        <w:pStyle w:val="BodyText"/>
        <w:spacing w:before="2" w:after="1"/>
        <w:rPr>
          <w:sz w:val="11"/>
        </w:rPr>
      </w:pPr>
    </w:p>
    <w:p>
      <w:pPr>
        <w:pStyle w:val="BodyText"/>
        <w:spacing w:line="260" w:lineRule="exact"/>
        <w:ind w:left="3902"/>
        <w:rPr>
          <w:sz w:val="20"/>
        </w:rPr>
      </w:pPr>
      <w:r>
        <w:rPr>
          <w:position w:val="-4"/>
          <w:sz w:val="20"/>
        </w:rPr>
        <w:drawing>
          <wp:inline distT="0" distB="0" distL="0" distR="0">
            <wp:extent cx="1044620" cy="165353"/>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36" cstate="print"/>
                    <a:stretch>
                      <a:fillRect/>
                    </a:stretch>
                  </pic:blipFill>
                  <pic:spPr>
                    <a:xfrm>
                      <a:off x="0" y="0"/>
                      <a:ext cx="1044620" cy="165353"/>
                    </a:xfrm>
                    <a:prstGeom prst="rect">
                      <a:avLst/>
                    </a:prstGeom>
                  </pic:spPr>
                </pic:pic>
              </a:graphicData>
            </a:graphic>
          </wp:inline>
        </w:drawing>
      </w:r>
      <w:r>
        <w:rPr>
          <w:position w:val="-4"/>
          <w:sz w:val="20"/>
        </w:rPr>
      </w:r>
    </w:p>
    <w:p>
      <w:pPr>
        <w:pStyle w:val="BodyText"/>
        <w:spacing w:before="20"/>
        <w:rPr>
          <w:sz w:val="5"/>
        </w:rPr>
      </w:pPr>
    </w:p>
    <w:p>
      <w:pPr>
        <w:pStyle w:val="BodyText"/>
        <w:spacing w:line="451" w:lineRule="exact"/>
        <w:ind w:left="1058"/>
      </w:pPr>
      <w:r>
        <w:rPr/>
        <w:t>式中：</w:t>
      </w:r>
      <w:r>
        <w:rPr>
          <w:rFonts w:ascii="Times New Roman" w:hAnsi="Times New Roman" w:eastAsia="Times New Roman"/>
        </w:rPr>
        <w:t>F—</w:t>
      </w:r>
      <w:r>
        <w:rPr/>
        <w:t>蒸发液体占液体总量的比例；</w:t>
      </w:r>
    </w:p>
    <w:p>
      <w:pPr>
        <w:spacing w:line="492" w:lineRule="exact" w:before="0"/>
        <w:ind w:left="1799" w:right="0" w:firstLine="0"/>
        <w:jc w:val="left"/>
        <w:rPr>
          <w:sz w:val="24"/>
        </w:rPr>
      </w:pPr>
      <w:r>
        <w:rPr>
          <w:rFonts w:ascii="Times New Roman" w:hAnsi="Times New Roman" w:eastAsia="Times New Roman"/>
          <w:i/>
          <w:sz w:val="25"/>
        </w:rPr>
        <w:t>T</w:t>
      </w:r>
      <w:r>
        <w:rPr>
          <w:rFonts w:ascii="Times New Roman" w:hAnsi="Times New Roman" w:eastAsia="Times New Roman"/>
          <w:i/>
          <w:position w:val="-5"/>
          <w:sz w:val="14"/>
        </w:rPr>
        <w:t>L </w:t>
      </w:r>
      <w:r>
        <w:rPr>
          <w:rFonts w:ascii="Times New Roman" w:hAnsi="Times New Roman" w:eastAsia="Times New Roman"/>
          <w:sz w:val="24"/>
        </w:rPr>
        <w:t>—</w:t>
      </w:r>
      <w:r>
        <w:rPr>
          <w:sz w:val="24"/>
        </w:rPr>
        <w:t>泄漏前液体温度，</w:t>
      </w:r>
      <w:r>
        <w:rPr>
          <w:rFonts w:ascii="Times New Roman" w:hAnsi="Times New Roman" w:eastAsia="Times New Roman"/>
          <w:sz w:val="24"/>
        </w:rPr>
        <w:t>K</w:t>
      </w:r>
      <w:r>
        <w:rPr>
          <w:sz w:val="24"/>
        </w:rPr>
        <w:t>；</w:t>
      </w:r>
    </w:p>
    <w:p>
      <w:pPr>
        <w:pStyle w:val="BodyText"/>
        <w:spacing w:before="19"/>
        <w:ind w:left="1799"/>
      </w:pPr>
      <w:r>
        <w:rPr>
          <w:rFonts w:ascii="Times New Roman" w:hAnsi="Times New Roman" w:eastAsia="Times New Roman"/>
          <w:i/>
          <w:spacing w:val="-8"/>
          <w:sz w:val="25"/>
        </w:rPr>
        <w:t>T</w:t>
      </w:r>
      <w:r>
        <w:rPr>
          <w:rFonts w:ascii="Times New Roman" w:hAnsi="Times New Roman" w:eastAsia="Times New Roman"/>
          <w:i/>
          <w:spacing w:val="-8"/>
          <w:position w:val="-5"/>
          <w:sz w:val="14"/>
        </w:rPr>
        <w:t>b</w:t>
      </w:r>
      <w:r>
        <w:rPr>
          <w:rFonts w:ascii="Times New Roman" w:hAnsi="Times New Roman" w:eastAsia="Times New Roman"/>
          <w:i/>
          <w:spacing w:val="-6"/>
          <w:position w:val="-5"/>
          <w:sz w:val="14"/>
        </w:rPr>
        <w:t> </w:t>
      </w:r>
      <w:r>
        <w:rPr>
          <w:rFonts w:ascii="Times New Roman" w:hAnsi="Times New Roman" w:eastAsia="Times New Roman"/>
        </w:rPr>
        <w:t>—</w:t>
      </w:r>
      <w:r>
        <w:rPr/>
        <w:t>液体在常压下的沸点，</w:t>
      </w:r>
      <w:r>
        <w:rPr>
          <w:rFonts w:ascii="Times New Roman" w:hAnsi="Times New Roman" w:eastAsia="Times New Roman"/>
        </w:rPr>
        <w:t>K</w:t>
      </w:r>
      <w:r>
        <w:rPr/>
        <w:t>；</w:t>
      </w:r>
    </w:p>
    <w:p>
      <w:pPr>
        <w:pStyle w:val="BodyText"/>
        <w:spacing w:line="495" w:lineRule="exact" w:before="6"/>
        <w:ind w:left="1778"/>
      </w:pPr>
      <w:r>
        <w:rPr>
          <w:rFonts w:ascii="Times New Roman" w:hAnsi="Times New Roman" w:eastAsia="Times New Roman"/>
          <w:spacing w:val="-1"/>
          <w:position w:val="2"/>
        </w:rPr>
        <w:t>H</w:t>
      </w:r>
      <w:r>
        <w:rPr>
          <w:rFonts w:ascii="Times New Roman" w:hAnsi="Times New Roman" w:eastAsia="Times New Roman"/>
          <w:spacing w:val="-1"/>
          <w:sz w:val="16"/>
        </w:rPr>
        <w:t>v</w:t>
      </w:r>
      <w:r>
        <w:rPr>
          <w:rFonts w:ascii="Times New Roman" w:hAnsi="Times New Roman" w:eastAsia="Times New Roman"/>
          <w:spacing w:val="-1"/>
          <w:position w:val="2"/>
        </w:rPr>
        <w:t>—</w:t>
      </w:r>
      <w:r>
        <w:rPr>
          <w:position w:val="2"/>
        </w:rPr>
        <w:t>泄漏液体的蒸发热，</w:t>
      </w:r>
      <w:r>
        <w:rPr>
          <w:rFonts w:ascii="Times New Roman" w:hAnsi="Times New Roman" w:eastAsia="Times New Roman"/>
          <w:position w:val="2"/>
        </w:rPr>
        <w:t>J/kg</w:t>
      </w:r>
      <w:r>
        <w:rPr>
          <w:position w:val="2"/>
        </w:rPr>
        <w:t>；</w:t>
      </w:r>
    </w:p>
    <w:p>
      <w:pPr>
        <w:pStyle w:val="BodyText"/>
        <w:spacing w:line="495" w:lineRule="exact"/>
        <w:ind w:left="1808"/>
      </w:pPr>
      <w:r>
        <w:rPr>
          <w:rFonts w:ascii="Times New Roman" w:hAnsi="Times New Roman" w:eastAsia="Times New Roman"/>
          <w:i/>
          <w:spacing w:val="9"/>
          <w:sz w:val="25"/>
        </w:rPr>
        <w:t>C</w:t>
      </w:r>
      <w:r>
        <w:rPr>
          <w:rFonts w:ascii="Times New Roman" w:hAnsi="Times New Roman" w:eastAsia="Times New Roman"/>
          <w:i/>
          <w:spacing w:val="9"/>
          <w:position w:val="-5"/>
          <w:sz w:val="14"/>
        </w:rPr>
        <w:t>p</w:t>
      </w:r>
      <w:r>
        <w:rPr>
          <w:rFonts w:ascii="Times New Roman" w:hAnsi="Times New Roman" w:eastAsia="Times New Roman"/>
          <w:i/>
          <w:spacing w:val="1"/>
          <w:position w:val="-5"/>
          <w:sz w:val="14"/>
        </w:rPr>
        <w:t> </w:t>
      </w:r>
      <w:r>
        <w:rPr>
          <w:rFonts w:ascii="Times New Roman" w:hAnsi="Times New Roman" w:eastAsia="Times New Roman"/>
        </w:rPr>
        <w:t>—</w:t>
      </w:r>
      <w:r>
        <w:rPr/>
        <w:t>液体定压比热，</w:t>
      </w:r>
      <w:r>
        <w:rPr>
          <w:rFonts w:ascii="Times New Roman" w:hAnsi="Times New Roman" w:eastAsia="Times New Roman"/>
        </w:rPr>
        <w:t>J/(kg.K)</w:t>
      </w:r>
      <w:r>
        <w:rPr/>
        <w:t>；</w:t>
      </w:r>
    </w:p>
    <w:p>
      <w:pPr>
        <w:pStyle w:val="BodyText"/>
        <w:spacing w:before="36"/>
        <w:ind w:left="1809"/>
      </w:pPr>
      <w:r>
        <w:rPr>
          <w:rFonts w:ascii="Times New Roman" w:hAnsi="Times New Roman" w:eastAsia="Times New Roman"/>
          <w:i/>
          <w:sz w:val="25"/>
        </w:rPr>
        <w:t>Q</w:t>
      </w:r>
      <w:r>
        <w:rPr>
          <w:rFonts w:ascii="Times New Roman" w:hAnsi="Times New Roman" w:eastAsia="Times New Roman"/>
          <w:position w:val="-5"/>
          <w:sz w:val="14"/>
        </w:rPr>
        <w:t>1 </w:t>
      </w:r>
      <w:r>
        <w:rPr>
          <w:rFonts w:ascii="Times New Roman" w:hAnsi="Times New Roman" w:eastAsia="Times New Roman"/>
        </w:rPr>
        <w:t>—</w:t>
      </w:r>
      <w:r>
        <w:rPr/>
        <w:t>过热液体闪蒸蒸发速率，</w:t>
      </w:r>
      <w:r>
        <w:rPr>
          <w:rFonts w:ascii="Times New Roman" w:hAnsi="Times New Roman" w:eastAsia="Times New Roman"/>
        </w:rPr>
        <w:t>kg/s</w:t>
      </w:r>
      <w:r>
        <w:rPr/>
        <w:t>；</w:t>
      </w:r>
    </w:p>
    <w:p>
      <w:pPr>
        <w:pStyle w:val="BodyText"/>
        <w:spacing w:line="488" w:lineRule="exact" w:before="10"/>
        <w:ind w:left="1778"/>
      </w:pPr>
      <w:r>
        <w:rPr>
          <w:rFonts w:ascii="Times New Roman" w:hAnsi="Times New Roman" w:eastAsia="Times New Roman"/>
          <w:position w:val="2"/>
        </w:rPr>
        <w:t>Q</w:t>
      </w:r>
      <w:r>
        <w:rPr>
          <w:rFonts w:ascii="Times New Roman" w:hAnsi="Times New Roman" w:eastAsia="Times New Roman"/>
          <w:sz w:val="16"/>
        </w:rPr>
        <w:t>L</w:t>
      </w:r>
      <w:r>
        <w:rPr>
          <w:rFonts w:ascii="Times New Roman" w:hAnsi="Times New Roman" w:eastAsia="Times New Roman"/>
          <w:position w:val="2"/>
        </w:rPr>
        <w:t>—</w:t>
      </w:r>
      <w:r>
        <w:rPr>
          <w:position w:val="2"/>
        </w:rPr>
        <w:t>物质泄漏速率，</w:t>
      </w:r>
      <w:r>
        <w:rPr>
          <w:rFonts w:ascii="Times New Roman" w:hAnsi="Times New Roman" w:eastAsia="Times New Roman"/>
          <w:position w:val="2"/>
        </w:rPr>
        <w:t>kg/s</w:t>
      </w:r>
      <w:r>
        <w:rPr>
          <w:position w:val="2"/>
        </w:rPr>
        <w:t>。</w:t>
      </w:r>
    </w:p>
    <w:p>
      <w:pPr>
        <w:pStyle w:val="BodyText"/>
        <w:spacing w:line="220" w:lineRule="auto" w:before="7"/>
        <w:ind w:left="578" w:right="704" w:firstLine="479"/>
      </w:pPr>
      <w:r>
        <w:rPr>
          <w:rFonts w:ascii="Times New Roman" w:eastAsia="Times New Roman"/>
        </w:rPr>
        <w:t>b </w:t>
      </w:r>
      <w:r>
        <w:rPr/>
        <w:t>当液体闪蒸不完全，有一部分液体在地面形成液池，并吸收地面热量而汽化，其蒸发速率按下式计算，并应考虑对流传热系数。</w:t>
      </w:r>
    </w:p>
    <w:p>
      <w:pPr>
        <w:pStyle w:val="BodyText"/>
        <w:spacing w:line="478" w:lineRule="exact"/>
        <w:ind w:left="1058"/>
      </w:pPr>
      <w:r>
        <w:rPr/>
        <w:t>对于热量蒸发量，可按照下式估算：</w:t>
      </w:r>
    </w:p>
    <w:p>
      <w:pPr>
        <w:spacing w:before="45"/>
        <w:ind w:left="0" w:right="200" w:firstLine="0"/>
        <w:jc w:val="center"/>
        <w:rPr>
          <w:rFonts w:ascii="Times New Roman" w:hAnsi="Times New Roman"/>
          <w:sz w:val="24"/>
        </w:rPr>
      </w:pPr>
      <w:r>
        <w:rPr/>
        <w:pict>
          <v:group style="position:absolute;margin-left:273.349091pt;margin-top:19.843050pt;width:73.2pt;height:16.8pt;mso-position-horizontal-relative:page;mso-position-vertical-relative:paragraph;z-index:-1113640" coordorigin="5467,397" coordsize="1464,336">
            <v:shape style="position:absolute;left:928;top:9626;width:939;height:261" coordorigin="929,9626" coordsize="939,261" path="m5853,625l5878,611m5878,611l5936,709m5936,709l6000,450m6000,449l6783,449e" filled="false" stroked="true" strokeweight=".138942pt" strokecolor="#000000">
              <v:path arrowok="t"/>
              <v:stroke dashstyle="solid"/>
            </v:shape>
            <v:shape style="position:absolute;left:5841;top:433;width:931;height:266" coordorigin="5842,433" coordsize="931,266" path="m5885,608l5862,608,5921,699,5932,699,5939,673,5926,673,5885,608xm6773,433l5985,433,5926,673,5939,673,5994,446,6773,446,6773,433xm5874,593l5842,611,5845,619,5862,608,5885,608,5874,593xe" filled="true" fillcolor="#000000" stroked="false">
              <v:path arrowok="t"/>
              <v:fill type="solid"/>
            </v:shape>
            <v:line style="position:absolute" from="5467,403" to="6930,403" stroked="true" strokeweight=".596153pt" strokecolor="#000000">
              <v:stroke dashstyle="solid"/>
            </v:line>
            <v:shape style="position:absolute;left:5466;top:396;width:1464;height:336" type="#_x0000_t202" filled="false" stroked="false">
              <v:textbox inset="0,0,0,0">
                <w:txbxContent>
                  <w:p>
                    <w:pPr>
                      <w:spacing w:before="17"/>
                      <w:ind w:left="160" w:right="0" w:firstLine="0"/>
                      <w:jc w:val="left"/>
                      <w:rPr>
                        <w:rFonts w:ascii="Times New Roman" w:hAnsi="Times New Roman"/>
                        <w:i/>
                        <w:sz w:val="24"/>
                      </w:rPr>
                    </w:pPr>
                    <w:r>
                      <w:rPr>
                        <w:rFonts w:ascii="Times New Roman" w:hAnsi="Times New Roman"/>
                        <w:i/>
                        <w:sz w:val="24"/>
                      </w:rPr>
                      <w:t>H </w:t>
                    </w:r>
                    <w:r>
                      <w:rPr>
                        <w:rFonts w:ascii="Symbol" w:hAnsi="Symbol"/>
                        <w:i/>
                        <w:sz w:val="26"/>
                      </w:rPr>
                      <w:t></w:t>
                    </w:r>
                    <w:r>
                      <w:rPr>
                        <w:rFonts w:ascii="Times New Roman" w:hAnsi="Times New Roman"/>
                        <w:i/>
                        <w:sz w:val="26"/>
                      </w:rPr>
                      <w:t> </w:t>
                    </w:r>
                    <w:r>
                      <w:rPr>
                        <w:rFonts w:ascii="Symbol" w:hAnsi="Symbol"/>
                        <w:sz w:val="24"/>
                      </w:rPr>
                      <w:t></w:t>
                    </w:r>
                    <w:r>
                      <w:rPr>
                        <w:rFonts w:ascii="Symbol" w:hAnsi="Symbol"/>
                        <w:i/>
                        <w:sz w:val="26"/>
                      </w:rPr>
                      <w:t></w:t>
                    </w:r>
                    <w:r>
                      <w:rPr>
                        <w:rFonts w:ascii="Times New Roman" w:hAnsi="Times New Roman"/>
                        <w:i/>
                        <w:sz w:val="26"/>
                      </w:rPr>
                      <w:t> </w:t>
                    </w:r>
                    <w:r>
                      <w:rPr>
                        <w:rFonts w:ascii="Symbol" w:hAnsi="Symbol"/>
                        <w:sz w:val="24"/>
                      </w:rPr>
                      <w:t></w:t>
                    </w:r>
                    <w:r>
                      <w:rPr>
                        <w:rFonts w:ascii="Times New Roman" w:hAnsi="Times New Roman"/>
                        <w:sz w:val="24"/>
                      </w:rPr>
                      <w:t> </w:t>
                    </w:r>
                    <w:r>
                      <w:rPr>
                        <w:rFonts w:ascii="Times New Roman" w:hAnsi="Times New Roman"/>
                        <w:i/>
                        <w:sz w:val="24"/>
                      </w:rPr>
                      <w:t>t</w:t>
                    </w:r>
                  </w:p>
                </w:txbxContent>
              </v:textbox>
              <w10:wrap type="none"/>
            </v:shape>
            <w10:wrap type="none"/>
          </v:group>
        </w:pict>
      </w:r>
      <w:r>
        <w:rPr/>
        <w:pict>
          <v:shape style="position:absolute;margin-left:256.340271pt;margin-top:20.048328pt;width:3.55pt;height:7.9pt;mso-position-horizontal-relative:page;mso-position-vertical-relative:paragraph;z-index:-1113616" type="#_x0000_t202" filled="false" stroked="false">
            <v:textbox inset="0,0,0,0">
              <w:txbxContent>
                <w:p>
                  <w:pPr>
                    <w:spacing w:line="157" w:lineRule="exact" w:before="0"/>
                    <w:ind w:left="0" w:right="0" w:firstLine="0"/>
                    <w:jc w:val="left"/>
                    <w:rPr>
                      <w:rFonts w:ascii="Times New Roman"/>
                      <w:sz w:val="14"/>
                    </w:rPr>
                  </w:pPr>
                  <w:r>
                    <w:rPr>
                      <w:rFonts w:ascii="Times New Roman"/>
                      <w:w w:val="101"/>
                      <w:sz w:val="14"/>
                    </w:rPr>
                    <w:t>2</w:t>
                  </w:r>
                </w:p>
              </w:txbxContent>
            </v:textbox>
            <w10:wrap type="none"/>
          </v:shape>
        </w:pict>
      </w:r>
      <w:r>
        <w:rPr>
          <w:rFonts w:ascii="Times New Roman" w:hAnsi="Times New Roman"/>
          <w:i/>
          <w:position w:val="-15"/>
          <w:sz w:val="24"/>
        </w:rPr>
        <w:t>Q  </w:t>
      </w:r>
      <w:r>
        <w:rPr>
          <w:rFonts w:ascii="Symbol" w:hAnsi="Symbol"/>
          <w:position w:val="-15"/>
          <w:sz w:val="24"/>
        </w:rPr>
        <w:t></w:t>
      </w:r>
      <w:r>
        <w:rPr>
          <w:rFonts w:ascii="Times New Roman" w:hAnsi="Times New Roman"/>
          <w:position w:val="-15"/>
          <w:sz w:val="24"/>
        </w:rPr>
        <w:t> </w:t>
      </w:r>
      <w:r>
        <w:rPr>
          <w:rFonts w:ascii="Symbol" w:hAnsi="Symbol"/>
          <w:i/>
          <w:sz w:val="26"/>
        </w:rPr>
        <w:t></w:t>
      </w:r>
      <w:r>
        <w:rPr>
          <w:rFonts w:ascii="Times New Roman" w:hAnsi="Times New Roman"/>
          <w:i/>
          <w:sz w:val="26"/>
        </w:rPr>
        <w:t> </w:t>
      </w:r>
      <w:r>
        <w:rPr>
          <w:rFonts w:ascii="Symbol" w:hAnsi="Symbol"/>
          <w:sz w:val="24"/>
        </w:rPr>
        <w:t></w:t>
      </w:r>
      <w:r>
        <w:rPr>
          <w:rFonts w:ascii="Times New Roman" w:hAnsi="Times New Roman"/>
          <w:sz w:val="24"/>
        </w:rPr>
        <w:t> </w:t>
      </w:r>
      <w:r>
        <w:rPr>
          <w:rFonts w:ascii="Times New Roman" w:hAnsi="Times New Roman"/>
          <w:i/>
          <w:sz w:val="24"/>
        </w:rPr>
        <w:t>S </w:t>
      </w:r>
      <w:r>
        <w:rPr>
          <w:rFonts w:ascii="Symbol" w:hAnsi="Symbol"/>
          <w:sz w:val="24"/>
        </w:rPr>
        <w:t></w:t>
      </w:r>
      <w:r>
        <w:rPr>
          <w:rFonts w:ascii="Times New Roman" w:hAnsi="Times New Roman"/>
          <w:sz w:val="24"/>
        </w:rPr>
        <w:t> (</w:t>
      </w:r>
      <w:r>
        <w:rPr>
          <w:rFonts w:ascii="Times New Roman" w:hAnsi="Times New Roman"/>
          <w:i/>
          <w:sz w:val="24"/>
        </w:rPr>
        <w:t>T</w:t>
      </w:r>
      <w:r>
        <w:rPr>
          <w:rFonts w:ascii="Times New Roman" w:hAnsi="Times New Roman"/>
          <w:position w:val="-5"/>
          <w:sz w:val="14"/>
        </w:rPr>
        <w:t>0  </w:t>
      </w:r>
      <w:r>
        <w:rPr>
          <w:rFonts w:ascii="Symbol" w:hAnsi="Symbol"/>
          <w:sz w:val="24"/>
        </w:rPr>
        <w:t></w:t>
      </w:r>
      <w:r>
        <w:rPr>
          <w:rFonts w:ascii="Times New Roman" w:hAnsi="Times New Roman"/>
          <w:sz w:val="24"/>
        </w:rPr>
        <w:t> </w:t>
      </w:r>
      <w:r>
        <w:rPr>
          <w:rFonts w:ascii="Times New Roman" w:hAnsi="Times New Roman"/>
          <w:i/>
          <w:sz w:val="24"/>
        </w:rPr>
        <w:t>T</w:t>
      </w:r>
      <w:r>
        <w:rPr>
          <w:rFonts w:ascii="Times New Roman" w:hAnsi="Times New Roman"/>
          <w:i/>
          <w:position w:val="-5"/>
          <w:sz w:val="14"/>
        </w:rPr>
        <w:t>b </w:t>
      </w:r>
      <w:r>
        <w:rPr>
          <w:rFonts w:ascii="Times New Roman" w:hAnsi="Times New Roman"/>
          <w:sz w:val="24"/>
        </w:rPr>
        <w:t>)</w:t>
      </w:r>
    </w:p>
    <w:p>
      <w:pPr>
        <w:pStyle w:val="BodyText"/>
        <w:spacing w:before="6"/>
        <w:rPr>
          <w:rFonts w:ascii="Times New Roman"/>
          <w:sz w:val="25"/>
        </w:rPr>
      </w:pPr>
    </w:p>
    <w:p>
      <w:pPr>
        <w:pStyle w:val="BodyText"/>
        <w:spacing w:line="479" w:lineRule="exact"/>
        <w:ind w:right="3923"/>
        <w:jc w:val="center"/>
      </w:pPr>
      <w:r>
        <w:rPr/>
        <w:t>式中： </w:t>
      </w:r>
      <w:r>
        <w:rPr>
          <w:rFonts w:ascii="Times New Roman" w:hAnsi="Times New Roman" w:eastAsia="Times New Roman"/>
          <w:i/>
          <w:sz w:val="25"/>
        </w:rPr>
        <w:t>Q</w:t>
      </w:r>
      <w:r>
        <w:rPr>
          <w:rFonts w:ascii="Times New Roman" w:hAnsi="Times New Roman" w:eastAsia="Times New Roman"/>
          <w:position w:val="-5"/>
          <w:sz w:val="14"/>
        </w:rPr>
        <w:t>2 </w:t>
      </w:r>
      <w:r>
        <w:rPr>
          <w:rFonts w:ascii="Times New Roman" w:hAnsi="Times New Roman" w:eastAsia="Times New Roman"/>
        </w:rPr>
        <w:t>—</w:t>
      </w:r>
      <w:r>
        <w:rPr/>
        <w:t>热量蒸发速率，</w:t>
      </w:r>
      <w:r>
        <w:rPr>
          <w:rFonts w:ascii="Times New Roman" w:hAnsi="Times New Roman" w:eastAsia="Times New Roman"/>
        </w:rPr>
        <w:t>kg/s</w:t>
      </w:r>
      <w:r>
        <w:rPr/>
        <w:t>；</w:t>
      </w:r>
    </w:p>
    <w:p>
      <w:pPr>
        <w:spacing w:before="17"/>
        <w:ind w:left="1799" w:right="0" w:firstLine="0"/>
        <w:jc w:val="left"/>
        <w:rPr>
          <w:sz w:val="24"/>
        </w:rPr>
      </w:pPr>
      <w:r>
        <w:rPr>
          <w:rFonts w:ascii="Times New Roman" w:hAnsi="Times New Roman" w:eastAsia="Times New Roman"/>
          <w:i/>
          <w:sz w:val="25"/>
        </w:rPr>
        <w:t>T</w:t>
      </w:r>
      <w:r>
        <w:rPr>
          <w:rFonts w:ascii="Times New Roman" w:hAnsi="Times New Roman" w:eastAsia="Times New Roman"/>
          <w:position w:val="-5"/>
          <w:sz w:val="14"/>
        </w:rPr>
        <w:t>0 </w:t>
      </w:r>
      <w:r>
        <w:rPr>
          <w:rFonts w:ascii="Times New Roman" w:hAnsi="Times New Roman" w:eastAsia="Times New Roman"/>
          <w:sz w:val="24"/>
        </w:rPr>
        <w:t>—</w:t>
      </w:r>
      <w:r>
        <w:rPr>
          <w:sz w:val="24"/>
        </w:rPr>
        <w:t>环境温度，</w:t>
      </w:r>
      <w:r>
        <w:rPr>
          <w:rFonts w:ascii="Times New Roman" w:hAnsi="Times New Roman" w:eastAsia="Times New Roman"/>
          <w:sz w:val="24"/>
        </w:rPr>
        <w:t>K</w:t>
      </w:r>
      <w:r>
        <w:rPr>
          <w:sz w:val="24"/>
        </w:rPr>
        <w:t>；</w:t>
      </w:r>
    </w:p>
    <w:p>
      <w:pPr>
        <w:spacing w:before="19"/>
        <w:ind w:left="1799" w:right="0" w:firstLine="0"/>
        <w:jc w:val="left"/>
        <w:rPr>
          <w:sz w:val="24"/>
        </w:rPr>
      </w:pPr>
      <w:r>
        <w:rPr>
          <w:rFonts w:ascii="Times New Roman" w:hAnsi="Times New Roman" w:eastAsia="Times New Roman"/>
          <w:i/>
          <w:sz w:val="25"/>
        </w:rPr>
        <w:t>T</w:t>
      </w:r>
      <w:r>
        <w:rPr>
          <w:rFonts w:ascii="Times New Roman" w:hAnsi="Times New Roman" w:eastAsia="Times New Roman"/>
          <w:i/>
          <w:position w:val="-5"/>
          <w:sz w:val="14"/>
        </w:rPr>
        <w:t>b </w:t>
      </w:r>
      <w:r>
        <w:rPr>
          <w:rFonts w:ascii="Times New Roman" w:hAnsi="Times New Roman" w:eastAsia="Times New Roman"/>
          <w:sz w:val="24"/>
        </w:rPr>
        <w:t>—</w:t>
      </w:r>
      <w:r>
        <w:rPr>
          <w:sz w:val="24"/>
        </w:rPr>
        <w:t>泄漏液体沸点，</w:t>
      </w:r>
      <w:r>
        <w:rPr>
          <w:rFonts w:ascii="Times New Roman" w:hAnsi="Times New Roman" w:eastAsia="Times New Roman"/>
          <w:sz w:val="24"/>
        </w:rPr>
        <w:t>K</w:t>
      </w:r>
      <w:r>
        <w:rPr>
          <w:sz w:val="24"/>
        </w:rPr>
        <w:t>；</w:t>
      </w:r>
    </w:p>
    <w:p>
      <w:pPr>
        <w:spacing w:line="490" w:lineRule="exact" w:before="7"/>
        <w:ind w:left="1816" w:right="0" w:firstLine="0"/>
        <w:jc w:val="left"/>
        <w:rPr>
          <w:sz w:val="24"/>
        </w:rPr>
      </w:pPr>
      <w:r>
        <w:rPr>
          <w:rFonts w:ascii="Times New Roman" w:hAnsi="Times New Roman" w:eastAsia="Times New Roman"/>
          <w:i/>
          <w:sz w:val="25"/>
        </w:rPr>
        <w:t>S </w:t>
      </w:r>
      <w:r>
        <w:rPr>
          <w:rFonts w:ascii="Times New Roman" w:hAnsi="Times New Roman" w:eastAsia="Times New Roman"/>
          <w:sz w:val="24"/>
        </w:rPr>
        <w:t>—</w:t>
      </w:r>
      <w:r>
        <w:rPr>
          <w:sz w:val="24"/>
        </w:rPr>
        <w:t>液池面积，</w:t>
      </w:r>
      <w:r>
        <w:rPr>
          <w:rFonts w:ascii="Times New Roman" w:hAnsi="Times New Roman" w:eastAsia="Times New Roman"/>
          <w:sz w:val="24"/>
        </w:rPr>
        <w:t>m</w:t>
      </w:r>
      <w:r>
        <w:rPr>
          <w:rFonts w:ascii="Times New Roman" w:hAnsi="Times New Roman" w:eastAsia="Times New Roman"/>
          <w:position w:val="9"/>
          <w:sz w:val="16"/>
        </w:rPr>
        <w:t>2</w:t>
      </w:r>
      <w:r>
        <w:rPr>
          <w:sz w:val="24"/>
        </w:rPr>
        <w:t>；</w:t>
      </w:r>
    </w:p>
    <w:p>
      <w:pPr>
        <w:pStyle w:val="BodyText"/>
        <w:spacing w:line="467" w:lineRule="exact"/>
        <w:ind w:left="1825"/>
      </w:pPr>
      <w:r>
        <w:rPr>
          <w:rFonts w:ascii="Times New Roman" w:hAnsi="Times New Roman" w:eastAsia="Times New Roman"/>
          <w:i/>
          <w:sz w:val="23"/>
        </w:rPr>
        <w:t>H </w:t>
      </w:r>
      <w:r>
        <w:rPr>
          <w:rFonts w:ascii="Times New Roman" w:hAnsi="Times New Roman" w:eastAsia="Times New Roman"/>
        </w:rPr>
        <w:t>—</w:t>
      </w:r>
      <w:r>
        <w:rPr/>
        <w:t>液体汽化热，</w:t>
      </w:r>
      <w:r>
        <w:rPr>
          <w:rFonts w:ascii="Times New Roman" w:hAnsi="Times New Roman" w:eastAsia="Times New Roman"/>
        </w:rPr>
        <w:t>J/kg</w:t>
      </w:r>
      <w:r>
        <w:rPr/>
        <w:t>；</w:t>
      </w:r>
    </w:p>
    <w:p>
      <w:pPr>
        <w:pStyle w:val="BodyText"/>
        <w:spacing w:line="468" w:lineRule="exact"/>
        <w:ind w:left="1809"/>
      </w:pPr>
      <w:r>
        <w:rPr>
          <w:rFonts w:ascii="Symbol" w:hAnsi="Symbol" w:eastAsia="Symbol"/>
          <w:i/>
          <w:sz w:val="26"/>
        </w:rPr>
        <w:t></w:t>
      </w:r>
      <w:r>
        <w:rPr>
          <w:rFonts w:ascii="Times New Roman" w:hAnsi="Times New Roman" w:eastAsia="Times New Roman"/>
          <w:i/>
          <w:sz w:val="26"/>
        </w:rPr>
        <w:t> </w:t>
      </w:r>
      <w:r>
        <w:rPr>
          <w:rFonts w:ascii="Times New Roman" w:hAnsi="Times New Roman" w:eastAsia="Times New Roman"/>
        </w:rPr>
        <w:t>—</w:t>
      </w:r>
      <w:r>
        <w:rPr/>
        <w:t>表面热导系数，</w:t>
      </w:r>
      <w:r>
        <w:rPr>
          <w:rFonts w:ascii="Times New Roman" w:hAnsi="Times New Roman" w:eastAsia="Times New Roman"/>
        </w:rPr>
        <w:t>W/(m.K)</w:t>
      </w:r>
      <w:r>
        <w:rPr/>
        <w:t>；</w:t>
      </w:r>
    </w:p>
    <w:p>
      <w:pPr>
        <w:pStyle w:val="BodyText"/>
        <w:spacing w:line="467" w:lineRule="exact"/>
        <w:ind w:left="1796"/>
      </w:pPr>
      <w:r>
        <w:rPr>
          <w:rFonts w:ascii="Symbol" w:hAnsi="Symbol" w:eastAsia="Symbol"/>
          <w:i/>
        </w:rPr>
        <w:t></w:t>
      </w:r>
      <w:r>
        <w:rPr>
          <w:rFonts w:ascii="Times New Roman" w:hAnsi="Times New Roman" w:eastAsia="Times New Roman"/>
          <w:i/>
        </w:rPr>
        <w:t> </w:t>
      </w:r>
      <w:r>
        <w:rPr>
          <w:rFonts w:ascii="Times New Roman" w:hAnsi="Times New Roman" w:eastAsia="Times New Roman"/>
        </w:rPr>
        <w:t>—</w:t>
      </w:r>
      <w:r>
        <w:rPr/>
        <w:t>表面热扩散系数，</w:t>
      </w:r>
      <w:r>
        <w:rPr>
          <w:rFonts w:ascii="Times New Roman" w:hAnsi="Times New Roman" w:eastAsia="Times New Roman"/>
        </w:rPr>
        <w:t>m</w:t>
      </w:r>
      <w:r>
        <w:rPr>
          <w:rFonts w:ascii="Times New Roman" w:hAnsi="Times New Roman" w:eastAsia="Times New Roman"/>
          <w:vertAlign w:val="superscript"/>
        </w:rPr>
        <w:t>2</w:t>
      </w:r>
      <w:r>
        <w:rPr>
          <w:rFonts w:ascii="Times New Roman" w:hAnsi="Times New Roman" w:eastAsia="Times New Roman"/>
          <w:vertAlign w:val="baseline"/>
        </w:rPr>
        <w:t>/s</w:t>
      </w:r>
      <w:r>
        <w:rPr>
          <w:vertAlign w:val="baseline"/>
        </w:rPr>
        <w:t>；</w:t>
      </w:r>
    </w:p>
    <w:p>
      <w:pPr>
        <w:pStyle w:val="BodyText"/>
        <w:spacing w:line="465" w:lineRule="exact"/>
        <w:ind w:left="1812"/>
      </w:pPr>
      <w:r>
        <w:rPr>
          <w:rFonts w:ascii="Times New Roman" w:hAnsi="Times New Roman" w:eastAsia="Times New Roman"/>
          <w:i/>
        </w:rPr>
        <w:t>t </w:t>
      </w:r>
      <w:r>
        <w:rPr>
          <w:rFonts w:ascii="Times New Roman" w:hAnsi="Times New Roman" w:eastAsia="Times New Roman"/>
        </w:rPr>
        <w:t>—</w:t>
      </w:r>
      <w:r>
        <w:rPr/>
        <w:t>蒸发时间，</w:t>
      </w:r>
      <w:r>
        <w:rPr>
          <w:rFonts w:ascii="Times New Roman" w:hAnsi="Times New Roman" w:eastAsia="Times New Roman"/>
        </w:rPr>
        <w:t>s</w:t>
      </w:r>
      <w:r>
        <w:rPr/>
        <w:t>。</w:t>
      </w:r>
    </w:p>
    <w:p>
      <w:pPr>
        <w:pStyle w:val="BodyText"/>
        <w:spacing w:line="220" w:lineRule="auto" w:before="8"/>
        <w:ind w:left="578" w:right="635" w:firstLine="479"/>
      </w:pPr>
      <w:r>
        <w:rPr>
          <w:rFonts w:ascii="Times New Roman" w:eastAsia="Times New Roman"/>
        </w:rPr>
        <w:t>c </w:t>
      </w:r>
      <w:r>
        <w:rPr>
          <w:spacing w:val="-11"/>
        </w:rPr>
        <w:t>当热量蒸发结束后，转由液池表面气流运动使液体蒸发，称之为质量蒸发。其蒸发速率按下式计算：</w:t>
      </w:r>
    </w:p>
    <w:p>
      <w:pPr>
        <w:pStyle w:val="BodyText"/>
        <w:spacing w:line="478" w:lineRule="exact"/>
        <w:ind w:left="1058"/>
      </w:pPr>
      <w:r>
        <w:rPr/>
        <w:t>对于质量蒸发量，可按照下式估算：</w:t>
      </w:r>
    </w:p>
    <w:p>
      <w:pPr>
        <w:pStyle w:val="BodyText"/>
        <w:spacing w:before="9"/>
        <w:rPr>
          <w:sz w:val="8"/>
        </w:rPr>
      </w:pPr>
      <w:r>
        <w:rPr/>
        <w:drawing>
          <wp:anchor distT="0" distB="0" distL="0" distR="0" allowOverlap="1" layoutInCell="1" locked="0" behindDoc="1" simplePos="0" relativeHeight="268435031">
            <wp:simplePos x="0" y="0"/>
            <wp:positionH relativeFrom="page">
              <wp:posOffset>3060805</wp:posOffset>
            </wp:positionH>
            <wp:positionV relativeFrom="paragraph">
              <wp:posOffset>138400</wp:posOffset>
            </wp:positionV>
            <wp:extent cx="1419860" cy="412908"/>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37" cstate="print"/>
                    <a:stretch>
                      <a:fillRect/>
                    </a:stretch>
                  </pic:blipFill>
                  <pic:spPr>
                    <a:xfrm>
                      <a:off x="0" y="0"/>
                      <a:ext cx="1419860" cy="412908"/>
                    </a:xfrm>
                    <a:prstGeom prst="rect">
                      <a:avLst/>
                    </a:prstGeom>
                  </pic:spPr>
                </pic:pic>
              </a:graphicData>
            </a:graphic>
          </wp:anchor>
        </w:drawing>
      </w:r>
    </w:p>
    <w:p>
      <w:pPr>
        <w:pStyle w:val="BodyText"/>
        <w:spacing w:before="80"/>
        <w:ind w:right="3923"/>
        <w:jc w:val="center"/>
      </w:pPr>
      <w:r>
        <w:rPr/>
        <w:t>式中： </w:t>
      </w:r>
      <w:r>
        <w:rPr>
          <w:rFonts w:ascii="Times New Roman" w:hAnsi="Times New Roman" w:eastAsia="Times New Roman"/>
          <w:i/>
          <w:sz w:val="25"/>
        </w:rPr>
        <w:t>Q</w:t>
      </w:r>
      <w:r>
        <w:rPr>
          <w:rFonts w:ascii="Times New Roman" w:hAnsi="Times New Roman" w:eastAsia="Times New Roman"/>
          <w:position w:val="-5"/>
          <w:sz w:val="14"/>
        </w:rPr>
        <w:t>3 </w:t>
      </w:r>
      <w:r>
        <w:rPr>
          <w:rFonts w:ascii="Times New Roman" w:hAnsi="Times New Roman" w:eastAsia="Times New Roman"/>
        </w:rPr>
        <w:t>—</w:t>
      </w:r>
      <w:r>
        <w:rPr/>
        <w:t>质量蒸发速率，</w:t>
      </w:r>
      <w:r>
        <w:rPr>
          <w:rFonts w:ascii="Times New Roman" w:hAnsi="Times New Roman" w:eastAsia="Times New Roman"/>
        </w:rPr>
        <w:t>kg/s</w:t>
      </w:r>
      <w:r>
        <w:rPr/>
        <w:t>；</w:t>
      </w:r>
    </w:p>
    <w:p>
      <w:pPr>
        <w:pStyle w:val="BodyText"/>
        <w:spacing w:before="13"/>
        <w:ind w:left="1916"/>
      </w:pPr>
      <w:r>
        <w:rPr>
          <w:rFonts w:ascii="Symbol" w:hAnsi="Symbol" w:eastAsia="Symbol"/>
          <w:i/>
        </w:rPr>
        <w:t></w:t>
      </w:r>
      <w:r>
        <w:rPr>
          <w:rFonts w:ascii="Times New Roman" w:hAnsi="Times New Roman" w:eastAsia="Times New Roman"/>
          <w:i/>
        </w:rPr>
        <w:t> </w:t>
      </w:r>
      <w:r>
        <w:rPr/>
        <w:t>，</w:t>
      </w:r>
      <w:r>
        <w:rPr>
          <w:rFonts w:ascii="Times New Roman" w:hAnsi="Times New Roman" w:eastAsia="Times New Roman"/>
        </w:rPr>
        <w:t>n—</w:t>
      </w:r>
      <w:r>
        <w:rPr/>
        <w:t>大气稳定度系数，取值见表 </w:t>
      </w:r>
      <w:r>
        <w:rPr>
          <w:rFonts w:ascii="Times New Roman" w:hAnsi="Times New Roman" w:eastAsia="Times New Roman"/>
        </w:rPr>
        <w:t>7.2-18</w:t>
      </w:r>
      <w:r>
        <w:rPr/>
        <w:t>；</w:t>
      </w:r>
    </w:p>
    <w:p>
      <w:pPr>
        <w:spacing w:after="0"/>
        <w:sectPr>
          <w:pgSz w:w="11910" w:h="16840"/>
          <w:pgMar w:header="877" w:footer="973" w:top="1340" w:bottom="1160" w:left="1220" w:right="1040"/>
        </w:sectPr>
      </w:pPr>
    </w:p>
    <w:p>
      <w:pPr>
        <w:pStyle w:val="BodyText"/>
        <w:spacing w:line="471" w:lineRule="exact"/>
        <w:ind w:left="1965"/>
      </w:pPr>
      <w:r>
        <w:rPr>
          <w:rFonts w:ascii="Times New Roman" w:hAnsi="Times New Roman" w:eastAsia="Times New Roman"/>
          <w:i/>
          <w:sz w:val="23"/>
        </w:rPr>
        <w:t>p </w:t>
      </w:r>
      <w:r>
        <w:rPr>
          <w:rFonts w:ascii="Times New Roman" w:hAnsi="Times New Roman" w:eastAsia="Times New Roman"/>
          <w:position w:val="1"/>
        </w:rPr>
        <w:t>—</w:t>
      </w:r>
      <w:r>
        <w:rPr>
          <w:position w:val="1"/>
        </w:rPr>
        <w:t>液体表面蒸汽压；</w:t>
      </w:r>
    </w:p>
    <w:p>
      <w:pPr>
        <w:pStyle w:val="BodyText"/>
        <w:spacing w:line="485" w:lineRule="exact"/>
        <w:ind w:left="1943"/>
      </w:pPr>
      <w:r>
        <w:rPr>
          <w:rFonts w:ascii="Times New Roman" w:hAnsi="Times New Roman" w:eastAsia="Times New Roman"/>
          <w:i/>
          <w:sz w:val="23"/>
        </w:rPr>
        <w:t>R </w:t>
      </w:r>
      <w:r>
        <w:rPr>
          <w:rFonts w:ascii="Times New Roman" w:hAnsi="Times New Roman" w:eastAsia="Times New Roman"/>
        </w:rPr>
        <w:t>—</w:t>
      </w:r>
      <w:r>
        <w:rPr/>
        <w:t>气体常数，</w:t>
      </w:r>
      <w:r>
        <w:rPr>
          <w:rFonts w:ascii="Times New Roman" w:hAnsi="Times New Roman" w:eastAsia="Times New Roman"/>
        </w:rPr>
        <w:t>8.314J/mol.K</w:t>
      </w:r>
      <w:r>
        <w:rPr/>
        <w:t>；</w:t>
      </w:r>
    </w:p>
    <w:p>
      <w:pPr>
        <w:pStyle w:val="BodyText"/>
        <w:spacing w:line="470" w:lineRule="exact"/>
        <w:ind w:left="1898"/>
      </w:pPr>
      <w:r>
        <w:rPr>
          <w:rFonts w:ascii="Times New Roman" w:hAnsi="Times New Roman" w:eastAsia="Times New Roman"/>
        </w:rPr>
        <w:t>M—</w:t>
      </w:r>
      <w:r>
        <w:rPr/>
        <w:t>物质的摩尔质量；</w:t>
      </w:r>
    </w:p>
    <w:p>
      <w:pPr>
        <w:spacing w:line="492" w:lineRule="exact" w:before="0"/>
        <w:ind w:left="1919" w:right="0" w:firstLine="0"/>
        <w:jc w:val="left"/>
        <w:rPr>
          <w:sz w:val="24"/>
        </w:rPr>
      </w:pPr>
      <w:r>
        <w:rPr>
          <w:rFonts w:ascii="Times New Roman" w:hAnsi="Times New Roman" w:eastAsia="Times New Roman"/>
          <w:i/>
          <w:spacing w:val="-7"/>
          <w:sz w:val="25"/>
        </w:rPr>
        <w:t>T</w:t>
      </w:r>
      <w:r>
        <w:rPr>
          <w:rFonts w:ascii="Times New Roman" w:hAnsi="Times New Roman" w:eastAsia="Times New Roman"/>
          <w:spacing w:val="-7"/>
          <w:position w:val="-5"/>
          <w:sz w:val="14"/>
        </w:rPr>
        <w:t>0 </w:t>
      </w:r>
      <w:r>
        <w:rPr>
          <w:rFonts w:ascii="Times New Roman" w:hAnsi="Times New Roman" w:eastAsia="Times New Roman"/>
          <w:sz w:val="24"/>
        </w:rPr>
        <w:t>—</w:t>
      </w:r>
      <w:r>
        <w:rPr>
          <w:sz w:val="24"/>
        </w:rPr>
        <w:t>环境温度；</w:t>
      </w:r>
    </w:p>
    <w:p>
      <w:pPr>
        <w:pStyle w:val="BodyText"/>
        <w:spacing w:line="483" w:lineRule="exact" w:before="14"/>
        <w:ind w:left="1924"/>
      </w:pPr>
      <w:r>
        <w:rPr>
          <w:rFonts w:ascii="Times New Roman" w:hAnsi="Times New Roman" w:eastAsia="Times New Roman"/>
          <w:i/>
          <w:sz w:val="22"/>
        </w:rPr>
        <w:t>u</w:t>
      </w:r>
      <w:r>
        <w:rPr>
          <w:rFonts w:ascii="Times New Roman" w:hAnsi="Times New Roman" w:eastAsia="Times New Roman"/>
          <w:i/>
          <w:spacing w:val="-26"/>
          <w:sz w:val="22"/>
        </w:rPr>
        <w:t> </w:t>
      </w:r>
      <w:r>
        <w:rPr>
          <w:rFonts w:ascii="Times New Roman" w:hAnsi="Times New Roman" w:eastAsia="Times New Roman"/>
        </w:rPr>
        <w:t>—</w:t>
      </w:r>
      <w:r>
        <w:rPr/>
        <w:t>风速，</w:t>
      </w:r>
      <w:r>
        <w:rPr>
          <w:rFonts w:ascii="Times New Roman" w:hAnsi="Times New Roman" w:eastAsia="Times New Roman"/>
        </w:rPr>
        <w:t>m/s</w:t>
      </w:r>
      <w:r>
        <w:rPr/>
        <w:t>；</w:t>
      </w:r>
    </w:p>
    <w:p>
      <w:pPr>
        <w:spacing w:line="483" w:lineRule="exact" w:before="0"/>
        <w:ind w:left="1932" w:right="0" w:firstLine="0"/>
        <w:jc w:val="left"/>
        <w:rPr>
          <w:sz w:val="24"/>
        </w:rPr>
      </w:pPr>
      <w:r>
        <w:rPr>
          <w:rFonts w:ascii="Times New Roman" w:hAnsi="Times New Roman" w:eastAsia="Times New Roman"/>
          <w:i/>
          <w:sz w:val="21"/>
        </w:rPr>
        <w:t>r </w:t>
      </w:r>
      <w:r>
        <w:rPr>
          <w:rFonts w:ascii="Times New Roman" w:hAnsi="Times New Roman" w:eastAsia="Times New Roman"/>
          <w:position w:val="1"/>
          <w:sz w:val="24"/>
        </w:rPr>
        <w:t>—</w:t>
      </w:r>
      <w:r>
        <w:rPr>
          <w:position w:val="1"/>
          <w:sz w:val="24"/>
        </w:rPr>
        <w:t>液池半径。</w:t>
      </w:r>
    </w:p>
    <w:p>
      <w:pPr>
        <w:tabs>
          <w:tab w:pos="911" w:val="left" w:leader="none"/>
        </w:tabs>
        <w:spacing w:before="76" w:after="24"/>
        <w:ind w:left="0" w:right="175" w:firstLine="0"/>
        <w:jc w:val="center"/>
        <w:rPr>
          <w:sz w:val="21"/>
        </w:rPr>
      </w:pPr>
      <w:r>
        <w:rPr>
          <w:sz w:val="21"/>
        </w:rPr>
        <w:t>表</w:t>
      </w:r>
      <w:r>
        <w:rPr>
          <w:spacing w:val="7"/>
          <w:sz w:val="21"/>
        </w:rPr>
        <w:t> </w:t>
      </w:r>
      <w:r>
        <w:rPr>
          <w:rFonts w:ascii="Times New Roman" w:eastAsia="Times New Roman"/>
          <w:b/>
          <w:sz w:val="21"/>
        </w:rPr>
        <w:t>7.5-5</w:t>
        <w:tab/>
      </w:r>
      <w:r>
        <w:rPr>
          <w:sz w:val="21"/>
        </w:rPr>
        <w:t>液池蒸发模式</w:t>
      </w:r>
      <w:r>
        <w:rPr>
          <w:spacing w:val="-3"/>
          <w:sz w:val="21"/>
        </w:rPr>
        <w:t>参</w:t>
      </w:r>
      <w:r>
        <w:rPr>
          <w:sz w:val="21"/>
        </w:rPr>
        <w:t>数</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0"/>
        <w:gridCol w:w="2842"/>
        <w:gridCol w:w="2842"/>
      </w:tblGrid>
      <w:tr>
        <w:trPr>
          <w:trHeight w:val="340" w:hRule="atLeast"/>
        </w:trPr>
        <w:tc>
          <w:tcPr>
            <w:tcW w:w="2840" w:type="dxa"/>
            <w:tcBorders>
              <w:bottom w:val="single" w:sz="6" w:space="0" w:color="000000"/>
              <w:right w:val="single" w:sz="6" w:space="0" w:color="000000"/>
            </w:tcBorders>
          </w:tcPr>
          <w:p>
            <w:pPr>
              <w:pStyle w:val="TableParagraph"/>
              <w:spacing w:line="321" w:lineRule="exact"/>
              <w:ind w:left="762" w:right="742"/>
              <w:rPr>
                <w:sz w:val="21"/>
              </w:rPr>
            </w:pPr>
            <w:r>
              <w:rPr>
                <w:sz w:val="21"/>
              </w:rPr>
              <w:t>大气稳定度</w:t>
            </w:r>
          </w:p>
        </w:tc>
        <w:tc>
          <w:tcPr>
            <w:tcW w:w="2842" w:type="dxa"/>
            <w:tcBorders>
              <w:left w:val="single" w:sz="6" w:space="0" w:color="000000"/>
              <w:bottom w:val="single" w:sz="6" w:space="0" w:color="000000"/>
              <w:right w:val="single" w:sz="6" w:space="0" w:color="000000"/>
            </w:tcBorders>
          </w:tcPr>
          <w:p>
            <w:pPr>
              <w:pStyle w:val="TableParagraph"/>
              <w:spacing w:before="44"/>
              <w:ind w:left="27"/>
              <w:rPr>
                <w:rFonts w:ascii="Times New Roman"/>
                <w:sz w:val="21"/>
              </w:rPr>
            </w:pPr>
            <w:r>
              <w:rPr>
                <w:rFonts w:ascii="Times New Roman"/>
                <w:w w:val="100"/>
                <w:sz w:val="21"/>
              </w:rPr>
              <w:t>n</w:t>
            </w:r>
          </w:p>
        </w:tc>
        <w:tc>
          <w:tcPr>
            <w:tcW w:w="2842" w:type="dxa"/>
            <w:tcBorders>
              <w:left w:val="single" w:sz="6" w:space="0" w:color="000000"/>
              <w:bottom w:val="single" w:sz="6" w:space="0" w:color="000000"/>
            </w:tcBorders>
          </w:tcPr>
          <w:p>
            <w:pPr>
              <w:pStyle w:val="TableParagraph"/>
              <w:spacing w:line="287" w:lineRule="exact"/>
              <w:ind w:right="15"/>
              <w:rPr>
                <w:rFonts w:ascii="Symbol" w:hAnsi="Symbol"/>
                <w:i/>
                <w:sz w:val="24"/>
              </w:rPr>
            </w:pPr>
            <w:r>
              <w:rPr>
                <w:rFonts w:ascii="Symbol" w:hAnsi="Symbol"/>
                <w:i/>
                <w:w w:val="100"/>
                <w:sz w:val="24"/>
              </w:rPr>
              <w:t></w:t>
            </w:r>
          </w:p>
        </w:tc>
      </w:tr>
      <w:tr>
        <w:trPr>
          <w:trHeight w:val="340" w:hRule="atLeast"/>
        </w:trPr>
        <w:tc>
          <w:tcPr>
            <w:tcW w:w="2840" w:type="dxa"/>
            <w:tcBorders>
              <w:top w:val="single" w:sz="6" w:space="0" w:color="000000"/>
              <w:bottom w:val="single" w:sz="6" w:space="0" w:color="000000"/>
              <w:right w:val="single" w:sz="6" w:space="0" w:color="000000"/>
            </w:tcBorders>
          </w:tcPr>
          <w:p>
            <w:pPr>
              <w:pStyle w:val="TableParagraph"/>
              <w:spacing w:line="320" w:lineRule="exact"/>
              <w:ind w:left="763" w:right="742"/>
              <w:rPr>
                <w:rFonts w:ascii="Times New Roman" w:eastAsia="Times New Roman"/>
                <w:sz w:val="21"/>
              </w:rPr>
            </w:pPr>
            <w:r>
              <w:rPr>
                <w:sz w:val="21"/>
              </w:rPr>
              <w:t>不稳定</w:t>
            </w:r>
            <w:r>
              <w:rPr>
                <w:rFonts w:ascii="Times New Roman" w:eastAsia="Times New Roman"/>
                <w:sz w:val="21"/>
              </w:rPr>
              <w:t>(A</w:t>
            </w:r>
            <w:r>
              <w:rPr>
                <w:sz w:val="21"/>
              </w:rPr>
              <w:t>，</w:t>
            </w:r>
            <w:r>
              <w:rPr>
                <w:rFonts w:ascii="Times New Roman" w:eastAsia="Times New Roman"/>
                <w:sz w:val="21"/>
              </w:rPr>
              <w:t>B)</w:t>
            </w:r>
          </w:p>
        </w:tc>
        <w:tc>
          <w:tcPr>
            <w:tcW w:w="2842" w:type="dxa"/>
            <w:tcBorders>
              <w:top w:val="single" w:sz="6" w:space="0" w:color="000000"/>
              <w:left w:val="single" w:sz="6" w:space="0" w:color="000000"/>
              <w:bottom w:val="single" w:sz="6" w:space="0" w:color="000000"/>
              <w:right w:val="single" w:sz="6" w:space="0" w:color="000000"/>
            </w:tcBorders>
          </w:tcPr>
          <w:p>
            <w:pPr>
              <w:pStyle w:val="TableParagraph"/>
              <w:spacing w:before="43"/>
              <w:ind w:left="1223" w:right="1196"/>
              <w:rPr>
                <w:rFonts w:ascii="Times New Roman"/>
                <w:sz w:val="21"/>
              </w:rPr>
            </w:pPr>
            <w:r>
              <w:rPr>
                <w:rFonts w:ascii="Times New Roman"/>
                <w:sz w:val="21"/>
              </w:rPr>
              <w:t>0.2</w:t>
            </w:r>
          </w:p>
        </w:tc>
        <w:tc>
          <w:tcPr>
            <w:tcW w:w="2842" w:type="dxa"/>
            <w:tcBorders>
              <w:top w:val="single" w:sz="6" w:space="0" w:color="000000"/>
              <w:left w:val="single" w:sz="6" w:space="0" w:color="000000"/>
              <w:bottom w:val="single" w:sz="6" w:space="0" w:color="000000"/>
            </w:tcBorders>
          </w:tcPr>
          <w:p>
            <w:pPr>
              <w:pStyle w:val="TableParagraph"/>
              <w:spacing w:before="39"/>
              <w:ind w:left="777" w:right="739"/>
              <w:rPr>
                <w:rFonts w:ascii="Times New Roman" w:hAnsi="Times New Roman"/>
                <w:sz w:val="14"/>
              </w:rPr>
            </w:pPr>
            <w:r>
              <w:rPr>
                <w:rFonts w:ascii="Times New Roman" w:hAnsi="Times New Roman"/>
                <w:sz w:val="21"/>
              </w:rPr>
              <w:t>3.846×10 </w:t>
            </w:r>
            <w:r>
              <w:rPr>
                <w:rFonts w:ascii="Times New Roman" w:hAnsi="Times New Roman"/>
                <w:position w:val="7"/>
                <w:sz w:val="14"/>
              </w:rPr>
              <w:t>-3</w:t>
            </w:r>
          </w:p>
        </w:tc>
      </w:tr>
      <w:tr>
        <w:trPr>
          <w:trHeight w:val="340" w:hRule="atLeast"/>
        </w:trPr>
        <w:tc>
          <w:tcPr>
            <w:tcW w:w="2840" w:type="dxa"/>
            <w:tcBorders>
              <w:top w:val="single" w:sz="6" w:space="0" w:color="000000"/>
              <w:bottom w:val="single" w:sz="6" w:space="0" w:color="000000"/>
              <w:right w:val="single" w:sz="6" w:space="0" w:color="000000"/>
            </w:tcBorders>
          </w:tcPr>
          <w:p>
            <w:pPr>
              <w:pStyle w:val="TableParagraph"/>
              <w:spacing w:line="320" w:lineRule="exact"/>
              <w:ind w:left="762" w:right="742"/>
              <w:rPr>
                <w:rFonts w:ascii="Times New Roman" w:eastAsia="Times New Roman"/>
                <w:sz w:val="21"/>
              </w:rPr>
            </w:pPr>
            <w:r>
              <w:rPr>
                <w:sz w:val="21"/>
              </w:rPr>
              <w:t>中性</w:t>
            </w:r>
            <w:r>
              <w:rPr>
                <w:rFonts w:ascii="Times New Roman" w:eastAsia="Times New Roman"/>
                <w:sz w:val="21"/>
              </w:rPr>
              <w:t>(D)</w:t>
            </w:r>
          </w:p>
        </w:tc>
        <w:tc>
          <w:tcPr>
            <w:tcW w:w="2842" w:type="dxa"/>
            <w:tcBorders>
              <w:top w:val="single" w:sz="6" w:space="0" w:color="000000"/>
              <w:left w:val="single" w:sz="6" w:space="0" w:color="000000"/>
              <w:bottom w:val="single" w:sz="6" w:space="0" w:color="000000"/>
              <w:right w:val="single" w:sz="6" w:space="0" w:color="000000"/>
            </w:tcBorders>
          </w:tcPr>
          <w:p>
            <w:pPr>
              <w:pStyle w:val="TableParagraph"/>
              <w:spacing w:before="43"/>
              <w:ind w:left="1223" w:right="1196"/>
              <w:rPr>
                <w:rFonts w:ascii="Times New Roman"/>
                <w:sz w:val="21"/>
              </w:rPr>
            </w:pPr>
            <w:r>
              <w:rPr>
                <w:rFonts w:ascii="Times New Roman"/>
                <w:sz w:val="21"/>
              </w:rPr>
              <w:t>0.25</w:t>
            </w:r>
          </w:p>
        </w:tc>
        <w:tc>
          <w:tcPr>
            <w:tcW w:w="2842" w:type="dxa"/>
            <w:tcBorders>
              <w:top w:val="single" w:sz="6" w:space="0" w:color="000000"/>
              <w:left w:val="single" w:sz="6" w:space="0" w:color="000000"/>
              <w:bottom w:val="single" w:sz="6" w:space="0" w:color="000000"/>
            </w:tcBorders>
          </w:tcPr>
          <w:p>
            <w:pPr>
              <w:pStyle w:val="TableParagraph"/>
              <w:spacing w:before="39"/>
              <w:ind w:left="777" w:right="739"/>
              <w:rPr>
                <w:rFonts w:ascii="Times New Roman" w:hAnsi="Times New Roman"/>
                <w:sz w:val="14"/>
              </w:rPr>
            </w:pPr>
            <w:r>
              <w:rPr>
                <w:rFonts w:ascii="Times New Roman" w:hAnsi="Times New Roman"/>
                <w:sz w:val="21"/>
              </w:rPr>
              <w:t>4.685×10 </w:t>
            </w:r>
            <w:r>
              <w:rPr>
                <w:rFonts w:ascii="Times New Roman" w:hAnsi="Times New Roman"/>
                <w:position w:val="7"/>
                <w:sz w:val="14"/>
              </w:rPr>
              <w:t>-3</w:t>
            </w:r>
          </w:p>
        </w:tc>
      </w:tr>
      <w:tr>
        <w:trPr>
          <w:trHeight w:val="337" w:hRule="atLeast"/>
        </w:trPr>
        <w:tc>
          <w:tcPr>
            <w:tcW w:w="2840" w:type="dxa"/>
            <w:tcBorders>
              <w:top w:val="single" w:sz="6" w:space="0" w:color="000000"/>
              <w:right w:val="single" w:sz="6" w:space="0" w:color="000000"/>
            </w:tcBorders>
          </w:tcPr>
          <w:p>
            <w:pPr>
              <w:pStyle w:val="TableParagraph"/>
              <w:spacing w:line="318" w:lineRule="exact"/>
              <w:ind w:left="756" w:right="742"/>
              <w:rPr>
                <w:rFonts w:ascii="Times New Roman" w:eastAsia="Times New Roman"/>
                <w:sz w:val="21"/>
              </w:rPr>
            </w:pPr>
            <w:r>
              <w:rPr>
                <w:sz w:val="21"/>
              </w:rPr>
              <w:t>稳定</w:t>
            </w:r>
            <w:r>
              <w:rPr>
                <w:rFonts w:ascii="Times New Roman" w:eastAsia="Times New Roman"/>
                <w:sz w:val="21"/>
              </w:rPr>
              <w:t>(E</w:t>
            </w:r>
            <w:r>
              <w:rPr>
                <w:sz w:val="21"/>
              </w:rPr>
              <w:t>，</w:t>
            </w:r>
            <w:r>
              <w:rPr>
                <w:rFonts w:ascii="Times New Roman" w:eastAsia="Times New Roman"/>
                <w:sz w:val="21"/>
              </w:rPr>
              <w:t>F)</w:t>
            </w:r>
          </w:p>
        </w:tc>
        <w:tc>
          <w:tcPr>
            <w:tcW w:w="2842" w:type="dxa"/>
            <w:tcBorders>
              <w:top w:val="single" w:sz="6" w:space="0" w:color="000000"/>
              <w:left w:val="single" w:sz="6" w:space="0" w:color="000000"/>
              <w:right w:val="single" w:sz="6" w:space="0" w:color="000000"/>
            </w:tcBorders>
          </w:tcPr>
          <w:p>
            <w:pPr>
              <w:pStyle w:val="TableParagraph"/>
              <w:spacing w:before="43"/>
              <w:ind w:left="1223" w:right="1196"/>
              <w:rPr>
                <w:rFonts w:ascii="Times New Roman"/>
                <w:sz w:val="21"/>
              </w:rPr>
            </w:pPr>
            <w:r>
              <w:rPr>
                <w:rFonts w:ascii="Times New Roman"/>
                <w:sz w:val="21"/>
              </w:rPr>
              <w:t>0.3</w:t>
            </w:r>
          </w:p>
        </w:tc>
        <w:tc>
          <w:tcPr>
            <w:tcW w:w="2842" w:type="dxa"/>
            <w:tcBorders>
              <w:top w:val="single" w:sz="6" w:space="0" w:color="000000"/>
              <w:left w:val="single" w:sz="6" w:space="0" w:color="000000"/>
            </w:tcBorders>
          </w:tcPr>
          <w:p>
            <w:pPr>
              <w:pStyle w:val="TableParagraph"/>
              <w:spacing w:before="39"/>
              <w:ind w:left="777" w:right="739"/>
              <w:rPr>
                <w:rFonts w:ascii="Times New Roman" w:hAnsi="Times New Roman"/>
                <w:sz w:val="14"/>
              </w:rPr>
            </w:pPr>
            <w:r>
              <w:rPr>
                <w:rFonts w:ascii="Times New Roman" w:hAnsi="Times New Roman"/>
                <w:sz w:val="21"/>
              </w:rPr>
              <w:t>5.285×10 </w:t>
            </w:r>
            <w:r>
              <w:rPr>
                <w:rFonts w:ascii="Times New Roman" w:hAnsi="Times New Roman"/>
                <w:position w:val="7"/>
                <w:sz w:val="14"/>
              </w:rPr>
              <w:t>-3</w:t>
            </w:r>
          </w:p>
        </w:tc>
      </w:tr>
    </w:tbl>
    <w:p>
      <w:pPr>
        <w:pStyle w:val="BodyText"/>
        <w:spacing w:line="488" w:lineRule="exact" w:before="122"/>
        <w:ind w:left="1058"/>
      </w:pPr>
      <w:r>
        <w:rPr>
          <w:rFonts w:ascii="Times New Roman" w:eastAsia="Times New Roman"/>
        </w:rPr>
        <w:t>d </w:t>
      </w:r>
      <w:r>
        <w:rPr/>
        <w:t>液体蒸发总量的计算</w:t>
      </w:r>
    </w:p>
    <w:p>
      <w:pPr>
        <w:pStyle w:val="BodyText"/>
        <w:spacing w:line="488" w:lineRule="exact"/>
        <w:ind w:left="1058"/>
      </w:pPr>
      <w:r>
        <w:rPr/>
        <w:t>液体蒸发总量按下式计算：</w:t>
      </w:r>
    </w:p>
    <w:p>
      <w:pPr>
        <w:pStyle w:val="BodyText"/>
        <w:spacing w:before="5"/>
        <w:rPr>
          <w:sz w:val="9"/>
        </w:rPr>
      </w:pPr>
      <w:r>
        <w:rPr/>
        <w:drawing>
          <wp:anchor distT="0" distB="0" distL="0" distR="0" allowOverlap="1" layoutInCell="1" locked="0" behindDoc="1" simplePos="0" relativeHeight="268435127">
            <wp:simplePos x="0" y="0"/>
            <wp:positionH relativeFrom="page">
              <wp:posOffset>2840116</wp:posOffset>
            </wp:positionH>
            <wp:positionV relativeFrom="paragraph">
              <wp:posOffset>149402</wp:posOffset>
            </wp:positionV>
            <wp:extent cx="1862986" cy="198024"/>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38" cstate="print"/>
                    <a:stretch>
                      <a:fillRect/>
                    </a:stretch>
                  </pic:blipFill>
                  <pic:spPr>
                    <a:xfrm>
                      <a:off x="0" y="0"/>
                      <a:ext cx="1862986" cy="198024"/>
                    </a:xfrm>
                    <a:prstGeom prst="rect">
                      <a:avLst/>
                    </a:prstGeom>
                  </pic:spPr>
                </pic:pic>
              </a:graphicData>
            </a:graphic>
          </wp:anchor>
        </w:drawing>
      </w:r>
    </w:p>
    <w:p>
      <w:pPr>
        <w:pStyle w:val="BodyText"/>
        <w:spacing w:line="488" w:lineRule="exact" w:before="7"/>
        <w:ind w:left="1058"/>
      </w:pPr>
      <w:r>
        <w:rPr>
          <w:position w:val="2"/>
        </w:rPr>
        <w:t>式中：</w:t>
      </w:r>
      <w:r>
        <w:rPr>
          <w:rFonts w:ascii="Times New Roman" w:hAnsi="Times New Roman" w:eastAsia="Times New Roman"/>
          <w:position w:val="2"/>
        </w:rPr>
        <w:t>W</w:t>
      </w:r>
      <w:r>
        <w:rPr>
          <w:rFonts w:ascii="Times New Roman" w:hAnsi="Times New Roman" w:eastAsia="Times New Roman"/>
          <w:sz w:val="16"/>
        </w:rPr>
        <w:t>p</w:t>
      </w:r>
      <w:r>
        <w:rPr>
          <w:rFonts w:ascii="Times New Roman" w:hAnsi="Times New Roman" w:eastAsia="Times New Roman"/>
          <w:position w:val="2"/>
        </w:rPr>
        <w:t>——</w:t>
      </w:r>
      <w:r>
        <w:rPr>
          <w:position w:val="2"/>
        </w:rPr>
        <w:t>液体蒸发总量，</w:t>
      </w:r>
      <w:r>
        <w:rPr>
          <w:rFonts w:ascii="Times New Roman" w:hAnsi="Times New Roman" w:eastAsia="Times New Roman"/>
          <w:position w:val="2"/>
        </w:rPr>
        <w:t>kg</w:t>
      </w:r>
      <w:r>
        <w:rPr>
          <w:position w:val="2"/>
        </w:rPr>
        <w:t>；</w:t>
      </w:r>
    </w:p>
    <w:p>
      <w:pPr>
        <w:pStyle w:val="BodyText"/>
        <w:spacing w:line="468" w:lineRule="exact"/>
        <w:ind w:left="1058"/>
      </w:pPr>
      <w:r>
        <w:rPr>
          <w:rFonts w:ascii="Times New Roman" w:hAnsi="Times New Roman" w:eastAsia="Times New Roman"/>
          <w:position w:val="2"/>
        </w:rPr>
        <w:t>Q</w:t>
      </w:r>
      <w:r>
        <w:rPr>
          <w:rFonts w:ascii="Times New Roman" w:hAnsi="Times New Roman" w:eastAsia="Times New Roman"/>
          <w:sz w:val="16"/>
        </w:rPr>
        <w:t>1</w:t>
      </w:r>
      <w:r>
        <w:rPr>
          <w:rFonts w:ascii="Times New Roman" w:hAnsi="Times New Roman" w:eastAsia="Times New Roman"/>
          <w:position w:val="2"/>
        </w:rPr>
        <w:t>——</w:t>
      </w:r>
      <w:r>
        <w:rPr>
          <w:position w:val="2"/>
        </w:rPr>
        <w:t>闪蒸液体蒸发速率，</w:t>
      </w:r>
      <w:r>
        <w:rPr>
          <w:rFonts w:ascii="Times New Roman" w:hAnsi="Times New Roman" w:eastAsia="Times New Roman"/>
          <w:position w:val="2"/>
        </w:rPr>
        <w:t>kg/s</w:t>
      </w:r>
      <w:r>
        <w:rPr>
          <w:position w:val="2"/>
        </w:rPr>
        <w:t>；</w:t>
      </w:r>
    </w:p>
    <w:p>
      <w:pPr>
        <w:pStyle w:val="BodyText"/>
        <w:spacing w:line="468" w:lineRule="exact"/>
        <w:ind w:left="1058"/>
      </w:pPr>
      <w:r>
        <w:rPr>
          <w:rFonts w:ascii="Times New Roman" w:hAnsi="Times New Roman" w:eastAsia="Times New Roman"/>
          <w:spacing w:val="-1"/>
          <w:position w:val="2"/>
        </w:rPr>
        <w:t>Q</w:t>
      </w:r>
      <w:r>
        <w:rPr>
          <w:rFonts w:ascii="Times New Roman" w:hAnsi="Times New Roman" w:eastAsia="Times New Roman"/>
          <w:spacing w:val="-1"/>
          <w:sz w:val="16"/>
        </w:rPr>
        <w:t>2</w:t>
      </w:r>
      <w:r>
        <w:rPr>
          <w:rFonts w:ascii="Times New Roman" w:hAnsi="Times New Roman" w:eastAsia="Times New Roman"/>
          <w:spacing w:val="-1"/>
          <w:position w:val="2"/>
        </w:rPr>
        <w:t>——</w:t>
      </w:r>
      <w:r>
        <w:rPr>
          <w:position w:val="2"/>
        </w:rPr>
        <w:t>热量蒸发速率，</w:t>
      </w:r>
      <w:r>
        <w:rPr>
          <w:rFonts w:ascii="Times New Roman" w:hAnsi="Times New Roman" w:eastAsia="Times New Roman"/>
          <w:position w:val="2"/>
        </w:rPr>
        <w:t>kg/s</w:t>
      </w:r>
      <w:r>
        <w:rPr>
          <w:position w:val="2"/>
        </w:rPr>
        <w:t>；</w:t>
      </w:r>
    </w:p>
    <w:p>
      <w:pPr>
        <w:pStyle w:val="BodyText"/>
        <w:spacing w:line="468" w:lineRule="exact"/>
        <w:ind w:left="1058"/>
      </w:pPr>
      <w:r>
        <w:rPr>
          <w:rFonts w:ascii="Times New Roman" w:hAnsi="Times New Roman" w:eastAsia="Times New Roman"/>
          <w:spacing w:val="-1"/>
          <w:position w:val="2"/>
        </w:rPr>
        <w:t>Q</w:t>
      </w:r>
      <w:r>
        <w:rPr>
          <w:rFonts w:ascii="Times New Roman" w:hAnsi="Times New Roman" w:eastAsia="Times New Roman"/>
          <w:spacing w:val="-1"/>
          <w:sz w:val="16"/>
        </w:rPr>
        <w:t>3</w:t>
      </w:r>
      <w:r>
        <w:rPr>
          <w:rFonts w:ascii="Times New Roman" w:hAnsi="Times New Roman" w:eastAsia="Times New Roman"/>
          <w:spacing w:val="-1"/>
          <w:position w:val="2"/>
        </w:rPr>
        <w:t>——</w:t>
      </w:r>
      <w:r>
        <w:rPr>
          <w:position w:val="2"/>
        </w:rPr>
        <w:t>质量蒸发速率，</w:t>
      </w:r>
      <w:r>
        <w:rPr>
          <w:rFonts w:ascii="Times New Roman" w:hAnsi="Times New Roman" w:eastAsia="Times New Roman"/>
          <w:position w:val="2"/>
        </w:rPr>
        <w:t>kg/s</w:t>
      </w:r>
      <w:r>
        <w:rPr>
          <w:position w:val="2"/>
        </w:rPr>
        <w:t>；</w:t>
      </w:r>
    </w:p>
    <w:p>
      <w:pPr>
        <w:pStyle w:val="BodyText"/>
        <w:spacing w:line="468" w:lineRule="exact"/>
        <w:ind w:left="1058"/>
      </w:pPr>
      <w:r>
        <w:rPr>
          <w:rFonts w:ascii="Times New Roman" w:hAnsi="Times New Roman" w:eastAsia="Times New Roman"/>
          <w:spacing w:val="-1"/>
          <w:position w:val="2"/>
        </w:rPr>
        <w:t>t</w:t>
      </w:r>
      <w:r>
        <w:rPr>
          <w:rFonts w:ascii="Times New Roman" w:hAnsi="Times New Roman" w:eastAsia="Times New Roman"/>
          <w:spacing w:val="-1"/>
          <w:sz w:val="16"/>
        </w:rPr>
        <w:t>1</w:t>
      </w:r>
      <w:r>
        <w:rPr>
          <w:rFonts w:ascii="Times New Roman" w:hAnsi="Times New Roman" w:eastAsia="Times New Roman"/>
          <w:spacing w:val="-1"/>
          <w:position w:val="2"/>
        </w:rPr>
        <w:t>——</w:t>
      </w:r>
      <w:r>
        <w:rPr>
          <w:position w:val="2"/>
        </w:rPr>
        <w:t>闪蒸蒸发时间，</w:t>
      </w:r>
      <w:r>
        <w:rPr>
          <w:rFonts w:ascii="Times New Roman" w:hAnsi="Times New Roman" w:eastAsia="Times New Roman"/>
          <w:position w:val="2"/>
        </w:rPr>
        <w:t>s</w:t>
      </w:r>
      <w:r>
        <w:rPr>
          <w:position w:val="2"/>
        </w:rPr>
        <w:t>；</w:t>
      </w:r>
    </w:p>
    <w:p>
      <w:pPr>
        <w:pStyle w:val="BodyText"/>
        <w:spacing w:line="468" w:lineRule="exact"/>
        <w:ind w:left="1058"/>
      </w:pPr>
      <w:r>
        <w:rPr>
          <w:rFonts w:ascii="Times New Roman" w:hAnsi="Times New Roman" w:eastAsia="Times New Roman"/>
          <w:spacing w:val="-1"/>
          <w:position w:val="2"/>
        </w:rPr>
        <w:t>t</w:t>
      </w:r>
      <w:r>
        <w:rPr>
          <w:rFonts w:ascii="Times New Roman" w:hAnsi="Times New Roman" w:eastAsia="Times New Roman"/>
          <w:spacing w:val="-1"/>
          <w:sz w:val="16"/>
        </w:rPr>
        <w:t>2</w:t>
      </w:r>
      <w:r>
        <w:rPr>
          <w:rFonts w:ascii="Times New Roman" w:hAnsi="Times New Roman" w:eastAsia="Times New Roman"/>
          <w:spacing w:val="-1"/>
          <w:position w:val="2"/>
        </w:rPr>
        <w:t>——</w:t>
      </w:r>
      <w:r>
        <w:rPr>
          <w:position w:val="2"/>
        </w:rPr>
        <w:t>热量蒸发时间，</w:t>
      </w:r>
      <w:r>
        <w:rPr>
          <w:rFonts w:ascii="Times New Roman" w:hAnsi="Times New Roman" w:eastAsia="Times New Roman"/>
          <w:position w:val="2"/>
        </w:rPr>
        <w:t>s</w:t>
      </w:r>
      <w:r>
        <w:rPr>
          <w:position w:val="2"/>
        </w:rPr>
        <w:t>；</w:t>
      </w:r>
    </w:p>
    <w:p>
      <w:pPr>
        <w:pStyle w:val="BodyText"/>
        <w:spacing w:line="469" w:lineRule="exact"/>
        <w:ind w:left="1058"/>
      </w:pPr>
      <w:r>
        <w:rPr>
          <w:rFonts w:ascii="Times New Roman" w:hAnsi="Times New Roman" w:eastAsia="Times New Roman"/>
          <w:position w:val="2"/>
        </w:rPr>
        <w:t>t</w:t>
      </w:r>
      <w:r>
        <w:rPr>
          <w:rFonts w:ascii="Times New Roman" w:hAnsi="Times New Roman" w:eastAsia="Times New Roman"/>
          <w:sz w:val="16"/>
        </w:rPr>
        <w:t>3</w:t>
      </w:r>
      <w:r>
        <w:rPr>
          <w:rFonts w:ascii="Times New Roman" w:hAnsi="Times New Roman" w:eastAsia="Times New Roman"/>
          <w:position w:val="2"/>
        </w:rPr>
        <w:t>——</w:t>
      </w:r>
      <w:r>
        <w:rPr>
          <w:position w:val="2"/>
        </w:rPr>
        <w:t>从液体泄漏到全部清理完毕的时间。</w:t>
      </w:r>
    </w:p>
    <w:p>
      <w:pPr>
        <w:pStyle w:val="BodyText"/>
        <w:spacing w:line="469" w:lineRule="exact"/>
        <w:ind w:left="1058"/>
      </w:pPr>
      <w:r>
        <w:rPr/>
        <w:t>由以上分析计算，项目盐酸、甲醛蒸发量如下：</w:t>
      </w:r>
    </w:p>
    <w:p>
      <w:pPr>
        <w:pStyle w:val="BodyText"/>
        <w:spacing w:line="220" w:lineRule="auto" w:before="8"/>
        <w:ind w:left="578" w:right="752" w:firstLine="479"/>
        <w:jc w:val="both"/>
      </w:pPr>
      <w:r>
        <w:rPr/>
        <w:t>盐酸的液体表面蒸气压为 </w:t>
      </w:r>
      <w:r>
        <w:rPr>
          <w:rFonts w:ascii="Times New Roman" w:eastAsia="Times New Roman"/>
        </w:rPr>
        <w:t>4777.9KPa</w:t>
      </w:r>
      <w:r>
        <w:rPr/>
        <w:t>，环境温度取 </w:t>
      </w:r>
      <w:r>
        <w:rPr>
          <w:rFonts w:ascii="Times New Roman" w:eastAsia="Times New Roman"/>
        </w:rPr>
        <w:t>298K</w:t>
      </w:r>
      <w:r>
        <w:rPr/>
        <w:t>，摩尔质量为</w:t>
      </w:r>
      <w:r>
        <w:rPr>
          <w:rFonts w:ascii="Times New Roman" w:eastAsia="Times New Roman"/>
        </w:rPr>
        <w:t>0.036kg/mol</w:t>
      </w:r>
      <w:r>
        <w:rPr/>
        <w:t>，风速为 </w:t>
      </w:r>
      <w:r>
        <w:rPr>
          <w:rFonts w:ascii="Times New Roman" w:eastAsia="Times New Roman"/>
        </w:rPr>
        <w:t>1.5m/s</w:t>
      </w:r>
      <w:r>
        <w:rPr/>
        <w:t>，液池半径为 </w:t>
      </w:r>
      <w:r>
        <w:rPr>
          <w:rFonts w:ascii="Times New Roman" w:eastAsia="Times New Roman"/>
        </w:rPr>
        <w:t>3.57m</w:t>
      </w:r>
      <w:r>
        <w:rPr/>
        <w:t>，大气稳定度取 </w:t>
      </w:r>
      <w:r>
        <w:rPr>
          <w:rFonts w:ascii="Times New Roman" w:eastAsia="Times New Roman"/>
        </w:rPr>
        <w:t>F</w:t>
      </w:r>
      <w:r>
        <w:rPr/>
        <w:t>。计算得到盐酸的质量蒸发速率为 </w:t>
      </w:r>
      <w:r>
        <w:rPr>
          <w:rFonts w:ascii="Times New Roman" w:eastAsia="Times New Roman"/>
        </w:rPr>
        <w:t>1.46kg/s</w:t>
      </w:r>
      <w:r>
        <w:rPr/>
        <w:t>。</w:t>
      </w:r>
    </w:p>
    <w:p>
      <w:pPr>
        <w:pStyle w:val="BodyText"/>
        <w:spacing w:line="460" w:lineRule="exact"/>
        <w:ind w:left="1058"/>
      </w:pPr>
      <w:r>
        <w:rPr/>
        <w:t>甲醛的液体表面蒸气压为 </w:t>
      </w:r>
      <w:r>
        <w:rPr>
          <w:rFonts w:ascii="Times New Roman" w:eastAsia="Times New Roman"/>
        </w:rPr>
        <w:t>518.4153KPa</w:t>
      </w:r>
      <w:r>
        <w:rPr/>
        <w:t>，环境温度取 </w:t>
      </w:r>
      <w:r>
        <w:rPr>
          <w:rFonts w:ascii="Times New Roman" w:eastAsia="Times New Roman"/>
        </w:rPr>
        <w:t>298K</w:t>
      </w:r>
      <w:r>
        <w:rPr/>
        <w:t>，摩尔质量为</w:t>
      </w:r>
    </w:p>
    <w:p>
      <w:pPr>
        <w:pStyle w:val="BodyText"/>
        <w:spacing w:line="220" w:lineRule="auto" w:before="8"/>
        <w:ind w:left="578" w:right="753"/>
      </w:pPr>
      <w:r>
        <w:rPr>
          <w:rFonts w:ascii="Times New Roman" w:eastAsia="Times New Roman"/>
          <w:spacing w:val="-3"/>
        </w:rPr>
        <w:t>0.03kg/mol</w:t>
      </w:r>
      <w:r>
        <w:rPr/>
        <w:t>，风速为 </w:t>
      </w:r>
      <w:r>
        <w:rPr>
          <w:rFonts w:ascii="Times New Roman" w:eastAsia="Times New Roman"/>
          <w:spacing w:val="-5"/>
        </w:rPr>
        <w:t>1.5m/s</w:t>
      </w:r>
      <w:r>
        <w:rPr>
          <w:spacing w:val="-1"/>
        </w:rPr>
        <w:t>，液池半径为 </w:t>
      </w:r>
      <w:r>
        <w:rPr>
          <w:rFonts w:ascii="Times New Roman" w:eastAsia="Times New Roman"/>
          <w:spacing w:val="-6"/>
        </w:rPr>
        <w:t>7.14m</w:t>
      </w:r>
      <w:r>
        <w:rPr>
          <w:spacing w:val="-1"/>
        </w:rPr>
        <w:t>，大气稳定度取 </w:t>
      </w:r>
      <w:r>
        <w:rPr>
          <w:rFonts w:ascii="Times New Roman" w:eastAsia="Times New Roman"/>
        </w:rPr>
        <w:t>F</w:t>
      </w:r>
      <w:r>
        <w:rPr>
          <w:spacing w:val="-6"/>
        </w:rPr>
        <w:t>。计算得到甲醛</w:t>
      </w:r>
      <w:r>
        <w:rPr>
          <w:spacing w:val="-5"/>
        </w:rPr>
        <w:t>的质量蒸发速率为 </w:t>
      </w:r>
      <w:r>
        <w:rPr>
          <w:rFonts w:ascii="Times New Roman" w:eastAsia="Times New Roman"/>
        </w:rPr>
        <w:t>0.483kg/s</w:t>
      </w:r>
      <w:r>
        <w:rPr/>
        <w:t>。采用重气体模式计算甲醛的扩散。</w:t>
      </w:r>
    </w:p>
    <w:p>
      <w:pPr>
        <w:pStyle w:val="BodyText"/>
        <w:spacing w:line="460" w:lineRule="exact"/>
        <w:ind w:left="1058"/>
      </w:pPr>
      <w:r>
        <w:rPr/>
        <w:t>（</w:t>
      </w:r>
      <w:r>
        <w:rPr>
          <w:rFonts w:ascii="Times New Roman" w:eastAsia="Times New Roman"/>
        </w:rPr>
        <w:t>2</w:t>
      </w:r>
      <w:r>
        <w:rPr/>
        <w:t>）地表水</w:t>
      </w:r>
    </w:p>
    <w:p>
      <w:pPr>
        <w:pStyle w:val="BodyText"/>
        <w:spacing w:line="488" w:lineRule="exact"/>
        <w:ind w:left="1058"/>
      </w:pPr>
      <w:r>
        <w:rPr/>
        <w:t>本项目地表水风险主要考虑盐酸储罐泄漏、甲醛储罐泄漏后物料进入地表</w:t>
      </w:r>
    </w:p>
    <w:p>
      <w:pPr>
        <w:spacing w:after="0" w:line="488" w:lineRule="exact"/>
        <w:sectPr>
          <w:pgSz w:w="11910" w:h="16840"/>
          <w:pgMar w:header="877" w:footer="973" w:top="1340" w:bottom="1160" w:left="1220" w:right="1040"/>
        </w:sectPr>
      </w:pPr>
    </w:p>
    <w:p>
      <w:pPr>
        <w:pStyle w:val="BodyText"/>
        <w:spacing w:line="220" w:lineRule="auto" w:before="77"/>
        <w:ind w:left="578" w:right="750"/>
        <w:jc w:val="both"/>
      </w:pPr>
      <w:r>
        <w:rPr/>
        <w:t>水体，因盐酸储罐较小、甲醛采用桶装容积较小，单纯液体泄漏后流至地表水体的几率很小，本次考虑暴雨状态 下泄漏物料随雨水进入地表水体，因项目泄漏物料较少，且经大量雨水进行稀释后进入地表水体，浓度较低。</w:t>
      </w:r>
    </w:p>
    <w:p>
      <w:pPr>
        <w:pStyle w:val="BodyText"/>
        <w:spacing w:line="220" w:lineRule="auto"/>
        <w:ind w:left="578" w:right="748" w:firstLine="479"/>
        <w:jc w:val="both"/>
      </w:pPr>
      <w:r>
        <w:rPr/>
        <w:t>此外因项目厂区污水处理厂出水经厂区南部污水管网进入经济开发区污水处理厂，污水管网南侧为莒南县白马河湿地公园，管网损害后污水泄漏将对该湿地公园产生一定影响。</w:t>
      </w:r>
    </w:p>
    <w:p>
      <w:pPr>
        <w:pStyle w:val="BodyText"/>
        <w:spacing w:line="220" w:lineRule="auto"/>
        <w:ind w:left="578" w:right="751" w:firstLine="479"/>
        <w:jc w:val="both"/>
      </w:pPr>
      <w:r>
        <w:rPr/>
        <w:t>莒南县白马河湿地公园占地面积约 </w:t>
      </w:r>
      <w:r>
        <w:rPr>
          <w:rFonts w:ascii="Times New Roman" w:eastAsia="Times New Roman"/>
        </w:rPr>
        <w:t>300 </w:t>
      </w:r>
      <w:r>
        <w:rPr>
          <w:spacing w:val="-8"/>
        </w:rPr>
        <w:t>亩，湿地率按照 </w:t>
      </w:r>
      <w:r>
        <w:rPr>
          <w:rFonts w:ascii="Times New Roman" w:eastAsia="Times New Roman"/>
        </w:rPr>
        <w:t>30%</w:t>
      </w:r>
      <w:r>
        <w:rPr>
          <w:spacing w:val="-9"/>
        </w:rPr>
        <w:t>计算，湿地水深</w:t>
      </w:r>
      <w:r>
        <w:rPr/>
        <w:t>一般为 </w:t>
      </w:r>
      <w:r>
        <w:rPr>
          <w:rFonts w:ascii="Times New Roman" w:eastAsia="Times New Roman"/>
        </w:rPr>
        <w:t>0.2-2.0m</w:t>
      </w:r>
      <w:r>
        <w:rPr>
          <w:spacing w:val="7"/>
        </w:rPr>
        <w:t>，按照 </w:t>
      </w:r>
      <w:r>
        <w:rPr>
          <w:rFonts w:ascii="Times New Roman" w:eastAsia="Times New Roman"/>
        </w:rPr>
        <w:t>1.0m </w:t>
      </w:r>
      <w:r>
        <w:rPr>
          <w:spacing w:val="2"/>
        </w:rPr>
        <w:t>计算，则湿地水量约 </w:t>
      </w:r>
      <w:r>
        <w:rPr>
          <w:rFonts w:ascii="Times New Roman" w:eastAsia="Times New Roman"/>
        </w:rPr>
        <w:t>60000m</w:t>
      </w:r>
      <w:r>
        <w:rPr>
          <w:rFonts w:ascii="Times New Roman" w:eastAsia="Times New Roman"/>
          <w:position w:val="9"/>
          <w:sz w:val="16"/>
        </w:rPr>
        <w:t>3</w:t>
      </w:r>
      <w:r>
        <w:rPr>
          <w:spacing w:val="-1"/>
        </w:rPr>
        <w:t>。白马河湿地公园出</w:t>
      </w:r>
      <w:r>
        <w:rPr>
          <w:spacing w:val="-8"/>
        </w:rPr>
        <w:t>水下游为白马河，根据现场踏勘可知，白马河建有橡胶坝，物料泄漏进入水体后后将会被存留在湿地内，不会沿着白马河流向下游。</w:t>
      </w:r>
    </w:p>
    <w:p>
      <w:pPr>
        <w:pStyle w:val="BodyText"/>
        <w:spacing w:line="220" w:lineRule="auto"/>
        <w:ind w:left="578" w:right="751" w:firstLine="479"/>
        <w:jc w:val="both"/>
      </w:pPr>
      <w:r>
        <w:rPr>
          <w:spacing w:val="-5"/>
        </w:rPr>
        <w:t>①：盐酸储罐泄漏，泄漏体积为 </w:t>
      </w:r>
      <w:r>
        <w:rPr>
          <w:rFonts w:ascii="Times New Roman" w:hAnsi="Times New Roman" w:eastAsia="Times New Roman"/>
          <w:spacing w:val="-4"/>
        </w:rPr>
        <w:t>4m</w:t>
      </w:r>
      <w:r>
        <w:rPr>
          <w:rFonts w:ascii="Times New Roman" w:hAnsi="Times New Roman" w:eastAsia="Times New Roman"/>
          <w:spacing w:val="-4"/>
          <w:position w:val="9"/>
          <w:sz w:val="16"/>
        </w:rPr>
        <w:t>3</w:t>
      </w:r>
      <w:r>
        <w:rPr>
          <w:spacing w:val="-4"/>
        </w:rPr>
        <w:t>（</w:t>
      </w:r>
      <w:r>
        <w:rPr/>
        <w:t>盐酸体积分数为 </w:t>
      </w:r>
      <w:r>
        <w:rPr>
          <w:rFonts w:ascii="Times New Roman" w:hAnsi="Times New Roman" w:eastAsia="Times New Roman"/>
          <w:spacing w:val="-7"/>
        </w:rPr>
        <w:t>30%</w:t>
      </w:r>
      <w:r>
        <w:rPr>
          <w:spacing w:val="-7"/>
        </w:rPr>
        <w:t>），</w:t>
      </w:r>
      <w:r>
        <w:rPr/>
        <w:t>考虑单纯物</w:t>
      </w:r>
      <w:r>
        <w:rPr>
          <w:spacing w:val="-9"/>
        </w:rPr>
        <w:t>料泄漏不会流到厂外；假设遇到大暴雨天气泄漏的盐酸和雨水一起流入地表水体</w:t>
      </w:r>
      <w:r>
        <w:rPr>
          <w:spacing w:val="-13"/>
        </w:rPr>
        <w:t>进入白马河湿地公园，因盐酸被雨水大量稀释且暴雨天气湿地内水位上升湿地内</w:t>
      </w:r>
      <w:r>
        <w:rPr>
          <w:spacing w:val="-12"/>
        </w:rPr>
        <w:t>涵养水量增多，项目 </w:t>
      </w:r>
      <w:r>
        <w:rPr>
          <w:rFonts w:ascii="Times New Roman" w:hAnsi="Times New Roman" w:eastAsia="Times New Roman"/>
        </w:rPr>
        <w:t>4m</w:t>
      </w:r>
      <w:r>
        <w:rPr>
          <w:rFonts w:ascii="Times New Roman" w:hAnsi="Times New Roman" w:eastAsia="Times New Roman"/>
          <w:position w:val="9"/>
          <w:sz w:val="16"/>
        </w:rPr>
        <w:t>3 </w:t>
      </w:r>
      <w:r>
        <w:rPr/>
        <w:t>的盐酸对整个湿地 </w:t>
      </w:r>
      <w:r>
        <w:rPr>
          <w:rFonts w:ascii="Times New Roman" w:hAnsi="Times New Roman" w:eastAsia="Times New Roman"/>
        </w:rPr>
        <w:t>pH </w:t>
      </w:r>
      <w:r>
        <w:rPr/>
        <w:t>的变化影响不大。</w:t>
      </w:r>
    </w:p>
    <w:p>
      <w:pPr>
        <w:pStyle w:val="BodyText"/>
        <w:spacing w:line="220" w:lineRule="auto"/>
        <w:ind w:left="578" w:right="751" w:firstLine="479"/>
        <w:jc w:val="both"/>
      </w:pPr>
      <w:r>
        <w:rPr/>
        <w:t>②：甲苯泄漏，甲醛单桶体积为 </w:t>
      </w:r>
      <w:r>
        <w:rPr>
          <w:rFonts w:ascii="Times New Roman" w:hAnsi="Times New Roman" w:eastAsia="Times New Roman"/>
        </w:rPr>
        <w:t>0.2m</w:t>
      </w:r>
      <w:r>
        <w:rPr>
          <w:rFonts w:ascii="Times New Roman" w:hAnsi="Times New Roman" w:eastAsia="Times New Roman"/>
          <w:position w:val="9"/>
          <w:sz w:val="16"/>
        </w:rPr>
        <w:t>3</w:t>
      </w:r>
      <w:r>
        <w:rPr>
          <w:spacing w:val="-1"/>
        </w:rPr>
        <w:t>，同理，单纯甲苯泄漏不会进入地表</w:t>
      </w:r>
      <w:r>
        <w:rPr>
          <w:spacing w:val="-11"/>
        </w:rPr>
        <w:t>水体；假设遇到大暴雨天气泄漏的甲苯和雨水一起流入地表水体进入白马河湿地</w:t>
      </w:r>
      <w:r>
        <w:rPr>
          <w:spacing w:val="-9"/>
        </w:rPr>
        <w:t>公园，单桶甲苯的质量约 </w:t>
      </w:r>
      <w:r>
        <w:rPr>
          <w:rFonts w:ascii="Times New Roman" w:hAnsi="Times New Roman" w:eastAsia="Times New Roman"/>
        </w:rPr>
        <w:t>180kg</w:t>
      </w:r>
      <w:r>
        <w:rPr>
          <w:spacing w:val="1"/>
        </w:rPr>
        <w:t>；暴雨天气湿地内降雨量和湿地内总含水量约 </w:t>
      </w:r>
      <w:r>
        <w:rPr>
          <w:rFonts w:ascii="Times New Roman" w:hAnsi="Times New Roman" w:eastAsia="Times New Roman"/>
        </w:rPr>
        <w:t>8 </w:t>
      </w:r>
      <w:r>
        <w:rPr>
          <w:spacing w:val="8"/>
        </w:rPr>
        <w:t>万 </w:t>
      </w:r>
      <w:r>
        <w:rPr>
          <w:rFonts w:ascii="Times New Roman" w:hAnsi="Times New Roman" w:eastAsia="Times New Roman"/>
        </w:rPr>
        <w:t>m</w:t>
      </w:r>
      <w:r>
        <w:rPr>
          <w:rFonts w:ascii="Times New Roman" w:hAnsi="Times New Roman" w:eastAsia="Times New Roman"/>
          <w:position w:val="9"/>
          <w:sz w:val="16"/>
        </w:rPr>
        <w:t>3</w:t>
      </w:r>
      <w:r>
        <w:rPr/>
        <w:t>，因暴雨天气进入湿地的甲苯完全溶于水中，且快速混合均匀则，湿地中甲苯的浓度约 </w:t>
      </w:r>
      <w:r>
        <w:rPr>
          <w:rFonts w:ascii="Times New Roman" w:hAnsi="Times New Roman" w:eastAsia="Times New Roman"/>
        </w:rPr>
        <w:t>2mg/L</w:t>
      </w:r>
      <w:r>
        <w:rPr/>
        <w:t>。</w:t>
      </w:r>
    </w:p>
    <w:p>
      <w:pPr>
        <w:pStyle w:val="BodyText"/>
        <w:spacing w:line="220" w:lineRule="auto"/>
        <w:ind w:left="578" w:right="752" w:firstLine="479"/>
        <w:jc w:val="both"/>
      </w:pPr>
      <w:r>
        <w:rPr>
          <w:spacing w:val="-10"/>
        </w:rPr>
        <w:t>③：污水处理站出水管道泄漏：项目污水经厂区污水处理站处理后出水水质</w:t>
      </w:r>
      <w:r>
        <w:rPr>
          <w:rFonts w:ascii="Times New Roman" w:hAnsi="Times New Roman" w:eastAsia="Times New Roman"/>
          <w:spacing w:val="-10"/>
        </w:rPr>
        <w:t>COD</w:t>
      </w:r>
      <w:r>
        <w:rPr>
          <w:spacing w:val="-10"/>
        </w:rPr>
        <w:t>：</w:t>
      </w:r>
      <w:r>
        <w:rPr>
          <w:rFonts w:ascii="Times New Roman" w:hAnsi="Times New Roman" w:eastAsia="Times New Roman"/>
          <w:spacing w:val="-10"/>
        </w:rPr>
        <w:t>300mg/L</w:t>
      </w:r>
      <w:r>
        <w:rPr>
          <w:spacing w:val="-10"/>
        </w:rPr>
        <w:t>、氨氮：</w:t>
      </w:r>
      <w:r>
        <w:rPr>
          <w:rFonts w:ascii="Times New Roman" w:hAnsi="Times New Roman" w:eastAsia="Times New Roman"/>
          <w:spacing w:val="-10"/>
        </w:rPr>
        <w:t>30 </w:t>
      </w:r>
      <w:r>
        <w:rPr>
          <w:rFonts w:ascii="Times New Roman" w:hAnsi="Times New Roman" w:eastAsia="Times New Roman"/>
        </w:rPr>
        <w:t>mg/L</w:t>
      </w:r>
      <w:r>
        <w:rPr/>
        <w:t>，经管网送莒南经济开发区污水处理站进一步</w:t>
      </w:r>
      <w:r>
        <w:rPr>
          <w:spacing w:val="-7"/>
        </w:rPr>
        <w:t>处理后排入白马河湿地公园。厂区污水处理站南侧为污水管网紧邻白马河湿地公</w:t>
      </w:r>
      <w:r>
        <w:rPr>
          <w:spacing w:val="-9"/>
        </w:rPr>
        <w:t>园，如果管道破裂废水直接进入白马河湿地公园，按照泄漏一天后发现，厂区一</w:t>
      </w:r>
      <w:r>
        <w:rPr>
          <w:spacing w:val="-7"/>
        </w:rPr>
        <w:t>天的排水量约 </w:t>
      </w:r>
      <w:r>
        <w:rPr>
          <w:rFonts w:ascii="Times New Roman" w:hAnsi="Times New Roman" w:eastAsia="Times New Roman"/>
        </w:rPr>
        <w:t>220m</w:t>
      </w:r>
      <w:r>
        <w:rPr>
          <w:rFonts w:ascii="Times New Roman" w:hAnsi="Times New Roman" w:eastAsia="Times New Roman"/>
          <w:position w:val="9"/>
          <w:sz w:val="16"/>
        </w:rPr>
        <w:t>3</w:t>
      </w:r>
      <w:r>
        <w:rPr>
          <w:rFonts w:ascii="Times New Roman" w:hAnsi="Times New Roman" w:eastAsia="Times New Roman"/>
        </w:rPr>
        <w:t>/d</w:t>
      </w:r>
      <w:r>
        <w:rPr/>
        <w:t>。</w:t>
      </w:r>
    </w:p>
    <w:p>
      <w:pPr>
        <w:pStyle w:val="BodyText"/>
        <w:spacing w:line="460" w:lineRule="exact"/>
        <w:ind w:left="1058"/>
      </w:pPr>
      <w:r>
        <w:rPr/>
        <w:t>（</w:t>
      </w:r>
      <w:r>
        <w:rPr>
          <w:rFonts w:ascii="Times New Roman" w:eastAsia="Times New Roman"/>
        </w:rPr>
        <w:t>3</w:t>
      </w:r>
      <w:r>
        <w:rPr/>
        <w:t>）地下水</w:t>
      </w:r>
    </w:p>
    <w:p>
      <w:pPr>
        <w:pStyle w:val="BodyText"/>
        <w:spacing w:line="220" w:lineRule="auto" w:before="7"/>
        <w:ind w:left="578" w:right="633" w:firstLine="479"/>
        <w:jc w:val="both"/>
      </w:pPr>
      <w:r>
        <w:rPr>
          <w:spacing w:val="-5"/>
        </w:rPr>
        <w:t>地下水源项分析引用报告书地下水章节内容：厂区东北角调节池发生泄漏事</w:t>
      </w:r>
      <w:r>
        <w:rPr>
          <w:spacing w:val="-2"/>
        </w:rPr>
        <w:t>故，事故发生 </w:t>
      </w:r>
      <w:r>
        <w:rPr>
          <w:rFonts w:ascii="Times New Roman" w:eastAsia="Times New Roman"/>
        </w:rPr>
        <w:t>1d </w:t>
      </w:r>
      <w:r>
        <w:rPr>
          <w:spacing w:val="-2"/>
        </w:rPr>
        <w:t>即被发现并及时进行处理，沉淀池的污水全部进入地下水，则</w:t>
      </w:r>
      <w:r>
        <w:rPr>
          <w:spacing w:val="1"/>
          <w:position w:val="2"/>
        </w:rPr>
        <w:t>进入含水层的污染物质量</w:t>
      </w:r>
      <w:r>
        <w:rPr>
          <w:rFonts w:ascii="Times New Roman" w:eastAsia="Times New Roman"/>
          <w:position w:val="2"/>
        </w:rPr>
        <w:t>m(COD</w:t>
      </w:r>
      <w:r>
        <w:rPr>
          <w:rFonts w:ascii="Times New Roman" w:eastAsia="Times New Roman"/>
          <w:spacing w:val="-2"/>
          <w:position w:val="2"/>
        </w:rPr>
        <w:t>)=</w:t>
      </w:r>
      <w:r>
        <w:rPr>
          <w:rFonts w:ascii="Times New Roman" w:eastAsia="Times New Roman"/>
          <w:position w:val="2"/>
        </w:rPr>
        <w:t>6569</w:t>
      </w:r>
      <w:r>
        <w:rPr>
          <w:rFonts w:ascii="Times New Roman" w:eastAsia="Times New Roman"/>
          <w:spacing w:val="2"/>
          <w:position w:val="2"/>
        </w:rPr>
        <w:t>k</w:t>
      </w:r>
      <w:r>
        <w:rPr>
          <w:rFonts w:ascii="Times New Roman" w:eastAsia="Times New Roman"/>
          <w:spacing w:val="-2"/>
          <w:position w:val="2"/>
        </w:rPr>
        <w:t>g</w:t>
      </w:r>
      <w:r>
        <w:rPr>
          <w:spacing w:val="-120"/>
          <w:position w:val="2"/>
        </w:rPr>
        <w:t>，</w:t>
      </w:r>
      <w:r>
        <w:rPr>
          <w:rFonts w:ascii="Times New Roman" w:eastAsia="Times New Roman"/>
          <w:position w:val="2"/>
        </w:rPr>
        <w:t>m</w:t>
      </w:r>
      <w:r>
        <w:rPr>
          <w:rFonts w:ascii="Times New Roman" w:eastAsia="Times New Roman"/>
          <w:spacing w:val="1"/>
          <w:position w:val="2"/>
        </w:rPr>
        <w:t>(</w:t>
      </w:r>
      <w:r>
        <w:rPr>
          <w:rFonts w:ascii="Times New Roman" w:eastAsia="Times New Roman"/>
          <w:w w:val="99"/>
          <w:position w:val="2"/>
        </w:rPr>
        <w:t>N</w:t>
      </w:r>
      <w:r>
        <w:rPr>
          <w:rFonts w:ascii="Times New Roman" w:eastAsia="Times New Roman"/>
          <w:spacing w:val="-1"/>
          <w:w w:val="99"/>
          <w:position w:val="2"/>
        </w:rPr>
        <w:t>H</w:t>
      </w:r>
      <w:r>
        <w:rPr>
          <w:rFonts w:ascii="Times New Roman" w:eastAsia="Times New Roman"/>
          <w:spacing w:val="1"/>
          <w:w w:val="100"/>
          <w:sz w:val="16"/>
        </w:rPr>
        <w:t>3</w:t>
      </w:r>
      <w:r>
        <w:rPr>
          <w:rFonts w:ascii="Times New Roman" w:eastAsia="Times New Roman"/>
          <w:spacing w:val="-1"/>
          <w:w w:val="99"/>
          <w:position w:val="2"/>
        </w:rPr>
        <w:t>-</w:t>
      </w:r>
      <w:r>
        <w:rPr>
          <w:rFonts w:ascii="Times New Roman" w:eastAsia="Times New Roman"/>
          <w:w w:val="99"/>
          <w:position w:val="2"/>
        </w:rPr>
        <w:t>N</w:t>
      </w:r>
      <w:r>
        <w:rPr>
          <w:rFonts w:ascii="Times New Roman" w:eastAsia="Times New Roman"/>
          <w:spacing w:val="-2"/>
          <w:w w:val="99"/>
          <w:position w:val="2"/>
        </w:rPr>
        <w:t>)</w:t>
      </w:r>
      <w:r>
        <w:rPr>
          <w:rFonts w:ascii="Times New Roman" w:eastAsia="Times New Roman"/>
          <w:spacing w:val="-1"/>
          <w:position w:val="2"/>
        </w:rPr>
        <w:t>=</w:t>
      </w:r>
      <w:r>
        <w:rPr>
          <w:rFonts w:ascii="Times New Roman" w:eastAsia="Times New Roman"/>
          <w:position w:val="2"/>
        </w:rPr>
        <w:t>26.28</w:t>
      </w:r>
      <w:r>
        <w:rPr>
          <w:rFonts w:ascii="Times New Roman" w:eastAsia="Times New Roman"/>
          <w:spacing w:val="2"/>
          <w:position w:val="2"/>
        </w:rPr>
        <w:t>k</w:t>
      </w:r>
      <w:r>
        <w:rPr>
          <w:rFonts w:ascii="Times New Roman" w:eastAsia="Times New Roman"/>
          <w:spacing w:val="-3"/>
          <w:position w:val="2"/>
        </w:rPr>
        <w:t>g</w:t>
      </w:r>
      <w:r>
        <w:rPr>
          <w:spacing w:val="-120"/>
          <w:position w:val="2"/>
        </w:rPr>
        <w:t>，</w:t>
      </w:r>
      <w:r>
        <w:rPr>
          <w:rFonts w:ascii="Times New Roman" w:eastAsia="Times New Roman"/>
          <w:position w:val="2"/>
        </w:rPr>
        <w:t>m</w:t>
      </w:r>
      <w:r>
        <w:rPr>
          <w:rFonts w:ascii="Times New Roman" w:eastAsia="Times New Roman"/>
          <w:spacing w:val="-1"/>
          <w:position w:val="2"/>
        </w:rPr>
        <w:t>(</w:t>
      </w:r>
      <w:r>
        <w:rPr>
          <w:spacing w:val="1"/>
          <w:position w:val="2"/>
        </w:rPr>
        <w:t>甲苯</w:t>
      </w:r>
      <w:r>
        <w:rPr>
          <w:rFonts w:ascii="Times New Roman" w:eastAsia="Times New Roman"/>
          <w:spacing w:val="-1"/>
          <w:position w:val="2"/>
        </w:rPr>
        <w:t>)=</w:t>
      </w:r>
      <w:r>
        <w:rPr>
          <w:rFonts w:ascii="Times New Roman" w:eastAsia="Times New Roman"/>
          <w:position w:val="2"/>
        </w:rPr>
        <w:t>2.63</w:t>
      </w:r>
      <w:r>
        <w:rPr>
          <w:rFonts w:ascii="Times New Roman" w:eastAsia="Times New Roman"/>
          <w:spacing w:val="2"/>
          <w:position w:val="2"/>
        </w:rPr>
        <w:t>k</w:t>
      </w:r>
      <w:r>
        <w:rPr>
          <w:rFonts w:ascii="Times New Roman" w:eastAsia="Times New Roman"/>
          <w:spacing w:val="-3"/>
          <w:position w:val="2"/>
        </w:rPr>
        <w:t>g</w:t>
      </w:r>
      <w:r>
        <w:rPr>
          <w:position w:val="2"/>
        </w:rPr>
        <w:t>。</w:t>
      </w:r>
    </w:p>
    <w:p>
      <w:pPr>
        <w:spacing w:after="0" w:line="220" w:lineRule="auto"/>
        <w:jc w:val="both"/>
        <w:sectPr>
          <w:pgSz w:w="11910" w:h="16840"/>
          <w:pgMar w:header="877" w:footer="973" w:top="1340" w:bottom="1160" w:left="1220" w:right="1040"/>
        </w:sectPr>
      </w:pPr>
    </w:p>
    <w:p>
      <w:pPr>
        <w:pStyle w:val="BodyText"/>
        <w:spacing w:before="20"/>
        <w:rPr>
          <w:sz w:val="4"/>
        </w:rPr>
      </w:pPr>
    </w:p>
    <w:p>
      <w:pPr>
        <w:spacing w:line="613" w:lineRule="exact" w:before="0"/>
        <w:ind w:left="578" w:right="0" w:firstLine="0"/>
        <w:jc w:val="left"/>
        <w:rPr>
          <w:rFonts w:ascii="Droid Sans Fallback" w:eastAsia="Droid Sans Fallback" w:hint="eastAsia"/>
          <w:sz w:val="36"/>
        </w:rPr>
      </w:pPr>
      <w:r>
        <w:rPr>
          <w:rFonts w:ascii="Times New Roman" w:eastAsia="Times New Roman"/>
          <w:b/>
          <w:sz w:val="36"/>
        </w:rPr>
        <w:t>7.6 </w:t>
      </w:r>
      <w:r>
        <w:rPr>
          <w:rFonts w:ascii="Droid Sans Fallback" w:eastAsia="Droid Sans Fallback" w:hint="eastAsia"/>
          <w:sz w:val="36"/>
        </w:rPr>
        <w:t>风险预测与评价</w:t>
      </w:r>
    </w:p>
    <w:p>
      <w:pPr>
        <w:spacing w:before="134"/>
        <w:ind w:left="578" w:right="0" w:firstLine="0"/>
        <w:jc w:val="left"/>
        <w:rPr>
          <w:rFonts w:ascii="Droid Sans Fallback" w:eastAsia="Droid Sans Fallback" w:hint="eastAsia"/>
          <w:sz w:val="32"/>
        </w:rPr>
      </w:pPr>
      <w:r>
        <w:rPr>
          <w:rFonts w:ascii="Times New Roman" w:eastAsia="Times New Roman"/>
          <w:b/>
          <w:sz w:val="32"/>
        </w:rPr>
        <w:t>7.6.1</w:t>
      </w:r>
      <w:r>
        <w:rPr>
          <w:rFonts w:ascii="Times New Roman" w:eastAsia="Times New Roman"/>
          <w:b/>
          <w:spacing w:val="79"/>
          <w:sz w:val="32"/>
        </w:rPr>
        <w:t> </w:t>
      </w:r>
      <w:r>
        <w:rPr>
          <w:rFonts w:ascii="Droid Sans Fallback" w:eastAsia="Droid Sans Fallback" w:hint="eastAsia"/>
          <w:sz w:val="32"/>
        </w:rPr>
        <w:t>大气风险预测</w:t>
      </w:r>
    </w:p>
    <w:p>
      <w:pPr>
        <w:pStyle w:val="BodyText"/>
        <w:spacing w:line="449" w:lineRule="exact" w:before="168"/>
        <w:ind w:left="1058"/>
      </w:pPr>
      <w:r>
        <w:rPr>
          <w:rFonts w:ascii="Times New Roman" w:eastAsia="Times New Roman"/>
        </w:rPr>
        <w:t>1</w:t>
      </w:r>
      <w:r>
        <w:rPr/>
        <w:t>、模型选择</w:t>
      </w:r>
    </w:p>
    <w:p>
      <w:pPr>
        <w:pStyle w:val="BodyText"/>
        <w:spacing w:line="428" w:lineRule="exact"/>
        <w:ind w:left="1058"/>
      </w:pPr>
      <w:r>
        <w:rPr/>
        <w:t>泄漏预测：经计算甲醛的查德森数 </w:t>
      </w:r>
      <w:r>
        <w:rPr>
          <w:rFonts w:ascii="Times New Roman" w:hAnsi="Times New Roman" w:eastAsia="Times New Roman"/>
        </w:rPr>
        <w:t>Ri≥1/6</w:t>
      </w:r>
      <w:r>
        <w:rPr/>
        <w:t>，盐酸属于中性和重质气体，本次</w:t>
      </w:r>
    </w:p>
    <w:p>
      <w:pPr>
        <w:pStyle w:val="BodyText"/>
        <w:spacing w:line="488" w:lineRule="exact"/>
        <w:ind w:left="578"/>
      </w:pPr>
      <w:r>
        <w:rPr/>
        <w:t>预测：甲醛、盐酸的扩散计算采用 </w:t>
      </w:r>
      <w:r>
        <w:rPr>
          <w:rFonts w:ascii="Times New Roman" w:eastAsia="Times New Roman"/>
        </w:rPr>
        <w:t>SLAB</w:t>
      </w:r>
      <w:r>
        <w:rPr>
          <w:rFonts w:ascii="Times New Roman" w:eastAsia="Times New Roman"/>
          <w:spacing w:val="59"/>
        </w:rPr>
        <w:t> </w:t>
      </w:r>
      <w:r>
        <w:rPr/>
        <w:t>模式。</w:t>
      </w:r>
    </w:p>
    <w:p>
      <w:pPr>
        <w:pStyle w:val="BodyText"/>
        <w:spacing w:line="489" w:lineRule="exact" w:before="36"/>
        <w:ind w:left="1060"/>
      </w:pPr>
      <w:r>
        <w:rPr>
          <w:rFonts w:ascii="Times New Roman" w:eastAsia="Times New Roman"/>
          <w:b/>
        </w:rPr>
        <w:t>2</w:t>
      </w:r>
      <w:r>
        <w:rPr/>
        <w:t>、预测范围与计算点</w:t>
      </w:r>
    </w:p>
    <w:p>
      <w:pPr>
        <w:pStyle w:val="BodyText"/>
        <w:spacing w:line="220" w:lineRule="auto" w:before="8"/>
        <w:ind w:left="578" w:right="760" w:firstLine="479"/>
      </w:pPr>
      <w:r>
        <w:rPr/>
        <w:t>（</w:t>
      </w:r>
      <w:r>
        <w:rPr>
          <w:rFonts w:ascii="Times New Roman" w:eastAsia="Times New Roman"/>
        </w:rPr>
        <w:t>1</w:t>
      </w:r>
      <w:r>
        <w:rPr/>
        <w:t>）特殊计算点：指大气环境敏感目标等关心点，本次评价选取大气风险评价范围内敏感目标，包括中柴沟村、后柴沟村、前鲍家村 </w:t>
      </w:r>
      <w:r>
        <w:rPr>
          <w:rFonts w:ascii="Times New Roman" w:eastAsia="Times New Roman"/>
        </w:rPr>
        <w:t>3 </w:t>
      </w:r>
      <w:r>
        <w:rPr/>
        <w:t>处。</w:t>
      </w:r>
    </w:p>
    <w:p>
      <w:pPr>
        <w:pStyle w:val="BodyText"/>
        <w:spacing w:line="420" w:lineRule="exact"/>
        <w:ind w:left="1058"/>
      </w:pPr>
      <w:r>
        <w:rPr>
          <w:rFonts w:ascii="Times New Roman" w:eastAsia="Times New Roman"/>
        </w:rPr>
        <w:t>3</w:t>
      </w:r>
      <w:r>
        <w:rPr/>
        <w:t>、评价标准</w:t>
      </w:r>
    </w:p>
    <w:p>
      <w:pPr>
        <w:pStyle w:val="BodyText"/>
        <w:spacing w:line="428" w:lineRule="exact"/>
        <w:ind w:left="1058"/>
      </w:pPr>
      <w:r>
        <w:rPr>
          <w:spacing w:val="-7"/>
        </w:rPr>
        <w:t>评价标准采用《建设项目环境风险评价技术导则</w:t>
      </w:r>
      <w:r>
        <w:rPr>
          <w:spacing w:val="-164"/>
        </w:rPr>
        <w:t>》</w:t>
      </w:r>
      <w:r>
        <w:rPr/>
        <w:t>（</w:t>
      </w:r>
      <w:r>
        <w:rPr>
          <w:rFonts w:ascii="Times New Roman" w:eastAsia="Times New Roman"/>
        </w:rPr>
        <w:t>HJ </w:t>
      </w:r>
      <w:r>
        <w:rPr>
          <w:rFonts w:ascii="Times New Roman" w:eastAsia="Times New Roman"/>
          <w:spacing w:val="-5"/>
        </w:rPr>
        <w:t>169-2018</w:t>
      </w:r>
      <w:r>
        <w:rPr>
          <w:spacing w:val="-5"/>
        </w:rPr>
        <w:t>）</w:t>
      </w:r>
      <w:r>
        <w:rPr>
          <w:spacing w:val="1"/>
        </w:rPr>
        <w:t>中附录 </w:t>
      </w:r>
      <w:r>
        <w:rPr>
          <w:rFonts w:ascii="Times New Roman" w:eastAsia="Times New Roman"/>
        </w:rPr>
        <w:t>H</w:t>
      </w:r>
      <w:r>
        <w:rPr/>
        <w:t>，</w:t>
      </w:r>
    </w:p>
    <w:p>
      <w:pPr>
        <w:pStyle w:val="BodyText"/>
        <w:spacing w:line="488" w:lineRule="exact"/>
        <w:ind w:left="578"/>
      </w:pPr>
      <w:r>
        <w:rPr/>
        <w:t>大气毒性终点浓度值。具体见表 </w:t>
      </w:r>
      <w:r>
        <w:rPr>
          <w:rFonts w:ascii="Times New Roman" w:eastAsia="Times New Roman"/>
        </w:rPr>
        <w:t>7.6-1</w:t>
      </w:r>
      <w:r>
        <w:rPr/>
        <w:t>。</w:t>
      </w:r>
    </w:p>
    <w:p>
      <w:pPr>
        <w:tabs>
          <w:tab w:pos="911" w:val="left" w:leader="none"/>
        </w:tabs>
        <w:spacing w:before="71" w:after="25"/>
        <w:ind w:left="0" w:right="175" w:firstLine="0"/>
        <w:jc w:val="center"/>
        <w:rPr>
          <w:sz w:val="21"/>
        </w:rPr>
      </w:pPr>
      <w:r>
        <w:rPr>
          <w:sz w:val="21"/>
        </w:rPr>
        <w:t>表</w:t>
      </w:r>
      <w:r>
        <w:rPr>
          <w:spacing w:val="7"/>
          <w:sz w:val="21"/>
        </w:rPr>
        <w:t> </w:t>
      </w:r>
      <w:r>
        <w:rPr>
          <w:rFonts w:ascii="Times New Roman" w:eastAsia="Times New Roman"/>
          <w:b/>
          <w:sz w:val="21"/>
        </w:rPr>
        <w:t>7.6-1</w:t>
        <w:tab/>
      </w:r>
      <w:r>
        <w:rPr>
          <w:sz w:val="21"/>
        </w:rPr>
        <w:t>预测因子毒性</w:t>
      </w:r>
      <w:r>
        <w:rPr>
          <w:spacing w:val="-3"/>
          <w:sz w:val="21"/>
        </w:rPr>
        <w:t>终</w:t>
      </w:r>
      <w:r>
        <w:rPr>
          <w:sz w:val="21"/>
        </w:rPr>
        <w:t>点浓度值一览表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60"/>
        <w:gridCol w:w="1094"/>
        <w:gridCol w:w="1205"/>
        <w:gridCol w:w="2784"/>
        <w:gridCol w:w="2784"/>
      </w:tblGrid>
      <w:tr>
        <w:trPr>
          <w:trHeight w:val="359" w:hRule="atLeast"/>
        </w:trPr>
        <w:tc>
          <w:tcPr>
            <w:tcW w:w="660" w:type="dxa"/>
            <w:tcBorders>
              <w:bottom w:val="single" w:sz="4" w:space="0" w:color="000000"/>
              <w:right w:val="single" w:sz="4" w:space="0" w:color="000000"/>
            </w:tcBorders>
          </w:tcPr>
          <w:p>
            <w:pPr>
              <w:pStyle w:val="TableParagraph"/>
              <w:spacing w:line="339" w:lineRule="exact"/>
              <w:ind w:left="100" w:right="79"/>
              <w:rPr>
                <w:sz w:val="21"/>
              </w:rPr>
            </w:pPr>
            <w:r>
              <w:rPr>
                <w:sz w:val="21"/>
              </w:rPr>
              <w:t>序号</w:t>
            </w:r>
          </w:p>
        </w:tc>
        <w:tc>
          <w:tcPr>
            <w:tcW w:w="1094" w:type="dxa"/>
            <w:tcBorders>
              <w:left w:val="single" w:sz="4" w:space="0" w:color="000000"/>
              <w:bottom w:val="single" w:sz="4" w:space="0" w:color="000000"/>
              <w:right w:val="single" w:sz="4" w:space="0" w:color="000000"/>
            </w:tcBorders>
          </w:tcPr>
          <w:p>
            <w:pPr>
              <w:pStyle w:val="TableParagraph"/>
              <w:spacing w:line="339" w:lineRule="exact"/>
              <w:ind w:left="117" w:right="86"/>
              <w:rPr>
                <w:sz w:val="21"/>
              </w:rPr>
            </w:pPr>
            <w:r>
              <w:rPr>
                <w:sz w:val="21"/>
              </w:rPr>
              <w:t>物质名称</w:t>
            </w:r>
          </w:p>
        </w:tc>
        <w:tc>
          <w:tcPr>
            <w:tcW w:w="1205" w:type="dxa"/>
            <w:tcBorders>
              <w:left w:val="single" w:sz="4" w:space="0" w:color="000000"/>
              <w:bottom w:val="single" w:sz="4" w:space="0" w:color="000000"/>
              <w:right w:val="single" w:sz="4" w:space="0" w:color="000000"/>
            </w:tcBorders>
          </w:tcPr>
          <w:p>
            <w:pPr>
              <w:pStyle w:val="TableParagraph"/>
              <w:spacing w:line="339" w:lineRule="exact"/>
              <w:ind w:left="152" w:right="120"/>
              <w:rPr>
                <w:sz w:val="21"/>
              </w:rPr>
            </w:pPr>
            <w:r>
              <w:rPr>
                <w:rFonts w:ascii="Times New Roman" w:eastAsia="Times New Roman"/>
                <w:sz w:val="21"/>
              </w:rPr>
              <w:t>CAS </w:t>
            </w:r>
            <w:r>
              <w:rPr>
                <w:sz w:val="21"/>
              </w:rPr>
              <w:t>号</w:t>
            </w:r>
          </w:p>
        </w:tc>
        <w:tc>
          <w:tcPr>
            <w:tcW w:w="2784" w:type="dxa"/>
            <w:tcBorders>
              <w:left w:val="single" w:sz="4" w:space="0" w:color="000000"/>
              <w:bottom w:val="single" w:sz="4" w:space="0" w:color="000000"/>
              <w:right w:val="single" w:sz="4" w:space="0" w:color="000000"/>
            </w:tcBorders>
          </w:tcPr>
          <w:p>
            <w:pPr>
              <w:pStyle w:val="TableParagraph"/>
              <w:spacing w:line="339" w:lineRule="exact"/>
              <w:ind w:left="121" w:right="93"/>
              <w:rPr>
                <w:sz w:val="21"/>
              </w:rPr>
            </w:pPr>
            <w:r>
              <w:rPr>
                <w:sz w:val="21"/>
              </w:rPr>
              <w:t>毒性终点浓度</w:t>
            </w:r>
            <w:r>
              <w:rPr>
                <w:rFonts w:ascii="Times New Roman" w:eastAsia="Times New Roman"/>
                <w:sz w:val="21"/>
              </w:rPr>
              <w:t>-1/</w:t>
            </w:r>
            <w:r>
              <w:rPr>
                <w:sz w:val="21"/>
              </w:rPr>
              <w:t>（</w:t>
            </w:r>
            <w:r>
              <w:rPr>
                <w:rFonts w:ascii="Times New Roman" w:eastAsia="Times New Roman"/>
                <w:sz w:val="21"/>
              </w:rPr>
              <w:t>mg/m</w:t>
            </w:r>
            <w:r>
              <w:rPr>
                <w:rFonts w:ascii="Times New Roman" w:eastAsia="Times New Roman"/>
                <w:position w:val="7"/>
                <w:sz w:val="14"/>
              </w:rPr>
              <w:t>3</w:t>
            </w:r>
            <w:r>
              <w:rPr>
                <w:sz w:val="21"/>
              </w:rPr>
              <w:t>）</w:t>
            </w:r>
          </w:p>
        </w:tc>
        <w:tc>
          <w:tcPr>
            <w:tcW w:w="2784" w:type="dxa"/>
            <w:tcBorders>
              <w:left w:val="single" w:sz="4" w:space="0" w:color="000000"/>
              <w:bottom w:val="single" w:sz="4" w:space="0" w:color="000000"/>
            </w:tcBorders>
          </w:tcPr>
          <w:p>
            <w:pPr>
              <w:pStyle w:val="TableParagraph"/>
              <w:spacing w:line="339" w:lineRule="exact"/>
              <w:ind w:left="144" w:right="105"/>
              <w:rPr>
                <w:sz w:val="21"/>
              </w:rPr>
            </w:pPr>
            <w:r>
              <w:rPr>
                <w:sz w:val="21"/>
              </w:rPr>
              <w:t>毒性终点浓度</w:t>
            </w:r>
            <w:r>
              <w:rPr>
                <w:rFonts w:ascii="Times New Roman" w:eastAsia="Times New Roman"/>
                <w:sz w:val="21"/>
              </w:rPr>
              <w:t>-2/</w:t>
            </w:r>
            <w:r>
              <w:rPr>
                <w:sz w:val="21"/>
              </w:rPr>
              <w:t>（</w:t>
            </w:r>
            <w:r>
              <w:rPr>
                <w:rFonts w:ascii="Times New Roman" w:eastAsia="Times New Roman"/>
                <w:sz w:val="21"/>
              </w:rPr>
              <w:t>mg/m</w:t>
            </w:r>
            <w:r>
              <w:rPr>
                <w:rFonts w:ascii="Times New Roman" w:eastAsia="Times New Roman"/>
                <w:position w:val="7"/>
                <w:sz w:val="14"/>
              </w:rPr>
              <w:t>3</w:t>
            </w:r>
            <w:r>
              <w:rPr>
                <w:sz w:val="21"/>
              </w:rPr>
              <w:t>）</w:t>
            </w:r>
          </w:p>
        </w:tc>
      </w:tr>
      <w:tr>
        <w:trPr>
          <w:trHeight w:val="360" w:hRule="atLeast"/>
        </w:trPr>
        <w:tc>
          <w:tcPr>
            <w:tcW w:w="660" w:type="dxa"/>
            <w:tcBorders>
              <w:top w:val="single" w:sz="4" w:space="0" w:color="000000"/>
              <w:bottom w:val="single" w:sz="4" w:space="0" w:color="000000"/>
              <w:right w:val="single" w:sz="4" w:space="0" w:color="000000"/>
            </w:tcBorders>
          </w:tcPr>
          <w:p>
            <w:pPr>
              <w:pStyle w:val="TableParagraph"/>
              <w:spacing w:before="58"/>
              <w:ind w:left="16"/>
              <w:rPr>
                <w:rFonts w:ascii="Times New Roman"/>
                <w:sz w:val="21"/>
              </w:rPr>
            </w:pPr>
            <w:r>
              <w:rPr>
                <w:rFonts w:ascii="Times New Roman"/>
                <w:w w:val="100"/>
                <w:sz w:val="21"/>
              </w:rPr>
              <w:t>1</w:t>
            </w:r>
          </w:p>
        </w:tc>
        <w:tc>
          <w:tcPr>
            <w:tcW w:w="1094" w:type="dxa"/>
            <w:tcBorders>
              <w:top w:val="single" w:sz="4" w:space="0" w:color="000000"/>
              <w:left w:val="single" w:sz="4" w:space="0" w:color="000000"/>
              <w:bottom w:val="single" w:sz="4" w:space="0" w:color="000000"/>
              <w:right w:val="single" w:sz="4" w:space="0" w:color="000000"/>
            </w:tcBorders>
          </w:tcPr>
          <w:p>
            <w:pPr>
              <w:pStyle w:val="TableParagraph"/>
              <w:spacing w:line="340" w:lineRule="exact"/>
              <w:ind w:left="115" w:right="86"/>
              <w:rPr>
                <w:sz w:val="21"/>
              </w:rPr>
            </w:pPr>
            <w:r>
              <w:rPr>
                <w:sz w:val="21"/>
              </w:rPr>
              <w:t>盐酸</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spacing w:before="58"/>
              <w:ind w:left="152" w:right="127"/>
              <w:rPr>
                <w:rFonts w:ascii="Times New Roman"/>
                <w:sz w:val="21"/>
              </w:rPr>
            </w:pPr>
            <w:r>
              <w:rPr>
                <w:rFonts w:ascii="Times New Roman"/>
                <w:sz w:val="21"/>
              </w:rPr>
              <w:t>7647-01-0</w:t>
            </w:r>
          </w:p>
        </w:tc>
        <w:tc>
          <w:tcPr>
            <w:tcW w:w="2784" w:type="dxa"/>
            <w:tcBorders>
              <w:top w:val="single" w:sz="4" w:space="0" w:color="000000"/>
              <w:left w:val="single" w:sz="4" w:space="0" w:color="000000"/>
              <w:bottom w:val="single" w:sz="4" w:space="0" w:color="000000"/>
              <w:right w:val="single" w:sz="4" w:space="0" w:color="000000"/>
            </w:tcBorders>
          </w:tcPr>
          <w:p>
            <w:pPr>
              <w:pStyle w:val="TableParagraph"/>
              <w:spacing w:before="58"/>
              <w:ind w:left="121" w:right="91"/>
              <w:rPr>
                <w:rFonts w:ascii="Times New Roman"/>
                <w:sz w:val="21"/>
              </w:rPr>
            </w:pPr>
            <w:r>
              <w:rPr>
                <w:rFonts w:ascii="Times New Roman"/>
                <w:sz w:val="21"/>
              </w:rPr>
              <w:t>150</w:t>
            </w:r>
          </w:p>
        </w:tc>
        <w:tc>
          <w:tcPr>
            <w:tcW w:w="2784" w:type="dxa"/>
            <w:tcBorders>
              <w:top w:val="single" w:sz="4" w:space="0" w:color="000000"/>
              <w:left w:val="single" w:sz="4" w:space="0" w:color="000000"/>
              <w:bottom w:val="single" w:sz="4" w:space="0" w:color="000000"/>
            </w:tcBorders>
          </w:tcPr>
          <w:p>
            <w:pPr>
              <w:pStyle w:val="TableParagraph"/>
              <w:spacing w:before="58"/>
              <w:ind w:left="144" w:right="102"/>
              <w:rPr>
                <w:rFonts w:ascii="Times New Roman"/>
                <w:sz w:val="21"/>
              </w:rPr>
            </w:pPr>
            <w:r>
              <w:rPr>
                <w:rFonts w:ascii="Times New Roman"/>
                <w:sz w:val="21"/>
              </w:rPr>
              <w:t>33</w:t>
            </w:r>
          </w:p>
        </w:tc>
      </w:tr>
      <w:tr>
        <w:trPr>
          <w:trHeight w:val="356" w:hRule="atLeast"/>
        </w:trPr>
        <w:tc>
          <w:tcPr>
            <w:tcW w:w="660" w:type="dxa"/>
            <w:tcBorders>
              <w:top w:val="single" w:sz="4" w:space="0" w:color="000000"/>
              <w:right w:val="single" w:sz="4" w:space="0" w:color="000000"/>
            </w:tcBorders>
          </w:tcPr>
          <w:p>
            <w:pPr>
              <w:pStyle w:val="TableParagraph"/>
              <w:spacing w:before="58"/>
              <w:ind w:left="16"/>
              <w:rPr>
                <w:rFonts w:ascii="Times New Roman"/>
                <w:sz w:val="21"/>
              </w:rPr>
            </w:pPr>
            <w:r>
              <w:rPr>
                <w:rFonts w:ascii="Times New Roman"/>
                <w:w w:val="100"/>
                <w:sz w:val="21"/>
              </w:rPr>
              <w:t>2</w:t>
            </w:r>
          </w:p>
        </w:tc>
        <w:tc>
          <w:tcPr>
            <w:tcW w:w="1094" w:type="dxa"/>
            <w:tcBorders>
              <w:top w:val="single" w:sz="4" w:space="0" w:color="000000"/>
              <w:left w:val="single" w:sz="4" w:space="0" w:color="000000"/>
              <w:right w:val="single" w:sz="4" w:space="0" w:color="000000"/>
            </w:tcBorders>
          </w:tcPr>
          <w:p>
            <w:pPr>
              <w:pStyle w:val="TableParagraph"/>
              <w:spacing w:line="337" w:lineRule="exact"/>
              <w:ind w:left="115" w:right="86"/>
              <w:rPr>
                <w:sz w:val="21"/>
              </w:rPr>
            </w:pPr>
            <w:r>
              <w:rPr>
                <w:sz w:val="21"/>
              </w:rPr>
              <w:t>甲醛</w:t>
            </w:r>
          </w:p>
        </w:tc>
        <w:tc>
          <w:tcPr>
            <w:tcW w:w="1205" w:type="dxa"/>
            <w:tcBorders>
              <w:top w:val="single" w:sz="4" w:space="0" w:color="000000"/>
              <w:left w:val="single" w:sz="4" w:space="0" w:color="000000"/>
              <w:right w:val="single" w:sz="4" w:space="0" w:color="000000"/>
            </w:tcBorders>
          </w:tcPr>
          <w:p>
            <w:pPr>
              <w:pStyle w:val="TableParagraph"/>
              <w:spacing w:before="58"/>
              <w:ind w:left="152" w:right="127"/>
              <w:rPr>
                <w:rFonts w:ascii="Times New Roman"/>
                <w:sz w:val="21"/>
              </w:rPr>
            </w:pPr>
            <w:r>
              <w:rPr>
                <w:rFonts w:ascii="Times New Roman"/>
                <w:sz w:val="21"/>
              </w:rPr>
              <w:t>50-00-0</w:t>
            </w:r>
          </w:p>
        </w:tc>
        <w:tc>
          <w:tcPr>
            <w:tcW w:w="2784" w:type="dxa"/>
            <w:tcBorders>
              <w:top w:val="single" w:sz="4" w:space="0" w:color="000000"/>
              <w:left w:val="single" w:sz="4" w:space="0" w:color="000000"/>
              <w:right w:val="single" w:sz="4" w:space="0" w:color="000000"/>
            </w:tcBorders>
          </w:tcPr>
          <w:p>
            <w:pPr>
              <w:pStyle w:val="TableParagraph"/>
              <w:spacing w:before="58"/>
              <w:ind w:left="121" w:right="91"/>
              <w:rPr>
                <w:rFonts w:ascii="Times New Roman"/>
                <w:sz w:val="21"/>
              </w:rPr>
            </w:pPr>
            <w:r>
              <w:rPr>
                <w:rFonts w:ascii="Times New Roman"/>
                <w:sz w:val="21"/>
              </w:rPr>
              <w:t>69</w:t>
            </w:r>
          </w:p>
        </w:tc>
        <w:tc>
          <w:tcPr>
            <w:tcW w:w="2784" w:type="dxa"/>
            <w:tcBorders>
              <w:top w:val="single" w:sz="4" w:space="0" w:color="000000"/>
              <w:left w:val="single" w:sz="4" w:space="0" w:color="000000"/>
            </w:tcBorders>
          </w:tcPr>
          <w:p>
            <w:pPr>
              <w:pStyle w:val="TableParagraph"/>
              <w:spacing w:before="58"/>
              <w:ind w:left="144" w:right="102"/>
              <w:rPr>
                <w:rFonts w:ascii="Times New Roman"/>
                <w:sz w:val="21"/>
              </w:rPr>
            </w:pPr>
            <w:r>
              <w:rPr>
                <w:rFonts w:ascii="Times New Roman"/>
                <w:sz w:val="21"/>
              </w:rPr>
              <w:t>17</w:t>
            </w:r>
          </w:p>
        </w:tc>
      </w:tr>
    </w:tbl>
    <w:p>
      <w:pPr>
        <w:pStyle w:val="BodyText"/>
        <w:spacing w:line="454" w:lineRule="exact"/>
        <w:ind w:left="1060"/>
      </w:pPr>
      <w:r>
        <w:rPr>
          <w:rFonts w:ascii="Times New Roman" w:eastAsia="Times New Roman"/>
          <w:b/>
        </w:rPr>
        <w:t>4</w:t>
      </w:r>
      <w:r>
        <w:rPr>
          <w:rFonts w:ascii="Droid Sans Fallback" w:eastAsia="Droid Sans Fallback" w:hint="eastAsia"/>
        </w:rPr>
        <w:t>、</w:t>
      </w:r>
      <w:r>
        <w:rPr/>
        <w:t>气象参数</w:t>
      </w:r>
    </w:p>
    <w:p>
      <w:pPr>
        <w:pStyle w:val="BodyText"/>
        <w:spacing w:line="220" w:lineRule="auto" w:before="8"/>
        <w:ind w:left="578" w:right="750" w:firstLine="479"/>
        <w:jc w:val="both"/>
      </w:pPr>
      <w:r>
        <w:rPr>
          <w:spacing w:val="2"/>
        </w:rPr>
        <w:t>本项目环境风险为一级评价，需选取最不利气象条件及事故发生地的最常</w:t>
      </w:r>
      <w:r>
        <w:rPr>
          <w:spacing w:val="3"/>
        </w:rPr>
        <w:t>见气象条件分别进行后果预测。其中最不利气象条件取</w:t>
      </w:r>
      <w:r>
        <w:rPr>
          <w:rFonts w:ascii="Times New Roman" w:hAnsi="Times New Roman" w:eastAsia="Times New Roman"/>
        </w:rPr>
        <w:t>F</w:t>
      </w:r>
      <w:r>
        <w:rPr>
          <w:rFonts w:ascii="Times New Roman" w:hAnsi="Times New Roman" w:eastAsia="Times New Roman"/>
          <w:spacing w:val="59"/>
        </w:rPr>
        <w:t> </w:t>
      </w:r>
      <w:r>
        <w:rPr/>
        <w:t>类稳定度，</w:t>
      </w:r>
      <w:r>
        <w:rPr>
          <w:rFonts w:ascii="Times New Roman" w:hAnsi="Times New Roman" w:eastAsia="Times New Roman"/>
        </w:rPr>
        <w:t>1.5 m/s </w:t>
      </w:r>
      <w:r>
        <w:rPr/>
        <w:t>风</w:t>
      </w:r>
      <w:r>
        <w:rPr>
          <w:spacing w:val="1"/>
        </w:rPr>
        <w:t>速，温度 </w:t>
      </w:r>
      <w:r>
        <w:rPr>
          <w:rFonts w:ascii="Times New Roman" w:hAnsi="Times New Roman" w:eastAsia="Times New Roman"/>
        </w:rPr>
        <w:t>25 </w:t>
      </w:r>
      <w:r>
        <w:rPr/>
        <w:t>℃，相对湿度 </w:t>
      </w:r>
      <w:r>
        <w:rPr>
          <w:rFonts w:ascii="Times New Roman" w:hAnsi="Times New Roman" w:eastAsia="Times New Roman"/>
        </w:rPr>
        <w:t>50%</w:t>
      </w:r>
      <w:r>
        <w:rPr/>
        <w:t>；最常见气象条件由当地近 </w:t>
      </w:r>
      <w:r>
        <w:rPr>
          <w:rFonts w:ascii="Times New Roman" w:hAnsi="Times New Roman" w:eastAsia="Times New Roman"/>
        </w:rPr>
        <w:t>3  </w:t>
      </w:r>
      <w:r>
        <w:rPr/>
        <w:t>年内的至少连续 </w:t>
      </w:r>
      <w:r>
        <w:rPr>
          <w:rFonts w:ascii="Times New Roman" w:hAnsi="Times New Roman" w:eastAsia="Times New Roman"/>
        </w:rPr>
        <w:t>1 </w:t>
      </w:r>
      <w:r>
        <w:rPr>
          <w:spacing w:val="1"/>
        </w:rPr>
        <w:t>年气象观测资料统计分析得出，包括出现频率最高的稳定度、该稳定度下的平</w:t>
      </w:r>
      <w:r>
        <w:rPr>
          <w:spacing w:val="-24"/>
        </w:rPr>
        <w:t>均风速</w:t>
      </w:r>
      <w:r>
        <w:rPr/>
        <w:t>（非静风</w:t>
      </w:r>
      <w:r>
        <w:rPr>
          <w:spacing w:val="-70"/>
        </w:rPr>
        <w:t>）</w:t>
      </w:r>
      <w:r>
        <w:rPr>
          <w:spacing w:val="-2"/>
        </w:rPr>
        <w:t>、日最高平均气温、年平均湿度，本次评价选取 </w:t>
      </w:r>
      <w:r>
        <w:rPr>
          <w:rFonts w:ascii="Times New Roman" w:hAnsi="Times New Roman" w:eastAsia="Times New Roman"/>
        </w:rPr>
        <w:t>D </w:t>
      </w:r>
      <w:r>
        <w:rPr/>
        <w:t>类稳定度，</w:t>
      </w:r>
    </w:p>
    <w:p>
      <w:pPr>
        <w:pStyle w:val="BodyText"/>
        <w:spacing w:line="481" w:lineRule="exact"/>
        <w:ind w:left="578"/>
      </w:pPr>
      <w:r>
        <w:rPr>
          <w:rFonts w:ascii="Times New Roman" w:hAnsi="Times New Roman" w:eastAsia="Times New Roman"/>
        </w:rPr>
        <w:t>2.4m/s </w:t>
      </w:r>
      <w:r>
        <w:rPr/>
        <w:t>平均风速，日最高气温 </w:t>
      </w:r>
      <w:r>
        <w:rPr>
          <w:rFonts w:ascii="Times New Roman" w:hAnsi="Times New Roman" w:eastAsia="Times New Roman"/>
        </w:rPr>
        <w:t>18.7</w:t>
      </w:r>
      <w:r>
        <w:rPr/>
        <w:t>℃，年平均湿度 </w:t>
      </w:r>
      <w:r>
        <w:rPr>
          <w:rFonts w:ascii="Times New Roman" w:hAnsi="Times New Roman" w:eastAsia="Times New Roman"/>
        </w:rPr>
        <w:t>74%</w:t>
      </w:r>
      <w:r>
        <w:rPr/>
        <w:t>。</w:t>
      </w:r>
    </w:p>
    <w:p>
      <w:pPr>
        <w:tabs>
          <w:tab w:pos="919" w:val="left" w:leader="none"/>
        </w:tabs>
        <w:spacing w:before="124" w:after="35"/>
        <w:ind w:left="0" w:right="180" w:firstLine="0"/>
        <w:jc w:val="center"/>
        <w:rPr>
          <w:sz w:val="20"/>
        </w:rPr>
      </w:pPr>
      <w:r>
        <w:rPr>
          <w:sz w:val="20"/>
        </w:rPr>
        <w:t>表 </w:t>
      </w:r>
      <w:r>
        <w:rPr>
          <w:spacing w:val="12"/>
          <w:sz w:val="20"/>
        </w:rPr>
        <w:t> </w:t>
      </w:r>
      <w:r>
        <w:rPr>
          <w:rFonts w:ascii="Times New Roman" w:eastAsia="Times New Roman"/>
          <w:b/>
          <w:sz w:val="20"/>
        </w:rPr>
        <w:t>7.6-2</w:t>
        <w:tab/>
      </w:r>
      <w:r>
        <w:rPr>
          <w:sz w:val="20"/>
        </w:rPr>
        <w:t>大气风险预测模型主要参数表</w:t>
      </w:r>
    </w:p>
    <w:tbl>
      <w:tblPr>
        <w:tblW w:w="0" w:type="auto"/>
        <w:jc w:val="left"/>
        <w:tblInd w:w="5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7"/>
        <w:gridCol w:w="2074"/>
        <w:gridCol w:w="2074"/>
        <w:gridCol w:w="2074"/>
      </w:tblGrid>
      <w:tr>
        <w:trPr>
          <w:trHeight w:val="311" w:hRule="atLeast"/>
        </w:trPr>
        <w:tc>
          <w:tcPr>
            <w:tcW w:w="2077" w:type="dxa"/>
            <w:tcBorders>
              <w:bottom w:val="single" w:sz="6" w:space="0" w:color="000000"/>
              <w:right w:val="single" w:sz="6" w:space="0" w:color="000000"/>
            </w:tcBorders>
          </w:tcPr>
          <w:p>
            <w:pPr>
              <w:pStyle w:val="TableParagraph"/>
              <w:spacing w:line="291" w:lineRule="exact"/>
              <w:ind w:left="613"/>
              <w:jc w:val="left"/>
              <w:rPr>
                <w:sz w:val="21"/>
              </w:rPr>
            </w:pPr>
            <w:r>
              <w:rPr>
                <w:sz w:val="21"/>
              </w:rPr>
              <w:t>参数类型</w:t>
            </w:r>
          </w:p>
        </w:tc>
        <w:tc>
          <w:tcPr>
            <w:tcW w:w="2074" w:type="dxa"/>
            <w:tcBorders>
              <w:left w:val="single" w:sz="6" w:space="0" w:color="000000"/>
              <w:bottom w:val="single" w:sz="6" w:space="0" w:color="000000"/>
              <w:right w:val="single" w:sz="6" w:space="0" w:color="000000"/>
            </w:tcBorders>
          </w:tcPr>
          <w:p>
            <w:pPr>
              <w:pStyle w:val="TableParagraph"/>
              <w:spacing w:line="291" w:lineRule="exact"/>
              <w:ind w:left="279" w:right="257"/>
              <w:rPr>
                <w:sz w:val="21"/>
              </w:rPr>
            </w:pPr>
            <w:r>
              <w:rPr>
                <w:sz w:val="21"/>
              </w:rPr>
              <w:t>选项</w:t>
            </w:r>
          </w:p>
        </w:tc>
        <w:tc>
          <w:tcPr>
            <w:tcW w:w="4148" w:type="dxa"/>
            <w:gridSpan w:val="2"/>
            <w:tcBorders>
              <w:left w:val="single" w:sz="6" w:space="0" w:color="000000"/>
              <w:bottom w:val="single" w:sz="6" w:space="0" w:color="000000"/>
            </w:tcBorders>
          </w:tcPr>
          <w:p>
            <w:pPr>
              <w:pStyle w:val="TableParagraph"/>
              <w:spacing w:line="291" w:lineRule="exact"/>
              <w:ind w:left="1662" w:right="1633"/>
              <w:rPr>
                <w:sz w:val="21"/>
              </w:rPr>
            </w:pPr>
            <w:r>
              <w:rPr>
                <w:sz w:val="21"/>
              </w:rPr>
              <w:t>参数</w:t>
            </w:r>
          </w:p>
        </w:tc>
      </w:tr>
      <w:tr>
        <w:trPr>
          <w:trHeight w:val="313" w:hRule="atLeast"/>
        </w:trPr>
        <w:tc>
          <w:tcPr>
            <w:tcW w:w="2077" w:type="dxa"/>
            <w:vMerge w:val="restart"/>
            <w:tcBorders>
              <w:top w:val="single" w:sz="6" w:space="0" w:color="000000"/>
              <w:bottom w:val="single" w:sz="6" w:space="0" w:color="000000"/>
              <w:right w:val="single" w:sz="6" w:space="0" w:color="000000"/>
            </w:tcBorders>
          </w:tcPr>
          <w:p>
            <w:pPr>
              <w:pStyle w:val="TableParagraph"/>
              <w:spacing w:before="17"/>
              <w:jc w:val="left"/>
              <w:rPr>
                <w:sz w:val="11"/>
              </w:rPr>
            </w:pPr>
          </w:p>
          <w:p>
            <w:pPr>
              <w:pStyle w:val="TableParagraph"/>
              <w:ind w:left="616"/>
              <w:jc w:val="left"/>
              <w:rPr>
                <w:sz w:val="21"/>
              </w:rPr>
            </w:pPr>
            <w:r>
              <w:rPr>
                <w:sz w:val="21"/>
              </w:rPr>
              <w:t>基本情况</w:t>
            </w: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41" w:right="257"/>
              <w:rPr>
                <w:rFonts w:ascii="Times New Roman" w:hAnsi="Times New Roman" w:eastAsia="Times New Roman"/>
                <w:sz w:val="21"/>
              </w:rPr>
            </w:pPr>
            <w:r>
              <w:rPr>
                <w:sz w:val="21"/>
              </w:rPr>
              <w:t>事故源经度</w:t>
            </w:r>
            <w:r>
              <w:rPr>
                <w:rFonts w:ascii="Times New Roman" w:hAnsi="Times New Roman" w:eastAsia="Times New Roman"/>
                <w:position w:val="1"/>
                <w:sz w:val="21"/>
              </w:rPr>
              <w:t>/(°)</w:t>
            </w:r>
          </w:p>
        </w:tc>
        <w:tc>
          <w:tcPr>
            <w:tcW w:w="4148" w:type="dxa"/>
            <w:gridSpan w:val="2"/>
            <w:tcBorders>
              <w:top w:val="single" w:sz="6" w:space="0" w:color="000000"/>
              <w:left w:val="single" w:sz="6" w:space="0" w:color="000000"/>
              <w:bottom w:val="single" w:sz="6" w:space="0" w:color="000000"/>
            </w:tcBorders>
          </w:tcPr>
          <w:p>
            <w:pPr>
              <w:pStyle w:val="TableParagraph"/>
              <w:spacing w:before="36"/>
              <w:ind w:left="1665" w:right="1633"/>
              <w:rPr>
                <w:rFonts w:ascii="Times New Roman"/>
                <w:sz w:val="21"/>
              </w:rPr>
            </w:pPr>
            <w:r>
              <w:rPr>
                <w:rFonts w:ascii="Times New Roman"/>
                <w:sz w:val="21"/>
              </w:rPr>
              <w:t>118.7384</w:t>
            </w:r>
          </w:p>
        </w:tc>
      </w:tr>
      <w:tr>
        <w:trPr>
          <w:trHeight w:val="311" w:hRule="atLeast"/>
        </w:trPr>
        <w:tc>
          <w:tcPr>
            <w:tcW w:w="2077" w:type="dxa"/>
            <w:vMerge/>
            <w:tcBorders>
              <w:top w:val="nil"/>
              <w:bottom w:val="single" w:sz="6" w:space="0" w:color="000000"/>
              <w:right w:val="single" w:sz="6" w:space="0" w:color="000000"/>
            </w:tcBorders>
          </w:tcPr>
          <w:p>
            <w:pPr>
              <w:rPr>
                <w:sz w:val="2"/>
                <w:szCs w:val="2"/>
              </w:rPr>
            </w:pP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41" w:right="257"/>
              <w:rPr>
                <w:rFonts w:ascii="Times New Roman" w:hAnsi="Times New Roman" w:eastAsia="Times New Roman"/>
                <w:sz w:val="21"/>
              </w:rPr>
            </w:pPr>
            <w:r>
              <w:rPr>
                <w:sz w:val="21"/>
              </w:rPr>
              <w:t>事故源纬度</w:t>
            </w:r>
            <w:r>
              <w:rPr>
                <w:rFonts w:ascii="Times New Roman" w:hAnsi="Times New Roman" w:eastAsia="Times New Roman"/>
                <w:position w:val="1"/>
                <w:sz w:val="21"/>
              </w:rPr>
              <w:t>/(°)</w:t>
            </w:r>
          </w:p>
        </w:tc>
        <w:tc>
          <w:tcPr>
            <w:tcW w:w="4148" w:type="dxa"/>
            <w:gridSpan w:val="2"/>
            <w:tcBorders>
              <w:top w:val="single" w:sz="6" w:space="0" w:color="000000"/>
              <w:left w:val="single" w:sz="6" w:space="0" w:color="000000"/>
              <w:bottom w:val="single" w:sz="6" w:space="0" w:color="000000"/>
            </w:tcBorders>
          </w:tcPr>
          <w:p>
            <w:pPr>
              <w:pStyle w:val="TableParagraph"/>
              <w:spacing w:before="34"/>
              <w:ind w:left="1665" w:right="1633"/>
              <w:rPr>
                <w:rFonts w:ascii="Times New Roman"/>
                <w:sz w:val="21"/>
              </w:rPr>
            </w:pPr>
            <w:r>
              <w:rPr>
                <w:rFonts w:ascii="Times New Roman"/>
                <w:sz w:val="21"/>
              </w:rPr>
              <w:t>35.2029</w:t>
            </w:r>
          </w:p>
        </w:tc>
      </w:tr>
      <w:tr>
        <w:trPr>
          <w:trHeight w:val="311" w:hRule="atLeast"/>
        </w:trPr>
        <w:tc>
          <w:tcPr>
            <w:tcW w:w="2077" w:type="dxa"/>
            <w:vMerge/>
            <w:tcBorders>
              <w:top w:val="nil"/>
              <w:bottom w:val="single" w:sz="6" w:space="0" w:color="000000"/>
              <w:right w:val="single" w:sz="6" w:space="0" w:color="000000"/>
            </w:tcBorders>
          </w:tcPr>
          <w:p>
            <w:pPr>
              <w:rPr>
                <w:sz w:val="2"/>
                <w:szCs w:val="2"/>
              </w:rPr>
            </w:pP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79" w:right="254"/>
              <w:rPr>
                <w:sz w:val="21"/>
              </w:rPr>
            </w:pPr>
            <w:r>
              <w:rPr>
                <w:sz w:val="21"/>
              </w:rPr>
              <w:t>事故源类型</w:t>
            </w:r>
          </w:p>
        </w:tc>
        <w:tc>
          <w:tcPr>
            <w:tcW w:w="4148" w:type="dxa"/>
            <w:gridSpan w:val="2"/>
            <w:tcBorders>
              <w:top w:val="single" w:sz="6" w:space="0" w:color="000000"/>
              <w:left w:val="single" w:sz="6" w:space="0" w:color="000000"/>
              <w:bottom w:val="single" w:sz="6" w:space="0" w:color="000000"/>
            </w:tcBorders>
          </w:tcPr>
          <w:p>
            <w:pPr>
              <w:pStyle w:val="TableParagraph"/>
              <w:spacing w:line="291" w:lineRule="exact"/>
              <w:ind w:left="1662" w:right="1633"/>
              <w:rPr>
                <w:sz w:val="21"/>
              </w:rPr>
            </w:pPr>
            <w:r>
              <w:rPr>
                <w:sz w:val="21"/>
              </w:rPr>
              <w:t>泄漏</w:t>
            </w:r>
          </w:p>
        </w:tc>
      </w:tr>
      <w:tr>
        <w:trPr>
          <w:trHeight w:val="303" w:hRule="atLeast"/>
        </w:trPr>
        <w:tc>
          <w:tcPr>
            <w:tcW w:w="2077" w:type="dxa"/>
            <w:vMerge w:val="restart"/>
            <w:tcBorders>
              <w:top w:val="single" w:sz="6" w:space="0" w:color="000000"/>
              <w:right w:val="single" w:sz="6" w:space="0" w:color="000000"/>
            </w:tcBorders>
          </w:tcPr>
          <w:p>
            <w:pPr>
              <w:pStyle w:val="TableParagraph"/>
              <w:spacing w:before="10"/>
              <w:jc w:val="left"/>
              <w:rPr>
                <w:sz w:val="19"/>
              </w:rPr>
            </w:pPr>
          </w:p>
          <w:p>
            <w:pPr>
              <w:pStyle w:val="TableParagraph"/>
              <w:spacing w:before="1"/>
              <w:ind w:left="616"/>
              <w:jc w:val="left"/>
              <w:rPr>
                <w:sz w:val="21"/>
              </w:rPr>
            </w:pPr>
            <w:r>
              <w:rPr>
                <w:sz w:val="21"/>
              </w:rPr>
              <w:t>气象参数</w:t>
            </w: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279" w:right="257"/>
              <w:rPr>
                <w:sz w:val="21"/>
              </w:rPr>
            </w:pPr>
            <w:r>
              <w:rPr>
                <w:sz w:val="21"/>
              </w:rPr>
              <w:t>气象条件类型</w:t>
            </w: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279" w:right="254"/>
              <w:rPr>
                <w:sz w:val="21"/>
              </w:rPr>
            </w:pPr>
            <w:r>
              <w:rPr>
                <w:sz w:val="21"/>
              </w:rPr>
              <w:t>最不利气象</w:t>
            </w:r>
          </w:p>
        </w:tc>
        <w:tc>
          <w:tcPr>
            <w:tcW w:w="2074" w:type="dxa"/>
            <w:tcBorders>
              <w:top w:val="single" w:sz="6" w:space="0" w:color="000000"/>
              <w:left w:val="single" w:sz="6" w:space="0" w:color="000000"/>
              <w:bottom w:val="single" w:sz="6" w:space="0" w:color="000000"/>
            </w:tcBorders>
          </w:tcPr>
          <w:p>
            <w:pPr>
              <w:pStyle w:val="TableParagraph"/>
              <w:spacing w:line="284" w:lineRule="exact"/>
              <w:ind w:left="499" w:right="462"/>
              <w:rPr>
                <w:sz w:val="21"/>
              </w:rPr>
            </w:pPr>
            <w:r>
              <w:rPr>
                <w:sz w:val="21"/>
              </w:rPr>
              <w:t>最常见气象</w:t>
            </w:r>
          </w:p>
        </w:tc>
      </w:tr>
      <w:tr>
        <w:trPr>
          <w:trHeight w:val="298" w:hRule="atLeast"/>
        </w:trPr>
        <w:tc>
          <w:tcPr>
            <w:tcW w:w="2077" w:type="dxa"/>
            <w:vMerge/>
            <w:tcBorders>
              <w:top w:val="nil"/>
              <w:right w:val="single" w:sz="6" w:space="0" w:color="000000"/>
            </w:tcBorders>
          </w:tcPr>
          <w:p>
            <w:pPr>
              <w:rPr>
                <w:sz w:val="2"/>
                <w:szCs w:val="2"/>
              </w:rPr>
            </w:pP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78" w:right="257"/>
              <w:rPr>
                <w:rFonts w:ascii="Times New Roman" w:eastAsia="Times New Roman"/>
                <w:sz w:val="21"/>
              </w:rPr>
            </w:pPr>
            <w:r>
              <w:rPr>
                <w:sz w:val="21"/>
              </w:rPr>
              <w:t>风速</w:t>
            </w:r>
            <w:r>
              <w:rPr>
                <w:rFonts w:ascii="Times New Roman" w:eastAsia="Times New Roman"/>
                <w:position w:val="1"/>
                <w:sz w:val="21"/>
              </w:rPr>
              <w:t>/(m/s)</w:t>
            </w: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before="29"/>
              <w:ind w:left="279" w:right="257"/>
              <w:rPr>
                <w:rFonts w:ascii="Times New Roman"/>
                <w:sz w:val="21"/>
              </w:rPr>
            </w:pPr>
            <w:r>
              <w:rPr>
                <w:rFonts w:ascii="Times New Roman"/>
                <w:sz w:val="21"/>
              </w:rPr>
              <w:t>1.5</w:t>
            </w:r>
          </w:p>
        </w:tc>
        <w:tc>
          <w:tcPr>
            <w:tcW w:w="2074" w:type="dxa"/>
            <w:tcBorders>
              <w:top w:val="single" w:sz="6" w:space="0" w:color="000000"/>
              <w:left w:val="single" w:sz="6" w:space="0" w:color="000000"/>
              <w:bottom w:val="single" w:sz="6" w:space="0" w:color="000000"/>
            </w:tcBorders>
          </w:tcPr>
          <w:p>
            <w:pPr>
              <w:pStyle w:val="TableParagraph"/>
              <w:spacing w:before="29"/>
              <w:ind w:left="497" w:right="462"/>
              <w:rPr>
                <w:rFonts w:ascii="Times New Roman"/>
                <w:sz w:val="21"/>
              </w:rPr>
            </w:pPr>
            <w:r>
              <w:rPr>
                <w:rFonts w:ascii="Times New Roman"/>
                <w:sz w:val="21"/>
              </w:rPr>
              <w:t>2.4</w:t>
            </w:r>
          </w:p>
        </w:tc>
      </w:tr>
      <w:tr>
        <w:trPr>
          <w:trHeight w:val="296" w:hRule="atLeast"/>
        </w:trPr>
        <w:tc>
          <w:tcPr>
            <w:tcW w:w="2077" w:type="dxa"/>
            <w:vMerge/>
            <w:tcBorders>
              <w:top w:val="nil"/>
              <w:right w:val="single" w:sz="6" w:space="0" w:color="000000"/>
            </w:tcBorders>
          </w:tcPr>
          <w:p>
            <w:pPr>
              <w:rPr>
                <w:sz w:val="2"/>
                <w:szCs w:val="2"/>
              </w:rPr>
            </w:pP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279" w:right="254"/>
              <w:rPr>
                <w:sz w:val="21"/>
              </w:rPr>
            </w:pPr>
            <w:r>
              <w:rPr>
                <w:sz w:val="21"/>
              </w:rPr>
              <w:t>环境温度</w:t>
            </w:r>
            <w:r>
              <w:rPr>
                <w:rFonts w:ascii="Times New Roman" w:hAnsi="Times New Roman" w:eastAsia="Times New Roman"/>
                <w:position w:val="1"/>
                <w:sz w:val="21"/>
              </w:rPr>
              <w:t>/</w:t>
            </w:r>
            <w:r>
              <w:rPr>
                <w:position w:val="1"/>
                <w:sz w:val="21"/>
              </w:rPr>
              <w:t>℃</w:t>
            </w: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before="27"/>
              <w:ind w:left="279" w:right="257"/>
              <w:rPr>
                <w:rFonts w:ascii="Times New Roman"/>
                <w:sz w:val="21"/>
              </w:rPr>
            </w:pPr>
            <w:r>
              <w:rPr>
                <w:rFonts w:ascii="Times New Roman"/>
                <w:sz w:val="21"/>
              </w:rPr>
              <w:t>25</w:t>
            </w:r>
          </w:p>
        </w:tc>
        <w:tc>
          <w:tcPr>
            <w:tcW w:w="2074" w:type="dxa"/>
            <w:tcBorders>
              <w:top w:val="single" w:sz="6" w:space="0" w:color="000000"/>
              <w:left w:val="single" w:sz="6" w:space="0" w:color="000000"/>
              <w:bottom w:val="single" w:sz="6" w:space="0" w:color="000000"/>
            </w:tcBorders>
          </w:tcPr>
          <w:p>
            <w:pPr>
              <w:pStyle w:val="TableParagraph"/>
              <w:spacing w:before="27"/>
              <w:ind w:left="497" w:right="462"/>
              <w:rPr>
                <w:rFonts w:ascii="Times New Roman"/>
                <w:sz w:val="21"/>
              </w:rPr>
            </w:pPr>
            <w:r>
              <w:rPr>
                <w:rFonts w:ascii="Times New Roman"/>
                <w:sz w:val="21"/>
              </w:rPr>
              <w:t>18.7</w:t>
            </w:r>
          </w:p>
        </w:tc>
      </w:tr>
      <w:tr>
        <w:trPr>
          <w:trHeight w:val="303" w:hRule="atLeast"/>
        </w:trPr>
        <w:tc>
          <w:tcPr>
            <w:tcW w:w="2077" w:type="dxa"/>
            <w:vMerge/>
            <w:tcBorders>
              <w:top w:val="nil"/>
              <w:right w:val="single" w:sz="6" w:space="0" w:color="000000"/>
            </w:tcBorders>
          </w:tcPr>
          <w:p>
            <w:pPr>
              <w:rPr>
                <w:sz w:val="2"/>
                <w:szCs w:val="2"/>
              </w:rPr>
            </w:pPr>
          </w:p>
        </w:tc>
        <w:tc>
          <w:tcPr>
            <w:tcW w:w="2074" w:type="dxa"/>
            <w:tcBorders>
              <w:top w:val="single" w:sz="6" w:space="0" w:color="000000"/>
              <w:left w:val="single" w:sz="6" w:space="0" w:color="000000"/>
              <w:right w:val="single" w:sz="6" w:space="0" w:color="000000"/>
            </w:tcBorders>
          </w:tcPr>
          <w:p>
            <w:pPr>
              <w:pStyle w:val="TableParagraph"/>
              <w:spacing w:line="284" w:lineRule="exact"/>
              <w:ind w:left="279" w:right="257"/>
              <w:rPr>
                <w:rFonts w:ascii="Times New Roman" w:eastAsia="Times New Roman"/>
                <w:sz w:val="21"/>
              </w:rPr>
            </w:pPr>
            <w:r>
              <w:rPr>
                <w:sz w:val="21"/>
              </w:rPr>
              <w:t>相对湿度</w:t>
            </w:r>
            <w:r>
              <w:rPr>
                <w:rFonts w:ascii="Times New Roman" w:eastAsia="Times New Roman"/>
                <w:position w:val="1"/>
                <w:sz w:val="21"/>
              </w:rPr>
              <w:t>/%</w:t>
            </w:r>
          </w:p>
        </w:tc>
        <w:tc>
          <w:tcPr>
            <w:tcW w:w="2074" w:type="dxa"/>
            <w:tcBorders>
              <w:top w:val="single" w:sz="6" w:space="0" w:color="000000"/>
              <w:left w:val="single" w:sz="6" w:space="0" w:color="000000"/>
              <w:right w:val="single" w:sz="6" w:space="0" w:color="000000"/>
            </w:tcBorders>
          </w:tcPr>
          <w:p>
            <w:pPr>
              <w:pStyle w:val="TableParagraph"/>
              <w:spacing w:before="26"/>
              <w:ind w:left="279" w:right="257"/>
              <w:rPr>
                <w:rFonts w:ascii="Times New Roman"/>
                <w:sz w:val="21"/>
              </w:rPr>
            </w:pPr>
            <w:r>
              <w:rPr>
                <w:rFonts w:ascii="Times New Roman"/>
                <w:sz w:val="21"/>
              </w:rPr>
              <w:t>50</w:t>
            </w:r>
          </w:p>
        </w:tc>
        <w:tc>
          <w:tcPr>
            <w:tcW w:w="2074" w:type="dxa"/>
            <w:tcBorders>
              <w:top w:val="single" w:sz="6" w:space="0" w:color="000000"/>
              <w:left w:val="single" w:sz="6" w:space="0" w:color="000000"/>
            </w:tcBorders>
          </w:tcPr>
          <w:p>
            <w:pPr>
              <w:pStyle w:val="TableParagraph"/>
              <w:spacing w:before="26"/>
              <w:ind w:left="497" w:right="462"/>
              <w:rPr>
                <w:rFonts w:ascii="Times New Roman"/>
                <w:sz w:val="21"/>
              </w:rPr>
            </w:pPr>
            <w:r>
              <w:rPr>
                <w:rFonts w:ascii="Times New Roman"/>
                <w:sz w:val="21"/>
              </w:rPr>
              <w:t>74</w:t>
            </w:r>
          </w:p>
        </w:tc>
      </w:tr>
    </w:tbl>
    <w:p>
      <w:pPr>
        <w:spacing w:after="0"/>
        <w:rPr>
          <w:rFonts w:ascii="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5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7"/>
        <w:gridCol w:w="2074"/>
        <w:gridCol w:w="2074"/>
        <w:gridCol w:w="2074"/>
      </w:tblGrid>
      <w:tr>
        <w:trPr>
          <w:trHeight w:val="311" w:hRule="atLeast"/>
        </w:trPr>
        <w:tc>
          <w:tcPr>
            <w:tcW w:w="2077" w:type="dxa"/>
            <w:tcBorders>
              <w:bottom w:val="single" w:sz="6" w:space="0" w:color="000000"/>
              <w:right w:val="single" w:sz="6" w:space="0" w:color="000000"/>
            </w:tcBorders>
          </w:tcPr>
          <w:p>
            <w:pPr>
              <w:pStyle w:val="TableParagraph"/>
              <w:jc w:val="left"/>
              <w:rPr>
                <w:rFonts w:ascii="Times New Roman"/>
                <w:sz w:val="20"/>
              </w:rPr>
            </w:pPr>
          </w:p>
        </w:tc>
        <w:tc>
          <w:tcPr>
            <w:tcW w:w="2074" w:type="dxa"/>
            <w:tcBorders>
              <w:left w:val="single" w:sz="6" w:space="0" w:color="000000"/>
              <w:bottom w:val="single" w:sz="6" w:space="0" w:color="000000"/>
              <w:right w:val="single" w:sz="6" w:space="0" w:color="000000"/>
            </w:tcBorders>
          </w:tcPr>
          <w:p>
            <w:pPr>
              <w:pStyle w:val="TableParagraph"/>
              <w:spacing w:line="292" w:lineRule="exact"/>
              <w:ind w:left="279" w:right="257"/>
              <w:rPr>
                <w:sz w:val="21"/>
              </w:rPr>
            </w:pPr>
            <w:r>
              <w:rPr>
                <w:sz w:val="21"/>
              </w:rPr>
              <w:t>稳定度</w:t>
            </w:r>
          </w:p>
        </w:tc>
        <w:tc>
          <w:tcPr>
            <w:tcW w:w="2074" w:type="dxa"/>
            <w:tcBorders>
              <w:left w:val="single" w:sz="6" w:space="0" w:color="000000"/>
              <w:bottom w:val="single" w:sz="6" w:space="0" w:color="000000"/>
              <w:right w:val="single" w:sz="6" w:space="0" w:color="000000"/>
            </w:tcBorders>
          </w:tcPr>
          <w:p>
            <w:pPr>
              <w:pStyle w:val="TableParagraph"/>
              <w:spacing w:before="36"/>
              <w:ind w:left="20"/>
              <w:rPr>
                <w:rFonts w:ascii="Times New Roman"/>
                <w:sz w:val="21"/>
              </w:rPr>
            </w:pPr>
            <w:r>
              <w:rPr>
                <w:rFonts w:ascii="Times New Roman"/>
                <w:w w:val="100"/>
                <w:sz w:val="21"/>
              </w:rPr>
              <w:t>F</w:t>
            </w:r>
          </w:p>
        </w:tc>
        <w:tc>
          <w:tcPr>
            <w:tcW w:w="2074" w:type="dxa"/>
            <w:tcBorders>
              <w:left w:val="single" w:sz="6" w:space="0" w:color="000000"/>
              <w:bottom w:val="single" w:sz="6" w:space="0" w:color="000000"/>
            </w:tcBorders>
          </w:tcPr>
          <w:p>
            <w:pPr>
              <w:pStyle w:val="TableParagraph"/>
              <w:spacing w:before="36"/>
              <w:ind w:left="34"/>
              <w:rPr>
                <w:rFonts w:ascii="Times New Roman"/>
                <w:sz w:val="21"/>
              </w:rPr>
            </w:pPr>
            <w:r>
              <w:rPr>
                <w:rFonts w:ascii="Times New Roman"/>
                <w:w w:val="100"/>
                <w:sz w:val="21"/>
              </w:rPr>
              <w:t>D</w:t>
            </w:r>
          </w:p>
        </w:tc>
      </w:tr>
      <w:tr>
        <w:trPr>
          <w:trHeight w:val="306" w:hRule="atLeast"/>
        </w:trPr>
        <w:tc>
          <w:tcPr>
            <w:tcW w:w="2077" w:type="dxa"/>
            <w:vMerge w:val="restart"/>
            <w:tcBorders>
              <w:top w:val="single" w:sz="6" w:space="0" w:color="000000"/>
              <w:right w:val="single" w:sz="6" w:space="0" w:color="000000"/>
            </w:tcBorders>
          </w:tcPr>
          <w:p>
            <w:pPr>
              <w:pStyle w:val="TableParagraph"/>
              <w:spacing w:before="17"/>
              <w:jc w:val="left"/>
              <w:rPr>
                <w:sz w:val="11"/>
              </w:rPr>
            </w:pPr>
          </w:p>
          <w:p>
            <w:pPr>
              <w:pStyle w:val="TableParagraph"/>
              <w:ind w:left="616"/>
              <w:jc w:val="left"/>
              <w:rPr>
                <w:sz w:val="21"/>
              </w:rPr>
            </w:pPr>
            <w:r>
              <w:rPr>
                <w:sz w:val="21"/>
              </w:rPr>
              <w:t>其他参数</w:t>
            </w: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86" w:lineRule="exact"/>
              <w:ind w:left="279" w:right="254"/>
              <w:rPr>
                <w:rFonts w:ascii="Times New Roman" w:eastAsia="Times New Roman"/>
                <w:sz w:val="21"/>
              </w:rPr>
            </w:pPr>
            <w:r>
              <w:rPr>
                <w:sz w:val="21"/>
              </w:rPr>
              <w:t>地表粗糙度</w:t>
            </w:r>
            <w:r>
              <w:rPr>
                <w:rFonts w:ascii="Times New Roman" w:eastAsia="Times New Roman"/>
                <w:position w:val="1"/>
                <w:sz w:val="21"/>
              </w:rPr>
              <w:t>/m</w:t>
            </w:r>
          </w:p>
        </w:tc>
        <w:tc>
          <w:tcPr>
            <w:tcW w:w="4148" w:type="dxa"/>
            <w:gridSpan w:val="2"/>
            <w:tcBorders>
              <w:top w:val="single" w:sz="6" w:space="0" w:color="000000"/>
              <w:left w:val="single" w:sz="6" w:space="0" w:color="000000"/>
              <w:bottom w:val="single" w:sz="6" w:space="0" w:color="000000"/>
            </w:tcBorders>
          </w:tcPr>
          <w:p>
            <w:pPr>
              <w:pStyle w:val="TableParagraph"/>
              <w:spacing w:before="36"/>
              <w:ind w:left="1662" w:right="1633"/>
              <w:rPr>
                <w:rFonts w:ascii="Times New Roman"/>
                <w:sz w:val="21"/>
              </w:rPr>
            </w:pPr>
            <w:r>
              <w:rPr>
                <w:rFonts w:ascii="Times New Roman"/>
                <w:sz w:val="21"/>
              </w:rPr>
              <w:t>0.03</w:t>
            </w:r>
          </w:p>
        </w:tc>
      </w:tr>
      <w:tr>
        <w:trPr>
          <w:trHeight w:val="296" w:hRule="atLeast"/>
        </w:trPr>
        <w:tc>
          <w:tcPr>
            <w:tcW w:w="2077" w:type="dxa"/>
            <w:vMerge/>
            <w:tcBorders>
              <w:top w:val="nil"/>
              <w:right w:val="single" w:sz="6" w:space="0" w:color="000000"/>
            </w:tcBorders>
          </w:tcPr>
          <w:p>
            <w:pPr>
              <w:rPr>
                <w:sz w:val="2"/>
                <w:szCs w:val="2"/>
              </w:rPr>
            </w:pPr>
          </w:p>
        </w:tc>
        <w:tc>
          <w:tcPr>
            <w:tcW w:w="2074"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79" w:right="257"/>
              <w:rPr>
                <w:sz w:val="21"/>
              </w:rPr>
            </w:pPr>
            <w:r>
              <w:rPr>
                <w:sz w:val="21"/>
              </w:rPr>
              <w:t>是否考虑地形</w:t>
            </w:r>
          </w:p>
        </w:tc>
        <w:tc>
          <w:tcPr>
            <w:tcW w:w="4148" w:type="dxa"/>
            <w:gridSpan w:val="2"/>
            <w:tcBorders>
              <w:top w:val="single" w:sz="6" w:space="0" w:color="000000"/>
              <w:left w:val="single" w:sz="6" w:space="0" w:color="000000"/>
              <w:bottom w:val="single" w:sz="6" w:space="0" w:color="000000"/>
            </w:tcBorders>
          </w:tcPr>
          <w:p>
            <w:pPr>
              <w:pStyle w:val="TableParagraph"/>
              <w:spacing w:line="276" w:lineRule="exact"/>
              <w:ind w:left="29"/>
              <w:rPr>
                <w:sz w:val="21"/>
              </w:rPr>
            </w:pPr>
            <w:r>
              <w:rPr>
                <w:w w:val="100"/>
                <w:sz w:val="21"/>
              </w:rPr>
              <w:t>否</w:t>
            </w:r>
          </w:p>
        </w:tc>
      </w:tr>
      <w:tr>
        <w:trPr>
          <w:trHeight w:val="303" w:hRule="atLeast"/>
        </w:trPr>
        <w:tc>
          <w:tcPr>
            <w:tcW w:w="2077" w:type="dxa"/>
            <w:vMerge/>
            <w:tcBorders>
              <w:top w:val="nil"/>
              <w:right w:val="single" w:sz="6" w:space="0" w:color="000000"/>
            </w:tcBorders>
          </w:tcPr>
          <w:p>
            <w:pPr>
              <w:rPr>
                <w:sz w:val="2"/>
                <w:szCs w:val="2"/>
              </w:rPr>
            </w:pPr>
          </w:p>
        </w:tc>
        <w:tc>
          <w:tcPr>
            <w:tcW w:w="2074" w:type="dxa"/>
            <w:tcBorders>
              <w:top w:val="single" w:sz="6" w:space="0" w:color="000000"/>
              <w:left w:val="single" w:sz="6" w:space="0" w:color="000000"/>
              <w:right w:val="single" w:sz="6" w:space="0" w:color="000000"/>
            </w:tcBorders>
          </w:tcPr>
          <w:p>
            <w:pPr>
              <w:pStyle w:val="TableParagraph"/>
              <w:spacing w:line="284" w:lineRule="exact"/>
              <w:ind w:left="279" w:right="257"/>
              <w:rPr>
                <w:rFonts w:ascii="Times New Roman" w:eastAsia="Times New Roman"/>
                <w:sz w:val="21"/>
              </w:rPr>
            </w:pPr>
            <w:r>
              <w:rPr>
                <w:sz w:val="21"/>
              </w:rPr>
              <w:t>地形数据精度</w:t>
            </w:r>
            <w:r>
              <w:rPr>
                <w:rFonts w:ascii="Times New Roman" w:eastAsia="Times New Roman"/>
                <w:position w:val="1"/>
                <w:sz w:val="21"/>
              </w:rPr>
              <w:t>/m</w:t>
            </w:r>
          </w:p>
        </w:tc>
        <w:tc>
          <w:tcPr>
            <w:tcW w:w="4148" w:type="dxa"/>
            <w:gridSpan w:val="2"/>
            <w:tcBorders>
              <w:top w:val="single" w:sz="6" w:space="0" w:color="000000"/>
              <w:left w:val="single" w:sz="6" w:space="0" w:color="000000"/>
            </w:tcBorders>
          </w:tcPr>
          <w:p>
            <w:pPr>
              <w:pStyle w:val="TableParagraph"/>
              <w:spacing w:before="26"/>
              <w:ind w:left="30"/>
              <w:rPr>
                <w:rFonts w:ascii="Times New Roman"/>
                <w:sz w:val="21"/>
              </w:rPr>
            </w:pPr>
            <w:r>
              <w:rPr>
                <w:rFonts w:ascii="Times New Roman"/>
                <w:w w:val="100"/>
                <w:sz w:val="21"/>
              </w:rPr>
              <w:t>/</w:t>
            </w:r>
          </w:p>
        </w:tc>
      </w:tr>
    </w:tbl>
    <w:p>
      <w:pPr>
        <w:pStyle w:val="BodyText"/>
        <w:rPr>
          <w:sz w:val="4"/>
        </w:rPr>
      </w:pPr>
    </w:p>
    <w:p>
      <w:pPr>
        <w:pStyle w:val="BodyText"/>
        <w:ind w:left="1060"/>
        <w:rPr>
          <w:rFonts w:ascii="Droid Sans Fallback" w:eastAsia="Droid Sans Fallback" w:hint="eastAsia"/>
        </w:rPr>
      </w:pPr>
      <w:r>
        <w:rPr>
          <w:rFonts w:ascii="Times New Roman" w:eastAsia="Times New Roman"/>
          <w:b/>
        </w:rPr>
        <w:t>5</w:t>
      </w:r>
      <w:r>
        <w:rPr>
          <w:rFonts w:ascii="Droid Sans Fallback" w:eastAsia="Droid Sans Fallback" w:hint="eastAsia"/>
        </w:rPr>
        <w:t>、预测结果</w:t>
      </w:r>
    </w:p>
    <w:p>
      <w:pPr>
        <w:pStyle w:val="BodyText"/>
        <w:spacing w:line="505" w:lineRule="exact" w:before="143"/>
        <w:ind w:left="1058"/>
      </w:pPr>
      <w:r>
        <w:rPr/>
        <w:t>（</w:t>
      </w:r>
      <w:r>
        <w:rPr>
          <w:rFonts w:ascii="Times New Roman" w:eastAsia="Times New Roman"/>
        </w:rPr>
        <w:t>1</w:t>
      </w:r>
      <w:r>
        <w:rPr/>
        <w:t>）最不利气象条件下</w:t>
      </w:r>
    </w:p>
    <w:p>
      <w:pPr>
        <w:pStyle w:val="BodyText"/>
        <w:spacing w:line="460" w:lineRule="exact"/>
        <w:ind w:left="1058"/>
      </w:pPr>
      <w:r>
        <w:rPr/>
        <w:t>①盐酸预测结果</w:t>
      </w:r>
    </w:p>
    <w:p>
      <w:pPr>
        <w:pStyle w:val="BodyText"/>
        <w:spacing w:line="443" w:lineRule="exact"/>
        <w:ind w:left="1058"/>
      </w:pPr>
      <w:r>
        <w:rPr/>
        <w:t>由盐酸预测结果可知，在最不利气象条件（</w:t>
      </w:r>
      <w:r>
        <w:rPr>
          <w:rFonts w:ascii="Times New Roman" w:eastAsia="Times New Roman"/>
        </w:rPr>
        <w:t>F </w:t>
      </w:r>
      <w:r>
        <w:rPr/>
        <w:t>类稳定度，</w:t>
      </w:r>
      <w:r>
        <w:rPr>
          <w:rFonts w:ascii="Times New Roman" w:eastAsia="Times New Roman"/>
        </w:rPr>
        <w:t>1.5m/s </w:t>
      </w:r>
      <w:r>
        <w:rPr/>
        <w:t>风速，温度</w:t>
      </w:r>
    </w:p>
    <w:p>
      <w:pPr>
        <w:pStyle w:val="BodyText"/>
        <w:spacing w:line="220" w:lineRule="auto" w:before="9"/>
        <w:ind w:left="578" w:right="751"/>
        <w:jc w:val="both"/>
      </w:pPr>
      <w:r>
        <w:rPr/>
        <w:drawing>
          <wp:anchor distT="0" distB="0" distL="0" distR="0" allowOverlap="1" layoutInCell="1" locked="0" behindDoc="1" simplePos="0" relativeHeight="267321887">
            <wp:simplePos x="0" y="0"/>
            <wp:positionH relativeFrom="page">
              <wp:posOffset>1141730</wp:posOffset>
            </wp:positionH>
            <wp:positionV relativeFrom="paragraph">
              <wp:posOffset>925566</wp:posOffset>
            </wp:positionV>
            <wp:extent cx="5275580" cy="3714115"/>
            <wp:effectExtent l="0" t="0" r="0" b="0"/>
            <wp:wrapNone/>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39" cstate="print"/>
                    <a:stretch>
                      <a:fillRect/>
                    </a:stretch>
                  </pic:blipFill>
                  <pic:spPr>
                    <a:xfrm>
                      <a:off x="0" y="0"/>
                      <a:ext cx="5275580" cy="3714115"/>
                    </a:xfrm>
                    <a:prstGeom prst="rect">
                      <a:avLst/>
                    </a:prstGeom>
                  </pic:spPr>
                </pic:pic>
              </a:graphicData>
            </a:graphic>
          </wp:anchor>
        </w:drawing>
      </w:r>
      <w:r>
        <w:rPr>
          <w:rFonts w:ascii="Times New Roman" w:hAnsi="Times New Roman" w:eastAsia="Times New Roman"/>
        </w:rPr>
        <w:t>25</w:t>
      </w:r>
      <w:r>
        <w:rPr/>
        <w:t>℃，相对湿度 </w:t>
      </w:r>
      <w:r>
        <w:rPr>
          <w:rFonts w:ascii="Times New Roman" w:hAnsi="Times New Roman" w:eastAsia="Times New Roman"/>
        </w:rPr>
        <w:t>50%</w:t>
      </w:r>
      <w:r>
        <w:rPr/>
        <w:t>）下，氯化氢浓度达到大气毒性终点浓度</w:t>
      </w:r>
      <w:r>
        <w:rPr>
          <w:rFonts w:ascii="Times New Roman" w:hAnsi="Times New Roman" w:eastAsia="Times New Roman"/>
        </w:rPr>
        <w:t>-1</w:t>
      </w:r>
      <w:r>
        <w:rPr>
          <w:rFonts w:ascii="Times New Roman" w:hAnsi="Times New Roman" w:eastAsia="Times New Roman"/>
          <w:spacing w:val="57"/>
        </w:rPr>
        <w:t> </w:t>
      </w:r>
      <w:r>
        <w:rPr/>
        <w:t>的最大影响范</w:t>
      </w:r>
      <w:r>
        <w:rPr>
          <w:spacing w:val="1"/>
        </w:rPr>
        <w:t>围约为 </w:t>
      </w:r>
      <w:r>
        <w:rPr>
          <w:rFonts w:ascii="Times New Roman" w:hAnsi="Times New Roman" w:eastAsia="Times New Roman"/>
          <w:spacing w:val="-3"/>
        </w:rPr>
        <w:t>350m</w:t>
      </w:r>
      <w:r>
        <w:rPr>
          <w:spacing w:val="-1"/>
        </w:rPr>
        <w:t>，发生时间为第 </w:t>
      </w:r>
      <w:r>
        <w:rPr>
          <w:rFonts w:ascii="Times New Roman" w:hAnsi="Times New Roman" w:eastAsia="Times New Roman"/>
          <w:spacing w:val="-3"/>
        </w:rPr>
        <w:t>809s</w:t>
      </w:r>
      <w:r>
        <w:rPr>
          <w:spacing w:val="-2"/>
        </w:rPr>
        <w:t>，达到大气毒性终点浓度</w:t>
      </w:r>
      <w:r>
        <w:rPr>
          <w:rFonts w:ascii="Times New Roman" w:hAnsi="Times New Roman" w:eastAsia="Times New Roman"/>
        </w:rPr>
        <w:t>-2 </w:t>
      </w:r>
      <w:r>
        <w:rPr/>
        <w:t>的最大影响范围约</w:t>
      </w:r>
      <w:r>
        <w:rPr>
          <w:spacing w:val="3"/>
        </w:rPr>
        <w:t>为 </w:t>
      </w:r>
      <w:r>
        <w:rPr>
          <w:rFonts w:ascii="Times New Roman" w:hAnsi="Times New Roman" w:eastAsia="Times New Roman"/>
        </w:rPr>
        <w:t>1440m</w:t>
      </w:r>
      <w:r>
        <w:rPr/>
        <w:t>，发生时间为第 </w:t>
      </w:r>
      <w:r>
        <w:rPr>
          <w:rFonts w:ascii="Times New Roman" w:hAnsi="Times New Roman" w:eastAsia="Times New Roman"/>
        </w:rPr>
        <w:t>1750s</w:t>
      </w:r>
      <w:r>
        <w:rPr/>
        <w:t>，该范围内存在村庄、学校等敏感目标。</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15"/>
        </w:rPr>
      </w:pPr>
    </w:p>
    <w:p>
      <w:pPr>
        <w:tabs>
          <w:tab w:pos="912" w:val="left" w:leader="none"/>
        </w:tabs>
        <w:spacing w:before="0"/>
        <w:ind w:left="0" w:right="176" w:firstLine="0"/>
        <w:jc w:val="center"/>
        <w:rPr>
          <w:sz w:val="21"/>
        </w:rPr>
      </w:pPr>
      <w:r>
        <w:rPr>
          <w:sz w:val="21"/>
        </w:rPr>
        <w:t>图</w:t>
      </w:r>
      <w:r>
        <w:rPr>
          <w:spacing w:val="7"/>
          <w:sz w:val="21"/>
        </w:rPr>
        <w:t> </w:t>
      </w:r>
      <w:r>
        <w:rPr>
          <w:rFonts w:ascii="Times New Roman" w:eastAsia="Times New Roman"/>
          <w:b/>
          <w:sz w:val="21"/>
        </w:rPr>
        <w:t>7.6-1</w:t>
        <w:tab/>
      </w:r>
      <w:r>
        <w:rPr>
          <w:sz w:val="21"/>
        </w:rPr>
        <w:t>氯化氢浓度达</w:t>
      </w:r>
      <w:r>
        <w:rPr>
          <w:spacing w:val="-3"/>
          <w:sz w:val="21"/>
        </w:rPr>
        <w:t>到</w:t>
      </w:r>
      <w:r>
        <w:rPr>
          <w:sz w:val="21"/>
        </w:rPr>
        <w:t>不同毒性终点浓度</w:t>
      </w:r>
      <w:r>
        <w:rPr>
          <w:spacing w:val="-3"/>
          <w:sz w:val="21"/>
        </w:rPr>
        <w:t>时</w:t>
      </w:r>
      <w:r>
        <w:rPr>
          <w:sz w:val="21"/>
        </w:rPr>
        <w:t>的</w:t>
      </w:r>
      <w:r>
        <w:rPr>
          <w:spacing w:val="-3"/>
          <w:sz w:val="21"/>
        </w:rPr>
        <w:t>最</w:t>
      </w:r>
      <w:r>
        <w:rPr>
          <w:sz w:val="21"/>
        </w:rPr>
        <w:t>大影响范围图</w:t>
      </w:r>
    </w:p>
    <w:p>
      <w:pPr>
        <w:tabs>
          <w:tab w:pos="912" w:val="left" w:leader="none"/>
        </w:tabs>
        <w:spacing w:before="119"/>
        <w:ind w:left="0" w:right="176" w:firstLine="0"/>
        <w:jc w:val="center"/>
        <w:rPr>
          <w:sz w:val="21"/>
        </w:rPr>
      </w:pPr>
      <w:r>
        <w:rPr>
          <w:sz w:val="21"/>
        </w:rPr>
        <w:t>表</w:t>
      </w:r>
      <w:r>
        <w:rPr>
          <w:spacing w:val="7"/>
          <w:sz w:val="21"/>
        </w:rPr>
        <w:t> </w:t>
      </w:r>
      <w:r>
        <w:rPr>
          <w:rFonts w:ascii="Times New Roman" w:eastAsia="Times New Roman"/>
          <w:b/>
          <w:sz w:val="21"/>
        </w:rPr>
        <w:t>7.6-3</w:t>
        <w:tab/>
      </w:r>
      <w:r>
        <w:rPr>
          <w:sz w:val="21"/>
        </w:rPr>
        <w:t>最不利气象条</w:t>
      </w:r>
      <w:r>
        <w:rPr>
          <w:spacing w:val="-3"/>
          <w:sz w:val="21"/>
        </w:rPr>
        <w:t>件</w:t>
      </w:r>
      <w:r>
        <w:rPr>
          <w:sz w:val="21"/>
        </w:rPr>
        <w:t>下下风向不同距离</w:t>
      </w:r>
      <w:r>
        <w:rPr>
          <w:spacing w:val="-3"/>
          <w:sz w:val="21"/>
        </w:rPr>
        <w:t>处</w:t>
      </w:r>
      <w:r>
        <w:rPr>
          <w:sz w:val="21"/>
        </w:rPr>
        <w:t>氯</w:t>
      </w:r>
      <w:r>
        <w:rPr>
          <w:spacing w:val="-3"/>
          <w:sz w:val="21"/>
        </w:rPr>
        <w:t>化</w:t>
      </w:r>
      <w:r>
        <w:rPr>
          <w:sz w:val="21"/>
        </w:rPr>
        <w:t>氢最大浓度</w:t>
      </w:r>
    </w:p>
    <w:p>
      <w:pPr>
        <w:pStyle w:val="BodyText"/>
        <w:spacing w:before="14"/>
        <w:rPr>
          <w:sz w:val="3"/>
        </w:rPr>
      </w:pPr>
    </w:p>
    <w:tbl>
      <w:tblPr>
        <w:tblW w:w="0" w:type="auto"/>
        <w:jc w:val="left"/>
        <w:tblInd w:w="55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99"/>
        <w:gridCol w:w="2538"/>
        <w:gridCol w:w="2721"/>
      </w:tblGrid>
      <w:tr>
        <w:trPr>
          <w:trHeight w:val="320" w:hRule="atLeast"/>
        </w:trPr>
        <w:tc>
          <w:tcPr>
            <w:tcW w:w="3099" w:type="dxa"/>
            <w:tcBorders>
              <w:left w:val="single" w:sz="6" w:space="0" w:color="000000"/>
              <w:bottom w:val="single" w:sz="12" w:space="0" w:color="000000"/>
              <w:right w:val="double" w:sz="2" w:space="0" w:color="000000"/>
            </w:tcBorders>
            <w:shd w:val="clear" w:color="auto" w:fill="F9F9F9"/>
          </w:tcPr>
          <w:p>
            <w:pPr>
              <w:pStyle w:val="TableParagraph"/>
              <w:spacing w:line="300" w:lineRule="exact"/>
              <w:ind w:left="715" w:right="679"/>
              <w:rPr>
                <w:sz w:val="21"/>
              </w:rPr>
            </w:pPr>
            <w:r>
              <w:rPr>
                <w:color w:val="404040"/>
                <w:sz w:val="21"/>
              </w:rPr>
              <w:t>下风向距离（</w:t>
            </w:r>
            <w:r>
              <w:rPr>
                <w:rFonts w:ascii="Times New Roman" w:eastAsia="Times New Roman"/>
                <w:color w:val="404040"/>
                <w:sz w:val="21"/>
              </w:rPr>
              <w:t>m</w:t>
            </w:r>
            <w:r>
              <w:rPr>
                <w:color w:val="404040"/>
                <w:sz w:val="21"/>
              </w:rPr>
              <w:t>）</w:t>
            </w:r>
          </w:p>
        </w:tc>
        <w:tc>
          <w:tcPr>
            <w:tcW w:w="2538" w:type="dxa"/>
            <w:tcBorders>
              <w:left w:val="double" w:sz="2" w:space="0" w:color="000000"/>
              <w:bottom w:val="single" w:sz="12" w:space="0" w:color="000000"/>
              <w:right w:val="single" w:sz="12" w:space="0" w:color="000000"/>
            </w:tcBorders>
            <w:shd w:val="clear" w:color="auto" w:fill="F9F9F9"/>
          </w:tcPr>
          <w:p>
            <w:pPr>
              <w:pStyle w:val="TableParagraph"/>
              <w:spacing w:line="300" w:lineRule="exact"/>
              <w:ind w:left="564" w:right="554"/>
              <w:rPr>
                <w:sz w:val="21"/>
              </w:rPr>
            </w:pPr>
            <w:r>
              <w:rPr>
                <w:color w:val="404040"/>
                <w:sz w:val="21"/>
              </w:rPr>
              <w:t>出现时间（</w:t>
            </w:r>
            <w:r>
              <w:rPr>
                <w:rFonts w:ascii="Times New Roman" w:eastAsia="Times New Roman"/>
                <w:color w:val="404040"/>
                <w:sz w:val="21"/>
              </w:rPr>
              <w:t>s</w:t>
            </w:r>
            <w:r>
              <w:rPr>
                <w:color w:val="404040"/>
                <w:sz w:val="21"/>
              </w:rPr>
              <w:t>）</w:t>
            </w:r>
          </w:p>
        </w:tc>
        <w:tc>
          <w:tcPr>
            <w:tcW w:w="2721" w:type="dxa"/>
            <w:tcBorders>
              <w:left w:val="single" w:sz="12" w:space="0" w:color="000000"/>
              <w:bottom w:val="single" w:sz="12" w:space="0" w:color="000000"/>
              <w:right w:val="single" w:sz="6" w:space="0" w:color="000000"/>
            </w:tcBorders>
            <w:shd w:val="clear" w:color="auto" w:fill="F9F9F9"/>
          </w:tcPr>
          <w:p>
            <w:pPr>
              <w:pStyle w:val="TableParagraph"/>
              <w:spacing w:line="300" w:lineRule="exact"/>
              <w:ind w:left="628" w:right="629"/>
              <w:rPr>
                <w:sz w:val="21"/>
              </w:rPr>
            </w:pPr>
            <w:r>
              <w:rPr>
                <w:color w:val="404040"/>
                <w:sz w:val="21"/>
              </w:rPr>
              <w:t>浓度（</w:t>
            </w:r>
            <w:r>
              <w:rPr>
                <w:rFonts w:ascii="Times New Roman" w:eastAsia="Times New Roman"/>
                <w:color w:val="404040"/>
                <w:sz w:val="21"/>
              </w:rPr>
              <w:t>mg/m</w:t>
            </w:r>
            <w:r>
              <w:rPr>
                <w:rFonts w:ascii="Times New Roman" w:eastAsia="Times New Roman"/>
                <w:color w:val="404040"/>
                <w:position w:val="7"/>
                <w:sz w:val="14"/>
              </w:rPr>
              <w:t>3</w:t>
            </w:r>
            <w:r>
              <w:rPr>
                <w:color w:val="404040"/>
                <w:sz w:val="21"/>
              </w:rPr>
              <w:t>）</w:t>
            </w:r>
          </w:p>
        </w:tc>
      </w:tr>
      <w:tr>
        <w:trPr>
          <w:trHeight w:val="311" w:hRule="atLeast"/>
        </w:trPr>
        <w:tc>
          <w:tcPr>
            <w:tcW w:w="3099"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4"/>
              <w:ind w:left="710" w:right="679"/>
              <w:rPr>
                <w:rFonts w:ascii="Times New Roman"/>
                <w:sz w:val="14"/>
              </w:rPr>
            </w:pPr>
            <w:r>
              <w:rPr>
                <w:rFonts w:ascii="Times New Roman"/>
                <w:color w:val="404040"/>
                <w:sz w:val="14"/>
              </w:rPr>
              <w:t>-25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4"/>
              <w:ind w:left="560" w:right="554"/>
              <w:rPr>
                <w:rFonts w:ascii="Times New Roman"/>
                <w:sz w:val="14"/>
              </w:rPr>
            </w:pPr>
            <w:r>
              <w:rPr>
                <w:rFonts w:ascii="Times New Roman"/>
                <w:color w:val="404040"/>
                <w:sz w:val="14"/>
              </w:rPr>
              <w:t>34.6</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4"/>
              <w:rPr>
                <w:rFonts w:ascii="Times New Roman"/>
                <w:sz w:val="14"/>
              </w:rPr>
            </w:pPr>
            <w:r>
              <w:rPr>
                <w:rFonts w:ascii="Times New Roman"/>
                <w:color w:val="404040"/>
                <w:w w:val="99"/>
                <w:sz w:val="14"/>
              </w:rPr>
              <w:t>0</w:t>
            </w:r>
          </w:p>
        </w:tc>
      </w:tr>
      <w:tr>
        <w:trPr>
          <w:trHeight w:val="312" w:hRule="atLeast"/>
        </w:trPr>
        <w:tc>
          <w:tcPr>
            <w:tcW w:w="3099"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710" w:right="679"/>
              <w:rPr>
                <w:rFonts w:ascii="Times New Roman"/>
                <w:sz w:val="14"/>
              </w:rPr>
            </w:pPr>
            <w:r>
              <w:rPr>
                <w:rFonts w:ascii="Times New Roman"/>
                <w:color w:val="404040"/>
                <w:sz w:val="14"/>
              </w:rPr>
              <w:t>-20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60" w:right="554"/>
              <w:rPr>
                <w:rFonts w:ascii="Times New Roman"/>
                <w:sz w:val="14"/>
              </w:rPr>
            </w:pPr>
            <w:r>
              <w:rPr>
                <w:rFonts w:ascii="Times New Roman"/>
                <w:color w:val="404040"/>
                <w:sz w:val="14"/>
              </w:rPr>
              <w:t>41.6</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625" w:right="629"/>
              <w:rPr>
                <w:rFonts w:ascii="Times New Roman"/>
                <w:sz w:val="14"/>
              </w:rPr>
            </w:pPr>
            <w:r>
              <w:rPr>
                <w:rFonts w:ascii="Times New Roman"/>
                <w:color w:val="404040"/>
                <w:sz w:val="14"/>
              </w:rPr>
              <w:t>739.9629946340772</w:t>
            </w:r>
          </w:p>
        </w:tc>
      </w:tr>
      <w:tr>
        <w:trPr>
          <w:trHeight w:val="311" w:hRule="atLeast"/>
        </w:trPr>
        <w:tc>
          <w:tcPr>
            <w:tcW w:w="3099"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4"/>
              <w:ind w:left="710" w:right="679"/>
              <w:rPr>
                <w:rFonts w:ascii="Times New Roman"/>
                <w:sz w:val="14"/>
              </w:rPr>
            </w:pPr>
            <w:r>
              <w:rPr>
                <w:rFonts w:ascii="Times New Roman"/>
                <w:color w:val="404040"/>
                <w:sz w:val="14"/>
              </w:rPr>
              <w:t>-15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4"/>
              <w:ind w:left="560" w:right="554"/>
              <w:rPr>
                <w:rFonts w:ascii="Times New Roman"/>
                <w:sz w:val="14"/>
              </w:rPr>
            </w:pPr>
            <w:r>
              <w:rPr>
                <w:rFonts w:ascii="Times New Roman"/>
                <w:color w:val="404040"/>
                <w:sz w:val="14"/>
              </w:rPr>
              <w:t>48.6</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4"/>
              <w:ind w:left="627" w:right="629"/>
              <w:rPr>
                <w:rFonts w:ascii="Times New Roman"/>
                <w:sz w:val="14"/>
              </w:rPr>
            </w:pPr>
            <w:r>
              <w:rPr>
                <w:rFonts w:ascii="Times New Roman"/>
                <w:color w:val="404040"/>
                <w:sz w:val="14"/>
              </w:rPr>
              <w:t>1183.7354711826847</w:t>
            </w:r>
          </w:p>
        </w:tc>
      </w:tr>
      <w:tr>
        <w:trPr>
          <w:trHeight w:val="312" w:hRule="atLeast"/>
        </w:trPr>
        <w:tc>
          <w:tcPr>
            <w:tcW w:w="3099"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3"/>
              <w:ind w:left="710" w:right="679"/>
              <w:rPr>
                <w:rFonts w:ascii="Times New Roman"/>
                <w:sz w:val="14"/>
              </w:rPr>
            </w:pPr>
            <w:r>
              <w:rPr>
                <w:rFonts w:ascii="Times New Roman"/>
                <w:color w:val="404040"/>
                <w:sz w:val="14"/>
              </w:rPr>
              <w:t>-10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3"/>
              <w:ind w:left="560" w:right="554"/>
              <w:rPr>
                <w:rFonts w:ascii="Times New Roman"/>
                <w:sz w:val="14"/>
              </w:rPr>
            </w:pPr>
            <w:r>
              <w:rPr>
                <w:rFonts w:ascii="Times New Roman"/>
                <w:color w:val="404040"/>
                <w:sz w:val="14"/>
              </w:rPr>
              <w:t>56.4</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3"/>
              <w:ind w:left="625" w:right="629"/>
              <w:rPr>
                <w:rFonts w:ascii="Times New Roman"/>
                <w:sz w:val="14"/>
              </w:rPr>
            </w:pPr>
            <w:r>
              <w:rPr>
                <w:rFonts w:ascii="Times New Roman"/>
                <w:color w:val="404040"/>
                <w:sz w:val="14"/>
              </w:rPr>
              <w:t>1482.201776497068</w:t>
            </w:r>
          </w:p>
        </w:tc>
      </w:tr>
      <w:tr>
        <w:trPr>
          <w:trHeight w:val="312" w:hRule="atLeast"/>
        </w:trPr>
        <w:tc>
          <w:tcPr>
            <w:tcW w:w="3099" w:type="dxa"/>
            <w:tcBorders>
              <w:top w:val="single" w:sz="12" w:space="0" w:color="000000"/>
              <w:left w:val="single" w:sz="6" w:space="0" w:color="000000"/>
              <w:right w:val="double" w:sz="2" w:space="0" w:color="000000"/>
            </w:tcBorders>
            <w:shd w:val="clear" w:color="auto" w:fill="F9F9F9"/>
          </w:tcPr>
          <w:p>
            <w:pPr>
              <w:pStyle w:val="TableParagraph"/>
              <w:spacing w:before="74"/>
              <w:ind w:left="712" w:right="679"/>
              <w:rPr>
                <w:rFonts w:ascii="Times New Roman"/>
                <w:sz w:val="14"/>
              </w:rPr>
            </w:pPr>
            <w:r>
              <w:rPr>
                <w:rFonts w:ascii="Times New Roman"/>
                <w:color w:val="404040"/>
                <w:sz w:val="14"/>
              </w:rPr>
              <w:t>-5</w:t>
            </w:r>
          </w:p>
        </w:tc>
        <w:tc>
          <w:tcPr>
            <w:tcW w:w="2538" w:type="dxa"/>
            <w:tcBorders>
              <w:top w:val="single" w:sz="12" w:space="0" w:color="000000"/>
              <w:left w:val="double" w:sz="2" w:space="0" w:color="000000"/>
              <w:right w:val="single" w:sz="12" w:space="0" w:color="000000"/>
            </w:tcBorders>
            <w:shd w:val="clear" w:color="auto" w:fill="F9F9F9"/>
          </w:tcPr>
          <w:p>
            <w:pPr>
              <w:pStyle w:val="TableParagraph"/>
              <w:spacing w:before="74"/>
              <w:ind w:left="560" w:right="554"/>
              <w:rPr>
                <w:rFonts w:ascii="Times New Roman"/>
                <w:sz w:val="14"/>
              </w:rPr>
            </w:pPr>
            <w:r>
              <w:rPr>
                <w:rFonts w:ascii="Times New Roman"/>
                <w:color w:val="404040"/>
                <w:sz w:val="14"/>
              </w:rPr>
              <w:t>64.1</w:t>
            </w:r>
          </w:p>
        </w:tc>
        <w:tc>
          <w:tcPr>
            <w:tcW w:w="2721" w:type="dxa"/>
            <w:tcBorders>
              <w:top w:val="single" w:sz="12" w:space="0" w:color="000000"/>
              <w:left w:val="single" w:sz="12" w:space="0" w:color="000000"/>
              <w:right w:val="single" w:sz="6" w:space="0" w:color="000000"/>
            </w:tcBorders>
            <w:shd w:val="clear" w:color="auto" w:fill="F9F9F9"/>
          </w:tcPr>
          <w:p>
            <w:pPr>
              <w:pStyle w:val="TableParagraph"/>
              <w:spacing w:before="74"/>
              <w:ind w:left="627" w:right="629"/>
              <w:rPr>
                <w:rFonts w:ascii="Times New Roman"/>
                <w:sz w:val="14"/>
              </w:rPr>
            </w:pPr>
            <w:r>
              <w:rPr>
                <w:rFonts w:ascii="Times New Roman"/>
                <w:color w:val="404040"/>
                <w:sz w:val="14"/>
              </w:rPr>
              <w:t>1698.6176025950176</w:t>
            </w:r>
          </w:p>
        </w:tc>
      </w:tr>
    </w:tbl>
    <w:p>
      <w:pPr>
        <w:spacing w:after="0"/>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63"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99"/>
        <w:gridCol w:w="2538"/>
        <w:gridCol w:w="2721"/>
      </w:tblGrid>
      <w:tr>
        <w:trPr>
          <w:trHeight w:val="312" w:hRule="atLeast"/>
        </w:trPr>
        <w:tc>
          <w:tcPr>
            <w:tcW w:w="3099" w:type="dxa"/>
            <w:tcBorders>
              <w:bottom w:val="single" w:sz="12" w:space="0" w:color="000000"/>
              <w:right w:val="double" w:sz="2" w:space="0" w:color="000000"/>
            </w:tcBorders>
            <w:shd w:val="clear" w:color="auto" w:fill="F9F9F9"/>
          </w:tcPr>
          <w:p>
            <w:pPr>
              <w:pStyle w:val="TableParagraph"/>
              <w:spacing w:before="74"/>
              <w:ind w:left="35"/>
              <w:rPr>
                <w:rFonts w:ascii="Times New Roman"/>
                <w:sz w:val="14"/>
              </w:rPr>
            </w:pPr>
            <w:r>
              <w:rPr>
                <w:rFonts w:ascii="Times New Roman"/>
                <w:color w:val="404040"/>
                <w:w w:val="99"/>
                <w:sz w:val="14"/>
              </w:rPr>
              <w:t>0</w:t>
            </w:r>
          </w:p>
        </w:tc>
        <w:tc>
          <w:tcPr>
            <w:tcW w:w="2538" w:type="dxa"/>
            <w:tcBorders>
              <w:left w:val="double" w:sz="2" w:space="0" w:color="000000"/>
              <w:bottom w:val="single" w:sz="12" w:space="0" w:color="000000"/>
              <w:right w:val="single" w:sz="12" w:space="0" w:color="000000"/>
            </w:tcBorders>
            <w:shd w:val="clear" w:color="auto" w:fill="F9F9F9"/>
          </w:tcPr>
          <w:p>
            <w:pPr>
              <w:pStyle w:val="TableParagraph"/>
              <w:spacing w:before="74"/>
              <w:ind w:left="1191"/>
              <w:jc w:val="left"/>
              <w:rPr>
                <w:rFonts w:ascii="Times New Roman"/>
                <w:sz w:val="14"/>
              </w:rPr>
            </w:pPr>
            <w:r>
              <w:rPr>
                <w:rFonts w:ascii="Times New Roman"/>
                <w:color w:val="404040"/>
                <w:sz w:val="14"/>
              </w:rPr>
              <w:t>73</w:t>
            </w:r>
          </w:p>
        </w:tc>
        <w:tc>
          <w:tcPr>
            <w:tcW w:w="2721" w:type="dxa"/>
            <w:tcBorders>
              <w:left w:val="single" w:sz="12" w:space="0" w:color="000000"/>
              <w:bottom w:val="single" w:sz="12" w:space="0" w:color="000000"/>
            </w:tcBorders>
            <w:shd w:val="clear" w:color="auto" w:fill="F9F9F9"/>
          </w:tcPr>
          <w:p>
            <w:pPr>
              <w:pStyle w:val="TableParagraph"/>
              <w:spacing w:before="74"/>
              <w:ind w:left="777"/>
              <w:jc w:val="left"/>
              <w:rPr>
                <w:rFonts w:ascii="Times New Roman"/>
                <w:sz w:val="14"/>
              </w:rPr>
            </w:pPr>
            <w:r>
              <w:rPr>
                <w:rFonts w:ascii="Times New Roman"/>
                <w:color w:val="404040"/>
                <w:sz w:val="14"/>
              </w:rPr>
              <w:t>1867.522967904809</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35"/>
              <w:rPr>
                <w:rFonts w:ascii="Times New Roman"/>
                <w:sz w:val="14"/>
              </w:rPr>
            </w:pPr>
            <w:r>
              <w:rPr>
                <w:rFonts w:ascii="Times New Roman"/>
                <w:color w:val="404040"/>
                <w:w w:val="99"/>
                <w:sz w:val="14"/>
              </w:rPr>
              <w:t>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38"/>
              <w:jc w:val="left"/>
              <w:rPr>
                <w:rFonts w:ascii="Times New Roman"/>
                <w:sz w:val="14"/>
              </w:rPr>
            </w:pPr>
            <w:r>
              <w:rPr>
                <w:rFonts w:ascii="Times New Roman"/>
                <w:color w:val="404040"/>
                <w:sz w:val="14"/>
              </w:rPr>
              <w:t>81.9</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1893.0583317702824</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10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38"/>
              <w:jc w:val="left"/>
              <w:rPr>
                <w:rFonts w:ascii="Times New Roman"/>
                <w:sz w:val="14"/>
              </w:rPr>
            </w:pPr>
            <w:r>
              <w:rPr>
                <w:rFonts w:ascii="Times New Roman"/>
                <w:color w:val="404040"/>
                <w:sz w:val="14"/>
              </w:rPr>
              <w:t>91.9</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1921.3750272406778</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15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102</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1932.3391521772985</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20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113</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1931.4306209715749</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25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124</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1916.1898972503916</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25.5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126</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1905.5260659190412</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26</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128</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1876.4379339072202</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26.6</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131</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1852.1770432314588</w:t>
            </w:r>
          </w:p>
        </w:tc>
      </w:tr>
      <w:tr>
        <w:trPr>
          <w:trHeight w:val="311"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27.4</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135</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7"/>
              <w:jc w:val="left"/>
              <w:rPr>
                <w:rFonts w:ascii="Times New Roman"/>
                <w:sz w:val="14"/>
              </w:rPr>
            </w:pPr>
            <w:r>
              <w:rPr>
                <w:rFonts w:ascii="Times New Roman"/>
                <w:color w:val="404040"/>
                <w:sz w:val="14"/>
              </w:rPr>
              <w:t>1825.883728899097</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28.3</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139</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1786.9490568402182</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29.3</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143</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1753.1190643351356</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30.5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149</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1706.7543926419949</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31.9</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155</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1656.2145690194536</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400" w:right="1366"/>
              <w:rPr>
                <w:rFonts w:ascii="Times New Roman"/>
                <w:sz w:val="14"/>
              </w:rPr>
            </w:pPr>
            <w:r>
              <w:rPr>
                <w:rFonts w:ascii="Times New Roman"/>
                <w:color w:val="404040"/>
                <w:sz w:val="14"/>
              </w:rPr>
              <w:t>33.6</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162</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1592.2665861875482</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35.7</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171</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1527.0726077845059</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38</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181</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1454.7571005508657</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40.8</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193</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1380.1334264872828</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44.1</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207</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1294.5157800014583</w:t>
            </w:r>
          </w:p>
        </w:tc>
      </w:tr>
      <w:tr>
        <w:trPr>
          <w:trHeight w:val="311"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3"/>
              <w:ind w:left="1399" w:right="1367"/>
              <w:rPr>
                <w:rFonts w:ascii="Times New Roman"/>
                <w:sz w:val="14"/>
              </w:rPr>
            </w:pPr>
            <w:r>
              <w:rPr>
                <w:rFonts w:ascii="Times New Roman"/>
                <w:color w:val="404040"/>
                <w:sz w:val="14"/>
              </w:rPr>
              <w:t>48</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3"/>
              <w:ind w:left="1155"/>
              <w:jc w:val="left"/>
              <w:rPr>
                <w:rFonts w:ascii="Times New Roman"/>
                <w:sz w:val="14"/>
              </w:rPr>
            </w:pPr>
            <w:r>
              <w:rPr>
                <w:rFonts w:ascii="Times New Roman"/>
                <w:color w:val="404040"/>
                <w:sz w:val="14"/>
              </w:rPr>
              <w:t>222</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3"/>
              <w:ind w:left="743"/>
              <w:jc w:val="left"/>
              <w:rPr>
                <w:rFonts w:ascii="Times New Roman"/>
                <w:sz w:val="14"/>
              </w:rPr>
            </w:pPr>
            <w:r>
              <w:rPr>
                <w:rFonts w:ascii="Times New Roman"/>
                <w:color w:val="404040"/>
                <w:sz w:val="14"/>
              </w:rPr>
              <w:t>1206.8706167611929</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52.6</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241</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1115.2822346690293</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58</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262</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1018.3407869197843</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64.5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286</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7"/>
              <w:jc w:val="left"/>
              <w:rPr>
                <w:rFonts w:ascii="Times New Roman"/>
                <w:sz w:val="14"/>
              </w:rPr>
            </w:pPr>
            <w:r>
              <w:rPr>
                <w:rFonts w:ascii="Times New Roman"/>
                <w:color w:val="404040"/>
                <w:sz w:val="14"/>
              </w:rPr>
              <w:t>927.4356113497757</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72</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314</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7"/>
              <w:jc w:val="left"/>
              <w:rPr>
                <w:rFonts w:ascii="Times New Roman"/>
                <w:sz w:val="14"/>
              </w:rPr>
            </w:pPr>
            <w:r>
              <w:rPr>
                <w:rFonts w:ascii="Times New Roman"/>
                <w:color w:val="404040"/>
                <w:sz w:val="14"/>
              </w:rPr>
              <w:t>837.8475418123306</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9" w:right="1367"/>
              <w:rPr>
                <w:rFonts w:ascii="Times New Roman"/>
                <w:sz w:val="14"/>
              </w:rPr>
            </w:pPr>
            <w:r>
              <w:rPr>
                <w:rFonts w:ascii="Times New Roman"/>
                <w:color w:val="404040"/>
                <w:sz w:val="14"/>
              </w:rPr>
              <w:t>80.9</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346</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7"/>
              <w:jc w:val="left"/>
              <w:rPr>
                <w:rFonts w:ascii="Times New Roman"/>
                <w:sz w:val="14"/>
              </w:rPr>
            </w:pPr>
            <w:r>
              <w:rPr>
                <w:rFonts w:ascii="Times New Roman"/>
                <w:color w:val="404040"/>
                <w:sz w:val="14"/>
              </w:rPr>
              <w:t>749.7726039169909</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9" w:right="1367"/>
              <w:rPr>
                <w:rFonts w:ascii="Times New Roman"/>
                <w:sz w:val="14"/>
              </w:rPr>
            </w:pPr>
            <w:r>
              <w:rPr>
                <w:rFonts w:ascii="Times New Roman"/>
                <w:color w:val="404040"/>
                <w:sz w:val="14"/>
              </w:rPr>
              <w:t>91.5</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382</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7"/>
              <w:jc w:val="left"/>
              <w:rPr>
                <w:rFonts w:ascii="Times New Roman"/>
                <w:sz w:val="14"/>
              </w:rPr>
            </w:pPr>
            <w:r>
              <w:rPr>
                <w:rFonts w:ascii="Times New Roman"/>
                <w:color w:val="404040"/>
                <w:sz w:val="14"/>
              </w:rPr>
              <w:t>666.2983130488534</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7" w:right="1367"/>
              <w:rPr>
                <w:rFonts w:ascii="Times New Roman"/>
                <w:sz w:val="14"/>
              </w:rPr>
            </w:pPr>
            <w:r>
              <w:rPr>
                <w:rFonts w:ascii="Times New Roman"/>
                <w:color w:val="404040"/>
                <w:sz w:val="14"/>
              </w:rPr>
              <w:t>104</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423</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7"/>
              <w:jc w:val="left"/>
              <w:rPr>
                <w:rFonts w:ascii="Times New Roman"/>
                <w:sz w:val="14"/>
              </w:rPr>
            </w:pPr>
            <w:r>
              <w:rPr>
                <w:rFonts w:ascii="Times New Roman"/>
                <w:color w:val="404040"/>
                <w:sz w:val="14"/>
              </w:rPr>
              <w:t>591.5822155602107</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7" w:right="1367"/>
              <w:rPr>
                <w:rFonts w:ascii="Times New Roman"/>
                <w:sz w:val="14"/>
              </w:rPr>
            </w:pPr>
            <w:r>
              <w:rPr>
                <w:rFonts w:ascii="Times New Roman"/>
                <w:color w:val="404040"/>
                <w:sz w:val="14"/>
              </w:rPr>
              <w:t>119</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471</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7"/>
              <w:jc w:val="left"/>
              <w:rPr>
                <w:rFonts w:ascii="Times New Roman"/>
                <w:sz w:val="14"/>
              </w:rPr>
            </w:pPr>
            <w:r>
              <w:rPr>
                <w:rFonts w:ascii="Times New Roman"/>
                <w:color w:val="404040"/>
                <w:sz w:val="14"/>
              </w:rPr>
              <w:t>519.1613242541596</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7" w:right="1367"/>
              <w:rPr>
                <w:rFonts w:ascii="Times New Roman"/>
                <w:sz w:val="14"/>
              </w:rPr>
            </w:pPr>
            <w:r>
              <w:rPr>
                <w:rFonts w:ascii="Times New Roman"/>
                <w:color w:val="404040"/>
                <w:sz w:val="14"/>
              </w:rPr>
              <w:t>136</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524</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7"/>
              <w:jc w:val="left"/>
              <w:rPr>
                <w:rFonts w:ascii="Times New Roman"/>
                <w:sz w:val="14"/>
              </w:rPr>
            </w:pPr>
            <w:r>
              <w:rPr>
                <w:rFonts w:ascii="Times New Roman"/>
                <w:color w:val="404040"/>
                <w:sz w:val="14"/>
              </w:rPr>
              <w:t>456.7502463682475</w:t>
            </w:r>
          </w:p>
        </w:tc>
      </w:tr>
      <w:tr>
        <w:trPr>
          <w:trHeight w:val="311"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3"/>
              <w:ind w:left="1397" w:right="1367"/>
              <w:rPr>
                <w:rFonts w:ascii="Times New Roman"/>
                <w:sz w:val="14"/>
              </w:rPr>
            </w:pPr>
            <w:r>
              <w:rPr>
                <w:rFonts w:ascii="Times New Roman"/>
                <w:color w:val="404040"/>
                <w:sz w:val="14"/>
              </w:rPr>
              <w:t>156</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3"/>
              <w:ind w:left="1155"/>
              <w:jc w:val="left"/>
              <w:rPr>
                <w:rFonts w:ascii="Times New Roman"/>
                <w:sz w:val="14"/>
              </w:rPr>
            </w:pPr>
            <w:r>
              <w:rPr>
                <w:rFonts w:ascii="Times New Roman"/>
                <w:color w:val="404040"/>
                <w:sz w:val="14"/>
              </w:rPr>
              <w:t>585</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3"/>
              <w:ind w:left="743"/>
              <w:jc w:val="left"/>
              <w:rPr>
                <w:rFonts w:ascii="Times New Roman"/>
                <w:sz w:val="14"/>
              </w:rPr>
            </w:pPr>
            <w:r>
              <w:rPr>
                <w:rFonts w:ascii="Times New Roman"/>
                <w:color w:val="404040"/>
                <w:sz w:val="14"/>
              </w:rPr>
              <w:t>394.75270402078604</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7" w:right="1367"/>
              <w:rPr>
                <w:rFonts w:ascii="Times New Roman"/>
                <w:sz w:val="14"/>
              </w:rPr>
            </w:pPr>
            <w:r>
              <w:rPr>
                <w:rFonts w:ascii="Times New Roman"/>
                <w:color w:val="404040"/>
                <w:sz w:val="14"/>
              </w:rPr>
              <w:t>181</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654</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7"/>
              <w:jc w:val="left"/>
              <w:rPr>
                <w:rFonts w:ascii="Times New Roman"/>
                <w:sz w:val="14"/>
              </w:rPr>
            </w:pPr>
            <w:r>
              <w:rPr>
                <w:rFonts w:ascii="Times New Roman"/>
                <w:color w:val="404040"/>
                <w:sz w:val="14"/>
              </w:rPr>
              <w:t>344.3504846523763</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7" w:right="1367"/>
              <w:rPr>
                <w:rFonts w:ascii="Times New Roman"/>
                <w:sz w:val="14"/>
              </w:rPr>
            </w:pPr>
            <w:r>
              <w:rPr>
                <w:rFonts w:ascii="Times New Roman"/>
                <w:color w:val="404040"/>
                <w:sz w:val="14"/>
              </w:rPr>
              <w:t>210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640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7"/>
              <w:jc w:val="left"/>
              <w:rPr>
                <w:rFonts w:ascii="Times New Roman"/>
                <w:sz w:val="14"/>
              </w:rPr>
            </w:pPr>
            <w:r>
              <w:rPr>
                <w:rFonts w:ascii="Times New Roman"/>
                <w:color w:val="404040"/>
                <w:sz w:val="14"/>
              </w:rPr>
              <w:t>286.9417556983114</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7" w:right="1367"/>
              <w:rPr>
                <w:rFonts w:ascii="Times New Roman"/>
                <w:sz w:val="14"/>
              </w:rPr>
            </w:pPr>
            <w:r>
              <w:rPr>
                <w:rFonts w:ascii="Times New Roman"/>
                <w:color w:val="404040"/>
                <w:sz w:val="14"/>
              </w:rPr>
              <w:t>247</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687</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235.79287939919467</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7" w:right="1367"/>
              <w:rPr>
                <w:rFonts w:ascii="Times New Roman"/>
                <w:sz w:val="14"/>
              </w:rPr>
            </w:pPr>
            <w:r>
              <w:rPr>
                <w:rFonts w:ascii="Times New Roman"/>
                <w:color w:val="404040"/>
                <w:sz w:val="14"/>
              </w:rPr>
              <w:t>293</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743</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195.09665718678025</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7" w:right="1367"/>
              <w:rPr>
                <w:rFonts w:ascii="Times New Roman"/>
                <w:sz w:val="14"/>
              </w:rPr>
            </w:pPr>
            <w:r>
              <w:rPr>
                <w:rFonts w:ascii="Times New Roman"/>
                <w:color w:val="404040"/>
                <w:sz w:val="14"/>
              </w:rPr>
              <w:t>350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809</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160.28428745769702</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7" w:right="1367"/>
              <w:rPr>
                <w:rFonts w:ascii="Times New Roman"/>
                <w:sz w:val="14"/>
              </w:rPr>
            </w:pPr>
            <w:r>
              <w:rPr>
                <w:rFonts w:ascii="Times New Roman"/>
                <w:color w:val="404040"/>
                <w:sz w:val="14"/>
              </w:rPr>
              <w:t>422</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55"/>
              <w:jc w:val="left"/>
              <w:rPr>
                <w:rFonts w:ascii="Times New Roman"/>
                <w:sz w:val="14"/>
              </w:rPr>
            </w:pPr>
            <w:r>
              <w:rPr>
                <w:rFonts w:ascii="Times New Roman"/>
                <w:color w:val="404040"/>
                <w:sz w:val="14"/>
              </w:rPr>
              <w:t>886</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43"/>
              <w:jc w:val="left"/>
              <w:rPr>
                <w:rFonts w:ascii="Times New Roman"/>
                <w:sz w:val="14"/>
              </w:rPr>
            </w:pPr>
            <w:r>
              <w:rPr>
                <w:rFonts w:ascii="Times New Roman"/>
                <w:color w:val="404040"/>
                <w:sz w:val="14"/>
              </w:rPr>
              <w:t>129.93930198155317</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7" w:right="1367"/>
              <w:rPr>
                <w:rFonts w:ascii="Times New Roman"/>
                <w:sz w:val="14"/>
              </w:rPr>
            </w:pPr>
            <w:r>
              <w:rPr>
                <w:rFonts w:ascii="Times New Roman"/>
                <w:color w:val="404040"/>
                <w:sz w:val="14"/>
              </w:rPr>
              <w:t>513</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55"/>
              <w:jc w:val="left"/>
              <w:rPr>
                <w:rFonts w:ascii="Times New Roman"/>
                <w:sz w:val="14"/>
              </w:rPr>
            </w:pPr>
            <w:r>
              <w:rPr>
                <w:rFonts w:ascii="Times New Roman"/>
                <w:color w:val="404040"/>
                <w:sz w:val="14"/>
              </w:rPr>
              <w:t>978</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43"/>
              <w:jc w:val="left"/>
              <w:rPr>
                <w:rFonts w:ascii="Times New Roman"/>
                <w:sz w:val="14"/>
              </w:rPr>
            </w:pPr>
            <w:r>
              <w:rPr>
                <w:rFonts w:ascii="Times New Roman"/>
                <w:color w:val="404040"/>
                <w:sz w:val="14"/>
              </w:rPr>
              <w:t>106.62180804416913</w:t>
            </w:r>
          </w:p>
        </w:tc>
      </w:tr>
      <w:tr>
        <w:trPr>
          <w:trHeight w:val="310"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2"/>
              <w:ind w:left="1397" w:right="1367"/>
              <w:rPr>
                <w:rFonts w:ascii="Times New Roman"/>
                <w:sz w:val="14"/>
              </w:rPr>
            </w:pPr>
            <w:r>
              <w:rPr>
                <w:rFonts w:ascii="Times New Roman"/>
                <w:color w:val="404040"/>
                <w:sz w:val="14"/>
              </w:rPr>
              <w:t>626</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1121"/>
              <w:jc w:val="left"/>
              <w:rPr>
                <w:rFonts w:ascii="Times New Roman"/>
                <w:sz w:val="14"/>
              </w:rPr>
            </w:pPr>
            <w:r>
              <w:rPr>
                <w:rFonts w:ascii="Times New Roman"/>
                <w:color w:val="404040"/>
                <w:sz w:val="14"/>
              </w:rPr>
              <w:t>1090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7"/>
              <w:jc w:val="left"/>
              <w:rPr>
                <w:rFonts w:ascii="Times New Roman"/>
                <w:sz w:val="14"/>
              </w:rPr>
            </w:pPr>
            <w:r>
              <w:rPr>
                <w:rFonts w:ascii="Times New Roman"/>
                <w:color w:val="404040"/>
                <w:sz w:val="14"/>
              </w:rPr>
              <w:t>86.08857015322856</w:t>
            </w:r>
          </w:p>
        </w:tc>
      </w:tr>
      <w:tr>
        <w:trPr>
          <w:trHeight w:val="313" w:hRule="atLeast"/>
        </w:trPr>
        <w:tc>
          <w:tcPr>
            <w:tcW w:w="3099" w:type="dxa"/>
            <w:tcBorders>
              <w:top w:val="single" w:sz="12" w:space="0" w:color="000000"/>
              <w:bottom w:val="single" w:sz="12" w:space="0" w:color="000000"/>
              <w:right w:val="double" w:sz="2" w:space="0" w:color="000000"/>
            </w:tcBorders>
            <w:shd w:val="clear" w:color="auto" w:fill="F9F9F9"/>
          </w:tcPr>
          <w:p>
            <w:pPr>
              <w:pStyle w:val="TableParagraph"/>
              <w:spacing w:before="75"/>
              <w:ind w:left="1397" w:right="1367"/>
              <w:rPr>
                <w:rFonts w:ascii="Times New Roman"/>
                <w:sz w:val="14"/>
              </w:rPr>
            </w:pPr>
            <w:r>
              <w:rPr>
                <w:rFonts w:ascii="Times New Roman"/>
                <w:color w:val="404040"/>
                <w:sz w:val="14"/>
              </w:rPr>
              <w:t>767</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1121"/>
              <w:jc w:val="left"/>
              <w:rPr>
                <w:rFonts w:ascii="Times New Roman"/>
                <w:sz w:val="14"/>
              </w:rPr>
            </w:pPr>
            <w:r>
              <w:rPr>
                <w:rFonts w:ascii="Times New Roman"/>
                <w:color w:val="404040"/>
                <w:sz w:val="14"/>
              </w:rPr>
              <w:t>1210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7"/>
              <w:jc w:val="left"/>
              <w:rPr>
                <w:rFonts w:ascii="Times New Roman"/>
                <w:sz w:val="14"/>
              </w:rPr>
            </w:pPr>
            <w:r>
              <w:rPr>
                <w:rFonts w:ascii="Times New Roman"/>
                <w:color w:val="404040"/>
                <w:sz w:val="14"/>
              </w:rPr>
              <w:t>69.80773952320801</w:t>
            </w:r>
          </w:p>
        </w:tc>
      </w:tr>
      <w:tr>
        <w:trPr>
          <w:trHeight w:val="311" w:hRule="atLeast"/>
        </w:trPr>
        <w:tc>
          <w:tcPr>
            <w:tcW w:w="3099" w:type="dxa"/>
            <w:tcBorders>
              <w:top w:val="single" w:sz="12" w:space="0" w:color="000000"/>
              <w:right w:val="double" w:sz="2" w:space="0" w:color="000000"/>
            </w:tcBorders>
            <w:shd w:val="clear" w:color="auto" w:fill="F9F9F9"/>
          </w:tcPr>
          <w:p>
            <w:pPr>
              <w:pStyle w:val="TableParagraph"/>
              <w:spacing w:before="73"/>
              <w:ind w:left="1397" w:right="1367"/>
              <w:rPr>
                <w:rFonts w:ascii="Times New Roman"/>
                <w:sz w:val="14"/>
              </w:rPr>
            </w:pPr>
            <w:r>
              <w:rPr>
                <w:rFonts w:ascii="Times New Roman"/>
                <w:color w:val="404040"/>
                <w:sz w:val="14"/>
              </w:rPr>
              <w:t>944</w:t>
            </w:r>
          </w:p>
        </w:tc>
        <w:tc>
          <w:tcPr>
            <w:tcW w:w="2538" w:type="dxa"/>
            <w:tcBorders>
              <w:top w:val="single" w:sz="12" w:space="0" w:color="000000"/>
              <w:left w:val="double" w:sz="2" w:space="0" w:color="000000"/>
              <w:right w:val="single" w:sz="12" w:space="0" w:color="000000"/>
            </w:tcBorders>
            <w:shd w:val="clear" w:color="auto" w:fill="F9F9F9"/>
          </w:tcPr>
          <w:p>
            <w:pPr>
              <w:pStyle w:val="TableParagraph"/>
              <w:spacing w:before="73"/>
              <w:ind w:left="1121"/>
              <w:jc w:val="left"/>
              <w:rPr>
                <w:rFonts w:ascii="Times New Roman"/>
                <w:sz w:val="14"/>
              </w:rPr>
            </w:pPr>
            <w:r>
              <w:rPr>
                <w:rFonts w:ascii="Times New Roman"/>
                <w:color w:val="404040"/>
                <w:sz w:val="14"/>
              </w:rPr>
              <w:t>1360</w:t>
            </w:r>
          </w:p>
        </w:tc>
        <w:tc>
          <w:tcPr>
            <w:tcW w:w="2721" w:type="dxa"/>
            <w:tcBorders>
              <w:top w:val="single" w:sz="12" w:space="0" w:color="000000"/>
              <w:left w:val="single" w:sz="12" w:space="0" w:color="000000"/>
            </w:tcBorders>
            <w:shd w:val="clear" w:color="auto" w:fill="F9F9F9"/>
          </w:tcPr>
          <w:p>
            <w:pPr>
              <w:pStyle w:val="TableParagraph"/>
              <w:spacing w:before="73"/>
              <w:ind w:left="777"/>
              <w:jc w:val="left"/>
              <w:rPr>
                <w:rFonts w:ascii="Times New Roman"/>
                <w:sz w:val="14"/>
              </w:rPr>
            </w:pPr>
            <w:r>
              <w:rPr>
                <w:rFonts w:ascii="Times New Roman"/>
                <w:color w:val="404040"/>
                <w:sz w:val="14"/>
              </w:rPr>
              <w:t>56.19111887399311</w:t>
            </w:r>
          </w:p>
        </w:tc>
      </w:tr>
    </w:tbl>
    <w:p>
      <w:pPr>
        <w:spacing w:after="0"/>
        <w:jc w:val="left"/>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4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107"/>
        <w:gridCol w:w="2538"/>
        <w:gridCol w:w="2721"/>
      </w:tblGrid>
      <w:tr>
        <w:trPr>
          <w:trHeight w:val="312" w:hRule="atLeast"/>
        </w:trPr>
        <w:tc>
          <w:tcPr>
            <w:tcW w:w="3107" w:type="dxa"/>
            <w:tcBorders>
              <w:left w:val="single" w:sz="6" w:space="0" w:color="000000"/>
              <w:bottom w:val="single" w:sz="12" w:space="0" w:color="000000"/>
              <w:right w:val="double" w:sz="2" w:space="0" w:color="000000"/>
            </w:tcBorders>
            <w:shd w:val="clear" w:color="auto" w:fill="F9F9F9"/>
          </w:tcPr>
          <w:p>
            <w:pPr>
              <w:pStyle w:val="TableParagraph"/>
              <w:spacing w:before="74"/>
              <w:ind w:left="1420"/>
              <w:jc w:val="left"/>
              <w:rPr>
                <w:rFonts w:ascii="Times New Roman"/>
                <w:sz w:val="14"/>
              </w:rPr>
            </w:pPr>
            <w:r>
              <w:rPr>
                <w:rFonts w:ascii="Times New Roman"/>
                <w:color w:val="404040"/>
                <w:sz w:val="14"/>
              </w:rPr>
              <w:t>1160</w:t>
            </w:r>
          </w:p>
        </w:tc>
        <w:tc>
          <w:tcPr>
            <w:tcW w:w="2538" w:type="dxa"/>
            <w:tcBorders>
              <w:left w:val="double" w:sz="2" w:space="0" w:color="000000"/>
              <w:bottom w:val="single" w:sz="12" w:space="0" w:color="000000"/>
              <w:right w:val="single" w:sz="12" w:space="0" w:color="000000"/>
            </w:tcBorders>
            <w:shd w:val="clear" w:color="auto" w:fill="F9F9F9"/>
          </w:tcPr>
          <w:p>
            <w:pPr>
              <w:pStyle w:val="TableParagraph"/>
              <w:spacing w:before="74"/>
              <w:ind w:left="561" w:right="554"/>
              <w:rPr>
                <w:rFonts w:ascii="Times New Roman"/>
                <w:sz w:val="14"/>
              </w:rPr>
            </w:pPr>
            <w:r>
              <w:rPr>
                <w:rFonts w:ascii="Times New Roman"/>
                <w:color w:val="404040"/>
                <w:sz w:val="14"/>
              </w:rPr>
              <w:t>1540</w:t>
            </w:r>
          </w:p>
        </w:tc>
        <w:tc>
          <w:tcPr>
            <w:tcW w:w="2721" w:type="dxa"/>
            <w:tcBorders>
              <w:left w:val="single" w:sz="12" w:space="0" w:color="000000"/>
              <w:bottom w:val="single" w:sz="12" w:space="0" w:color="000000"/>
            </w:tcBorders>
            <w:shd w:val="clear" w:color="auto" w:fill="F9F9F9"/>
          </w:tcPr>
          <w:p>
            <w:pPr>
              <w:pStyle w:val="TableParagraph"/>
              <w:spacing w:before="74"/>
              <w:ind w:left="770"/>
              <w:jc w:val="left"/>
              <w:rPr>
                <w:rFonts w:ascii="Times New Roman"/>
                <w:sz w:val="14"/>
              </w:rPr>
            </w:pPr>
            <w:r>
              <w:rPr>
                <w:rFonts w:ascii="Times New Roman"/>
                <w:color w:val="404040"/>
                <w:sz w:val="14"/>
              </w:rPr>
              <w:t>45.13558608336254</w:t>
            </w:r>
          </w:p>
        </w:tc>
      </w:tr>
      <w:tr>
        <w:trPr>
          <w:trHeight w:val="310"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1420"/>
              <w:jc w:val="left"/>
              <w:rPr>
                <w:rFonts w:ascii="Times New Roman"/>
                <w:sz w:val="14"/>
              </w:rPr>
            </w:pPr>
            <w:r>
              <w:rPr>
                <w:rFonts w:ascii="Times New Roman"/>
                <w:color w:val="404040"/>
                <w:sz w:val="14"/>
              </w:rPr>
              <w:t>1440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61" w:right="554"/>
              <w:rPr>
                <w:rFonts w:ascii="Times New Roman"/>
                <w:sz w:val="14"/>
              </w:rPr>
            </w:pPr>
            <w:r>
              <w:rPr>
                <w:rFonts w:ascii="Times New Roman"/>
                <w:color w:val="404040"/>
                <w:sz w:val="14"/>
              </w:rPr>
              <w:t>1750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0"/>
              <w:jc w:val="left"/>
              <w:rPr>
                <w:rFonts w:ascii="Times New Roman"/>
                <w:sz w:val="14"/>
              </w:rPr>
            </w:pPr>
            <w:r>
              <w:rPr>
                <w:rFonts w:ascii="Times New Roman"/>
                <w:color w:val="404040"/>
                <w:sz w:val="14"/>
              </w:rPr>
              <w:t>35.67546708183767</w:t>
            </w:r>
          </w:p>
        </w:tc>
      </w:tr>
      <w:tr>
        <w:trPr>
          <w:trHeight w:val="313"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left="1420"/>
              <w:jc w:val="left"/>
              <w:rPr>
                <w:rFonts w:ascii="Times New Roman"/>
                <w:sz w:val="14"/>
              </w:rPr>
            </w:pPr>
            <w:r>
              <w:rPr>
                <w:rFonts w:ascii="Times New Roman"/>
                <w:color w:val="404040"/>
                <w:sz w:val="14"/>
              </w:rPr>
              <w:t>1780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561" w:right="554"/>
              <w:rPr>
                <w:rFonts w:ascii="Times New Roman"/>
                <w:sz w:val="14"/>
              </w:rPr>
            </w:pPr>
            <w:r>
              <w:rPr>
                <w:rFonts w:ascii="Times New Roman"/>
                <w:color w:val="404040"/>
                <w:sz w:val="14"/>
              </w:rPr>
              <w:t>2000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0"/>
              <w:jc w:val="left"/>
              <w:rPr>
                <w:rFonts w:ascii="Times New Roman"/>
                <w:sz w:val="14"/>
              </w:rPr>
            </w:pPr>
            <w:r>
              <w:rPr>
                <w:rFonts w:ascii="Times New Roman"/>
                <w:color w:val="404040"/>
                <w:sz w:val="14"/>
              </w:rPr>
              <w:t>27.49592594166952</w:t>
            </w:r>
          </w:p>
        </w:tc>
      </w:tr>
      <w:tr>
        <w:trPr>
          <w:trHeight w:val="310"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1420"/>
              <w:jc w:val="left"/>
              <w:rPr>
                <w:rFonts w:ascii="Times New Roman"/>
                <w:sz w:val="14"/>
              </w:rPr>
            </w:pPr>
            <w:r>
              <w:rPr>
                <w:rFonts w:ascii="Times New Roman"/>
                <w:color w:val="404040"/>
                <w:sz w:val="14"/>
              </w:rPr>
              <w:t>2210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61" w:right="554"/>
              <w:rPr>
                <w:rFonts w:ascii="Times New Roman"/>
                <w:sz w:val="14"/>
              </w:rPr>
            </w:pPr>
            <w:r>
              <w:rPr>
                <w:rFonts w:ascii="Times New Roman"/>
                <w:color w:val="404040"/>
                <w:sz w:val="14"/>
              </w:rPr>
              <w:t>2290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36"/>
              <w:jc w:val="left"/>
              <w:rPr>
                <w:rFonts w:ascii="Times New Roman"/>
                <w:sz w:val="14"/>
              </w:rPr>
            </w:pPr>
            <w:r>
              <w:rPr>
                <w:rFonts w:ascii="Times New Roman"/>
                <w:color w:val="404040"/>
                <w:sz w:val="14"/>
              </w:rPr>
              <w:t>21.542978805191993</w:t>
            </w:r>
          </w:p>
        </w:tc>
      </w:tr>
      <w:tr>
        <w:trPr>
          <w:trHeight w:val="313"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left="1420"/>
              <w:jc w:val="left"/>
              <w:rPr>
                <w:rFonts w:ascii="Times New Roman"/>
                <w:sz w:val="14"/>
              </w:rPr>
            </w:pPr>
            <w:r>
              <w:rPr>
                <w:rFonts w:ascii="Times New Roman"/>
                <w:color w:val="404040"/>
                <w:sz w:val="14"/>
              </w:rPr>
              <w:t>2730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561" w:right="554"/>
              <w:rPr>
                <w:rFonts w:ascii="Times New Roman"/>
                <w:sz w:val="14"/>
              </w:rPr>
            </w:pPr>
            <w:r>
              <w:rPr>
                <w:rFonts w:ascii="Times New Roman"/>
                <w:color w:val="404040"/>
                <w:sz w:val="14"/>
              </w:rPr>
              <w:t>2640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36"/>
              <w:jc w:val="left"/>
              <w:rPr>
                <w:rFonts w:ascii="Times New Roman"/>
                <w:sz w:val="14"/>
              </w:rPr>
            </w:pPr>
            <w:r>
              <w:rPr>
                <w:rFonts w:ascii="Times New Roman"/>
                <w:color w:val="404040"/>
                <w:sz w:val="14"/>
              </w:rPr>
              <w:t>16.311691495159547</w:t>
            </w:r>
          </w:p>
        </w:tc>
      </w:tr>
      <w:tr>
        <w:trPr>
          <w:trHeight w:val="310"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1420"/>
              <w:jc w:val="left"/>
              <w:rPr>
                <w:rFonts w:ascii="Times New Roman"/>
                <w:sz w:val="14"/>
              </w:rPr>
            </w:pPr>
            <w:r>
              <w:rPr>
                <w:rFonts w:ascii="Times New Roman"/>
                <w:color w:val="404040"/>
                <w:sz w:val="14"/>
              </w:rPr>
              <w:t>3390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61" w:right="554"/>
              <w:rPr>
                <w:rFonts w:ascii="Times New Roman"/>
                <w:sz w:val="14"/>
              </w:rPr>
            </w:pPr>
            <w:r>
              <w:rPr>
                <w:rFonts w:ascii="Times New Roman"/>
                <w:color w:val="404040"/>
                <w:sz w:val="14"/>
              </w:rPr>
              <w:t>3040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0"/>
              <w:jc w:val="left"/>
              <w:rPr>
                <w:rFonts w:ascii="Times New Roman"/>
                <w:sz w:val="14"/>
              </w:rPr>
            </w:pPr>
            <w:r>
              <w:rPr>
                <w:rFonts w:ascii="Times New Roman"/>
                <w:color w:val="404040"/>
                <w:sz w:val="14"/>
              </w:rPr>
              <w:t>12.27621731891011</w:t>
            </w:r>
          </w:p>
        </w:tc>
      </w:tr>
      <w:tr>
        <w:trPr>
          <w:trHeight w:val="313"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left="1420"/>
              <w:jc w:val="left"/>
              <w:rPr>
                <w:rFonts w:ascii="Times New Roman"/>
                <w:sz w:val="14"/>
              </w:rPr>
            </w:pPr>
            <w:r>
              <w:rPr>
                <w:rFonts w:ascii="Times New Roman"/>
                <w:color w:val="404040"/>
                <w:sz w:val="14"/>
              </w:rPr>
              <w:t>4190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561" w:right="554"/>
              <w:rPr>
                <w:rFonts w:ascii="Times New Roman"/>
                <w:sz w:val="14"/>
              </w:rPr>
            </w:pPr>
            <w:r>
              <w:rPr>
                <w:rFonts w:ascii="Times New Roman"/>
                <w:color w:val="404040"/>
                <w:sz w:val="14"/>
              </w:rPr>
              <w:t>3520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5"/>
              <w:ind w:left="770"/>
              <w:jc w:val="left"/>
              <w:rPr>
                <w:rFonts w:ascii="Times New Roman"/>
                <w:sz w:val="14"/>
              </w:rPr>
            </w:pPr>
            <w:r>
              <w:rPr>
                <w:rFonts w:ascii="Times New Roman"/>
                <w:color w:val="404040"/>
                <w:sz w:val="14"/>
              </w:rPr>
              <w:t>9.092187790623154</w:t>
            </w:r>
          </w:p>
        </w:tc>
      </w:tr>
      <w:tr>
        <w:trPr>
          <w:trHeight w:val="312"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1420"/>
              <w:jc w:val="left"/>
              <w:rPr>
                <w:rFonts w:ascii="Times New Roman"/>
                <w:sz w:val="14"/>
              </w:rPr>
            </w:pPr>
            <w:r>
              <w:rPr>
                <w:rFonts w:ascii="Times New Roman"/>
                <w:color w:val="404040"/>
                <w:sz w:val="14"/>
              </w:rPr>
              <w:t>5190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61" w:right="554"/>
              <w:rPr>
                <w:rFonts w:ascii="Times New Roman"/>
                <w:sz w:val="14"/>
              </w:rPr>
            </w:pPr>
            <w:r>
              <w:rPr>
                <w:rFonts w:ascii="Times New Roman"/>
                <w:color w:val="404040"/>
                <w:sz w:val="14"/>
              </w:rPr>
              <w:t>4090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2"/>
              <w:ind w:left="770"/>
              <w:jc w:val="left"/>
              <w:rPr>
                <w:rFonts w:ascii="Times New Roman"/>
                <w:sz w:val="14"/>
              </w:rPr>
            </w:pPr>
            <w:r>
              <w:rPr>
                <w:rFonts w:ascii="Times New Roman"/>
                <w:color w:val="404040"/>
                <w:sz w:val="14"/>
              </w:rPr>
              <w:t>6.668554431585234</w:t>
            </w:r>
          </w:p>
        </w:tc>
      </w:tr>
      <w:tr>
        <w:trPr>
          <w:trHeight w:val="312"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4"/>
              <w:ind w:left="1420"/>
              <w:jc w:val="left"/>
              <w:rPr>
                <w:rFonts w:ascii="Times New Roman"/>
                <w:sz w:val="14"/>
              </w:rPr>
            </w:pPr>
            <w:r>
              <w:rPr>
                <w:rFonts w:ascii="Times New Roman"/>
                <w:color w:val="404040"/>
                <w:sz w:val="14"/>
              </w:rPr>
              <w:t>6420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4"/>
              <w:ind w:left="561" w:right="554"/>
              <w:rPr>
                <w:rFonts w:ascii="Times New Roman"/>
                <w:sz w:val="14"/>
              </w:rPr>
            </w:pPr>
            <w:r>
              <w:rPr>
                <w:rFonts w:ascii="Times New Roman"/>
                <w:color w:val="404040"/>
                <w:sz w:val="14"/>
              </w:rPr>
              <w:t>4760</w:t>
            </w:r>
          </w:p>
        </w:tc>
        <w:tc>
          <w:tcPr>
            <w:tcW w:w="2721" w:type="dxa"/>
            <w:tcBorders>
              <w:top w:val="single" w:sz="12" w:space="0" w:color="000000"/>
              <w:left w:val="single" w:sz="12" w:space="0" w:color="000000"/>
              <w:bottom w:val="single" w:sz="12" w:space="0" w:color="000000"/>
            </w:tcBorders>
            <w:shd w:val="clear" w:color="auto" w:fill="F9F9F9"/>
          </w:tcPr>
          <w:p>
            <w:pPr>
              <w:pStyle w:val="TableParagraph"/>
              <w:spacing w:before="74"/>
              <w:ind w:left="770"/>
              <w:jc w:val="left"/>
              <w:rPr>
                <w:rFonts w:ascii="Times New Roman"/>
                <w:sz w:val="14"/>
              </w:rPr>
            </w:pPr>
            <w:r>
              <w:rPr>
                <w:rFonts w:ascii="Times New Roman"/>
                <w:color w:val="404040"/>
                <w:sz w:val="14"/>
              </w:rPr>
              <w:t>4.761130457045206</w:t>
            </w:r>
          </w:p>
        </w:tc>
      </w:tr>
      <w:tr>
        <w:trPr>
          <w:trHeight w:val="312"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1420"/>
              <w:jc w:val="left"/>
              <w:rPr>
                <w:rFonts w:ascii="Times New Roman"/>
                <w:sz w:val="14"/>
              </w:rPr>
            </w:pPr>
            <w:r>
              <w:rPr>
                <w:rFonts w:ascii="Times New Roman"/>
                <w:color w:val="404040"/>
                <w:sz w:val="14"/>
              </w:rPr>
              <w:t>7930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61" w:right="554"/>
              <w:rPr>
                <w:rFonts w:ascii="Times New Roman"/>
                <w:sz w:val="14"/>
              </w:rPr>
            </w:pPr>
            <w:r>
              <w:rPr>
                <w:rFonts w:ascii="Times New Roman"/>
                <w:color w:val="404040"/>
                <w:sz w:val="14"/>
              </w:rPr>
              <w:t>5550</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736"/>
              <w:jc w:val="left"/>
              <w:rPr>
                <w:rFonts w:ascii="Times New Roman"/>
                <w:sz w:val="14"/>
              </w:rPr>
            </w:pPr>
            <w:r>
              <w:rPr>
                <w:rFonts w:ascii="Times New Roman"/>
                <w:color w:val="404040"/>
                <w:sz w:val="14"/>
              </w:rPr>
              <w:t>3.3672299672266073</w:t>
            </w:r>
          </w:p>
        </w:tc>
      </w:tr>
      <w:tr>
        <w:trPr>
          <w:trHeight w:val="311"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4"/>
              <w:ind w:left="1420"/>
              <w:jc w:val="left"/>
              <w:rPr>
                <w:rFonts w:ascii="Times New Roman"/>
                <w:sz w:val="14"/>
              </w:rPr>
            </w:pPr>
            <w:r>
              <w:rPr>
                <w:rFonts w:ascii="Times New Roman"/>
                <w:color w:val="404040"/>
                <w:sz w:val="14"/>
              </w:rPr>
              <w:t>9790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4"/>
              <w:ind w:left="561" w:right="554"/>
              <w:rPr>
                <w:rFonts w:ascii="Times New Roman"/>
                <w:sz w:val="14"/>
              </w:rPr>
            </w:pPr>
            <w:r>
              <w:rPr>
                <w:rFonts w:ascii="Times New Roman"/>
                <w:color w:val="404040"/>
                <w:sz w:val="14"/>
              </w:rPr>
              <w:t>6480</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4"/>
              <w:ind w:left="770"/>
              <w:jc w:val="left"/>
              <w:rPr>
                <w:rFonts w:ascii="Times New Roman"/>
                <w:sz w:val="14"/>
              </w:rPr>
            </w:pPr>
            <w:r>
              <w:rPr>
                <w:rFonts w:ascii="Times New Roman"/>
                <w:color w:val="404040"/>
                <w:sz w:val="14"/>
              </w:rPr>
              <w:t>2.378322554327475</w:t>
            </w:r>
          </w:p>
        </w:tc>
      </w:tr>
      <w:tr>
        <w:trPr>
          <w:trHeight w:val="312"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1384"/>
              <w:jc w:val="left"/>
              <w:rPr>
                <w:rFonts w:ascii="Times New Roman"/>
                <w:sz w:val="14"/>
              </w:rPr>
            </w:pPr>
            <w:r>
              <w:rPr>
                <w:rFonts w:ascii="Times New Roman"/>
                <w:color w:val="404040"/>
                <w:sz w:val="14"/>
              </w:rPr>
              <w:t>12100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61" w:right="554"/>
              <w:rPr>
                <w:rFonts w:ascii="Times New Roman"/>
                <w:sz w:val="14"/>
              </w:rPr>
            </w:pPr>
            <w:r>
              <w:rPr>
                <w:rFonts w:ascii="Times New Roman"/>
                <w:color w:val="404040"/>
                <w:sz w:val="14"/>
              </w:rPr>
              <w:t>7590</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736"/>
              <w:jc w:val="left"/>
              <w:rPr>
                <w:rFonts w:ascii="Times New Roman"/>
                <w:sz w:val="14"/>
              </w:rPr>
            </w:pPr>
            <w:r>
              <w:rPr>
                <w:rFonts w:ascii="Times New Roman"/>
                <w:color w:val="404040"/>
                <w:sz w:val="14"/>
              </w:rPr>
              <w:t>1.6790515164625313</w:t>
            </w:r>
          </w:p>
        </w:tc>
      </w:tr>
      <w:tr>
        <w:trPr>
          <w:trHeight w:val="311"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4"/>
              <w:ind w:left="1384"/>
              <w:jc w:val="left"/>
              <w:rPr>
                <w:rFonts w:ascii="Times New Roman"/>
                <w:sz w:val="14"/>
              </w:rPr>
            </w:pPr>
            <w:r>
              <w:rPr>
                <w:rFonts w:ascii="Times New Roman"/>
                <w:color w:val="404040"/>
                <w:sz w:val="14"/>
              </w:rPr>
              <w:t>14800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4"/>
              <w:ind w:left="561" w:right="554"/>
              <w:rPr>
                <w:rFonts w:ascii="Times New Roman"/>
                <w:sz w:val="14"/>
              </w:rPr>
            </w:pPr>
            <w:r>
              <w:rPr>
                <w:rFonts w:ascii="Times New Roman"/>
                <w:color w:val="404040"/>
                <w:sz w:val="14"/>
              </w:rPr>
              <w:t>8890</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4"/>
              <w:ind w:left="736"/>
              <w:jc w:val="left"/>
              <w:rPr>
                <w:rFonts w:ascii="Times New Roman"/>
                <w:sz w:val="14"/>
              </w:rPr>
            </w:pPr>
            <w:r>
              <w:rPr>
                <w:rFonts w:ascii="Times New Roman"/>
                <w:color w:val="404040"/>
                <w:sz w:val="14"/>
              </w:rPr>
              <w:t>1.1644973718211156</w:t>
            </w:r>
          </w:p>
        </w:tc>
      </w:tr>
      <w:tr>
        <w:trPr>
          <w:trHeight w:val="312"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1384"/>
              <w:jc w:val="left"/>
              <w:rPr>
                <w:rFonts w:ascii="Times New Roman"/>
                <w:sz w:val="14"/>
              </w:rPr>
            </w:pPr>
            <w:r>
              <w:rPr>
                <w:rFonts w:ascii="Times New Roman"/>
                <w:color w:val="404040"/>
                <w:sz w:val="14"/>
              </w:rPr>
              <w:t>18200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558" w:right="554"/>
              <w:rPr>
                <w:rFonts w:ascii="Times New Roman"/>
                <w:sz w:val="14"/>
              </w:rPr>
            </w:pPr>
            <w:r>
              <w:rPr>
                <w:rFonts w:ascii="Times New Roman"/>
                <w:color w:val="404040"/>
                <w:sz w:val="14"/>
              </w:rPr>
              <w:t>10400</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736"/>
              <w:jc w:val="left"/>
              <w:rPr>
                <w:rFonts w:ascii="Times New Roman"/>
                <w:sz w:val="14"/>
              </w:rPr>
            </w:pPr>
            <w:r>
              <w:rPr>
                <w:rFonts w:ascii="Times New Roman"/>
                <w:color w:val="404040"/>
                <w:sz w:val="14"/>
              </w:rPr>
              <w:t>0.8044725860886632</w:t>
            </w:r>
          </w:p>
        </w:tc>
      </w:tr>
      <w:tr>
        <w:trPr>
          <w:trHeight w:val="312" w:hRule="atLeast"/>
        </w:trPr>
        <w:tc>
          <w:tcPr>
            <w:tcW w:w="3107"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4"/>
              <w:ind w:left="1384"/>
              <w:jc w:val="left"/>
              <w:rPr>
                <w:rFonts w:ascii="Times New Roman"/>
                <w:sz w:val="14"/>
              </w:rPr>
            </w:pPr>
            <w:r>
              <w:rPr>
                <w:rFonts w:ascii="Times New Roman"/>
                <w:color w:val="404040"/>
                <w:sz w:val="14"/>
              </w:rPr>
              <w:t>22400</w:t>
            </w:r>
          </w:p>
        </w:tc>
        <w:tc>
          <w:tcPr>
            <w:tcW w:w="253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4"/>
              <w:ind w:left="558" w:right="554"/>
              <w:rPr>
                <w:rFonts w:ascii="Times New Roman"/>
                <w:sz w:val="14"/>
              </w:rPr>
            </w:pPr>
            <w:r>
              <w:rPr>
                <w:rFonts w:ascii="Times New Roman"/>
                <w:color w:val="404040"/>
                <w:sz w:val="14"/>
              </w:rPr>
              <w:t>12200</w:t>
            </w:r>
          </w:p>
        </w:tc>
        <w:tc>
          <w:tcPr>
            <w:tcW w:w="2721"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4"/>
              <w:ind w:left="736"/>
              <w:jc w:val="left"/>
              <w:rPr>
                <w:rFonts w:ascii="Times New Roman"/>
                <w:sz w:val="14"/>
              </w:rPr>
            </w:pPr>
            <w:r>
              <w:rPr>
                <w:rFonts w:ascii="Times New Roman"/>
                <w:color w:val="404040"/>
                <w:sz w:val="14"/>
              </w:rPr>
              <w:t>0.5537669310236814</w:t>
            </w:r>
          </w:p>
        </w:tc>
      </w:tr>
      <w:tr>
        <w:trPr>
          <w:trHeight w:val="318" w:hRule="atLeast"/>
        </w:trPr>
        <w:tc>
          <w:tcPr>
            <w:tcW w:w="3107" w:type="dxa"/>
            <w:tcBorders>
              <w:top w:val="single" w:sz="12" w:space="0" w:color="000000"/>
              <w:left w:val="single" w:sz="6" w:space="0" w:color="000000"/>
              <w:right w:val="double" w:sz="2" w:space="0" w:color="000000"/>
            </w:tcBorders>
            <w:shd w:val="clear" w:color="auto" w:fill="F9F9F9"/>
          </w:tcPr>
          <w:p>
            <w:pPr>
              <w:pStyle w:val="TableParagraph"/>
              <w:spacing w:before="72"/>
              <w:ind w:left="1384"/>
              <w:jc w:val="left"/>
              <w:rPr>
                <w:rFonts w:ascii="Times New Roman"/>
                <w:sz w:val="14"/>
              </w:rPr>
            </w:pPr>
            <w:r>
              <w:rPr>
                <w:rFonts w:ascii="Times New Roman"/>
                <w:color w:val="404040"/>
                <w:sz w:val="14"/>
              </w:rPr>
              <w:t>27400</w:t>
            </w:r>
          </w:p>
        </w:tc>
        <w:tc>
          <w:tcPr>
            <w:tcW w:w="2538" w:type="dxa"/>
            <w:tcBorders>
              <w:top w:val="single" w:sz="12" w:space="0" w:color="000000"/>
              <w:left w:val="double" w:sz="2" w:space="0" w:color="000000"/>
              <w:right w:val="single" w:sz="12" w:space="0" w:color="000000"/>
            </w:tcBorders>
            <w:shd w:val="clear" w:color="auto" w:fill="F9F9F9"/>
          </w:tcPr>
          <w:p>
            <w:pPr>
              <w:pStyle w:val="TableParagraph"/>
              <w:spacing w:before="72"/>
              <w:ind w:left="558" w:right="554"/>
              <w:rPr>
                <w:rFonts w:ascii="Times New Roman"/>
                <w:sz w:val="14"/>
              </w:rPr>
            </w:pPr>
            <w:r>
              <w:rPr>
                <w:rFonts w:ascii="Times New Roman"/>
                <w:color w:val="404040"/>
                <w:sz w:val="14"/>
              </w:rPr>
              <w:t>14400</w:t>
            </w:r>
          </w:p>
        </w:tc>
        <w:tc>
          <w:tcPr>
            <w:tcW w:w="2721" w:type="dxa"/>
            <w:tcBorders>
              <w:top w:val="single" w:sz="12" w:space="0" w:color="000000"/>
              <w:left w:val="single" w:sz="12" w:space="0" w:color="000000"/>
              <w:right w:val="single" w:sz="6" w:space="0" w:color="000000"/>
            </w:tcBorders>
            <w:shd w:val="clear" w:color="auto" w:fill="F9F9F9"/>
          </w:tcPr>
          <w:p>
            <w:pPr>
              <w:pStyle w:val="TableParagraph"/>
              <w:spacing w:before="72"/>
              <w:ind w:left="736"/>
              <w:jc w:val="left"/>
              <w:rPr>
                <w:rFonts w:ascii="Times New Roman"/>
                <w:sz w:val="14"/>
              </w:rPr>
            </w:pPr>
            <w:r>
              <w:rPr>
                <w:rFonts w:ascii="Times New Roman"/>
                <w:color w:val="404040"/>
                <w:sz w:val="14"/>
              </w:rPr>
              <w:t>0.3782819130150218</w:t>
            </w:r>
          </w:p>
        </w:tc>
      </w:tr>
    </w:tbl>
    <w:p>
      <w:pPr>
        <w:pStyle w:val="BodyText"/>
        <w:rPr>
          <w:rFonts w:ascii="Times New Roman"/>
          <w:sz w:val="20"/>
        </w:rPr>
      </w:pPr>
    </w:p>
    <w:p>
      <w:pPr>
        <w:pStyle w:val="BodyText"/>
        <w:spacing w:before="1"/>
        <w:rPr>
          <w:rFonts w:ascii="Times New Roman"/>
          <w:sz w:val="22"/>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41"/>
        <w:gridCol w:w="4462"/>
      </w:tblGrid>
      <w:tr>
        <w:trPr>
          <w:trHeight w:val="2497" w:hRule="atLeast"/>
        </w:trPr>
        <w:tc>
          <w:tcPr>
            <w:tcW w:w="4741" w:type="dxa"/>
            <w:tcBorders>
              <w:bottom w:val="single" w:sz="6" w:space="0" w:color="000000"/>
              <w:right w:val="single" w:sz="6" w:space="0" w:color="000000"/>
            </w:tcBorders>
          </w:tcPr>
          <w:p>
            <w:pPr>
              <w:pStyle w:val="TableParagraph"/>
              <w:spacing w:before="10"/>
              <w:jc w:val="left"/>
              <w:rPr>
                <w:rFonts w:ascii="Times New Roman"/>
                <w:sz w:val="4"/>
              </w:rPr>
            </w:pPr>
          </w:p>
          <w:p>
            <w:pPr>
              <w:pStyle w:val="TableParagraph"/>
              <w:ind w:left="236"/>
              <w:jc w:val="left"/>
              <w:rPr>
                <w:rFonts w:ascii="Times New Roman"/>
                <w:sz w:val="20"/>
              </w:rPr>
            </w:pPr>
            <w:r>
              <w:rPr>
                <w:rFonts w:ascii="Times New Roman"/>
                <w:sz w:val="20"/>
              </w:rPr>
              <w:drawing>
                <wp:inline distT="0" distB="0" distL="0" distR="0">
                  <wp:extent cx="2715307" cy="1520189"/>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40" cstate="print"/>
                          <a:stretch>
                            <a:fillRect/>
                          </a:stretch>
                        </pic:blipFill>
                        <pic:spPr>
                          <a:xfrm>
                            <a:off x="0" y="0"/>
                            <a:ext cx="2715307" cy="1520189"/>
                          </a:xfrm>
                          <a:prstGeom prst="rect">
                            <a:avLst/>
                          </a:prstGeom>
                        </pic:spPr>
                      </pic:pic>
                    </a:graphicData>
                  </a:graphic>
                </wp:inline>
              </w:drawing>
            </w:r>
            <w:r>
              <w:rPr>
                <w:rFonts w:ascii="Times New Roman"/>
                <w:sz w:val="20"/>
              </w:rPr>
            </w:r>
          </w:p>
        </w:tc>
        <w:tc>
          <w:tcPr>
            <w:tcW w:w="4462" w:type="dxa"/>
            <w:tcBorders>
              <w:left w:val="single" w:sz="6" w:space="0" w:color="000000"/>
              <w:bottom w:val="single" w:sz="6" w:space="0" w:color="000000"/>
            </w:tcBorders>
          </w:tcPr>
          <w:p>
            <w:pPr>
              <w:pStyle w:val="TableParagraph"/>
              <w:spacing w:before="10"/>
              <w:jc w:val="left"/>
              <w:rPr>
                <w:rFonts w:ascii="Times New Roman"/>
                <w:sz w:val="4"/>
              </w:rPr>
            </w:pPr>
          </w:p>
          <w:p>
            <w:pPr>
              <w:pStyle w:val="TableParagraph"/>
              <w:ind w:left="113"/>
              <w:jc w:val="left"/>
              <w:rPr>
                <w:rFonts w:ascii="Times New Roman"/>
                <w:sz w:val="20"/>
              </w:rPr>
            </w:pPr>
            <w:r>
              <w:rPr>
                <w:rFonts w:ascii="Times New Roman"/>
                <w:sz w:val="20"/>
              </w:rPr>
              <w:drawing>
                <wp:inline distT="0" distB="0" distL="0" distR="0">
                  <wp:extent cx="2704472" cy="1520189"/>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41" cstate="print"/>
                          <a:stretch>
                            <a:fillRect/>
                          </a:stretch>
                        </pic:blipFill>
                        <pic:spPr>
                          <a:xfrm>
                            <a:off x="0" y="0"/>
                            <a:ext cx="2704472" cy="1520189"/>
                          </a:xfrm>
                          <a:prstGeom prst="rect">
                            <a:avLst/>
                          </a:prstGeom>
                        </pic:spPr>
                      </pic:pic>
                    </a:graphicData>
                  </a:graphic>
                </wp:inline>
              </w:drawing>
            </w:r>
            <w:r>
              <w:rPr>
                <w:rFonts w:ascii="Times New Roman"/>
                <w:sz w:val="20"/>
              </w:rPr>
            </w:r>
          </w:p>
        </w:tc>
      </w:tr>
      <w:tr>
        <w:trPr>
          <w:trHeight w:val="311" w:hRule="atLeast"/>
        </w:trPr>
        <w:tc>
          <w:tcPr>
            <w:tcW w:w="4741" w:type="dxa"/>
            <w:tcBorders>
              <w:top w:val="single" w:sz="6" w:space="0" w:color="000000"/>
              <w:bottom w:val="single" w:sz="6" w:space="0" w:color="000000"/>
              <w:right w:val="single" w:sz="6" w:space="0" w:color="000000"/>
            </w:tcBorders>
          </w:tcPr>
          <w:p>
            <w:pPr>
              <w:pStyle w:val="TableParagraph"/>
              <w:spacing w:line="291" w:lineRule="exact"/>
              <w:ind w:left="1929" w:right="1909"/>
              <w:rPr>
                <w:sz w:val="21"/>
              </w:rPr>
            </w:pPr>
            <w:r>
              <w:rPr>
                <w:sz w:val="21"/>
              </w:rPr>
              <w:t>中柴沟村</w:t>
            </w:r>
          </w:p>
        </w:tc>
        <w:tc>
          <w:tcPr>
            <w:tcW w:w="4462" w:type="dxa"/>
            <w:tcBorders>
              <w:top w:val="single" w:sz="6" w:space="0" w:color="000000"/>
              <w:left w:val="single" w:sz="6" w:space="0" w:color="000000"/>
              <w:bottom w:val="single" w:sz="6" w:space="0" w:color="000000"/>
            </w:tcBorders>
          </w:tcPr>
          <w:p>
            <w:pPr>
              <w:pStyle w:val="TableParagraph"/>
              <w:spacing w:line="291" w:lineRule="exact"/>
              <w:ind w:left="1797" w:right="1762"/>
              <w:rPr>
                <w:sz w:val="21"/>
              </w:rPr>
            </w:pPr>
            <w:r>
              <w:rPr>
                <w:sz w:val="21"/>
              </w:rPr>
              <w:t>前鲍家村</w:t>
            </w:r>
          </w:p>
        </w:tc>
      </w:tr>
      <w:tr>
        <w:trPr>
          <w:trHeight w:val="2808" w:hRule="atLeast"/>
        </w:trPr>
        <w:tc>
          <w:tcPr>
            <w:tcW w:w="4741" w:type="dxa"/>
            <w:tcBorders>
              <w:top w:val="single" w:sz="6" w:space="0" w:color="000000"/>
              <w:bottom w:val="single" w:sz="6" w:space="0" w:color="000000"/>
              <w:right w:val="single" w:sz="6" w:space="0" w:color="000000"/>
            </w:tcBorders>
          </w:tcPr>
          <w:p>
            <w:pPr>
              <w:pStyle w:val="TableParagraph"/>
              <w:spacing w:before="8"/>
              <w:jc w:val="left"/>
              <w:rPr>
                <w:rFonts w:ascii="Times New Roman"/>
                <w:sz w:val="11"/>
              </w:rPr>
            </w:pPr>
          </w:p>
          <w:p>
            <w:pPr>
              <w:pStyle w:val="TableParagraph"/>
              <w:ind w:left="104"/>
              <w:jc w:val="left"/>
              <w:rPr>
                <w:rFonts w:ascii="Times New Roman"/>
                <w:sz w:val="20"/>
              </w:rPr>
            </w:pPr>
            <w:r>
              <w:rPr>
                <w:rFonts w:ascii="Times New Roman"/>
                <w:sz w:val="20"/>
              </w:rPr>
              <w:drawing>
                <wp:inline distT="0" distB="0" distL="0" distR="0">
                  <wp:extent cx="2898458" cy="1623060"/>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42" cstate="print"/>
                          <a:stretch>
                            <a:fillRect/>
                          </a:stretch>
                        </pic:blipFill>
                        <pic:spPr>
                          <a:xfrm>
                            <a:off x="0" y="0"/>
                            <a:ext cx="2898458" cy="1623060"/>
                          </a:xfrm>
                          <a:prstGeom prst="rect">
                            <a:avLst/>
                          </a:prstGeom>
                        </pic:spPr>
                      </pic:pic>
                    </a:graphicData>
                  </a:graphic>
                </wp:inline>
              </w:drawing>
            </w:r>
            <w:r>
              <w:rPr>
                <w:rFonts w:ascii="Times New Roman"/>
                <w:sz w:val="20"/>
              </w:rPr>
            </w:r>
          </w:p>
        </w:tc>
        <w:tc>
          <w:tcPr>
            <w:tcW w:w="4462" w:type="dxa"/>
            <w:tcBorders>
              <w:top w:val="single" w:sz="6" w:space="0" w:color="000000"/>
              <w:left w:val="single" w:sz="6" w:space="0" w:color="000000"/>
              <w:bottom w:val="single" w:sz="6" w:space="0" w:color="000000"/>
            </w:tcBorders>
          </w:tcPr>
          <w:p>
            <w:pPr>
              <w:pStyle w:val="TableParagraph"/>
              <w:jc w:val="left"/>
              <w:rPr>
                <w:rFonts w:ascii="Times New Roman"/>
                <w:sz w:val="16"/>
              </w:rPr>
            </w:pPr>
          </w:p>
        </w:tc>
      </w:tr>
      <w:tr>
        <w:trPr>
          <w:trHeight w:val="311" w:hRule="atLeast"/>
        </w:trPr>
        <w:tc>
          <w:tcPr>
            <w:tcW w:w="4741" w:type="dxa"/>
            <w:tcBorders>
              <w:top w:val="single" w:sz="6" w:space="0" w:color="000000"/>
              <w:right w:val="single" w:sz="6" w:space="0" w:color="000000"/>
            </w:tcBorders>
          </w:tcPr>
          <w:p>
            <w:pPr>
              <w:pStyle w:val="TableParagraph"/>
              <w:spacing w:line="291" w:lineRule="exact"/>
              <w:ind w:left="1929" w:right="1909"/>
              <w:rPr>
                <w:sz w:val="21"/>
              </w:rPr>
            </w:pPr>
            <w:r>
              <w:rPr>
                <w:sz w:val="21"/>
              </w:rPr>
              <w:t>后柴沟村</w:t>
            </w:r>
          </w:p>
        </w:tc>
        <w:tc>
          <w:tcPr>
            <w:tcW w:w="4462" w:type="dxa"/>
            <w:tcBorders>
              <w:top w:val="single" w:sz="6" w:space="0" w:color="000000"/>
              <w:left w:val="single" w:sz="6" w:space="0" w:color="000000"/>
            </w:tcBorders>
          </w:tcPr>
          <w:p>
            <w:pPr>
              <w:pStyle w:val="TableParagraph"/>
              <w:jc w:val="left"/>
              <w:rPr>
                <w:rFonts w:ascii="Times New Roman"/>
                <w:sz w:val="16"/>
              </w:rPr>
            </w:pPr>
          </w:p>
        </w:tc>
      </w:tr>
    </w:tbl>
    <w:p>
      <w:pPr>
        <w:tabs>
          <w:tab w:pos="2520" w:val="left" w:leader="none"/>
        </w:tabs>
        <w:spacing w:line="348" w:lineRule="exact" w:before="0"/>
        <w:ind w:left="1607" w:right="0" w:firstLine="0"/>
        <w:jc w:val="left"/>
        <w:rPr>
          <w:sz w:val="21"/>
        </w:rPr>
      </w:pPr>
      <w:r>
        <w:rPr>
          <w:sz w:val="21"/>
        </w:rPr>
        <w:t>图</w:t>
      </w:r>
      <w:r>
        <w:rPr>
          <w:spacing w:val="7"/>
          <w:sz w:val="21"/>
        </w:rPr>
        <w:t> </w:t>
      </w:r>
      <w:r>
        <w:rPr>
          <w:rFonts w:ascii="Times New Roman" w:eastAsia="Times New Roman"/>
          <w:b/>
          <w:sz w:val="21"/>
        </w:rPr>
        <w:t>7.6-2</w:t>
        <w:tab/>
      </w:r>
      <w:r>
        <w:rPr>
          <w:sz w:val="21"/>
        </w:rPr>
        <w:t>氯化氢在前鲍</w:t>
      </w:r>
      <w:r>
        <w:rPr>
          <w:spacing w:val="-3"/>
          <w:sz w:val="21"/>
        </w:rPr>
        <w:t>家</w:t>
      </w:r>
      <w:r>
        <w:rPr>
          <w:sz w:val="21"/>
        </w:rPr>
        <w:t>村、中柴沟村、后</w:t>
      </w:r>
      <w:r>
        <w:rPr>
          <w:spacing w:val="-3"/>
          <w:sz w:val="21"/>
        </w:rPr>
        <w:t>柴</w:t>
      </w:r>
      <w:r>
        <w:rPr>
          <w:sz w:val="21"/>
        </w:rPr>
        <w:t>沟</w:t>
      </w:r>
      <w:r>
        <w:rPr>
          <w:spacing w:val="-3"/>
          <w:sz w:val="21"/>
        </w:rPr>
        <w:t>村</w:t>
      </w:r>
      <w:r>
        <w:rPr>
          <w:sz w:val="21"/>
        </w:rPr>
        <w:t>的浓度</w:t>
      </w:r>
      <w:r>
        <w:rPr>
          <w:rFonts w:ascii="Times New Roman" w:eastAsia="Times New Roman"/>
          <w:b/>
          <w:spacing w:val="-4"/>
          <w:sz w:val="21"/>
        </w:rPr>
        <w:t>-</w:t>
      </w:r>
      <w:r>
        <w:rPr>
          <w:sz w:val="21"/>
        </w:rPr>
        <w:t>时间曲线</w:t>
      </w:r>
    </w:p>
    <w:p>
      <w:pPr>
        <w:tabs>
          <w:tab w:pos="2448" w:val="left" w:leader="none"/>
        </w:tabs>
        <w:spacing w:before="118"/>
        <w:ind w:left="1535" w:right="0" w:firstLine="0"/>
        <w:jc w:val="left"/>
        <w:rPr>
          <w:sz w:val="21"/>
        </w:rPr>
      </w:pPr>
      <w:r>
        <w:rPr>
          <w:sz w:val="21"/>
        </w:rPr>
        <w:t>表</w:t>
      </w:r>
      <w:r>
        <w:rPr>
          <w:spacing w:val="7"/>
          <w:sz w:val="21"/>
        </w:rPr>
        <w:t> </w:t>
      </w:r>
      <w:r>
        <w:rPr>
          <w:rFonts w:ascii="Times New Roman" w:eastAsia="Times New Roman"/>
          <w:b/>
          <w:sz w:val="21"/>
        </w:rPr>
        <w:t>7.6-4</w:t>
        <w:tab/>
      </w:r>
      <w:r>
        <w:rPr>
          <w:sz w:val="21"/>
        </w:rPr>
        <w:t>最不利气象条</w:t>
      </w:r>
      <w:r>
        <w:rPr>
          <w:spacing w:val="-3"/>
          <w:sz w:val="21"/>
        </w:rPr>
        <w:t>件</w:t>
      </w:r>
      <w:r>
        <w:rPr>
          <w:sz w:val="21"/>
        </w:rPr>
        <w:t>下氯化氢在各关心</w:t>
      </w:r>
      <w:r>
        <w:rPr>
          <w:spacing w:val="-3"/>
          <w:sz w:val="21"/>
        </w:rPr>
        <w:t>点</w:t>
      </w:r>
      <w:r>
        <w:rPr>
          <w:sz w:val="21"/>
        </w:rPr>
        <w:t>超</w:t>
      </w:r>
      <w:r>
        <w:rPr>
          <w:spacing w:val="-3"/>
          <w:sz w:val="21"/>
        </w:rPr>
        <w:t>出</w:t>
      </w:r>
      <w:r>
        <w:rPr>
          <w:sz w:val="21"/>
        </w:rPr>
        <w:t>毒性浓度时间情况</w:t>
      </w:r>
    </w:p>
    <w:p>
      <w:pPr>
        <w:pStyle w:val="BodyText"/>
        <w:spacing w:before="7"/>
        <w:rPr>
          <w:sz w:val="10"/>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9"/>
        <w:gridCol w:w="1195"/>
        <w:gridCol w:w="1560"/>
        <w:gridCol w:w="707"/>
        <w:gridCol w:w="849"/>
        <w:gridCol w:w="846"/>
        <w:gridCol w:w="993"/>
        <w:gridCol w:w="988"/>
        <w:gridCol w:w="765"/>
      </w:tblGrid>
      <w:tr>
        <w:trPr>
          <w:trHeight w:val="323" w:hRule="atLeast"/>
        </w:trPr>
        <w:tc>
          <w:tcPr>
            <w:tcW w:w="619" w:type="dxa"/>
            <w:vMerge w:val="restart"/>
            <w:tcBorders>
              <w:right w:val="single" w:sz="6" w:space="0" w:color="000000"/>
            </w:tcBorders>
          </w:tcPr>
          <w:p>
            <w:pPr>
              <w:pStyle w:val="TableParagraph"/>
              <w:spacing w:line="320" w:lineRule="exact"/>
              <w:ind w:left="203"/>
              <w:jc w:val="left"/>
              <w:rPr>
                <w:sz w:val="21"/>
              </w:rPr>
            </w:pPr>
            <w:r>
              <w:rPr>
                <w:w w:val="100"/>
                <w:sz w:val="21"/>
              </w:rPr>
              <w:t>序</w:t>
            </w:r>
          </w:p>
          <w:p>
            <w:pPr>
              <w:pStyle w:val="TableParagraph"/>
              <w:spacing w:line="320" w:lineRule="exact"/>
              <w:ind w:left="203"/>
              <w:jc w:val="left"/>
              <w:rPr>
                <w:sz w:val="21"/>
              </w:rPr>
            </w:pPr>
            <w:r>
              <w:rPr>
                <w:w w:val="100"/>
                <w:sz w:val="21"/>
              </w:rPr>
              <w:t>号</w:t>
            </w:r>
          </w:p>
        </w:tc>
        <w:tc>
          <w:tcPr>
            <w:tcW w:w="1195" w:type="dxa"/>
            <w:vMerge w:val="restart"/>
            <w:tcBorders>
              <w:left w:val="single" w:sz="6" w:space="0" w:color="000000"/>
              <w:right w:val="single" w:sz="6" w:space="0" w:color="000000"/>
            </w:tcBorders>
          </w:tcPr>
          <w:p>
            <w:pPr>
              <w:pStyle w:val="TableParagraph"/>
              <w:spacing w:before="97"/>
              <w:ind w:left="393"/>
              <w:jc w:val="left"/>
              <w:rPr>
                <w:sz w:val="21"/>
              </w:rPr>
            </w:pPr>
            <w:r>
              <w:rPr>
                <w:sz w:val="21"/>
              </w:rPr>
              <w:t>名称</w:t>
            </w:r>
          </w:p>
        </w:tc>
        <w:tc>
          <w:tcPr>
            <w:tcW w:w="1560" w:type="dxa"/>
            <w:vMerge w:val="restart"/>
            <w:tcBorders>
              <w:left w:val="single" w:sz="6" w:space="0" w:color="000000"/>
              <w:right w:val="single" w:sz="6" w:space="0" w:color="000000"/>
            </w:tcBorders>
          </w:tcPr>
          <w:p>
            <w:pPr>
              <w:pStyle w:val="TableParagraph"/>
              <w:spacing w:line="376" w:lineRule="exact"/>
              <w:ind w:left="115" w:right="87"/>
              <w:rPr>
                <w:sz w:val="21"/>
              </w:rPr>
            </w:pPr>
            <w:r>
              <w:rPr>
                <w:sz w:val="21"/>
              </w:rPr>
              <w:t>最大浓度</w:t>
            </w:r>
            <w:r>
              <w:rPr>
                <w:rFonts w:ascii="Times New Roman" w:eastAsia="Times New Roman"/>
                <w:sz w:val="21"/>
              </w:rPr>
              <w:t>|</w:t>
            </w:r>
            <w:r>
              <w:rPr>
                <w:sz w:val="21"/>
              </w:rPr>
              <w:t>时间</w:t>
            </w:r>
          </w:p>
          <w:p>
            <w:pPr>
              <w:pStyle w:val="TableParagraph"/>
              <w:spacing w:line="231" w:lineRule="exact"/>
              <w:ind w:left="115" w:right="84"/>
              <w:rPr>
                <w:rFonts w:ascii="Times New Roman"/>
                <w:sz w:val="21"/>
              </w:rPr>
            </w:pPr>
            <w:r>
              <w:rPr>
                <w:rFonts w:ascii="Times New Roman"/>
                <w:sz w:val="21"/>
              </w:rPr>
              <w:t>(s)</w:t>
            </w:r>
          </w:p>
        </w:tc>
        <w:tc>
          <w:tcPr>
            <w:tcW w:w="2402" w:type="dxa"/>
            <w:gridSpan w:val="3"/>
            <w:tcBorders>
              <w:left w:val="single" w:sz="6" w:space="0" w:color="000000"/>
              <w:bottom w:val="single" w:sz="6" w:space="0" w:color="000000"/>
              <w:right w:val="single" w:sz="6" w:space="0" w:color="000000"/>
            </w:tcBorders>
          </w:tcPr>
          <w:p>
            <w:pPr>
              <w:pStyle w:val="TableParagraph"/>
              <w:spacing w:line="303" w:lineRule="exact"/>
              <w:ind w:left="283"/>
              <w:jc w:val="left"/>
              <w:rPr>
                <w:rFonts w:ascii="Times New Roman" w:eastAsia="Times New Roman"/>
                <w:sz w:val="21"/>
              </w:rPr>
            </w:pPr>
            <w:r>
              <w:rPr>
                <w:sz w:val="21"/>
              </w:rPr>
              <w:t>超出毒性终点浓度</w:t>
            </w:r>
            <w:r>
              <w:rPr>
                <w:rFonts w:ascii="Times New Roman" w:eastAsia="Times New Roman"/>
                <w:sz w:val="21"/>
              </w:rPr>
              <w:t>-1</w:t>
            </w:r>
          </w:p>
        </w:tc>
        <w:tc>
          <w:tcPr>
            <w:tcW w:w="2746" w:type="dxa"/>
            <w:gridSpan w:val="3"/>
            <w:tcBorders>
              <w:left w:val="single" w:sz="6" w:space="0" w:color="000000"/>
              <w:bottom w:val="single" w:sz="6" w:space="0" w:color="000000"/>
            </w:tcBorders>
          </w:tcPr>
          <w:p>
            <w:pPr>
              <w:pStyle w:val="TableParagraph"/>
              <w:spacing w:line="303" w:lineRule="exact"/>
              <w:ind w:left="457"/>
              <w:jc w:val="left"/>
              <w:rPr>
                <w:rFonts w:ascii="Times New Roman" w:eastAsia="Times New Roman"/>
                <w:sz w:val="21"/>
              </w:rPr>
            </w:pPr>
            <w:r>
              <w:rPr>
                <w:sz w:val="21"/>
              </w:rPr>
              <w:t>超出毒性终点浓度</w:t>
            </w:r>
            <w:r>
              <w:rPr>
                <w:rFonts w:ascii="Times New Roman" w:eastAsia="Times New Roman"/>
                <w:sz w:val="21"/>
              </w:rPr>
              <w:t>-2</w:t>
            </w:r>
          </w:p>
        </w:tc>
      </w:tr>
      <w:tr>
        <w:trPr>
          <w:trHeight w:val="306" w:hRule="atLeast"/>
        </w:trPr>
        <w:tc>
          <w:tcPr>
            <w:tcW w:w="619" w:type="dxa"/>
            <w:vMerge/>
            <w:tcBorders>
              <w:top w:val="nil"/>
              <w:right w:val="single" w:sz="6" w:space="0" w:color="000000"/>
            </w:tcBorders>
          </w:tcPr>
          <w:p>
            <w:pPr>
              <w:rPr>
                <w:sz w:val="2"/>
                <w:szCs w:val="2"/>
              </w:rPr>
            </w:pPr>
          </w:p>
        </w:tc>
        <w:tc>
          <w:tcPr>
            <w:tcW w:w="1195" w:type="dxa"/>
            <w:vMerge/>
            <w:tcBorders>
              <w:top w:val="nil"/>
              <w:left w:val="single" w:sz="6" w:space="0" w:color="000000"/>
              <w:right w:val="single" w:sz="6" w:space="0" w:color="000000"/>
            </w:tcBorders>
          </w:tcPr>
          <w:p>
            <w:pPr>
              <w:rPr>
                <w:sz w:val="2"/>
                <w:szCs w:val="2"/>
              </w:rPr>
            </w:pPr>
          </w:p>
        </w:tc>
        <w:tc>
          <w:tcPr>
            <w:tcW w:w="1560" w:type="dxa"/>
            <w:vMerge/>
            <w:tcBorders>
              <w:top w:val="nil"/>
              <w:left w:val="single" w:sz="6" w:space="0" w:color="000000"/>
              <w:right w:val="single" w:sz="6" w:space="0" w:color="000000"/>
            </w:tcBorders>
          </w:tcPr>
          <w:p>
            <w:pPr>
              <w:rPr>
                <w:sz w:val="2"/>
                <w:szCs w:val="2"/>
              </w:rPr>
            </w:pPr>
          </w:p>
        </w:tc>
        <w:tc>
          <w:tcPr>
            <w:tcW w:w="707" w:type="dxa"/>
            <w:tcBorders>
              <w:top w:val="single" w:sz="6" w:space="0" w:color="000000"/>
              <w:left w:val="single" w:sz="6" w:space="0" w:color="000000"/>
              <w:right w:val="single" w:sz="6" w:space="0" w:color="000000"/>
            </w:tcBorders>
          </w:tcPr>
          <w:p>
            <w:pPr>
              <w:pStyle w:val="TableParagraph"/>
              <w:spacing w:line="286" w:lineRule="exact"/>
              <w:ind w:left="151"/>
              <w:jc w:val="left"/>
              <w:rPr>
                <w:sz w:val="21"/>
              </w:rPr>
            </w:pPr>
            <w:r>
              <w:rPr>
                <w:sz w:val="21"/>
              </w:rPr>
              <w:t>起始</w:t>
            </w:r>
          </w:p>
        </w:tc>
        <w:tc>
          <w:tcPr>
            <w:tcW w:w="849" w:type="dxa"/>
            <w:tcBorders>
              <w:top w:val="single" w:sz="6" w:space="0" w:color="000000"/>
              <w:left w:val="single" w:sz="6" w:space="0" w:color="000000"/>
              <w:right w:val="single" w:sz="6" w:space="0" w:color="000000"/>
            </w:tcBorders>
          </w:tcPr>
          <w:p>
            <w:pPr>
              <w:pStyle w:val="TableParagraph"/>
              <w:spacing w:line="286" w:lineRule="exact"/>
              <w:ind w:left="222"/>
              <w:jc w:val="left"/>
              <w:rPr>
                <w:sz w:val="21"/>
              </w:rPr>
            </w:pPr>
            <w:r>
              <w:rPr>
                <w:sz w:val="21"/>
              </w:rPr>
              <w:t>终止</w:t>
            </w:r>
          </w:p>
        </w:tc>
        <w:tc>
          <w:tcPr>
            <w:tcW w:w="846" w:type="dxa"/>
            <w:tcBorders>
              <w:top w:val="single" w:sz="6" w:space="0" w:color="000000"/>
              <w:left w:val="single" w:sz="6" w:space="0" w:color="000000"/>
              <w:right w:val="single" w:sz="6" w:space="0" w:color="000000"/>
            </w:tcBorders>
          </w:tcPr>
          <w:p>
            <w:pPr>
              <w:pStyle w:val="TableParagraph"/>
              <w:spacing w:line="286" w:lineRule="exact"/>
              <w:ind w:left="221"/>
              <w:jc w:val="left"/>
              <w:rPr>
                <w:sz w:val="21"/>
              </w:rPr>
            </w:pPr>
            <w:r>
              <w:rPr>
                <w:sz w:val="21"/>
              </w:rPr>
              <w:t>时间</w:t>
            </w:r>
          </w:p>
        </w:tc>
        <w:tc>
          <w:tcPr>
            <w:tcW w:w="993" w:type="dxa"/>
            <w:tcBorders>
              <w:top w:val="single" w:sz="6" w:space="0" w:color="000000"/>
              <w:left w:val="single" w:sz="6" w:space="0" w:color="000000"/>
              <w:right w:val="single" w:sz="6" w:space="0" w:color="000000"/>
            </w:tcBorders>
          </w:tcPr>
          <w:p>
            <w:pPr>
              <w:pStyle w:val="TableParagraph"/>
              <w:spacing w:line="286" w:lineRule="exact"/>
              <w:ind w:left="296"/>
              <w:jc w:val="left"/>
              <w:rPr>
                <w:sz w:val="21"/>
              </w:rPr>
            </w:pPr>
            <w:r>
              <w:rPr>
                <w:sz w:val="21"/>
              </w:rPr>
              <w:t>起始</w:t>
            </w:r>
          </w:p>
        </w:tc>
        <w:tc>
          <w:tcPr>
            <w:tcW w:w="988" w:type="dxa"/>
            <w:tcBorders>
              <w:top w:val="single" w:sz="6" w:space="0" w:color="000000"/>
              <w:left w:val="single" w:sz="6" w:space="0" w:color="000000"/>
              <w:right w:val="single" w:sz="6" w:space="0" w:color="000000"/>
            </w:tcBorders>
          </w:tcPr>
          <w:p>
            <w:pPr>
              <w:pStyle w:val="TableParagraph"/>
              <w:spacing w:line="286" w:lineRule="exact"/>
              <w:ind w:left="295"/>
              <w:jc w:val="left"/>
              <w:rPr>
                <w:sz w:val="21"/>
              </w:rPr>
            </w:pPr>
            <w:r>
              <w:rPr>
                <w:sz w:val="21"/>
              </w:rPr>
              <w:t>终止</w:t>
            </w:r>
          </w:p>
        </w:tc>
        <w:tc>
          <w:tcPr>
            <w:tcW w:w="765" w:type="dxa"/>
            <w:tcBorders>
              <w:top w:val="single" w:sz="6" w:space="0" w:color="000000"/>
              <w:left w:val="single" w:sz="6" w:space="0" w:color="000000"/>
            </w:tcBorders>
          </w:tcPr>
          <w:p>
            <w:pPr>
              <w:pStyle w:val="TableParagraph"/>
              <w:spacing w:line="286" w:lineRule="exact"/>
              <w:ind w:left="185"/>
              <w:jc w:val="left"/>
              <w:rPr>
                <w:sz w:val="21"/>
              </w:rPr>
            </w:pPr>
            <w:r>
              <w:rPr>
                <w:sz w:val="21"/>
              </w:rPr>
              <w:t>时间</w:t>
            </w:r>
          </w:p>
        </w:tc>
      </w:tr>
    </w:tbl>
    <w:p>
      <w:pPr>
        <w:spacing w:after="0" w:line="286" w:lineRule="exact"/>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9"/>
        <w:gridCol w:w="1195"/>
        <w:gridCol w:w="1560"/>
        <w:gridCol w:w="707"/>
        <w:gridCol w:w="849"/>
        <w:gridCol w:w="846"/>
        <w:gridCol w:w="993"/>
        <w:gridCol w:w="988"/>
        <w:gridCol w:w="765"/>
      </w:tblGrid>
      <w:tr>
        <w:trPr>
          <w:trHeight w:val="311" w:hRule="atLeast"/>
        </w:trPr>
        <w:tc>
          <w:tcPr>
            <w:tcW w:w="619" w:type="dxa"/>
            <w:tcBorders>
              <w:bottom w:val="single" w:sz="6" w:space="0" w:color="000000"/>
              <w:right w:val="single" w:sz="6" w:space="0" w:color="000000"/>
            </w:tcBorders>
          </w:tcPr>
          <w:p>
            <w:pPr>
              <w:pStyle w:val="TableParagraph"/>
              <w:jc w:val="left"/>
              <w:rPr>
                <w:rFonts w:ascii="Times New Roman"/>
                <w:sz w:val="20"/>
              </w:rPr>
            </w:pPr>
          </w:p>
        </w:tc>
        <w:tc>
          <w:tcPr>
            <w:tcW w:w="1195"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560"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707" w:type="dxa"/>
            <w:tcBorders>
              <w:left w:val="single" w:sz="6" w:space="0" w:color="000000"/>
              <w:bottom w:val="single" w:sz="6" w:space="0" w:color="000000"/>
              <w:right w:val="single" w:sz="6" w:space="0" w:color="000000"/>
            </w:tcBorders>
          </w:tcPr>
          <w:p>
            <w:pPr>
              <w:pStyle w:val="TableParagraph"/>
              <w:spacing w:line="292" w:lineRule="exact"/>
              <w:ind w:left="133" w:right="99"/>
              <w:rPr>
                <w:sz w:val="21"/>
              </w:rPr>
            </w:pPr>
            <w:r>
              <w:rPr>
                <w:sz w:val="21"/>
              </w:rPr>
              <w:t>时刻</w:t>
            </w:r>
          </w:p>
        </w:tc>
        <w:tc>
          <w:tcPr>
            <w:tcW w:w="849" w:type="dxa"/>
            <w:tcBorders>
              <w:left w:val="single" w:sz="6" w:space="0" w:color="000000"/>
              <w:bottom w:val="single" w:sz="6" w:space="0" w:color="000000"/>
              <w:right w:val="single" w:sz="6" w:space="0" w:color="000000"/>
            </w:tcBorders>
          </w:tcPr>
          <w:p>
            <w:pPr>
              <w:pStyle w:val="TableParagraph"/>
              <w:spacing w:line="292" w:lineRule="exact"/>
              <w:ind w:left="204" w:right="170"/>
              <w:rPr>
                <w:sz w:val="21"/>
              </w:rPr>
            </w:pPr>
            <w:r>
              <w:rPr>
                <w:sz w:val="21"/>
              </w:rPr>
              <w:t>时刻</w:t>
            </w:r>
          </w:p>
        </w:tc>
        <w:tc>
          <w:tcPr>
            <w:tcW w:w="846"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993" w:type="dxa"/>
            <w:tcBorders>
              <w:left w:val="single" w:sz="6" w:space="0" w:color="000000"/>
              <w:bottom w:val="single" w:sz="6" w:space="0" w:color="000000"/>
              <w:right w:val="single" w:sz="6" w:space="0" w:color="000000"/>
            </w:tcBorders>
          </w:tcPr>
          <w:p>
            <w:pPr>
              <w:pStyle w:val="TableParagraph"/>
              <w:spacing w:line="292" w:lineRule="exact"/>
              <w:ind w:left="277" w:right="240"/>
              <w:rPr>
                <w:sz w:val="21"/>
              </w:rPr>
            </w:pPr>
            <w:r>
              <w:rPr>
                <w:sz w:val="21"/>
              </w:rPr>
              <w:t>时刻</w:t>
            </w:r>
          </w:p>
        </w:tc>
        <w:tc>
          <w:tcPr>
            <w:tcW w:w="988" w:type="dxa"/>
            <w:tcBorders>
              <w:left w:val="single" w:sz="6" w:space="0" w:color="000000"/>
              <w:bottom w:val="single" w:sz="6" w:space="0" w:color="000000"/>
              <w:right w:val="single" w:sz="6" w:space="0" w:color="000000"/>
            </w:tcBorders>
          </w:tcPr>
          <w:p>
            <w:pPr>
              <w:pStyle w:val="TableParagraph"/>
              <w:spacing w:line="292" w:lineRule="exact"/>
              <w:ind w:left="275" w:right="235"/>
              <w:rPr>
                <w:sz w:val="21"/>
              </w:rPr>
            </w:pPr>
            <w:r>
              <w:rPr>
                <w:sz w:val="21"/>
              </w:rPr>
              <w:t>时刻</w:t>
            </w:r>
          </w:p>
        </w:tc>
        <w:tc>
          <w:tcPr>
            <w:tcW w:w="765" w:type="dxa"/>
            <w:tcBorders>
              <w:left w:val="single" w:sz="6" w:space="0" w:color="000000"/>
              <w:bottom w:val="single" w:sz="6" w:space="0" w:color="000000"/>
            </w:tcBorders>
          </w:tcPr>
          <w:p>
            <w:pPr>
              <w:pStyle w:val="TableParagraph"/>
              <w:jc w:val="left"/>
              <w:rPr>
                <w:rFonts w:ascii="Times New Roman"/>
                <w:sz w:val="20"/>
              </w:rPr>
            </w:pPr>
          </w:p>
        </w:tc>
      </w:tr>
      <w:tr>
        <w:trPr>
          <w:trHeight w:val="313" w:hRule="atLeast"/>
        </w:trPr>
        <w:tc>
          <w:tcPr>
            <w:tcW w:w="619"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1</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63" w:right="137"/>
              <w:rPr>
                <w:sz w:val="21"/>
              </w:rPr>
            </w:pPr>
            <w:r>
              <w:rPr>
                <w:sz w:val="21"/>
              </w:rPr>
              <w:t>前鲍家村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5"/>
              <w:rPr>
                <w:rFonts w:ascii="Times New Roman"/>
                <w:sz w:val="22"/>
              </w:rPr>
            </w:pPr>
            <w:r>
              <w:rPr>
                <w:rFonts w:ascii="Times New Roman"/>
                <w:sz w:val="22"/>
              </w:rPr>
              <w:t>64.9539|850</w:t>
            </w:r>
          </w:p>
        </w:tc>
        <w:tc>
          <w:tcPr>
            <w:tcW w:w="707" w:type="dxa"/>
            <w:tcBorders>
              <w:top w:val="single" w:sz="6" w:space="0" w:color="000000"/>
              <w:left w:val="single" w:sz="6" w:space="0" w:color="000000"/>
              <w:bottom w:val="single" w:sz="6" w:space="0" w:color="000000"/>
              <w:right w:val="single" w:sz="6" w:space="0" w:color="000000"/>
            </w:tcBorders>
          </w:tcPr>
          <w:p>
            <w:pPr>
              <w:pStyle w:val="TableParagraph"/>
              <w:spacing w:before="36"/>
              <w:ind w:left="128" w:right="99"/>
              <w:rPr>
                <w:rFonts w:ascii="Times New Roman"/>
                <w:sz w:val="21"/>
              </w:rPr>
            </w:pPr>
            <w:r>
              <w:rPr>
                <w:rFonts w:ascii="Times New Roman"/>
                <w:sz w:val="21"/>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36"/>
              <w:ind w:left="204" w:right="170"/>
              <w:rPr>
                <w:rFonts w:ascii="Times New Roman"/>
                <w:sz w:val="21"/>
              </w:rPr>
            </w:pPr>
            <w:r>
              <w:rPr>
                <w:rFonts w:ascii="Times New Roman"/>
                <w:sz w:val="21"/>
              </w:rPr>
              <w:t>--</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69"/>
              <w:rPr>
                <w:rFonts w:ascii="Times New Roman"/>
                <w:sz w:val="21"/>
              </w:rPr>
            </w:pPr>
            <w:r>
              <w:rPr>
                <w:rFonts w:ascii="Times New Roman"/>
                <w:sz w:val="21"/>
              </w:rPr>
              <w:t>--</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36"/>
              <w:ind w:left="277" w:right="240"/>
              <w:rPr>
                <w:rFonts w:ascii="Times New Roman"/>
                <w:sz w:val="21"/>
              </w:rPr>
            </w:pPr>
            <w:r>
              <w:rPr>
                <w:rFonts w:ascii="Times New Roman"/>
                <w:sz w:val="21"/>
              </w:rPr>
              <w:t>820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36"/>
              <w:ind w:left="275" w:right="235"/>
              <w:rPr>
                <w:rFonts w:ascii="Times New Roman"/>
                <w:sz w:val="21"/>
              </w:rPr>
            </w:pPr>
            <w:r>
              <w:rPr>
                <w:rFonts w:ascii="Times New Roman"/>
                <w:sz w:val="21"/>
              </w:rPr>
              <w:t>2240</w:t>
            </w:r>
          </w:p>
        </w:tc>
        <w:tc>
          <w:tcPr>
            <w:tcW w:w="765" w:type="dxa"/>
            <w:tcBorders>
              <w:top w:val="single" w:sz="6" w:space="0" w:color="000000"/>
              <w:left w:val="single" w:sz="6" w:space="0" w:color="000000"/>
              <w:bottom w:val="single" w:sz="6" w:space="0" w:color="000000"/>
            </w:tcBorders>
          </w:tcPr>
          <w:p>
            <w:pPr>
              <w:pStyle w:val="TableParagraph"/>
              <w:spacing w:before="36"/>
              <w:ind w:left="166" w:right="115"/>
              <w:rPr>
                <w:rFonts w:ascii="Times New Roman"/>
                <w:sz w:val="21"/>
              </w:rPr>
            </w:pPr>
            <w:r>
              <w:rPr>
                <w:rFonts w:ascii="Times New Roman"/>
                <w:sz w:val="21"/>
              </w:rPr>
              <w:t>1420</w:t>
            </w:r>
          </w:p>
        </w:tc>
      </w:tr>
      <w:tr>
        <w:trPr>
          <w:trHeight w:val="311" w:hRule="atLeast"/>
        </w:trPr>
        <w:tc>
          <w:tcPr>
            <w:tcW w:w="619"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2</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63" w:right="137"/>
              <w:rPr>
                <w:sz w:val="21"/>
              </w:rPr>
            </w:pPr>
            <w:r>
              <w:rPr>
                <w:sz w:val="21"/>
              </w:rPr>
              <w:t>中柴沟村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7"/>
              <w:ind w:left="115" w:right="85"/>
              <w:rPr>
                <w:rFonts w:ascii="Times New Roman"/>
                <w:sz w:val="22"/>
              </w:rPr>
            </w:pPr>
            <w:r>
              <w:rPr>
                <w:rFonts w:ascii="Times New Roman"/>
                <w:sz w:val="22"/>
              </w:rPr>
              <w:t>88.7844|710</w:t>
            </w:r>
          </w:p>
        </w:tc>
        <w:tc>
          <w:tcPr>
            <w:tcW w:w="707" w:type="dxa"/>
            <w:tcBorders>
              <w:top w:val="single" w:sz="6" w:space="0" w:color="000000"/>
              <w:left w:val="single" w:sz="6" w:space="0" w:color="000000"/>
              <w:bottom w:val="single" w:sz="6" w:space="0" w:color="000000"/>
              <w:right w:val="single" w:sz="6" w:space="0" w:color="000000"/>
            </w:tcBorders>
          </w:tcPr>
          <w:p>
            <w:pPr>
              <w:pStyle w:val="TableParagraph"/>
              <w:spacing w:before="34"/>
              <w:ind w:left="128" w:right="99"/>
              <w:rPr>
                <w:rFonts w:ascii="Times New Roman"/>
                <w:sz w:val="21"/>
              </w:rPr>
            </w:pPr>
            <w:r>
              <w:rPr>
                <w:rFonts w:ascii="Times New Roman"/>
                <w:sz w:val="21"/>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34"/>
              <w:ind w:left="204" w:right="170"/>
              <w:rPr>
                <w:rFonts w:ascii="Times New Roman"/>
                <w:sz w:val="21"/>
              </w:rPr>
            </w:pPr>
            <w:r>
              <w:rPr>
                <w:rFonts w:ascii="Times New Roman"/>
                <w:sz w:val="21"/>
              </w:rPr>
              <w:t>--</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34"/>
              <w:ind w:left="202" w:right="169"/>
              <w:rPr>
                <w:rFonts w:ascii="Times New Roman"/>
                <w:sz w:val="21"/>
              </w:rPr>
            </w:pPr>
            <w:r>
              <w:rPr>
                <w:rFonts w:ascii="Times New Roman"/>
                <w:sz w:val="21"/>
              </w:rPr>
              <w:t>--</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34"/>
              <w:ind w:left="277" w:right="240"/>
              <w:rPr>
                <w:rFonts w:ascii="Times New Roman"/>
                <w:sz w:val="21"/>
              </w:rPr>
            </w:pPr>
            <w:r>
              <w:rPr>
                <w:rFonts w:ascii="Times New Roman"/>
                <w:sz w:val="21"/>
              </w:rPr>
              <w:t>690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34"/>
              <w:ind w:left="275" w:right="235"/>
              <w:rPr>
                <w:rFonts w:ascii="Times New Roman"/>
                <w:sz w:val="21"/>
              </w:rPr>
            </w:pPr>
            <w:r>
              <w:rPr>
                <w:rFonts w:ascii="Times New Roman"/>
                <w:sz w:val="21"/>
              </w:rPr>
              <w:t>1920</w:t>
            </w:r>
          </w:p>
        </w:tc>
        <w:tc>
          <w:tcPr>
            <w:tcW w:w="765" w:type="dxa"/>
            <w:tcBorders>
              <w:top w:val="single" w:sz="6" w:space="0" w:color="000000"/>
              <w:left w:val="single" w:sz="6" w:space="0" w:color="000000"/>
              <w:bottom w:val="single" w:sz="6" w:space="0" w:color="000000"/>
            </w:tcBorders>
          </w:tcPr>
          <w:p>
            <w:pPr>
              <w:pStyle w:val="TableParagraph"/>
              <w:spacing w:before="34"/>
              <w:ind w:left="166" w:right="115"/>
              <w:rPr>
                <w:rFonts w:ascii="Times New Roman"/>
                <w:sz w:val="21"/>
              </w:rPr>
            </w:pPr>
            <w:r>
              <w:rPr>
                <w:rFonts w:ascii="Times New Roman"/>
                <w:sz w:val="21"/>
              </w:rPr>
              <w:t>1230</w:t>
            </w:r>
          </w:p>
        </w:tc>
      </w:tr>
      <w:tr>
        <w:trPr>
          <w:trHeight w:val="311" w:hRule="atLeast"/>
        </w:trPr>
        <w:tc>
          <w:tcPr>
            <w:tcW w:w="619" w:type="dxa"/>
            <w:tcBorders>
              <w:top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3</w:t>
            </w:r>
          </w:p>
        </w:tc>
        <w:tc>
          <w:tcPr>
            <w:tcW w:w="1195" w:type="dxa"/>
            <w:tcBorders>
              <w:top w:val="single" w:sz="6" w:space="0" w:color="000000"/>
              <w:left w:val="single" w:sz="6" w:space="0" w:color="000000"/>
              <w:right w:val="single" w:sz="6" w:space="0" w:color="000000"/>
            </w:tcBorders>
          </w:tcPr>
          <w:p>
            <w:pPr>
              <w:pStyle w:val="TableParagraph"/>
              <w:spacing w:line="291" w:lineRule="exact"/>
              <w:ind w:left="163" w:right="137"/>
              <w:rPr>
                <w:sz w:val="21"/>
              </w:rPr>
            </w:pPr>
            <w:r>
              <w:rPr>
                <w:sz w:val="21"/>
              </w:rPr>
              <w:t>后柴沟村</w:t>
            </w:r>
          </w:p>
        </w:tc>
        <w:tc>
          <w:tcPr>
            <w:tcW w:w="1560" w:type="dxa"/>
            <w:tcBorders>
              <w:top w:val="single" w:sz="6" w:space="0" w:color="000000"/>
              <w:left w:val="single" w:sz="6" w:space="0" w:color="000000"/>
              <w:right w:val="single" w:sz="6" w:space="0" w:color="000000"/>
            </w:tcBorders>
          </w:tcPr>
          <w:p>
            <w:pPr>
              <w:pStyle w:val="TableParagraph"/>
              <w:spacing w:before="27"/>
              <w:ind w:left="115" w:right="85"/>
              <w:rPr>
                <w:rFonts w:ascii="Times New Roman"/>
                <w:sz w:val="22"/>
              </w:rPr>
            </w:pPr>
            <w:r>
              <w:rPr>
                <w:rFonts w:ascii="Times New Roman"/>
                <w:sz w:val="22"/>
              </w:rPr>
              <w:t>34.7504|1260</w:t>
            </w:r>
          </w:p>
        </w:tc>
        <w:tc>
          <w:tcPr>
            <w:tcW w:w="707" w:type="dxa"/>
            <w:tcBorders>
              <w:top w:val="single" w:sz="6" w:space="0" w:color="000000"/>
              <w:left w:val="single" w:sz="6" w:space="0" w:color="000000"/>
              <w:right w:val="single" w:sz="6" w:space="0" w:color="000000"/>
            </w:tcBorders>
          </w:tcPr>
          <w:p>
            <w:pPr>
              <w:pStyle w:val="TableParagraph"/>
              <w:spacing w:before="34"/>
              <w:ind w:left="128" w:right="99"/>
              <w:rPr>
                <w:rFonts w:ascii="Times New Roman"/>
                <w:sz w:val="21"/>
              </w:rPr>
            </w:pPr>
            <w:r>
              <w:rPr>
                <w:rFonts w:ascii="Times New Roman"/>
                <w:sz w:val="21"/>
              </w:rPr>
              <w:t>--</w:t>
            </w:r>
          </w:p>
        </w:tc>
        <w:tc>
          <w:tcPr>
            <w:tcW w:w="849" w:type="dxa"/>
            <w:tcBorders>
              <w:top w:val="single" w:sz="6" w:space="0" w:color="000000"/>
              <w:left w:val="single" w:sz="6" w:space="0" w:color="000000"/>
              <w:right w:val="single" w:sz="6" w:space="0" w:color="000000"/>
            </w:tcBorders>
          </w:tcPr>
          <w:p>
            <w:pPr>
              <w:pStyle w:val="TableParagraph"/>
              <w:spacing w:before="34"/>
              <w:ind w:left="204" w:right="170"/>
              <w:rPr>
                <w:rFonts w:ascii="Times New Roman"/>
                <w:sz w:val="21"/>
              </w:rPr>
            </w:pPr>
            <w:r>
              <w:rPr>
                <w:rFonts w:ascii="Times New Roman"/>
                <w:sz w:val="21"/>
              </w:rPr>
              <w:t>--</w:t>
            </w:r>
          </w:p>
        </w:tc>
        <w:tc>
          <w:tcPr>
            <w:tcW w:w="846" w:type="dxa"/>
            <w:tcBorders>
              <w:top w:val="single" w:sz="6" w:space="0" w:color="000000"/>
              <w:left w:val="single" w:sz="6" w:space="0" w:color="000000"/>
              <w:right w:val="single" w:sz="6" w:space="0" w:color="000000"/>
            </w:tcBorders>
          </w:tcPr>
          <w:p>
            <w:pPr>
              <w:pStyle w:val="TableParagraph"/>
              <w:spacing w:before="34"/>
              <w:ind w:left="202" w:right="169"/>
              <w:rPr>
                <w:rFonts w:ascii="Times New Roman"/>
                <w:sz w:val="21"/>
              </w:rPr>
            </w:pPr>
            <w:r>
              <w:rPr>
                <w:rFonts w:ascii="Times New Roman"/>
                <w:sz w:val="21"/>
              </w:rPr>
              <w:t>--</w:t>
            </w:r>
          </w:p>
        </w:tc>
        <w:tc>
          <w:tcPr>
            <w:tcW w:w="993" w:type="dxa"/>
            <w:tcBorders>
              <w:top w:val="single" w:sz="6" w:space="0" w:color="000000"/>
              <w:left w:val="single" w:sz="6" w:space="0" w:color="000000"/>
              <w:right w:val="single" w:sz="6" w:space="0" w:color="000000"/>
            </w:tcBorders>
          </w:tcPr>
          <w:p>
            <w:pPr>
              <w:pStyle w:val="TableParagraph"/>
              <w:spacing w:before="34"/>
              <w:ind w:left="277" w:right="240"/>
              <w:rPr>
                <w:rFonts w:ascii="Times New Roman"/>
                <w:sz w:val="21"/>
              </w:rPr>
            </w:pPr>
            <w:r>
              <w:rPr>
                <w:rFonts w:ascii="Times New Roman"/>
                <w:sz w:val="21"/>
              </w:rPr>
              <w:t>1260</w:t>
            </w:r>
          </w:p>
        </w:tc>
        <w:tc>
          <w:tcPr>
            <w:tcW w:w="988" w:type="dxa"/>
            <w:tcBorders>
              <w:top w:val="single" w:sz="6" w:space="0" w:color="000000"/>
              <w:left w:val="single" w:sz="6" w:space="0" w:color="000000"/>
              <w:right w:val="single" w:sz="6" w:space="0" w:color="000000"/>
            </w:tcBorders>
          </w:tcPr>
          <w:p>
            <w:pPr>
              <w:pStyle w:val="TableParagraph"/>
              <w:spacing w:before="34"/>
              <w:ind w:left="276" w:right="234"/>
              <w:rPr>
                <w:rFonts w:ascii="Times New Roman"/>
                <w:sz w:val="21"/>
              </w:rPr>
            </w:pPr>
            <w:r>
              <w:rPr>
                <w:rFonts w:ascii="Times New Roman"/>
                <w:sz w:val="21"/>
              </w:rPr>
              <w:t>3110</w:t>
            </w:r>
          </w:p>
        </w:tc>
        <w:tc>
          <w:tcPr>
            <w:tcW w:w="765" w:type="dxa"/>
            <w:tcBorders>
              <w:top w:val="single" w:sz="6" w:space="0" w:color="000000"/>
              <w:left w:val="single" w:sz="6" w:space="0" w:color="000000"/>
            </w:tcBorders>
          </w:tcPr>
          <w:p>
            <w:pPr>
              <w:pStyle w:val="TableParagraph"/>
              <w:spacing w:before="34"/>
              <w:ind w:left="166" w:right="115"/>
              <w:rPr>
                <w:rFonts w:ascii="Times New Roman"/>
                <w:sz w:val="21"/>
              </w:rPr>
            </w:pPr>
            <w:r>
              <w:rPr>
                <w:rFonts w:ascii="Times New Roman"/>
                <w:sz w:val="21"/>
              </w:rPr>
              <w:t>1850</w:t>
            </w:r>
          </w:p>
        </w:tc>
      </w:tr>
    </w:tbl>
    <w:p>
      <w:pPr>
        <w:pStyle w:val="BodyText"/>
        <w:spacing w:before="12"/>
        <w:rPr>
          <w:sz w:val="4"/>
        </w:rPr>
      </w:pPr>
    </w:p>
    <w:p>
      <w:pPr>
        <w:pStyle w:val="BodyText"/>
        <w:spacing w:line="415" w:lineRule="exact"/>
        <w:ind w:left="1058"/>
      </w:pPr>
      <w:r>
        <w:rPr/>
        <w:t>②甲醛预测结果</w:t>
      </w:r>
    </w:p>
    <w:p>
      <w:pPr>
        <w:pStyle w:val="BodyText"/>
        <w:spacing w:line="443" w:lineRule="exact"/>
        <w:ind w:left="1058"/>
      </w:pPr>
      <w:r>
        <w:rPr/>
        <w:t>由甲醛预测结果可知，在最不利气象条件（</w:t>
      </w:r>
      <w:r>
        <w:rPr>
          <w:rFonts w:ascii="Times New Roman" w:eastAsia="Times New Roman"/>
        </w:rPr>
        <w:t>F </w:t>
      </w:r>
      <w:r>
        <w:rPr/>
        <w:t>类稳定度，</w:t>
      </w:r>
      <w:r>
        <w:rPr>
          <w:rFonts w:ascii="Times New Roman" w:eastAsia="Times New Roman"/>
        </w:rPr>
        <w:t>1.5m/s </w:t>
      </w:r>
      <w:r>
        <w:rPr/>
        <w:t>风速，温度</w:t>
      </w:r>
    </w:p>
    <w:p>
      <w:pPr>
        <w:pStyle w:val="BodyText"/>
        <w:spacing w:line="220" w:lineRule="auto" w:before="8"/>
        <w:ind w:left="578" w:right="751"/>
        <w:jc w:val="both"/>
      </w:pPr>
      <w:r>
        <w:rPr>
          <w:rFonts w:ascii="Times New Roman" w:hAnsi="Times New Roman" w:eastAsia="Times New Roman"/>
        </w:rPr>
        <w:t>25</w:t>
      </w:r>
      <w:r>
        <w:rPr>
          <w:spacing w:val="1"/>
        </w:rPr>
        <w:t>℃，相对湿度 </w:t>
      </w:r>
      <w:r>
        <w:rPr>
          <w:rFonts w:ascii="Times New Roman" w:hAnsi="Times New Roman" w:eastAsia="Times New Roman"/>
        </w:rPr>
        <w:t>50%</w:t>
      </w:r>
      <w:r>
        <w:rPr/>
        <w:t>）下，甲醛浓度达到大气毒性终点浓度</w:t>
      </w:r>
      <w:r>
        <w:rPr>
          <w:rFonts w:ascii="Times New Roman" w:hAnsi="Times New Roman" w:eastAsia="Times New Roman"/>
        </w:rPr>
        <w:t>-1</w:t>
      </w:r>
      <w:r>
        <w:rPr>
          <w:rFonts w:ascii="Times New Roman" w:hAnsi="Times New Roman" w:eastAsia="Times New Roman"/>
          <w:spacing w:val="55"/>
        </w:rPr>
        <w:t> </w:t>
      </w:r>
      <w:r>
        <w:rPr/>
        <w:t>的最大影响范围</w:t>
      </w:r>
      <w:r>
        <w:rPr>
          <w:spacing w:val="1"/>
        </w:rPr>
        <w:t>约为 </w:t>
      </w:r>
      <w:r>
        <w:rPr>
          <w:rFonts w:ascii="Times New Roman" w:hAnsi="Times New Roman" w:eastAsia="Times New Roman"/>
          <w:spacing w:val="-3"/>
        </w:rPr>
        <w:t>508m</w:t>
      </w:r>
      <w:r>
        <w:rPr>
          <w:spacing w:val="-1"/>
        </w:rPr>
        <w:t>，发生时间为第 </w:t>
      </w:r>
      <w:r>
        <w:rPr>
          <w:rFonts w:ascii="Times New Roman" w:hAnsi="Times New Roman" w:eastAsia="Times New Roman"/>
          <w:spacing w:val="-3"/>
        </w:rPr>
        <w:t>979s</w:t>
      </w:r>
      <w:r>
        <w:rPr>
          <w:spacing w:val="-2"/>
        </w:rPr>
        <w:t>，达到大气毒性终点浓度</w:t>
      </w:r>
      <w:r>
        <w:rPr>
          <w:rFonts w:ascii="Times New Roman" w:hAnsi="Times New Roman" w:eastAsia="Times New Roman"/>
        </w:rPr>
        <w:t>-2 </w:t>
      </w:r>
      <w:r>
        <w:rPr/>
        <w:t>的最大影响范围约为</w:t>
      </w:r>
      <w:r>
        <w:rPr>
          <w:rFonts w:ascii="Times New Roman" w:hAnsi="Times New Roman" w:eastAsia="Times New Roman"/>
        </w:rPr>
        <w:t>1400m</w:t>
      </w:r>
      <w:r>
        <w:rPr/>
        <w:t>，发生时间为第 </w:t>
      </w:r>
      <w:r>
        <w:rPr>
          <w:rFonts w:ascii="Times New Roman" w:hAnsi="Times New Roman" w:eastAsia="Times New Roman"/>
        </w:rPr>
        <w:t>1700s</w:t>
      </w:r>
      <w:r>
        <w:rPr/>
        <w:t>，该范围内存在村庄、学校等敏感目标。</w:t>
      </w:r>
    </w:p>
    <w:p>
      <w:pPr>
        <w:pStyle w:val="BodyText"/>
        <w:spacing w:before="11"/>
        <w:rPr>
          <w:sz w:val="26"/>
        </w:rPr>
      </w:pPr>
      <w:r>
        <w:rPr/>
        <w:drawing>
          <wp:anchor distT="0" distB="0" distL="0" distR="0" allowOverlap="1" layoutInCell="1" locked="0" behindDoc="1" simplePos="0" relativeHeight="268435175">
            <wp:simplePos x="0" y="0"/>
            <wp:positionH relativeFrom="page">
              <wp:posOffset>1146175</wp:posOffset>
            </wp:positionH>
            <wp:positionV relativeFrom="paragraph">
              <wp:posOffset>382341</wp:posOffset>
            </wp:positionV>
            <wp:extent cx="5229203" cy="3574161"/>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43" cstate="print"/>
                    <a:stretch>
                      <a:fillRect/>
                    </a:stretch>
                  </pic:blipFill>
                  <pic:spPr>
                    <a:xfrm>
                      <a:off x="0" y="0"/>
                      <a:ext cx="5229203" cy="3574161"/>
                    </a:xfrm>
                    <a:prstGeom prst="rect">
                      <a:avLst/>
                    </a:prstGeom>
                  </pic:spPr>
                </pic:pic>
              </a:graphicData>
            </a:graphic>
          </wp:anchor>
        </w:drawing>
      </w:r>
    </w:p>
    <w:p>
      <w:pPr>
        <w:tabs>
          <w:tab w:pos="912" w:val="left" w:leader="none"/>
        </w:tabs>
        <w:spacing w:before="45"/>
        <w:ind w:left="0" w:right="176" w:firstLine="0"/>
        <w:jc w:val="center"/>
        <w:rPr>
          <w:sz w:val="21"/>
        </w:rPr>
      </w:pPr>
      <w:r>
        <w:rPr>
          <w:sz w:val="21"/>
        </w:rPr>
        <w:t>图</w:t>
      </w:r>
      <w:r>
        <w:rPr>
          <w:spacing w:val="7"/>
          <w:sz w:val="21"/>
        </w:rPr>
        <w:t> </w:t>
      </w:r>
      <w:r>
        <w:rPr>
          <w:rFonts w:ascii="Times New Roman" w:eastAsia="Times New Roman"/>
          <w:b/>
          <w:sz w:val="21"/>
        </w:rPr>
        <w:t>7.6-3</w:t>
        <w:tab/>
      </w:r>
      <w:r>
        <w:rPr>
          <w:sz w:val="21"/>
        </w:rPr>
        <w:t>甲醛浓度达到</w:t>
      </w:r>
      <w:r>
        <w:rPr>
          <w:spacing w:val="-3"/>
          <w:sz w:val="21"/>
        </w:rPr>
        <w:t>不</w:t>
      </w:r>
      <w:r>
        <w:rPr>
          <w:sz w:val="21"/>
        </w:rPr>
        <w:t>同毒性终点浓度时</w:t>
      </w:r>
      <w:r>
        <w:rPr>
          <w:spacing w:val="-3"/>
          <w:sz w:val="21"/>
        </w:rPr>
        <w:t>的</w:t>
      </w:r>
      <w:r>
        <w:rPr>
          <w:sz w:val="21"/>
        </w:rPr>
        <w:t>最</w:t>
      </w:r>
      <w:r>
        <w:rPr>
          <w:spacing w:val="-3"/>
          <w:sz w:val="21"/>
        </w:rPr>
        <w:t>大</w:t>
      </w:r>
      <w:r>
        <w:rPr>
          <w:sz w:val="21"/>
        </w:rPr>
        <w:t>影响范围图</w:t>
      </w:r>
    </w:p>
    <w:p>
      <w:pPr>
        <w:tabs>
          <w:tab w:pos="912" w:val="left" w:leader="none"/>
        </w:tabs>
        <w:spacing w:before="119"/>
        <w:ind w:left="0" w:right="176" w:firstLine="0"/>
        <w:jc w:val="center"/>
        <w:rPr>
          <w:sz w:val="21"/>
        </w:rPr>
      </w:pPr>
      <w:r>
        <w:rPr>
          <w:sz w:val="21"/>
        </w:rPr>
        <w:t>表</w:t>
      </w:r>
      <w:r>
        <w:rPr>
          <w:spacing w:val="7"/>
          <w:sz w:val="21"/>
        </w:rPr>
        <w:t> </w:t>
      </w:r>
      <w:r>
        <w:rPr>
          <w:rFonts w:ascii="Times New Roman" w:eastAsia="Times New Roman"/>
          <w:b/>
          <w:sz w:val="21"/>
        </w:rPr>
        <w:t>7.6-5</w:t>
        <w:tab/>
      </w:r>
      <w:r>
        <w:rPr>
          <w:sz w:val="21"/>
        </w:rPr>
        <w:t>最不利气象条</w:t>
      </w:r>
      <w:r>
        <w:rPr>
          <w:spacing w:val="-3"/>
          <w:sz w:val="21"/>
        </w:rPr>
        <w:t>件</w:t>
      </w:r>
      <w:r>
        <w:rPr>
          <w:sz w:val="21"/>
        </w:rPr>
        <w:t>下下风向不同距离</w:t>
      </w:r>
      <w:r>
        <w:rPr>
          <w:spacing w:val="-3"/>
          <w:sz w:val="21"/>
        </w:rPr>
        <w:t>处</w:t>
      </w:r>
      <w:r>
        <w:rPr>
          <w:sz w:val="21"/>
        </w:rPr>
        <w:t>甲</w:t>
      </w:r>
      <w:r>
        <w:rPr>
          <w:spacing w:val="-3"/>
          <w:sz w:val="21"/>
        </w:rPr>
        <w:t>醛</w:t>
      </w:r>
      <w:r>
        <w:rPr>
          <w:sz w:val="21"/>
        </w:rPr>
        <w:t>最大浓度</w:t>
      </w:r>
    </w:p>
    <w:p>
      <w:pPr>
        <w:pStyle w:val="BodyText"/>
        <w:spacing w:before="14"/>
        <w:rPr>
          <w:sz w:val="3"/>
        </w:rPr>
      </w:pPr>
    </w:p>
    <w:tbl>
      <w:tblPr>
        <w:tblW w:w="0" w:type="auto"/>
        <w:jc w:val="left"/>
        <w:tblInd w:w="55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2981"/>
        <w:gridCol w:w="2348"/>
        <w:gridCol w:w="3027"/>
      </w:tblGrid>
      <w:tr>
        <w:trPr>
          <w:trHeight w:val="321" w:hRule="atLeast"/>
        </w:trPr>
        <w:tc>
          <w:tcPr>
            <w:tcW w:w="2981" w:type="dxa"/>
            <w:tcBorders>
              <w:left w:val="single" w:sz="6" w:space="0" w:color="000000"/>
              <w:bottom w:val="single" w:sz="12" w:space="0" w:color="000000"/>
              <w:right w:val="double" w:sz="2" w:space="0" w:color="000000"/>
            </w:tcBorders>
            <w:shd w:val="clear" w:color="auto" w:fill="F9F9F9"/>
          </w:tcPr>
          <w:p>
            <w:pPr>
              <w:pStyle w:val="TableParagraph"/>
              <w:spacing w:line="301" w:lineRule="exact"/>
              <w:ind w:left="655" w:right="621"/>
              <w:rPr>
                <w:sz w:val="21"/>
              </w:rPr>
            </w:pPr>
            <w:r>
              <w:rPr>
                <w:color w:val="404040"/>
                <w:sz w:val="21"/>
              </w:rPr>
              <w:t>下风向距离（</w:t>
            </w:r>
            <w:r>
              <w:rPr>
                <w:rFonts w:ascii="Times New Roman" w:eastAsia="Times New Roman"/>
                <w:color w:val="404040"/>
                <w:sz w:val="21"/>
              </w:rPr>
              <w:t>m</w:t>
            </w:r>
            <w:r>
              <w:rPr>
                <w:color w:val="404040"/>
                <w:sz w:val="21"/>
              </w:rPr>
              <w:t>）</w:t>
            </w:r>
          </w:p>
        </w:tc>
        <w:tc>
          <w:tcPr>
            <w:tcW w:w="2348" w:type="dxa"/>
            <w:tcBorders>
              <w:left w:val="double" w:sz="2" w:space="0" w:color="000000"/>
              <w:bottom w:val="single" w:sz="12" w:space="0" w:color="000000"/>
              <w:right w:val="single" w:sz="12" w:space="0" w:color="000000"/>
            </w:tcBorders>
            <w:shd w:val="clear" w:color="auto" w:fill="F9F9F9"/>
          </w:tcPr>
          <w:p>
            <w:pPr>
              <w:pStyle w:val="TableParagraph"/>
              <w:spacing w:line="301" w:lineRule="exact"/>
              <w:ind w:left="468" w:right="459"/>
              <w:rPr>
                <w:sz w:val="21"/>
              </w:rPr>
            </w:pPr>
            <w:r>
              <w:rPr>
                <w:color w:val="404040"/>
                <w:sz w:val="21"/>
              </w:rPr>
              <w:t>出现时间（</w:t>
            </w:r>
            <w:r>
              <w:rPr>
                <w:rFonts w:ascii="Times New Roman" w:eastAsia="Times New Roman"/>
                <w:color w:val="404040"/>
                <w:sz w:val="21"/>
              </w:rPr>
              <w:t>s</w:t>
            </w:r>
            <w:r>
              <w:rPr>
                <w:color w:val="404040"/>
                <w:sz w:val="21"/>
              </w:rPr>
              <w:t>）</w:t>
            </w:r>
          </w:p>
        </w:tc>
        <w:tc>
          <w:tcPr>
            <w:tcW w:w="3027" w:type="dxa"/>
            <w:tcBorders>
              <w:left w:val="single" w:sz="12" w:space="0" w:color="000000"/>
              <w:bottom w:val="single" w:sz="12" w:space="0" w:color="000000"/>
              <w:right w:val="single" w:sz="6" w:space="0" w:color="000000"/>
            </w:tcBorders>
            <w:shd w:val="clear" w:color="auto" w:fill="F9F9F9"/>
          </w:tcPr>
          <w:p>
            <w:pPr>
              <w:pStyle w:val="TableParagraph"/>
              <w:spacing w:line="301" w:lineRule="exact"/>
              <w:ind w:left="782" w:right="782"/>
              <w:rPr>
                <w:sz w:val="21"/>
              </w:rPr>
            </w:pPr>
            <w:r>
              <w:rPr>
                <w:color w:val="404040"/>
                <w:sz w:val="21"/>
              </w:rPr>
              <w:t>浓度（</w:t>
            </w:r>
            <w:r>
              <w:rPr>
                <w:rFonts w:ascii="Times New Roman" w:eastAsia="Times New Roman"/>
                <w:color w:val="404040"/>
                <w:sz w:val="21"/>
              </w:rPr>
              <w:t>mg/m</w:t>
            </w:r>
            <w:r>
              <w:rPr>
                <w:rFonts w:ascii="Times New Roman" w:eastAsia="Times New Roman"/>
                <w:color w:val="404040"/>
                <w:position w:val="7"/>
                <w:sz w:val="14"/>
              </w:rPr>
              <w:t>3</w:t>
            </w:r>
            <w:r>
              <w:rPr>
                <w:color w:val="404040"/>
                <w:sz w:val="21"/>
              </w:rPr>
              <w:t>）</w:t>
            </w:r>
          </w:p>
        </w:tc>
      </w:tr>
      <w:tr>
        <w:trPr>
          <w:trHeight w:val="310" w:hRule="atLeast"/>
        </w:trPr>
        <w:tc>
          <w:tcPr>
            <w:tcW w:w="2981"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654" w:right="621"/>
              <w:rPr>
                <w:rFonts w:ascii="Times New Roman"/>
                <w:sz w:val="14"/>
              </w:rPr>
            </w:pPr>
            <w:r>
              <w:rPr>
                <w:rFonts w:ascii="Times New Roman"/>
                <w:color w:val="404040"/>
                <w:sz w:val="14"/>
              </w:rPr>
              <w:t>-5.42</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468" w:right="459"/>
              <w:rPr>
                <w:rFonts w:ascii="Times New Roman"/>
                <w:sz w:val="14"/>
              </w:rPr>
            </w:pPr>
            <w:r>
              <w:rPr>
                <w:rFonts w:ascii="Times New Roman"/>
                <w:color w:val="404040"/>
                <w:sz w:val="14"/>
              </w:rPr>
              <w:t>11.5</w:t>
            </w:r>
          </w:p>
        </w:tc>
        <w:tc>
          <w:tcPr>
            <w:tcW w:w="3027"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rPr>
                <w:rFonts w:ascii="Times New Roman"/>
                <w:sz w:val="14"/>
              </w:rPr>
            </w:pPr>
            <w:r>
              <w:rPr>
                <w:rFonts w:ascii="Times New Roman"/>
                <w:color w:val="404040"/>
                <w:w w:val="99"/>
                <w:sz w:val="14"/>
              </w:rPr>
              <w:t>0</w:t>
            </w:r>
          </w:p>
        </w:tc>
      </w:tr>
      <w:tr>
        <w:trPr>
          <w:trHeight w:val="313" w:hRule="atLeast"/>
        </w:trPr>
        <w:tc>
          <w:tcPr>
            <w:tcW w:w="2981"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654" w:right="621"/>
              <w:rPr>
                <w:rFonts w:ascii="Times New Roman"/>
                <w:sz w:val="14"/>
              </w:rPr>
            </w:pPr>
            <w:r>
              <w:rPr>
                <w:rFonts w:ascii="Times New Roman"/>
                <w:color w:val="404040"/>
                <w:sz w:val="14"/>
              </w:rPr>
              <w:t>-4.34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468" w:right="459"/>
              <w:rPr>
                <w:rFonts w:ascii="Times New Roman"/>
                <w:sz w:val="14"/>
              </w:rPr>
            </w:pPr>
            <w:r>
              <w:rPr>
                <w:rFonts w:ascii="Times New Roman"/>
                <w:color w:val="404040"/>
                <w:sz w:val="14"/>
              </w:rPr>
              <w:t>13.9</w:t>
            </w:r>
          </w:p>
        </w:tc>
        <w:tc>
          <w:tcPr>
            <w:tcW w:w="3027"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782" w:right="782"/>
              <w:rPr>
                <w:rFonts w:ascii="Times New Roman"/>
                <w:sz w:val="14"/>
              </w:rPr>
            </w:pPr>
            <w:r>
              <w:rPr>
                <w:rFonts w:ascii="Times New Roman"/>
                <w:color w:val="404040"/>
                <w:sz w:val="14"/>
              </w:rPr>
              <w:t>1922.8842448463615</w:t>
            </w:r>
          </w:p>
        </w:tc>
      </w:tr>
      <w:tr>
        <w:trPr>
          <w:trHeight w:val="310" w:hRule="atLeast"/>
        </w:trPr>
        <w:tc>
          <w:tcPr>
            <w:tcW w:w="2981"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654" w:right="621"/>
              <w:rPr>
                <w:rFonts w:ascii="Times New Roman"/>
                <w:sz w:val="14"/>
              </w:rPr>
            </w:pPr>
            <w:r>
              <w:rPr>
                <w:rFonts w:ascii="Times New Roman"/>
                <w:color w:val="404040"/>
                <w:sz w:val="14"/>
              </w:rPr>
              <w:t>-3.25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468" w:right="459"/>
              <w:rPr>
                <w:rFonts w:ascii="Times New Roman"/>
                <w:sz w:val="14"/>
              </w:rPr>
            </w:pPr>
            <w:r>
              <w:rPr>
                <w:rFonts w:ascii="Times New Roman"/>
                <w:color w:val="404040"/>
                <w:sz w:val="14"/>
              </w:rPr>
              <w:t>16.2</w:t>
            </w:r>
          </w:p>
        </w:tc>
        <w:tc>
          <w:tcPr>
            <w:tcW w:w="3027"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781" w:right="782"/>
              <w:rPr>
                <w:rFonts w:ascii="Times New Roman"/>
                <w:sz w:val="14"/>
              </w:rPr>
            </w:pPr>
            <w:r>
              <w:rPr>
                <w:rFonts w:ascii="Times New Roman"/>
                <w:color w:val="404040"/>
                <w:sz w:val="14"/>
              </w:rPr>
              <w:t>3459.9401261303333</w:t>
            </w:r>
          </w:p>
        </w:tc>
      </w:tr>
      <w:tr>
        <w:trPr>
          <w:trHeight w:val="313" w:hRule="atLeast"/>
        </w:trPr>
        <w:tc>
          <w:tcPr>
            <w:tcW w:w="2981"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654" w:right="621"/>
              <w:rPr>
                <w:rFonts w:ascii="Times New Roman"/>
                <w:sz w:val="14"/>
              </w:rPr>
            </w:pPr>
            <w:r>
              <w:rPr>
                <w:rFonts w:ascii="Times New Roman"/>
                <w:color w:val="404040"/>
                <w:sz w:val="14"/>
              </w:rPr>
              <w:t>-2.17</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468" w:right="459"/>
              <w:rPr>
                <w:rFonts w:ascii="Times New Roman"/>
                <w:sz w:val="14"/>
              </w:rPr>
            </w:pPr>
            <w:r>
              <w:rPr>
                <w:rFonts w:ascii="Times New Roman"/>
                <w:color w:val="404040"/>
                <w:sz w:val="14"/>
              </w:rPr>
              <w:t>18.8</w:t>
            </w:r>
          </w:p>
        </w:tc>
        <w:tc>
          <w:tcPr>
            <w:tcW w:w="3027"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781" w:right="782"/>
              <w:rPr>
                <w:rFonts w:ascii="Times New Roman"/>
                <w:sz w:val="14"/>
              </w:rPr>
            </w:pPr>
            <w:r>
              <w:rPr>
                <w:rFonts w:ascii="Times New Roman"/>
                <w:color w:val="404040"/>
                <w:sz w:val="14"/>
              </w:rPr>
              <w:t>4614.452350273981</w:t>
            </w:r>
          </w:p>
        </w:tc>
      </w:tr>
      <w:tr>
        <w:trPr>
          <w:trHeight w:val="310" w:hRule="atLeast"/>
        </w:trPr>
        <w:tc>
          <w:tcPr>
            <w:tcW w:w="2981"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left="654" w:right="621"/>
              <w:rPr>
                <w:rFonts w:ascii="Times New Roman"/>
                <w:sz w:val="14"/>
              </w:rPr>
            </w:pPr>
            <w:r>
              <w:rPr>
                <w:rFonts w:ascii="Times New Roman"/>
                <w:color w:val="404040"/>
                <w:sz w:val="14"/>
              </w:rPr>
              <w:t>-1.08</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468" w:right="459"/>
              <w:rPr>
                <w:rFonts w:ascii="Times New Roman"/>
                <w:sz w:val="14"/>
              </w:rPr>
            </w:pPr>
            <w:r>
              <w:rPr>
                <w:rFonts w:ascii="Times New Roman"/>
                <w:color w:val="404040"/>
                <w:sz w:val="14"/>
              </w:rPr>
              <w:t>21.5</w:t>
            </w:r>
          </w:p>
        </w:tc>
        <w:tc>
          <w:tcPr>
            <w:tcW w:w="3027"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781" w:right="782"/>
              <w:rPr>
                <w:rFonts w:ascii="Times New Roman"/>
                <w:sz w:val="14"/>
              </w:rPr>
            </w:pPr>
            <w:r>
              <w:rPr>
                <w:rFonts w:ascii="Times New Roman"/>
                <w:color w:val="404040"/>
                <w:sz w:val="14"/>
              </w:rPr>
              <w:t>5459.174136471695</w:t>
            </w:r>
          </w:p>
        </w:tc>
      </w:tr>
      <w:tr>
        <w:trPr>
          <w:trHeight w:val="313" w:hRule="atLeast"/>
        </w:trPr>
        <w:tc>
          <w:tcPr>
            <w:tcW w:w="2981"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3"/>
              <w:ind w:left="33"/>
              <w:rPr>
                <w:rFonts w:ascii="Times New Roman"/>
                <w:sz w:val="14"/>
              </w:rPr>
            </w:pPr>
            <w:r>
              <w:rPr>
                <w:rFonts w:ascii="Times New Roman"/>
                <w:color w:val="404040"/>
                <w:w w:val="99"/>
                <w:sz w:val="14"/>
              </w:rPr>
              <w:t>0</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3"/>
              <w:ind w:left="468" w:right="459"/>
              <w:rPr>
                <w:rFonts w:ascii="Times New Roman"/>
                <w:sz w:val="14"/>
              </w:rPr>
            </w:pPr>
            <w:r>
              <w:rPr>
                <w:rFonts w:ascii="Times New Roman"/>
                <w:color w:val="404040"/>
                <w:sz w:val="14"/>
              </w:rPr>
              <w:t>24.6</w:t>
            </w:r>
          </w:p>
        </w:tc>
        <w:tc>
          <w:tcPr>
            <w:tcW w:w="3027"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3"/>
              <w:ind w:left="781" w:right="782"/>
              <w:rPr>
                <w:rFonts w:ascii="Times New Roman"/>
                <w:sz w:val="14"/>
              </w:rPr>
            </w:pPr>
            <w:r>
              <w:rPr>
                <w:rFonts w:ascii="Times New Roman"/>
                <w:color w:val="404040"/>
                <w:sz w:val="14"/>
              </w:rPr>
              <w:t>6081.444156413639</w:t>
            </w:r>
          </w:p>
        </w:tc>
      </w:tr>
      <w:tr>
        <w:trPr>
          <w:trHeight w:val="311" w:hRule="atLeast"/>
        </w:trPr>
        <w:tc>
          <w:tcPr>
            <w:tcW w:w="2981" w:type="dxa"/>
            <w:tcBorders>
              <w:top w:val="single" w:sz="12" w:space="0" w:color="000000"/>
              <w:left w:val="single" w:sz="6" w:space="0" w:color="000000"/>
              <w:right w:val="double" w:sz="2" w:space="0" w:color="000000"/>
            </w:tcBorders>
            <w:shd w:val="clear" w:color="auto" w:fill="F9F9F9"/>
          </w:tcPr>
          <w:p>
            <w:pPr>
              <w:pStyle w:val="TableParagraph"/>
              <w:spacing w:before="72"/>
              <w:ind w:left="655" w:right="619"/>
              <w:rPr>
                <w:rFonts w:ascii="Times New Roman"/>
                <w:sz w:val="14"/>
              </w:rPr>
            </w:pPr>
            <w:r>
              <w:rPr>
                <w:rFonts w:ascii="Times New Roman"/>
                <w:color w:val="404040"/>
                <w:sz w:val="14"/>
              </w:rPr>
              <w:t>1.08</w:t>
            </w:r>
          </w:p>
        </w:tc>
        <w:tc>
          <w:tcPr>
            <w:tcW w:w="2348" w:type="dxa"/>
            <w:tcBorders>
              <w:top w:val="single" w:sz="12" w:space="0" w:color="000000"/>
              <w:left w:val="double" w:sz="2" w:space="0" w:color="000000"/>
              <w:right w:val="single" w:sz="12" w:space="0" w:color="000000"/>
            </w:tcBorders>
            <w:shd w:val="clear" w:color="auto" w:fill="F9F9F9"/>
          </w:tcPr>
          <w:p>
            <w:pPr>
              <w:pStyle w:val="TableParagraph"/>
              <w:spacing w:before="72"/>
              <w:ind w:left="468" w:right="459"/>
              <w:rPr>
                <w:rFonts w:ascii="Times New Roman"/>
                <w:sz w:val="14"/>
              </w:rPr>
            </w:pPr>
            <w:r>
              <w:rPr>
                <w:rFonts w:ascii="Times New Roman"/>
                <w:color w:val="404040"/>
                <w:sz w:val="14"/>
              </w:rPr>
              <w:t>27.6</w:t>
            </w:r>
          </w:p>
        </w:tc>
        <w:tc>
          <w:tcPr>
            <w:tcW w:w="3027" w:type="dxa"/>
            <w:tcBorders>
              <w:top w:val="single" w:sz="12" w:space="0" w:color="000000"/>
              <w:left w:val="single" w:sz="12" w:space="0" w:color="000000"/>
              <w:right w:val="single" w:sz="6" w:space="0" w:color="000000"/>
            </w:tcBorders>
            <w:shd w:val="clear" w:color="auto" w:fill="F9F9F9"/>
          </w:tcPr>
          <w:p>
            <w:pPr>
              <w:pStyle w:val="TableParagraph"/>
              <w:spacing w:before="72"/>
              <w:ind w:left="781" w:right="782"/>
              <w:rPr>
                <w:rFonts w:ascii="Times New Roman"/>
                <w:sz w:val="14"/>
              </w:rPr>
            </w:pPr>
            <w:r>
              <w:rPr>
                <w:rFonts w:ascii="Times New Roman"/>
                <w:color w:val="404040"/>
                <w:sz w:val="14"/>
              </w:rPr>
              <w:t>6504.904658221464</w:t>
            </w:r>
          </w:p>
        </w:tc>
      </w:tr>
    </w:tbl>
    <w:p>
      <w:pPr>
        <w:spacing w:after="0"/>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63"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2981"/>
        <w:gridCol w:w="2348"/>
        <w:gridCol w:w="3027"/>
      </w:tblGrid>
      <w:tr>
        <w:trPr>
          <w:trHeight w:val="312" w:hRule="atLeast"/>
        </w:trPr>
        <w:tc>
          <w:tcPr>
            <w:tcW w:w="2981" w:type="dxa"/>
            <w:tcBorders>
              <w:bottom w:val="single" w:sz="12" w:space="0" w:color="000000"/>
              <w:right w:val="double" w:sz="2" w:space="0" w:color="000000"/>
            </w:tcBorders>
            <w:shd w:val="clear" w:color="auto" w:fill="F9F9F9"/>
          </w:tcPr>
          <w:p>
            <w:pPr>
              <w:pStyle w:val="TableParagraph"/>
              <w:spacing w:before="74"/>
              <w:ind w:left="1343" w:right="1308"/>
              <w:rPr>
                <w:rFonts w:ascii="Times New Roman"/>
                <w:sz w:val="14"/>
              </w:rPr>
            </w:pPr>
            <w:r>
              <w:rPr>
                <w:rFonts w:ascii="Times New Roman"/>
                <w:color w:val="404040"/>
                <w:sz w:val="14"/>
              </w:rPr>
              <w:t>2.17</w:t>
            </w:r>
          </w:p>
        </w:tc>
        <w:tc>
          <w:tcPr>
            <w:tcW w:w="2348" w:type="dxa"/>
            <w:tcBorders>
              <w:left w:val="double" w:sz="2" w:space="0" w:color="000000"/>
              <w:bottom w:val="single" w:sz="12" w:space="0" w:color="000000"/>
              <w:right w:val="single" w:sz="12" w:space="0" w:color="000000"/>
            </w:tcBorders>
            <w:shd w:val="clear" w:color="auto" w:fill="F9F9F9"/>
          </w:tcPr>
          <w:p>
            <w:pPr>
              <w:pStyle w:val="TableParagraph"/>
              <w:spacing w:before="74"/>
              <w:ind w:right="1071"/>
              <w:jc w:val="right"/>
              <w:rPr>
                <w:rFonts w:ascii="Times New Roman"/>
                <w:sz w:val="14"/>
              </w:rPr>
            </w:pPr>
            <w:r>
              <w:rPr>
                <w:rFonts w:ascii="Times New Roman"/>
                <w:color w:val="404040"/>
                <w:w w:val="95"/>
                <w:sz w:val="14"/>
              </w:rPr>
              <w:t>31</w:t>
            </w:r>
          </w:p>
        </w:tc>
        <w:tc>
          <w:tcPr>
            <w:tcW w:w="3027" w:type="dxa"/>
            <w:tcBorders>
              <w:left w:val="single" w:sz="12" w:space="0" w:color="000000"/>
              <w:bottom w:val="single" w:sz="12" w:space="0" w:color="000000"/>
            </w:tcBorders>
            <w:shd w:val="clear" w:color="auto" w:fill="F9F9F9"/>
          </w:tcPr>
          <w:p>
            <w:pPr>
              <w:pStyle w:val="TableParagraph"/>
              <w:spacing w:before="74"/>
              <w:ind w:left="931"/>
              <w:jc w:val="left"/>
              <w:rPr>
                <w:rFonts w:ascii="Times New Roman"/>
                <w:sz w:val="14"/>
              </w:rPr>
            </w:pPr>
            <w:r>
              <w:rPr>
                <w:rFonts w:ascii="Times New Roman"/>
                <w:color w:val="404040"/>
                <w:sz w:val="14"/>
              </w:rPr>
              <w:t>6768.022213957059</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3.25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34.4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6914.270687808593</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4.34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19"/>
              <w:jc w:val="right"/>
              <w:rPr>
                <w:rFonts w:ascii="Times New Roman"/>
                <w:sz w:val="14"/>
              </w:rPr>
            </w:pPr>
            <w:r>
              <w:rPr>
                <w:rFonts w:ascii="Times New Roman"/>
                <w:color w:val="404040"/>
                <w:w w:val="95"/>
                <w:sz w:val="14"/>
              </w:rPr>
              <w:t>38.1</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7042.104070115057</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5.42</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41.8</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898"/>
              <w:jc w:val="left"/>
              <w:rPr>
                <w:rFonts w:ascii="Times New Roman"/>
                <w:sz w:val="14"/>
              </w:rPr>
            </w:pPr>
            <w:r>
              <w:rPr>
                <w:rFonts w:ascii="Times New Roman"/>
                <w:color w:val="404040"/>
                <w:sz w:val="14"/>
              </w:rPr>
              <w:t>7015.3827177082585</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5.54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19"/>
              <w:jc w:val="right"/>
              <w:rPr>
                <w:rFonts w:ascii="Times New Roman"/>
                <w:sz w:val="14"/>
              </w:rPr>
            </w:pPr>
            <w:r>
              <w:rPr>
                <w:rFonts w:ascii="Times New Roman"/>
                <w:color w:val="404040"/>
                <w:w w:val="95"/>
                <w:sz w:val="14"/>
              </w:rPr>
              <w:t>42.7</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6917.667434546194</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5.68</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43.7</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6812.997218144914</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5.86</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19"/>
              <w:jc w:val="right"/>
              <w:rPr>
                <w:rFonts w:ascii="Times New Roman"/>
                <w:sz w:val="14"/>
              </w:rPr>
            </w:pPr>
            <w:r>
              <w:rPr>
                <w:rFonts w:ascii="Times New Roman"/>
                <w:color w:val="404040"/>
                <w:w w:val="95"/>
                <w:sz w:val="14"/>
              </w:rPr>
              <w:t>44.9</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6755.033983605474</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6.07</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46.4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6565.099267982099</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6.33</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19"/>
              <w:jc w:val="right"/>
              <w:rPr>
                <w:rFonts w:ascii="Times New Roman"/>
                <w:sz w:val="14"/>
              </w:rPr>
            </w:pPr>
            <w:r>
              <w:rPr>
                <w:rFonts w:ascii="Times New Roman"/>
                <w:color w:val="404040"/>
                <w:w w:val="95"/>
                <w:sz w:val="14"/>
              </w:rPr>
              <w:t>48.2</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6419.030199075238</w:t>
            </w:r>
          </w:p>
        </w:tc>
      </w:tr>
      <w:tr>
        <w:trPr>
          <w:trHeight w:val="311"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6.64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50.4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67"/>
              <w:jc w:val="left"/>
              <w:rPr>
                <w:rFonts w:ascii="Times New Roman"/>
                <w:sz w:val="14"/>
              </w:rPr>
            </w:pPr>
            <w:r>
              <w:rPr>
                <w:rFonts w:ascii="Times New Roman"/>
                <w:color w:val="404040"/>
                <w:sz w:val="14"/>
              </w:rPr>
              <w:t>6251.82839734802</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7.02</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71"/>
              <w:jc w:val="right"/>
              <w:rPr>
                <w:rFonts w:ascii="Times New Roman"/>
                <w:sz w:val="14"/>
              </w:rPr>
            </w:pPr>
            <w:r>
              <w:rPr>
                <w:rFonts w:ascii="Times New Roman"/>
                <w:color w:val="404040"/>
                <w:w w:val="95"/>
                <w:sz w:val="14"/>
              </w:rPr>
              <w:t>53</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6047.462377664185</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7.49</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56.2</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898"/>
              <w:jc w:val="left"/>
              <w:rPr>
                <w:rFonts w:ascii="Times New Roman"/>
                <w:sz w:val="14"/>
              </w:rPr>
            </w:pPr>
            <w:r>
              <w:rPr>
                <w:rFonts w:ascii="Times New Roman"/>
                <w:color w:val="404040"/>
                <w:sz w:val="14"/>
              </w:rPr>
              <w:t>5749.0445966983925</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8.05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71"/>
              <w:jc w:val="right"/>
              <w:rPr>
                <w:rFonts w:ascii="Times New Roman"/>
                <w:sz w:val="14"/>
              </w:rPr>
            </w:pPr>
            <w:r>
              <w:rPr>
                <w:rFonts w:ascii="Times New Roman"/>
                <w:color w:val="404040"/>
                <w:w w:val="95"/>
                <w:sz w:val="14"/>
              </w:rPr>
              <w:t>60</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5534.682613506993</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8.74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64.5</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67"/>
              <w:jc w:val="left"/>
              <w:rPr>
                <w:rFonts w:ascii="Times New Roman"/>
                <w:sz w:val="14"/>
              </w:rPr>
            </w:pPr>
            <w:r>
              <w:rPr>
                <w:rFonts w:ascii="Times New Roman"/>
                <w:color w:val="404040"/>
                <w:sz w:val="14"/>
              </w:rPr>
              <w:t>5209.75836634235</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9.58</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19"/>
              <w:jc w:val="right"/>
              <w:rPr>
                <w:rFonts w:ascii="Times New Roman"/>
                <w:sz w:val="14"/>
              </w:rPr>
            </w:pPr>
            <w:r>
              <w:rPr>
                <w:rFonts w:ascii="Times New Roman"/>
                <w:color w:val="404040"/>
                <w:w w:val="95"/>
                <w:sz w:val="14"/>
              </w:rPr>
              <w:t>69.9</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4838.196305950833</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10.6</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76.4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4481.375810251778</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11.8</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71"/>
              <w:jc w:val="right"/>
              <w:rPr>
                <w:rFonts w:ascii="Times New Roman"/>
                <w:sz w:val="14"/>
              </w:rPr>
            </w:pPr>
            <w:r>
              <w:rPr>
                <w:rFonts w:ascii="Times New Roman"/>
                <w:color w:val="404040"/>
                <w:w w:val="95"/>
                <w:sz w:val="14"/>
              </w:rPr>
              <w:t>84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4114.8426108643835</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13.4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19"/>
              <w:jc w:val="right"/>
              <w:rPr>
                <w:rFonts w:ascii="Times New Roman"/>
                <w:sz w:val="14"/>
              </w:rPr>
            </w:pPr>
            <w:r>
              <w:rPr>
                <w:rFonts w:ascii="Times New Roman"/>
                <w:color w:val="404040"/>
                <w:w w:val="95"/>
                <w:sz w:val="14"/>
              </w:rPr>
              <w:t>93.1</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3698.769043380168</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15.2</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104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3348.3835293508537</w:t>
            </w:r>
          </w:p>
        </w:tc>
      </w:tr>
      <w:tr>
        <w:trPr>
          <w:trHeight w:val="311"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3"/>
              <w:ind w:left="1343" w:right="1308"/>
              <w:rPr>
                <w:rFonts w:ascii="Times New Roman"/>
                <w:sz w:val="14"/>
              </w:rPr>
            </w:pPr>
            <w:r>
              <w:rPr>
                <w:rFonts w:ascii="Times New Roman"/>
                <w:color w:val="404040"/>
                <w:sz w:val="14"/>
              </w:rPr>
              <w:t>17.4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3"/>
              <w:ind w:right="1038"/>
              <w:jc w:val="right"/>
              <w:rPr>
                <w:rFonts w:ascii="Times New Roman"/>
                <w:sz w:val="14"/>
              </w:rPr>
            </w:pPr>
            <w:r>
              <w:rPr>
                <w:rFonts w:ascii="Times New Roman"/>
                <w:color w:val="404040"/>
                <w:w w:val="95"/>
                <w:sz w:val="14"/>
              </w:rPr>
              <w:t>116</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3"/>
              <w:ind w:left="931"/>
              <w:jc w:val="left"/>
              <w:rPr>
                <w:rFonts w:ascii="Times New Roman"/>
                <w:sz w:val="14"/>
              </w:rPr>
            </w:pPr>
            <w:r>
              <w:rPr>
                <w:rFonts w:ascii="Times New Roman"/>
                <w:color w:val="404040"/>
                <w:sz w:val="14"/>
              </w:rPr>
              <w:t>2979.286722599667</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20.2</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131</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2621.6705541128667</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23.5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148</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2293.906143962145</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27.5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168</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1996.8052501125132</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32.4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191</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1709.767407063639</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38.4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217</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1474.0556274456565</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45.7</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248</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898"/>
              <w:jc w:val="left"/>
              <w:rPr>
                <w:rFonts w:ascii="Times New Roman"/>
                <w:sz w:val="14"/>
              </w:rPr>
            </w:pPr>
            <w:r>
              <w:rPr>
                <w:rFonts w:ascii="Times New Roman"/>
                <w:color w:val="404040"/>
                <w:sz w:val="14"/>
              </w:rPr>
              <w:t>1252.7570864789823</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54.6</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284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1064.2905307904496</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3" w:right="1308"/>
              <w:rPr>
                <w:rFonts w:ascii="Times New Roman"/>
                <w:sz w:val="14"/>
              </w:rPr>
            </w:pPr>
            <w:r>
              <w:rPr>
                <w:rFonts w:ascii="Times New Roman"/>
                <w:color w:val="404040"/>
                <w:sz w:val="14"/>
              </w:rPr>
              <w:t>65.4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325</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899.7617483950528</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3" w:right="1308"/>
              <w:rPr>
                <w:rFonts w:ascii="Times New Roman"/>
                <w:sz w:val="14"/>
              </w:rPr>
            </w:pPr>
            <w:r>
              <w:rPr>
                <w:rFonts w:ascii="Times New Roman"/>
                <w:color w:val="404040"/>
                <w:sz w:val="14"/>
              </w:rPr>
              <w:t>78.5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372</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755.9819051543287</w:t>
            </w:r>
          </w:p>
        </w:tc>
      </w:tr>
      <w:tr>
        <w:trPr>
          <w:trHeight w:val="311"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3"/>
              <w:ind w:left="1343" w:right="1308"/>
              <w:rPr>
                <w:rFonts w:ascii="Times New Roman"/>
                <w:sz w:val="14"/>
              </w:rPr>
            </w:pPr>
            <w:r>
              <w:rPr>
                <w:rFonts w:ascii="Times New Roman"/>
                <w:color w:val="404040"/>
                <w:sz w:val="14"/>
              </w:rPr>
              <w:t>94.5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3"/>
              <w:ind w:right="1038"/>
              <w:jc w:val="right"/>
              <w:rPr>
                <w:rFonts w:ascii="Times New Roman"/>
                <w:sz w:val="14"/>
              </w:rPr>
            </w:pPr>
            <w:r>
              <w:rPr>
                <w:rFonts w:ascii="Times New Roman"/>
                <w:color w:val="404040"/>
                <w:w w:val="95"/>
                <w:sz w:val="14"/>
              </w:rPr>
              <w:t>426</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3"/>
              <w:ind w:left="931"/>
              <w:jc w:val="left"/>
              <w:rPr>
                <w:rFonts w:ascii="Times New Roman"/>
                <w:sz w:val="14"/>
              </w:rPr>
            </w:pPr>
            <w:r>
              <w:rPr>
                <w:rFonts w:ascii="Times New Roman"/>
                <w:color w:val="404040"/>
                <w:sz w:val="14"/>
              </w:rPr>
              <w:t>632.2123921877889</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1" w:right="1308"/>
              <w:rPr>
                <w:rFonts w:ascii="Times New Roman"/>
                <w:sz w:val="14"/>
              </w:rPr>
            </w:pPr>
            <w:r>
              <w:rPr>
                <w:rFonts w:ascii="Times New Roman"/>
                <w:color w:val="404040"/>
                <w:sz w:val="14"/>
              </w:rPr>
              <w:t>114</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489</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528.0716809657551</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1" w:right="1308"/>
              <w:rPr>
                <w:rFonts w:ascii="Times New Roman"/>
                <w:sz w:val="14"/>
              </w:rPr>
            </w:pPr>
            <w:r>
              <w:rPr>
                <w:rFonts w:ascii="Times New Roman"/>
                <w:color w:val="404040"/>
                <w:sz w:val="14"/>
              </w:rPr>
              <w:t>138</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561</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438.4224598687672</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1" w:right="1308"/>
              <w:rPr>
                <w:rFonts w:ascii="Times New Roman"/>
                <w:sz w:val="14"/>
              </w:rPr>
            </w:pPr>
            <w:r>
              <w:rPr>
                <w:rFonts w:ascii="Times New Roman"/>
                <w:color w:val="404040"/>
                <w:sz w:val="14"/>
              </w:rPr>
              <w:t>166</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644</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363.30055280804913</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1" w:right="1308"/>
              <w:rPr>
                <w:rFonts w:ascii="Times New Roman"/>
                <w:sz w:val="14"/>
              </w:rPr>
            </w:pPr>
            <w:r>
              <w:rPr>
                <w:rFonts w:ascii="Times New Roman"/>
                <w:color w:val="404040"/>
                <w:sz w:val="14"/>
              </w:rPr>
              <w:t>203</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649</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898"/>
              <w:jc w:val="left"/>
              <w:rPr>
                <w:rFonts w:ascii="Times New Roman"/>
                <w:sz w:val="14"/>
              </w:rPr>
            </w:pPr>
            <w:r>
              <w:rPr>
                <w:rFonts w:ascii="Times New Roman"/>
                <w:color w:val="404040"/>
                <w:sz w:val="14"/>
              </w:rPr>
              <w:t>275.67934331715014</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1" w:right="1308"/>
              <w:rPr>
                <w:rFonts w:ascii="Times New Roman"/>
                <w:sz w:val="14"/>
              </w:rPr>
            </w:pPr>
            <w:r>
              <w:rPr>
                <w:rFonts w:ascii="Times New Roman"/>
                <w:color w:val="404040"/>
                <w:sz w:val="14"/>
              </w:rPr>
              <w:t>251</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709</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898"/>
              <w:jc w:val="left"/>
              <w:rPr>
                <w:rFonts w:ascii="Times New Roman"/>
                <w:sz w:val="14"/>
              </w:rPr>
            </w:pPr>
            <w:r>
              <w:rPr>
                <w:rFonts w:ascii="Times New Roman"/>
                <w:color w:val="404040"/>
                <w:sz w:val="14"/>
              </w:rPr>
              <w:t>207.74328641997994</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1" w:right="1308"/>
              <w:rPr>
                <w:rFonts w:ascii="Times New Roman"/>
                <w:sz w:val="14"/>
              </w:rPr>
            </w:pPr>
            <w:r>
              <w:rPr>
                <w:rFonts w:ascii="Times New Roman"/>
                <w:color w:val="404040"/>
                <w:sz w:val="14"/>
              </w:rPr>
              <w:t>315</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782</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898"/>
              <w:jc w:val="left"/>
              <w:rPr>
                <w:rFonts w:ascii="Times New Roman"/>
                <w:sz w:val="14"/>
              </w:rPr>
            </w:pPr>
            <w:r>
              <w:rPr>
                <w:rFonts w:ascii="Times New Roman"/>
                <w:color w:val="404040"/>
                <w:sz w:val="14"/>
              </w:rPr>
              <w:t>155.84017819963134</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1" w:right="1308"/>
              <w:rPr>
                <w:rFonts w:ascii="Times New Roman"/>
                <w:sz w:val="14"/>
              </w:rPr>
            </w:pPr>
            <w:r>
              <w:rPr>
                <w:rFonts w:ascii="Times New Roman"/>
                <w:color w:val="404040"/>
                <w:sz w:val="14"/>
              </w:rPr>
              <w:t>399</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38"/>
              <w:jc w:val="right"/>
              <w:rPr>
                <w:rFonts w:ascii="Times New Roman"/>
                <w:sz w:val="14"/>
              </w:rPr>
            </w:pPr>
            <w:r>
              <w:rPr>
                <w:rFonts w:ascii="Times New Roman"/>
                <w:color w:val="404040"/>
                <w:w w:val="95"/>
                <w:sz w:val="14"/>
              </w:rPr>
              <w:t>871</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116.2589749289104</w:t>
            </w:r>
          </w:p>
        </w:tc>
      </w:tr>
      <w:tr>
        <w:trPr>
          <w:trHeight w:val="310"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2"/>
              <w:ind w:left="1341" w:right="1308"/>
              <w:rPr>
                <w:rFonts w:ascii="Times New Roman"/>
                <w:sz w:val="14"/>
              </w:rPr>
            </w:pPr>
            <w:r>
              <w:rPr>
                <w:rFonts w:ascii="Times New Roman"/>
                <w:color w:val="404040"/>
                <w:sz w:val="14"/>
              </w:rPr>
              <w:t>508</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right="1038"/>
              <w:jc w:val="right"/>
              <w:rPr>
                <w:rFonts w:ascii="Times New Roman"/>
                <w:sz w:val="14"/>
              </w:rPr>
            </w:pPr>
            <w:r>
              <w:rPr>
                <w:rFonts w:ascii="Times New Roman"/>
                <w:color w:val="404040"/>
                <w:w w:val="95"/>
                <w:sz w:val="14"/>
              </w:rPr>
              <w:t>979</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2"/>
              <w:ind w:left="931"/>
              <w:jc w:val="left"/>
              <w:rPr>
                <w:rFonts w:ascii="Times New Roman"/>
                <w:sz w:val="14"/>
              </w:rPr>
            </w:pPr>
            <w:r>
              <w:rPr>
                <w:rFonts w:ascii="Times New Roman"/>
                <w:color w:val="404040"/>
                <w:sz w:val="14"/>
              </w:rPr>
              <w:t>84.48293649195584</w:t>
            </w:r>
          </w:p>
        </w:tc>
      </w:tr>
      <w:tr>
        <w:trPr>
          <w:trHeight w:val="313" w:hRule="atLeast"/>
        </w:trPr>
        <w:tc>
          <w:tcPr>
            <w:tcW w:w="2981" w:type="dxa"/>
            <w:tcBorders>
              <w:top w:val="single" w:sz="12" w:space="0" w:color="000000"/>
              <w:bottom w:val="single" w:sz="12" w:space="0" w:color="000000"/>
              <w:right w:val="double" w:sz="2" w:space="0" w:color="000000"/>
            </w:tcBorders>
            <w:shd w:val="clear" w:color="auto" w:fill="F9F9F9"/>
          </w:tcPr>
          <w:p>
            <w:pPr>
              <w:pStyle w:val="TableParagraph"/>
              <w:spacing w:before="75"/>
              <w:ind w:left="1341" w:right="1308"/>
              <w:rPr>
                <w:rFonts w:ascii="Times New Roman"/>
                <w:sz w:val="14"/>
              </w:rPr>
            </w:pPr>
            <w:r>
              <w:rPr>
                <w:rFonts w:ascii="Times New Roman"/>
                <w:color w:val="404040"/>
                <w:sz w:val="14"/>
              </w:rPr>
              <w:t>651</w:t>
            </w:r>
          </w:p>
        </w:tc>
        <w:tc>
          <w:tcPr>
            <w:tcW w:w="2348"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right="1004"/>
              <w:jc w:val="right"/>
              <w:rPr>
                <w:rFonts w:ascii="Times New Roman"/>
                <w:sz w:val="14"/>
              </w:rPr>
            </w:pPr>
            <w:r>
              <w:rPr>
                <w:rFonts w:ascii="Times New Roman"/>
                <w:color w:val="404040"/>
                <w:w w:val="95"/>
                <w:sz w:val="14"/>
              </w:rPr>
              <w:t>1110</w:t>
            </w:r>
          </w:p>
        </w:tc>
        <w:tc>
          <w:tcPr>
            <w:tcW w:w="3027" w:type="dxa"/>
            <w:tcBorders>
              <w:top w:val="single" w:sz="12" w:space="0" w:color="000000"/>
              <w:left w:val="single" w:sz="12" w:space="0" w:color="000000"/>
              <w:bottom w:val="single" w:sz="12" w:space="0" w:color="000000"/>
            </w:tcBorders>
            <w:shd w:val="clear" w:color="auto" w:fill="F9F9F9"/>
          </w:tcPr>
          <w:p>
            <w:pPr>
              <w:pStyle w:val="TableParagraph"/>
              <w:spacing w:before="75"/>
              <w:ind w:left="931"/>
              <w:jc w:val="left"/>
              <w:rPr>
                <w:rFonts w:ascii="Times New Roman"/>
                <w:sz w:val="14"/>
              </w:rPr>
            </w:pPr>
            <w:r>
              <w:rPr>
                <w:rFonts w:ascii="Times New Roman"/>
                <w:color w:val="404040"/>
                <w:sz w:val="14"/>
              </w:rPr>
              <w:t>60.62116154604524</w:t>
            </w:r>
          </w:p>
        </w:tc>
      </w:tr>
      <w:tr>
        <w:trPr>
          <w:trHeight w:val="311" w:hRule="atLeast"/>
        </w:trPr>
        <w:tc>
          <w:tcPr>
            <w:tcW w:w="2981" w:type="dxa"/>
            <w:tcBorders>
              <w:top w:val="single" w:sz="12" w:space="0" w:color="000000"/>
              <w:right w:val="double" w:sz="2" w:space="0" w:color="000000"/>
            </w:tcBorders>
            <w:shd w:val="clear" w:color="auto" w:fill="F9F9F9"/>
          </w:tcPr>
          <w:p>
            <w:pPr>
              <w:pStyle w:val="TableParagraph"/>
              <w:spacing w:before="73"/>
              <w:ind w:left="1341" w:right="1308"/>
              <w:rPr>
                <w:rFonts w:ascii="Times New Roman"/>
                <w:sz w:val="14"/>
              </w:rPr>
            </w:pPr>
            <w:r>
              <w:rPr>
                <w:rFonts w:ascii="Times New Roman"/>
                <w:color w:val="404040"/>
                <w:sz w:val="14"/>
              </w:rPr>
              <w:t>838</w:t>
            </w:r>
          </w:p>
        </w:tc>
        <w:tc>
          <w:tcPr>
            <w:tcW w:w="2348" w:type="dxa"/>
            <w:tcBorders>
              <w:top w:val="single" w:sz="12" w:space="0" w:color="000000"/>
              <w:left w:val="double" w:sz="2" w:space="0" w:color="000000"/>
              <w:right w:val="single" w:sz="12" w:space="0" w:color="000000"/>
            </w:tcBorders>
            <w:shd w:val="clear" w:color="auto" w:fill="F9F9F9"/>
          </w:tcPr>
          <w:p>
            <w:pPr>
              <w:pStyle w:val="TableParagraph"/>
              <w:spacing w:before="73"/>
              <w:ind w:right="1004"/>
              <w:jc w:val="right"/>
              <w:rPr>
                <w:rFonts w:ascii="Times New Roman"/>
                <w:sz w:val="14"/>
              </w:rPr>
            </w:pPr>
            <w:r>
              <w:rPr>
                <w:rFonts w:ascii="Times New Roman"/>
                <w:color w:val="404040"/>
                <w:w w:val="95"/>
                <w:sz w:val="14"/>
              </w:rPr>
              <w:t>1270</w:t>
            </w:r>
          </w:p>
        </w:tc>
        <w:tc>
          <w:tcPr>
            <w:tcW w:w="3027" w:type="dxa"/>
            <w:tcBorders>
              <w:top w:val="single" w:sz="12" w:space="0" w:color="000000"/>
              <w:left w:val="single" w:sz="12" w:space="0" w:color="000000"/>
            </w:tcBorders>
            <w:shd w:val="clear" w:color="auto" w:fill="F9F9F9"/>
          </w:tcPr>
          <w:p>
            <w:pPr>
              <w:pStyle w:val="TableParagraph"/>
              <w:spacing w:before="73"/>
              <w:ind w:left="898"/>
              <w:jc w:val="left"/>
              <w:rPr>
                <w:rFonts w:ascii="Times New Roman"/>
                <w:sz w:val="14"/>
              </w:rPr>
            </w:pPr>
            <w:r>
              <w:rPr>
                <w:rFonts w:ascii="Times New Roman"/>
                <w:color w:val="404040"/>
                <w:sz w:val="14"/>
              </w:rPr>
              <w:t>42.775228118346085</w:t>
            </w:r>
          </w:p>
        </w:tc>
      </w:tr>
    </w:tbl>
    <w:p>
      <w:pPr>
        <w:spacing w:after="0"/>
        <w:jc w:val="left"/>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4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2990"/>
        <w:gridCol w:w="2349"/>
        <w:gridCol w:w="3028"/>
      </w:tblGrid>
      <w:tr>
        <w:trPr>
          <w:trHeight w:val="312" w:hRule="atLeast"/>
        </w:trPr>
        <w:tc>
          <w:tcPr>
            <w:tcW w:w="2990" w:type="dxa"/>
            <w:tcBorders>
              <w:left w:val="single" w:sz="6" w:space="0" w:color="000000"/>
              <w:bottom w:val="single" w:sz="12" w:space="0" w:color="000000"/>
              <w:right w:val="double" w:sz="2" w:space="0" w:color="000000"/>
            </w:tcBorders>
            <w:shd w:val="clear" w:color="auto" w:fill="F9F9F9"/>
          </w:tcPr>
          <w:p>
            <w:pPr>
              <w:pStyle w:val="TableParagraph"/>
              <w:spacing w:before="74"/>
              <w:ind w:right="1319"/>
              <w:jc w:val="right"/>
              <w:rPr>
                <w:rFonts w:ascii="Times New Roman"/>
                <w:sz w:val="14"/>
              </w:rPr>
            </w:pPr>
            <w:r>
              <w:rPr>
                <w:rFonts w:ascii="Times New Roman"/>
                <w:color w:val="404040"/>
                <w:w w:val="95"/>
                <w:sz w:val="14"/>
              </w:rPr>
              <w:t>1080</w:t>
            </w:r>
          </w:p>
        </w:tc>
        <w:tc>
          <w:tcPr>
            <w:tcW w:w="2349" w:type="dxa"/>
            <w:tcBorders>
              <w:left w:val="double" w:sz="2" w:space="0" w:color="000000"/>
              <w:bottom w:val="single" w:sz="12" w:space="0" w:color="000000"/>
              <w:right w:val="single" w:sz="12" w:space="0" w:color="000000"/>
            </w:tcBorders>
            <w:shd w:val="clear" w:color="auto" w:fill="F9F9F9"/>
          </w:tcPr>
          <w:p>
            <w:pPr>
              <w:pStyle w:val="TableParagraph"/>
              <w:spacing w:before="74"/>
              <w:ind w:left="960" w:right="958"/>
              <w:rPr>
                <w:rFonts w:ascii="Times New Roman"/>
                <w:sz w:val="14"/>
              </w:rPr>
            </w:pPr>
            <w:r>
              <w:rPr>
                <w:rFonts w:ascii="Times New Roman"/>
                <w:color w:val="404040"/>
                <w:sz w:val="14"/>
              </w:rPr>
              <w:t>1460</w:t>
            </w:r>
          </w:p>
        </w:tc>
        <w:tc>
          <w:tcPr>
            <w:tcW w:w="3028" w:type="dxa"/>
            <w:tcBorders>
              <w:left w:val="single" w:sz="12" w:space="0" w:color="000000"/>
              <w:bottom w:val="single" w:sz="12" w:space="0" w:color="000000"/>
            </w:tcBorders>
            <w:shd w:val="clear" w:color="auto" w:fill="F9F9F9"/>
          </w:tcPr>
          <w:p>
            <w:pPr>
              <w:pStyle w:val="TableParagraph"/>
              <w:spacing w:before="74"/>
              <w:ind w:left="889"/>
              <w:jc w:val="left"/>
              <w:rPr>
                <w:rFonts w:ascii="Times New Roman"/>
                <w:sz w:val="14"/>
              </w:rPr>
            </w:pPr>
            <w:r>
              <w:rPr>
                <w:rFonts w:ascii="Times New Roman"/>
                <w:color w:val="404040"/>
                <w:sz w:val="14"/>
              </w:rPr>
              <w:t>29.246444221987716</w:t>
            </w:r>
          </w:p>
        </w:tc>
      </w:tr>
      <w:tr>
        <w:trPr>
          <w:trHeight w:val="310"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right="1319"/>
              <w:jc w:val="right"/>
              <w:rPr>
                <w:rFonts w:ascii="Times New Roman"/>
                <w:sz w:val="14"/>
              </w:rPr>
            </w:pPr>
            <w:r>
              <w:rPr>
                <w:rFonts w:ascii="Times New Roman"/>
                <w:color w:val="404040"/>
                <w:w w:val="95"/>
                <w:sz w:val="14"/>
              </w:rPr>
              <w:t>1400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960" w:right="958"/>
              <w:rPr>
                <w:rFonts w:ascii="Times New Roman"/>
                <w:sz w:val="14"/>
              </w:rPr>
            </w:pPr>
            <w:r>
              <w:rPr>
                <w:rFonts w:ascii="Times New Roman"/>
                <w:color w:val="404040"/>
                <w:sz w:val="14"/>
              </w:rPr>
              <w:t>1700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2"/>
              <w:ind w:left="889"/>
              <w:jc w:val="left"/>
              <w:rPr>
                <w:rFonts w:ascii="Times New Roman"/>
                <w:sz w:val="14"/>
              </w:rPr>
            </w:pPr>
            <w:r>
              <w:rPr>
                <w:rFonts w:ascii="Times New Roman"/>
                <w:color w:val="404040"/>
                <w:sz w:val="14"/>
              </w:rPr>
              <w:t>19.966417624742128</w:t>
            </w:r>
          </w:p>
        </w:tc>
      </w:tr>
      <w:tr>
        <w:trPr>
          <w:trHeight w:val="313"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right="1319"/>
              <w:jc w:val="right"/>
              <w:rPr>
                <w:rFonts w:ascii="Times New Roman"/>
                <w:sz w:val="14"/>
              </w:rPr>
            </w:pPr>
            <w:r>
              <w:rPr>
                <w:rFonts w:ascii="Times New Roman"/>
                <w:color w:val="404040"/>
                <w:w w:val="95"/>
                <w:sz w:val="14"/>
              </w:rPr>
              <w:t>1800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960" w:right="958"/>
              <w:rPr>
                <w:rFonts w:ascii="Times New Roman"/>
                <w:sz w:val="14"/>
              </w:rPr>
            </w:pPr>
            <w:r>
              <w:rPr>
                <w:rFonts w:ascii="Times New Roman"/>
                <w:color w:val="404040"/>
                <w:sz w:val="14"/>
              </w:rPr>
              <w:t>1990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5"/>
              <w:ind w:left="889"/>
              <w:jc w:val="left"/>
              <w:rPr>
                <w:rFonts w:ascii="Times New Roman"/>
                <w:sz w:val="14"/>
              </w:rPr>
            </w:pPr>
            <w:r>
              <w:rPr>
                <w:rFonts w:ascii="Times New Roman"/>
                <w:color w:val="404040"/>
                <w:sz w:val="14"/>
              </w:rPr>
              <w:t>13.281174933872558</w:t>
            </w:r>
          </w:p>
        </w:tc>
      </w:tr>
      <w:tr>
        <w:trPr>
          <w:trHeight w:val="310"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right="1319"/>
              <w:jc w:val="right"/>
              <w:rPr>
                <w:rFonts w:ascii="Times New Roman"/>
                <w:sz w:val="14"/>
              </w:rPr>
            </w:pPr>
            <w:r>
              <w:rPr>
                <w:rFonts w:ascii="Times New Roman"/>
                <w:color w:val="404040"/>
                <w:w w:val="95"/>
                <w:sz w:val="14"/>
              </w:rPr>
              <w:t>2330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960" w:right="958"/>
              <w:rPr>
                <w:rFonts w:ascii="Times New Roman"/>
                <w:sz w:val="14"/>
              </w:rPr>
            </w:pPr>
            <w:r>
              <w:rPr>
                <w:rFonts w:ascii="Times New Roman"/>
                <w:color w:val="404040"/>
                <w:sz w:val="14"/>
              </w:rPr>
              <w:t>2340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2"/>
              <w:ind w:left="922"/>
              <w:jc w:val="left"/>
              <w:rPr>
                <w:rFonts w:ascii="Times New Roman"/>
                <w:sz w:val="14"/>
              </w:rPr>
            </w:pPr>
            <w:r>
              <w:rPr>
                <w:rFonts w:ascii="Times New Roman"/>
                <w:color w:val="404040"/>
                <w:sz w:val="14"/>
              </w:rPr>
              <w:t>8.928521739881843</w:t>
            </w:r>
          </w:p>
        </w:tc>
      </w:tr>
      <w:tr>
        <w:trPr>
          <w:trHeight w:val="313"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right="1319"/>
              <w:jc w:val="right"/>
              <w:rPr>
                <w:rFonts w:ascii="Times New Roman"/>
                <w:sz w:val="14"/>
              </w:rPr>
            </w:pPr>
            <w:r>
              <w:rPr>
                <w:rFonts w:ascii="Times New Roman"/>
                <w:color w:val="404040"/>
                <w:w w:val="95"/>
                <w:sz w:val="14"/>
              </w:rPr>
              <w:t>3010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960" w:right="958"/>
              <w:rPr>
                <w:rFonts w:ascii="Times New Roman"/>
                <w:sz w:val="14"/>
              </w:rPr>
            </w:pPr>
            <w:r>
              <w:rPr>
                <w:rFonts w:ascii="Times New Roman"/>
                <w:color w:val="404040"/>
                <w:sz w:val="14"/>
              </w:rPr>
              <w:t>2770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5"/>
              <w:ind w:left="922"/>
              <w:jc w:val="left"/>
              <w:rPr>
                <w:rFonts w:ascii="Times New Roman"/>
                <w:sz w:val="14"/>
              </w:rPr>
            </w:pPr>
            <w:r>
              <w:rPr>
                <w:rFonts w:ascii="Times New Roman"/>
                <w:color w:val="404040"/>
                <w:sz w:val="14"/>
              </w:rPr>
              <w:t>5.912290077576313</w:t>
            </w:r>
          </w:p>
        </w:tc>
      </w:tr>
      <w:tr>
        <w:trPr>
          <w:trHeight w:val="310"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right="1319"/>
              <w:jc w:val="right"/>
              <w:rPr>
                <w:rFonts w:ascii="Times New Roman"/>
                <w:sz w:val="14"/>
              </w:rPr>
            </w:pPr>
            <w:r>
              <w:rPr>
                <w:rFonts w:ascii="Times New Roman"/>
                <w:color w:val="404040"/>
                <w:w w:val="95"/>
                <w:sz w:val="14"/>
              </w:rPr>
              <w:t>3880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960" w:right="958"/>
              <w:rPr>
                <w:rFonts w:ascii="Times New Roman"/>
                <w:sz w:val="14"/>
              </w:rPr>
            </w:pPr>
            <w:r>
              <w:rPr>
                <w:rFonts w:ascii="Times New Roman"/>
                <w:color w:val="404040"/>
                <w:sz w:val="14"/>
              </w:rPr>
              <w:t>3290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2"/>
              <w:ind w:left="889"/>
              <w:jc w:val="left"/>
              <w:rPr>
                <w:rFonts w:ascii="Times New Roman"/>
                <w:sz w:val="14"/>
              </w:rPr>
            </w:pPr>
            <w:r>
              <w:rPr>
                <w:rFonts w:ascii="Times New Roman"/>
                <w:color w:val="404040"/>
                <w:sz w:val="14"/>
              </w:rPr>
              <w:t>3.8403715964756917</w:t>
            </w:r>
          </w:p>
        </w:tc>
      </w:tr>
      <w:tr>
        <w:trPr>
          <w:trHeight w:val="313"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right="1319"/>
              <w:jc w:val="right"/>
              <w:rPr>
                <w:rFonts w:ascii="Times New Roman"/>
                <w:sz w:val="14"/>
              </w:rPr>
            </w:pPr>
            <w:r>
              <w:rPr>
                <w:rFonts w:ascii="Times New Roman"/>
                <w:color w:val="404040"/>
                <w:w w:val="95"/>
                <w:sz w:val="14"/>
              </w:rPr>
              <w:t>5010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960" w:right="958"/>
              <w:rPr>
                <w:rFonts w:ascii="Times New Roman"/>
                <w:sz w:val="14"/>
              </w:rPr>
            </w:pPr>
            <w:r>
              <w:rPr>
                <w:rFonts w:ascii="Times New Roman"/>
                <w:color w:val="404040"/>
                <w:sz w:val="14"/>
              </w:rPr>
              <w:t>3920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5"/>
              <w:ind w:left="922"/>
              <w:jc w:val="left"/>
              <w:rPr>
                <w:rFonts w:ascii="Times New Roman"/>
                <w:sz w:val="14"/>
              </w:rPr>
            </w:pPr>
            <w:r>
              <w:rPr>
                <w:rFonts w:ascii="Times New Roman"/>
                <w:color w:val="404040"/>
                <w:sz w:val="14"/>
              </w:rPr>
              <w:t>2.546777021131226</w:t>
            </w:r>
          </w:p>
        </w:tc>
      </w:tr>
      <w:tr>
        <w:trPr>
          <w:trHeight w:val="310"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right="1319"/>
              <w:jc w:val="right"/>
              <w:rPr>
                <w:rFonts w:ascii="Times New Roman"/>
                <w:sz w:val="14"/>
              </w:rPr>
            </w:pPr>
            <w:r>
              <w:rPr>
                <w:rFonts w:ascii="Times New Roman"/>
                <w:color w:val="404040"/>
                <w:w w:val="95"/>
                <w:sz w:val="14"/>
              </w:rPr>
              <w:t>6440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960" w:right="958"/>
              <w:rPr>
                <w:rFonts w:ascii="Times New Roman"/>
                <w:sz w:val="14"/>
              </w:rPr>
            </w:pPr>
            <w:r>
              <w:rPr>
                <w:rFonts w:ascii="Times New Roman"/>
                <w:color w:val="404040"/>
                <w:sz w:val="14"/>
              </w:rPr>
              <w:t>4690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2"/>
              <w:ind w:left="889"/>
              <w:jc w:val="left"/>
              <w:rPr>
                <w:rFonts w:ascii="Times New Roman"/>
                <w:sz w:val="14"/>
              </w:rPr>
            </w:pPr>
            <w:r>
              <w:rPr>
                <w:rFonts w:ascii="Times New Roman"/>
                <w:color w:val="404040"/>
                <w:sz w:val="14"/>
              </w:rPr>
              <w:t>1.6614758002712566</w:t>
            </w:r>
          </w:p>
        </w:tc>
      </w:tr>
      <w:tr>
        <w:trPr>
          <w:trHeight w:val="313"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right="1319"/>
              <w:jc w:val="right"/>
              <w:rPr>
                <w:rFonts w:ascii="Times New Roman"/>
                <w:sz w:val="14"/>
              </w:rPr>
            </w:pPr>
            <w:r>
              <w:rPr>
                <w:rFonts w:ascii="Times New Roman"/>
                <w:color w:val="404040"/>
                <w:w w:val="95"/>
                <w:sz w:val="14"/>
              </w:rPr>
              <w:t>8270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960" w:right="958"/>
              <w:rPr>
                <w:rFonts w:ascii="Times New Roman"/>
                <w:sz w:val="14"/>
              </w:rPr>
            </w:pPr>
            <w:r>
              <w:rPr>
                <w:rFonts w:ascii="Times New Roman"/>
                <w:color w:val="404040"/>
                <w:sz w:val="14"/>
              </w:rPr>
              <w:t>5630</w:t>
            </w:r>
          </w:p>
        </w:tc>
        <w:tc>
          <w:tcPr>
            <w:tcW w:w="3028" w:type="dxa"/>
            <w:tcBorders>
              <w:top w:val="single" w:sz="12" w:space="0" w:color="000000"/>
              <w:left w:val="single" w:sz="12" w:space="0" w:color="000000"/>
              <w:bottom w:val="single" w:sz="12" w:space="0" w:color="000000"/>
            </w:tcBorders>
            <w:shd w:val="clear" w:color="auto" w:fill="F9F9F9"/>
          </w:tcPr>
          <w:p>
            <w:pPr>
              <w:pStyle w:val="TableParagraph"/>
              <w:spacing w:before="75"/>
              <w:ind w:left="889"/>
              <w:jc w:val="left"/>
              <w:rPr>
                <w:rFonts w:ascii="Times New Roman"/>
                <w:sz w:val="14"/>
              </w:rPr>
            </w:pPr>
            <w:r>
              <w:rPr>
                <w:rFonts w:ascii="Times New Roman"/>
                <w:color w:val="404040"/>
                <w:sz w:val="14"/>
              </w:rPr>
              <w:t>1.0750246037976086</w:t>
            </w:r>
          </w:p>
        </w:tc>
      </w:tr>
      <w:tr>
        <w:trPr>
          <w:trHeight w:val="311"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right="1283"/>
              <w:jc w:val="right"/>
              <w:rPr>
                <w:rFonts w:ascii="Times New Roman"/>
                <w:sz w:val="14"/>
              </w:rPr>
            </w:pPr>
            <w:r>
              <w:rPr>
                <w:rFonts w:ascii="Times New Roman"/>
                <w:color w:val="404040"/>
                <w:w w:val="95"/>
                <w:sz w:val="14"/>
              </w:rPr>
              <w:t>10600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960" w:right="958"/>
              <w:rPr>
                <w:rFonts w:ascii="Times New Roman"/>
                <w:sz w:val="14"/>
              </w:rPr>
            </w:pPr>
            <w:r>
              <w:rPr>
                <w:rFonts w:ascii="Times New Roman"/>
                <w:color w:val="404040"/>
                <w:sz w:val="14"/>
              </w:rPr>
              <w:t>6770</w:t>
            </w:r>
          </w:p>
        </w:tc>
        <w:tc>
          <w:tcPr>
            <w:tcW w:w="3028"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889"/>
              <w:jc w:val="left"/>
              <w:rPr>
                <w:rFonts w:ascii="Times New Roman"/>
                <w:sz w:val="14"/>
              </w:rPr>
            </w:pPr>
            <w:r>
              <w:rPr>
                <w:rFonts w:ascii="Times New Roman"/>
                <w:color w:val="404040"/>
                <w:sz w:val="14"/>
              </w:rPr>
              <w:t>0.6975858262357016</w:t>
            </w:r>
          </w:p>
        </w:tc>
      </w:tr>
      <w:tr>
        <w:trPr>
          <w:trHeight w:val="313"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right="1283"/>
              <w:jc w:val="right"/>
              <w:rPr>
                <w:rFonts w:ascii="Times New Roman"/>
                <w:sz w:val="14"/>
              </w:rPr>
            </w:pPr>
            <w:r>
              <w:rPr>
                <w:rFonts w:ascii="Times New Roman"/>
                <w:color w:val="404040"/>
                <w:w w:val="95"/>
                <w:sz w:val="14"/>
              </w:rPr>
              <w:t>13600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960" w:right="958"/>
              <w:rPr>
                <w:rFonts w:ascii="Times New Roman"/>
                <w:sz w:val="14"/>
              </w:rPr>
            </w:pPr>
            <w:r>
              <w:rPr>
                <w:rFonts w:ascii="Times New Roman"/>
                <w:color w:val="404040"/>
                <w:sz w:val="14"/>
              </w:rPr>
              <w:t>8160</w:t>
            </w:r>
          </w:p>
        </w:tc>
        <w:tc>
          <w:tcPr>
            <w:tcW w:w="3028"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5"/>
              <w:ind w:left="922"/>
              <w:jc w:val="left"/>
              <w:rPr>
                <w:rFonts w:ascii="Times New Roman"/>
                <w:sz w:val="14"/>
              </w:rPr>
            </w:pPr>
            <w:r>
              <w:rPr>
                <w:rFonts w:ascii="Times New Roman"/>
                <w:color w:val="404040"/>
                <w:sz w:val="14"/>
              </w:rPr>
              <w:t>0.454509342429653</w:t>
            </w:r>
          </w:p>
        </w:tc>
      </w:tr>
      <w:tr>
        <w:trPr>
          <w:trHeight w:val="310"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right="1283"/>
              <w:jc w:val="right"/>
              <w:rPr>
                <w:rFonts w:ascii="Times New Roman"/>
                <w:sz w:val="14"/>
              </w:rPr>
            </w:pPr>
            <w:r>
              <w:rPr>
                <w:rFonts w:ascii="Times New Roman"/>
                <w:color w:val="404040"/>
                <w:w w:val="95"/>
                <w:sz w:val="14"/>
              </w:rPr>
              <w:t>17300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960" w:right="958"/>
              <w:rPr>
                <w:rFonts w:ascii="Times New Roman"/>
                <w:sz w:val="14"/>
              </w:rPr>
            </w:pPr>
            <w:r>
              <w:rPr>
                <w:rFonts w:ascii="Times New Roman"/>
                <w:color w:val="404040"/>
                <w:sz w:val="14"/>
              </w:rPr>
              <w:t>9850</w:t>
            </w:r>
          </w:p>
        </w:tc>
        <w:tc>
          <w:tcPr>
            <w:tcW w:w="3028"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853"/>
              <w:jc w:val="left"/>
              <w:rPr>
                <w:rFonts w:ascii="Times New Roman"/>
                <w:sz w:val="14"/>
              </w:rPr>
            </w:pPr>
            <w:r>
              <w:rPr>
                <w:rFonts w:ascii="Times New Roman"/>
                <w:color w:val="404040"/>
                <w:sz w:val="14"/>
              </w:rPr>
              <w:t>0.29321251694674877</w:t>
            </w:r>
          </w:p>
        </w:tc>
      </w:tr>
      <w:tr>
        <w:trPr>
          <w:trHeight w:val="313"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5"/>
              <w:ind w:right="1283"/>
              <w:jc w:val="right"/>
              <w:rPr>
                <w:rFonts w:ascii="Times New Roman"/>
                <w:sz w:val="14"/>
              </w:rPr>
            </w:pPr>
            <w:r>
              <w:rPr>
                <w:rFonts w:ascii="Times New Roman"/>
                <w:color w:val="404040"/>
                <w:w w:val="95"/>
                <w:sz w:val="14"/>
              </w:rPr>
              <w:t>22100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5"/>
              <w:ind w:left="962" w:right="958"/>
              <w:rPr>
                <w:rFonts w:ascii="Times New Roman"/>
                <w:sz w:val="14"/>
              </w:rPr>
            </w:pPr>
            <w:r>
              <w:rPr>
                <w:rFonts w:ascii="Times New Roman"/>
                <w:color w:val="404040"/>
                <w:sz w:val="14"/>
              </w:rPr>
              <w:t>11900</w:t>
            </w:r>
          </w:p>
        </w:tc>
        <w:tc>
          <w:tcPr>
            <w:tcW w:w="3028"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5"/>
              <w:ind w:left="853"/>
              <w:jc w:val="left"/>
              <w:rPr>
                <w:rFonts w:ascii="Times New Roman"/>
                <w:sz w:val="14"/>
              </w:rPr>
            </w:pPr>
            <w:r>
              <w:rPr>
                <w:rFonts w:ascii="Times New Roman"/>
                <w:color w:val="404040"/>
                <w:sz w:val="14"/>
              </w:rPr>
              <w:t>0.18711130806196238</w:t>
            </w:r>
          </w:p>
        </w:tc>
      </w:tr>
      <w:tr>
        <w:trPr>
          <w:trHeight w:val="310" w:hRule="atLeast"/>
        </w:trPr>
        <w:tc>
          <w:tcPr>
            <w:tcW w:w="2990" w:type="dxa"/>
            <w:tcBorders>
              <w:top w:val="single" w:sz="12" w:space="0" w:color="000000"/>
              <w:left w:val="single" w:sz="6" w:space="0" w:color="000000"/>
              <w:bottom w:val="single" w:sz="12" w:space="0" w:color="000000"/>
              <w:right w:val="double" w:sz="2" w:space="0" w:color="000000"/>
            </w:tcBorders>
            <w:shd w:val="clear" w:color="auto" w:fill="F9F9F9"/>
          </w:tcPr>
          <w:p>
            <w:pPr>
              <w:pStyle w:val="TableParagraph"/>
              <w:spacing w:before="72"/>
              <w:ind w:right="1283"/>
              <w:jc w:val="right"/>
              <w:rPr>
                <w:rFonts w:ascii="Times New Roman"/>
                <w:sz w:val="14"/>
              </w:rPr>
            </w:pPr>
            <w:r>
              <w:rPr>
                <w:rFonts w:ascii="Times New Roman"/>
                <w:color w:val="404040"/>
                <w:w w:val="95"/>
                <w:sz w:val="14"/>
              </w:rPr>
              <w:t>28100</w:t>
            </w:r>
          </w:p>
        </w:tc>
        <w:tc>
          <w:tcPr>
            <w:tcW w:w="2349" w:type="dxa"/>
            <w:tcBorders>
              <w:top w:val="single" w:sz="12" w:space="0" w:color="000000"/>
              <w:left w:val="double" w:sz="2" w:space="0" w:color="000000"/>
              <w:bottom w:val="single" w:sz="12" w:space="0" w:color="000000"/>
              <w:right w:val="single" w:sz="12" w:space="0" w:color="000000"/>
            </w:tcBorders>
            <w:shd w:val="clear" w:color="auto" w:fill="F9F9F9"/>
          </w:tcPr>
          <w:p>
            <w:pPr>
              <w:pStyle w:val="TableParagraph"/>
              <w:spacing w:before="72"/>
              <w:ind w:left="962" w:right="958"/>
              <w:rPr>
                <w:rFonts w:ascii="Times New Roman"/>
                <w:sz w:val="14"/>
              </w:rPr>
            </w:pPr>
            <w:r>
              <w:rPr>
                <w:rFonts w:ascii="Times New Roman"/>
                <w:color w:val="404040"/>
                <w:sz w:val="14"/>
              </w:rPr>
              <w:t>14400</w:t>
            </w:r>
          </w:p>
        </w:tc>
        <w:tc>
          <w:tcPr>
            <w:tcW w:w="3028" w:type="dxa"/>
            <w:tcBorders>
              <w:top w:val="single" w:sz="12" w:space="0" w:color="000000"/>
              <w:left w:val="single" w:sz="12" w:space="0" w:color="000000"/>
              <w:bottom w:val="single" w:sz="12" w:space="0" w:color="000000"/>
              <w:right w:val="single" w:sz="6" w:space="0" w:color="000000"/>
            </w:tcBorders>
            <w:shd w:val="clear" w:color="auto" w:fill="F9F9F9"/>
          </w:tcPr>
          <w:p>
            <w:pPr>
              <w:pStyle w:val="TableParagraph"/>
              <w:spacing w:before="72"/>
              <w:ind w:left="853"/>
              <w:jc w:val="left"/>
              <w:rPr>
                <w:rFonts w:ascii="Times New Roman"/>
                <w:sz w:val="14"/>
              </w:rPr>
            </w:pPr>
            <w:r>
              <w:rPr>
                <w:rFonts w:ascii="Times New Roman"/>
                <w:color w:val="404040"/>
                <w:sz w:val="14"/>
              </w:rPr>
              <w:t>0.11804791196941154</w:t>
            </w:r>
          </w:p>
        </w:tc>
      </w:tr>
      <w:tr>
        <w:trPr>
          <w:trHeight w:val="297" w:hRule="atLeast"/>
        </w:trPr>
        <w:tc>
          <w:tcPr>
            <w:tcW w:w="2990" w:type="dxa"/>
            <w:tcBorders>
              <w:top w:val="single" w:sz="12" w:space="0" w:color="000000"/>
              <w:left w:val="single" w:sz="6" w:space="0" w:color="000000"/>
              <w:right w:val="double" w:sz="2" w:space="0" w:color="000000"/>
            </w:tcBorders>
            <w:shd w:val="clear" w:color="auto" w:fill="F9F9F9"/>
          </w:tcPr>
          <w:p>
            <w:pPr>
              <w:pStyle w:val="TableParagraph"/>
              <w:jc w:val="left"/>
              <w:rPr>
                <w:rFonts w:ascii="Times New Roman"/>
                <w:sz w:val="16"/>
              </w:rPr>
            </w:pPr>
          </w:p>
        </w:tc>
        <w:tc>
          <w:tcPr>
            <w:tcW w:w="2349" w:type="dxa"/>
            <w:tcBorders>
              <w:top w:val="single" w:sz="12" w:space="0" w:color="000000"/>
              <w:left w:val="double" w:sz="2" w:space="0" w:color="000000"/>
              <w:right w:val="single" w:sz="12" w:space="0" w:color="000000"/>
            </w:tcBorders>
            <w:shd w:val="clear" w:color="auto" w:fill="F9F9F9"/>
          </w:tcPr>
          <w:p>
            <w:pPr>
              <w:pStyle w:val="TableParagraph"/>
              <w:jc w:val="left"/>
              <w:rPr>
                <w:rFonts w:ascii="Times New Roman"/>
                <w:sz w:val="16"/>
              </w:rPr>
            </w:pPr>
          </w:p>
        </w:tc>
        <w:tc>
          <w:tcPr>
            <w:tcW w:w="3028" w:type="dxa"/>
            <w:tcBorders>
              <w:top w:val="single" w:sz="12" w:space="0" w:color="000000"/>
              <w:left w:val="single" w:sz="12" w:space="0" w:color="000000"/>
              <w:right w:val="single" w:sz="6" w:space="0" w:color="000000"/>
            </w:tcBorders>
            <w:shd w:val="clear" w:color="auto" w:fill="F9F9F9"/>
          </w:tcPr>
          <w:p>
            <w:pPr>
              <w:pStyle w:val="TableParagraph"/>
              <w:jc w:val="left"/>
              <w:rPr>
                <w:rFonts w:ascii="Times New Roman"/>
                <w:sz w:val="16"/>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4"/>
        <w:gridCol w:w="4164"/>
      </w:tblGrid>
      <w:tr>
        <w:trPr>
          <w:trHeight w:val="2702" w:hRule="atLeast"/>
        </w:trPr>
        <w:tc>
          <w:tcPr>
            <w:tcW w:w="4364" w:type="dxa"/>
          </w:tcPr>
          <w:p>
            <w:pPr>
              <w:pStyle w:val="TableParagraph"/>
              <w:spacing w:before="2"/>
              <w:jc w:val="left"/>
              <w:rPr>
                <w:rFonts w:ascii="Times New Roman"/>
                <w:sz w:val="13"/>
              </w:rPr>
            </w:pPr>
          </w:p>
          <w:p>
            <w:pPr>
              <w:pStyle w:val="TableParagraph"/>
              <w:ind w:left="155"/>
              <w:jc w:val="left"/>
              <w:rPr>
                <w:rFonts w:ascii="Times New Roman"/>
                <w:sz w:val="20"/>
              </w:rPr>
            </w:pPr>
            <w:r>
              <w:rPr>
                <w:rFonts w:ascii="Times New Roman"/>
                <w:sz w:val="20"/>
              </w:rPr>
              <w:drawing>
                <wp:inline distT="0" distB="0" distL="0" distR="0">
                  <wp:extent cx="2586037" cy="1527619"/>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44" cstate="print"/>
                          <a:stretch>
                            <a:fillRect/>
                          </a:stretch>
                        </pic:blipFill>
                        <pic:spPr>
                          <a:xfrm>
                            <a:off x="0" y="0"/>
                            <a:ext cx="2586037" cy="1527619"/>
                          </a:xfrm>
                          <a:prstGeom prst="rect">
                            <a:avLst/>
                          </a:prstGeom>
                        </pic:spPr>
                      </pic:pic>
                    </a:graphicData>
                  </a:graphic>
                </wp:inline>
              </w:drawing>
            </w:r>
            <w:r>
              <w:rPr>
                <w:rFonts w:ascii="Times New Roman"/>
                <w:sz w:val="20"/>
              </w:rPr>
            </w:r>
          </w:p>
        </w:tc>
        <w:tc>
          <w:tcPr>
            <w:tcW w:w="4164" w:type="dxa"/>
          </w:tcPr>
          <w:p>
            <w:pPr>
              <w:pStyle w:val="TableParagraph"/>
              <w:spacing w:before="2"/>
              <w:jc w:val="left"/>
              <w:rPr>
                <w:rFonts w:ascii="Times New Roman"/>
                <w:sz w:val="13"/>
              </w:rPr>
            </w:pPr>
          </w:p>
          <w:p>
            <w:pPr>
              <w:pStyle w:val="TableParagraph"/>
              <w:ind w:left="139"/>
              <w:jc w:val="left"/>
              <w:rPr>
                <w:rFonts w:ascii="Times New Roman"/>
                <w:sz w:val="20"/>
              </w:rPr>
            </w:pPr>
            <w:r>
              <w:rPr>
                <w:rFonts w:ascii="Times New Roman"/>
                <w:sz w:val="20"/>
              </w:rPr>
              <w:drawing>
                <wp:inline distT="0" distB="0" distL="0" distR="0">
                  <wp:extent cx="2453222" cy="1355312"/>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45" cstate="print"/>
                          <a:stretch>
                            <a:fillRect/>
                          </a:stretch>
                        </pic:blipFill>
                        <pic:spPr>
                          <a:xfrm>
                            <a:off x="0" y="0"/>
                            <a:ext cx="2453222" cy="1355312"/>
                          </a:xfrm>
                          <a:prstGeom prst="rect">
                            <a:avLst/>
                          </a:prstGeom>
                        </pic:spPr>
                      </pic:pic>
                    </a:graphicData>
                  </a:graphic>
                </wp:inline>
              </w:drawing>
            </w:r>
            <w:r>
              <w:rPr>
                <w:rFonts w:ascii="Times New Roman"/>
                <w:sz w:val="20"/>
              </w:rPr>
            </w:r>
          </w:p>
        </w:tc>
      </w:tr>
      <w:tr>
        <w:trPr>
          <w:trHeight w:val="340" w:hRule="atLeast"/>
        </w:trPr>
        <w:tc>
          <w:tcPr>
            <w:tcW w:w="4364" w:type="dxa"/>
          </w:tcPr>
          <w:p>
            <w:pPr>
              <w:pStyle w:val="TableParagraph"/>
              <w:spacing w:line="320" w:lineRule="exact"/>
              <w:ind w:left="1742" w:right="1731"/>
              <w:rPr>
                <w:sz w:val="21"/>
              </w:rPr>
            </w:pPr>
            <w:r>
              <w:rPr>
                <w:sz w:val="21"/>
              </w:rPr>
              <w:t>中柴沟村</w:t>
            </w:r>
          </w:p>
        </w:tc>
        <w:tc>
          <w:tcPr>
            <w:tcW w:w="4164" w:type="dxa"/>
          </w:tcPr>
          <w:p>
            <w:pPr>
              <w:pStyle w:val="TableParagraph"/>
              <w:spacing w:line="320" w:lineRule="exact"/>
              <w:ind w:left="1641" w:right="1632"/>
              <w:rPr>
                <w:sz w:val="21"/>
              </w:rPr>
            </w:pPr>
            <w:r>
              <w:rPr>
                <w:sz w:val="21"/>
              </w:rPr>
              <w:t>前鲍家村</w:t>
            </w:r>
          </w:p>
        </w:tc>
      </w:tr>
      <w:tr>
        <w:trPr>
          <w:trHeight w:val="2635" w:hRule="atLeast"/>
        </w:trPr>
        <w:tc>
          <w:tcPr>
            <w:tcW w:w="4364" w:type="dxa"/>
          </w:tcPr>
          <w:p>
            <w:pPr>
              <w:pStyle w:val="TableParagraph"/>
              <w:spacing w:before="4" w:after="1"/>
              <w:jc w:val="left"/>
              <w:rPr>
                <w:rFonts w:ascii="Times New Roman"/>
                <w:sz w:val="13"/>
              </w:rPr>
            </w:pPr>
          </w:p>
          <w:p>
            <w:pPr>
              <w:pStyle w:val="TableParagraph"/>
              <w:ind w:left="107"/>
              <w:jc w:val="left"/>
              <w:rPr>
                <w:rFonts w:ascii="Times New Roman"/>
                <w:sz w:val="20"/>
              </w:rPr>
            </w:pPr>
            <w:r>
              <w:rPr>
                <w:rFonts w:ascii="Times New Roman"/>
                <w:sz w:val="20"/>
              </w:rPr>
              <w:drawing>
                <wp:inline distT="0" distB="0" distL="0" distR="0">
                  <wp:extent cx="2630224" cy="1472088"/>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46" cstate="print"/>
                          <a:stretch>
                            <a:fillRect/>
                          </a:stretch>
                        </pic:blipFill>
                        <pic:spPr>
                          <a:xfrm>
                            <a:off x="0" y="0"/>
                            <a:ext cx="2630224" cy="1472088"/>
                          </a:xfrm>
                          <a:prstGeom prst="rect">
                            <a:avLst/>
                          </a:prstGeom>
                        </pic:spPr>
                      </pic:pic>
                    </a:graphicData>
                  </a:graphic>
                </wp:inline>
              </w:drawing>
            </w:r>
            <w:r>
              <w:rPr>
                <w:rFonts w:ascii="Times New Roman"/>
                <w:sz w:val="20"/>
              </w:rPr>
            </w:r>
          </w:p>
        </w:tc>
        <w:tc>
          <w:tcPr>
            <w:tcW w:w="4164" w:type="dxa"/>
          </w:tcPr>
          <w:p>
            <w:pPr>
              <w:pStyle w:val="TableParagraph"/>
              <w:jc w:val="left"/>
              <w:rPr>
                <w:rFonts w:ascii="Times New Roman"/>
                <w:sz w:val="16"/>
              </w:rPr>
            </w:pPr>
          </w:p>
        </w:tc>
      </w:tr>
      <w:tr>
        <w:trPr>
          <w:trHeight w:val="585" w:hRule="atLeast"/>
        </w:trPr>
        <w:tc>
          <w:tcPr>
            <w:tcW w:w="4364" w:type="dxa"/>
          </w:tcPr>
          <w:p>
            <w:pPr>
              <w:pStyle w:val="TableParagraph"/>
              <w:spacing w:before="56"/>
              <w:ind w:left="1742" w:right="1731"/>
              <w:rPr>
                <w:sz w:val="21"/>
              </w:rPr>
            </w:pPr>
            <w:r>
              <w:rPr>
                <w:sz w:val="21"/>
              </w:rPr>
              <w:t>后柴沟村</w:t>
            </w:r>
          </w:p>
        </w:tc>
        <w:tc>
          <w:tcPr>
            <w:tcW w:w="4164" w:type="dxa"/>
          </w:tcPr>
          <w:p>
            <w:pPr>
              <w:pStyle w:val="TableParagraph"/>
              <w:jc w:val="left"/>
              <w:rPr>
                <w:rFonts w:ascii="Times New Roman"/>
                <w:sz w:val="16"/>
              </w:rPr>
            </w:pPr>
          </w:p>
        </w:tc>
      </w:tr>
    </w:tbl>
    <w:p>
      <w:pPr>
        <w:pStyle w:val="BodyText"/>
        <w:spacing w:before="10"/>
        <w:rPr>
          <w:rFonts w:ascii="Times New Roman"/>
          <w:sz w:val="6"/>
        </w:rPr>
      </w:pPr>
    </w:p>
    <w:p>
      <w:pPr>
        <w:tabs>
          <w:tab w:pos="2625" w:val="left" w:leader="none"/>
        </w:tabs>
        <w:spacing w:line="423" w:lineRule="exact" w:before="0"/>
        <w:ind w:left="1713" w:right="0" w:firstLine="0"/>
        <w:jc w:val="left"/>
        <w:rPr>
          <w:sz w:val="21"/>
        </w:rPr>
      </w:pPr>
      <w:r>
        <w:rPr>
          <w:sz w:val="21"/>
        </w:rPr>
        <w:t>图</w:t>
      </w:r>
      <w:r>
        <w:rPr>
          <w:spacing w:val="7"/>
          <w:sz w:val="21"/>
        </w:rPr>
        <w:t> </w:t>
      </w:r>
      <w:r>
        <w:rPr>
          <w:rFonts w:ascii="Times New Roman" w:eastAsia="Times New Roman"/>
          <w:b/>
          <w:sz w:val="21"/>
        </w:rPr>
        <w:t>7.6-4</w:t>
        <w:tab/>
      </w:r>
      <w:r>
        <w:rPr>
          <w:sz w:val="21"/>
        </w:rPr>
        <w:t>甲醛在前鲍家</w:t>
      </w:r>
      <w:r>
        <w:rPr>
          <w:spacing w:val="-3"/>
          <w:sz w:val="21"/>
        </w:rPr>
        <w:t>村</w:t>
      </w:r>
      <w:r>
        <w:rPr>
          <w:sz w:val="21"/>
        </w:rPr>
        <w:t>、中柴沟村、后柴</w:t>
      </w:r>
      <w:r>
        <w:rPr>
          <w:spacing w:val="-3"/>
          <w:sz w:val="21"/>
        </w:rPr>
        <w:t>沟</w:t>
      </w:r>
      <w:r>
        <w:rPr>
          <w:sz w:val="21"/>
        </w:rPr>
        <w:t>村</w:t>
      </w:r>
      <w:r>
        <w:rPr>
          <w:spacing w:val="-3"/>
          <w:sz w:val="21"/>
        </w:rPr>
        <w:t>的</w:t>
      </w:r>
      <w:r>
        <w:rPr>
          <w:sz w:val="21"/>
        </w:rPr>
        <w:t>浓度</w:t>
      </w:r>
      <w:r>
        <w:rPr>
          <w:rFonts w:ascii="Times New Roman" w:eastAsia="Times New Roman"/>
          <w:b/>
          <w:spacing w:val="-4"/>
          <w:sz w:val="21"/>
        </w:rPr>
        <w:t>-</w:t>
      </w:r>
      <w:r>
        <w:rPr>
          <w:sz w:val="21"/>
        </w:rPr>
        <w:t>时间曲线</w:t>
      </w:r>
    </w:p>
    <w:p>
      <w:pPr>
        <w:tabs>
          <w:tab w:pos="2553" w:val="left" w:leader="none"/>
        </w:tabs>
        <w:spacing w:before="118"/>
        <w:ind w:left="1641" w:right="0" w:firstLine="0"/>
        <w:jc w:val="left"/>
        <w:rPr>
          <w:sz w:val="21"/>
        </w:rPr>
      </w:pPr>
      <w:r>
        <w:rPr>
          <w:sz w:val="21"/>
        </w:rPr>
        <w:t>表</w:t>
      </w:r>
      <w:r>
        <w:rPr>
          <w:spacing w:val="7"/>
          <w:sz w:val="21"/>
        </w:rPr>
        <w:t> </w:t>
      </w:r>
      <w:r>
        <w:rPr>
          <w:rFonts w:ascii="Times New Roman" w:eastAsia="Times New Roman"/>
          <w:b/>
          <w:sz w:val="21"/>
        </w:rPr>
        <w:t>7.6-6</w:t>
        <w:tab/>
      </w:r>
      <w:r>
        <w:rPr>
          <w:sz w:val="21"/>
        </w:rPr>
        <w:t>最不利气象条</w:t>
      </w:r>
      <w:r>
        <w:rPr>
          <w:spacing w:val="-3"/>
          <w:sz w:val="21"/>
        </w:rPr>
        <w:t>件</w:t>
      </w:r>
      <w:r>
        <w:rPr>
          <w:sz w:val="21"/>
        </w:rPr>
        <w:t>下甲醛在各关心点</w:t>
      </w:r>
      <w:r>
        <w:rPr>
          <w:spacing w:val="-3"/>
          <w:sz w:val="21"/>
        </w:rPr>
        <w:t>超</w:t>
      </w:r>
      <w:r>
        <w:rPr>
          <w:sz w:val="21"/>
        </w:rPr>
        <w:t>出</w:t>
      </w:r>
      <w:r>
        <w:rPr>
          <w:spacing w:val="-3"/>
          <w:sz w:val="21"/>
        </w:rPr>
        <w:t>毒</w:t>
      </w:r>
      <w:r>
        <w:rPr>
          <w:sz w:val="21"/>
        </w:rPr>
        <w:t>性浓度时间情况</w:t>
      </w:r>
    </w:p>
    <w:p>
      <w:pPr>
        <w:pStyle w:val="BodyText"/>
        <w:spacing w:before="7"/>
        <w:rPr>
          <w:sz w:val="10"/>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9"/>
        <w:gridCol w:w="1195"/>
        <w:gridCol w:w="1560"/>
        <w:gridCol w:w="2405"/>
        <w:gridCol w:w="2748"/>
      </w:tblGrid>
      <w:tr>
        <w:trPr>
          <w:trHeight w:val="327" w:hRule="atLeast"/>
        </w:trPr>
        <w:tc>
          <w:tcPr>
            <w:tcW w:w="619" w:type="dxa"/>
            <w:tcBorders>
              <w:right w:val="single" w:sz="6" w:space="0" w:color="000000"/>
            </w:tcBorders>
          </w:tcPr>
          <w:p>
            <w:pPr>
              <w:pStyle w:val="TableParagraph"/>
              <w:spacing w:line="308" w:lineRule="exact"/>
              <w:ind w:left="203"/>
              <w:jc w:val="left"/>
              <w:rPr>
                <w:sz w:val="21"/>
              </w:rPr>
            </w:pPr>
            <w:r>
              <w:rPr>
                <w:w w:val="100"/>
                <w:sz w:val="21"/>
              </w:rPr>
              <w:t>序</w:t>
            </w:r>
          </w:p>
        </w:tc>
        <w:tc>
          <w:tcPr>
            <w:tcW w:w="1195" w:type="dxa"/>
            <w:tcBorders>
              <w:left w:val="single" w:sz="6" w:space="0" w:color="000000"/>
              <w:right w:val="single" w:sz="6" w:space="0" w:color="000000"/>
            </w:tcBorders>
          </w:tcPr>
          <w:p>
            <w:pPr>
              <w:pStyle w:val="TableParagraph"/>
              <w:spacing w:line="308" w:lineRule="exact"/>
              <w:ind w:left="393"/>
              <w:jc w:val="left"/>
              <w:rPr>
                <w:sz w:val="21"/>
              </w:rPr>
            </w:pPr>
            <w:r>
              <w:rPr>
                <w:sz w:val="21"/>
              </w:rPr>
              <w:t>名称</w:t>
            </w:r>
          </w:p>
        </w:tc>
        <w:tc>
          <w:tcPr>
            <w:tcW w:w="1560" w:type="dxa"/>
            <w:tcBorders>
              <w:left w:val="single" w:sz="6" w:space="0" w:color="000000"/>
              <w:right w:val="single" w:sz="6" w:space="0" w:color="000000"/>
            </w:tcBorders>
          </w:tcPr>
          <w:p>
            <w:pPr>
              <w:pStyle w:val="TableParagraph"/>
              <w:spacing w:line="308" w:lineRule="exact"/>
              <w:ind w:left="135"/>
              <w:jc w:val="left"/>
              <w:rPr>
                <w:sz w:val="21"/>
              </w:rPr>
            </w:pPr>
            <w:r>
              <w:rPr>
                <w:sz w:val="21"/>
              </w:rPr>
              <w:t>最大浓度</w:t>
            </w:r>
            <w:r>
              <w:rPr>
                <w:rFonts w:ascii="Times New Roman" w:eastAsia="Times New Roman"/>
                <w:sz w:val="21"/>
              </w:rPr>
              <w:t>|</w:t>
            </w:r>
            <w:r>
              <w:rPr>
                <w:sz w:val="21"/>
              </w:rPr>
              <w:t>时间</w:t>
            </w:r>
          </w:p>
        </w:tc>
        <w:tc>
          <w:tcPr>
            <w:tcW w:w="2405" w:type="dxa"/>
            <w:tcBorders>
              <w:left w:val="single" w:sz="6" w:space="0" w:color="000000"/>
              <w:right w:val="single" w:sz="6" w:space="0" w:color="000000"/>
            </w:tcBorders>
          </w:tcPr>
          <w:p>
            <w:pPr>
              <w:pStyle w:val="TableParagraph"/>
              <w:spacing w:line="308" w:lineRule="exact"/>
              <w:ind w:left="283"/>
              <w:jc w:val="left"/>
              <w:rPr>
                <w:rFonts w:ascii="Times New Roman" w:eastAsia="Times New Roman"/>
                <w:sz w:val="21"/>
              </w:rPr>
            </w:pPr>
            <w:r>
              <w:rPr>
                <w:sz w:val="21"/>
              </w:rPr>
              <w:t>超出毒性终点浓度</w:t>
            </w:r>
            <w:r>
              <w:rPr>
                <w:rFonts w:ascii="Times New Roman" w:eastAsia="Times New Roman"/>
                <w:sz w:val="21"/>
              </w:rPr>
              <w:t>-1</w:t>
            </w:r>
          </w:p>
        </w:tc>
        <w:tc>
          <w:tcPr>
            <w:tcW w:w="2748" w:type="dxa"/>
            <w:tcBorders>
              <w:left w:val="single" w:sz="6" w:space="0" w:color="000000"/>
            </w:tcBorders>
          </w:tcPr>
          <w:p>
            <w:pPr>
              <w:pStyle w:val="TableParagraph"/>
              <w:spacing w:line="308" w:lineRule="exact"/>
              <w:ind w:left="454"/>
              <w:jc w:val="left"/>
              <w:rPr>
                <w:rFonts w:ascii="Times New Roman" w:eastAsia="Times New Roman"/>
                <w:sz w:val="21"/>
              </w:rPr>
            </w:pPr>
            <w:r>
              <w:rPr>
                <w:sz w:val="21"/>
              </w:rPr>
              <w:t>超出毒性终点浓度</w:t>
            </w:r>
            <w:r>
              <w:rPr>
                <w:rFonts w:ascii="Times New Roman" w:eastAsia="Times New Roman"/>
                <w:sz w:val="21"/>
              </w:rPr>
              <w:t>-2</w:t>
            </w:r>
          </w:p>
        </w:tc>
      </w:tr>
    </w:tbl>
    <w:p>
      <w:pPr>
        <w:spacing w:after="0" w:line="308" w:lineRule="exact"/>
        <w:jc w:val="left"/>
        <w:rPr>
          <w:rFonts w:ascii="Times New Roman" w:eastAsia="Times New Roman"/>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9"/>
        <w:gridCol w:w="1195"/>
        <w:gridCol w:w="1560"/>
        <w:gridCol w:w="707"/>
        <w:gridCol w:w="849"/>
        <w:gridCol w:w="846"/>
        <w:gridCol w:w="993"/>
        <w:gridCol w:w="988"/>
        <w:gridCol w:w="765"/>
      </w:tblGrid>
      <w:tr>
        <w:trPr>
          <w:trHeight w:val="623" w:hRule="atLeast"/>
        </w:trPr>
        <w:tc>
          <w:tcPr>
            <w:tcW w:w="619" w:type="dxa"/>
            <w:tcBorders>
              <w:bottom w:val="single" w:sz="6" w:space="0" w:color="000000"/>
              <w:right w:val="single" w:sz="6" w:space="0" w:color="000000"/>
            </w:tcBorders>
          </w:tcPr>
          <w:p>
            <w:pPr>
              <w:pStyle w:val="TableParagraph"/>
              <w:spacing w:line="369" w:lineRule="exact"/>
              <w:ind w:left="21"/>
              <w:rPr>
                <w:sz w:val="21"/>
              </w:rPr>
            </w:pPr>
            <w:r>
              <w:rPr>
                <w:w w:val="100"/>
                <w:sz w:val="21"/>
              </w:rPr>
              <w:t>号</w:t>
            </w:r>
          </w:p>
        </w:tc>
        <w:tc>
          <w:tcPr>
            <w:tcW w:w="1195"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560" w:type="dxa"/>
            <w:tcBorders>
              <w:left w:val="single" w:sz="6" w:space="0" w:color="000000"/>
              <w:bottom w:val="single" w:sz="6" w:space="0" w:color="000000"/>
              <w:right w:val="single" w:sz="6" w:space="0" w:color="000000"/>
            </w:tcBorders>
          </w:tcPr>
          <w:p>
            <w:pPr>
              <w:pStyle w:val="TableParagraph"/>
              <w:spacing w:before="36"/>
              <w:ind w:left="115" w:right="85"/>
              <w:rPr>
                <w:rFonts w:ascii="Times New Roman"/>
                <w:sz w:val="21"/>
              </w:rPr>
            </w:pPr>
            <w:r>
              <w:rPr>
                <w:rFonts w:ascii="Times New Roman"/>
                <w:sz w:val="21"/>
              </w:rPr>
              <w:t>(s)</w:t>
            </w:r>
          </w:p>
        </w:tc>
        <w:tc>
          <w:tcPr>
            <w:tcW w:w="707" w:type="dxa"/>
            <w:tcBorders>
              <w:left w:val="single" w:sz="6" w:space="0" w:color="000000"/>
              <w:bottom w:val="single" w:sz="6" w:space="0" w:color="000000"/>
              <w:right w:val="single" w:sz="6" w:space="0" w:color="000000"/>
            </w:tcBorders>
          </w:tcPr>
          <w:p>
            <w:pPr>
              <w:pStyle w:val="TableParagraph"/>
              <w:spacing w:line="302" w:lineRule="exact"/>
              <w:ind w:left="151"/>
              <w:jc w:val="left"/>
              <w:rPr>
                <w:sz w:val="21"/>
              </w:rPr>
            </w:pPr>
            <w:r>
              <w:rPr>
                <w:sz w:val="21"/>
              </w:rPr>
              <w:t>起始</w:t>
            </w:r>
          </w:p>
          <w:p>
            <w:pPr>
              <w:pStyle w:val="TableParagraph"/>
              <w:spacing w:line="302" w:lineRule="exact"/>
              <w:ind w:left="151"/>
              <w:jc w:val="left"/>
              <w:rPr>
                <w:sz w:val="21"/>
              </w:rPr>
            </w:pPr>
            <w:r>
              <w:rPr>
                <w:sz w:val="21"/>
              </w:rPr>
              <w:t>时刻</w:t>
            </w:r>
          </w:p>
        </w:tc>
        <w:tc>
          <w:tcPr>
            <w:tcW w:w="849" w:type="dxa"/>
            <w:tcBorders>
              <w:left w:val="single" w:sz="6" w:space="0" w:color="000000"/>
              <w:bottom w:val="single" w:sz="6" w:space="0" w:color="000000"/>
              <w:right w:val="single" w:sz="6" w:space="0" w:color="000000"/>
            </w:tcBorders>
          </w:tcPr>
          <w:p>
            <w:pPr>
              <w:pStyle w:val="TableParagraph"/>
              <w:spacing w:line="302" w:lineRule="exact"/>
              <w:ind w:left="222"/>
              <w:jc w:val="left"/>
              <w:rPr>
                <w:sz w:val="21"/>
              </w:rPr>
            </w:pPr>
            <w:r>
              <w:rPr>
                <w:sz w:val="21"/>
              </w:rPr>
              <w:t>终止</w:t>
            </w:r>
          </w:p>
          <w:p>
            <w:pPr>
              <w:pStyle w:val="TableParagraph"/>
              <w:spacing w:line="302" w:lineRule="exact"/>
              <w:ind w:left="222"/>
              <w:jc w:val="left"/>
              <w:rPr>
                <w:sz w:val="21"/>
              </w:rPr>
            </w:pPr>
            <w:r>
              <w:rPr>
                <w:sz w:val="21"/>
              </w:rPr>
              <w:t>时刻</w:t>
            </w:r>
          </w:p>
        </w:tc>
        <w:tc>
          <w:tcPr>
            <w:tcW w:w="846" w:type="dxa"/>
            <w:tcBorders>
              <w:left w:val="single" w:sz="6" w:space="0" w:color="000000"/>
              <w:bottom w:val="single" w:sz="6" w:space="0" w:color="000000"/>
              <w:right w:val="single" w:sz="6" w:space="0" w:color="000000"/>
            </w:tcBorders>
          </w:tcPr>
          <w:p>
            <w:pPr>
              <w:pStyle w:val="TableParagraph"/>
              <w:spacing w:before="77"/>
              <w:ind w:left="202" w:right="169"/>
              <w:rPr>
                <w:sz w:val="21"/>
              </w:rPr>
            </w:pPr>
            <w:r>
              <w:rPr>
                <w:sz w:val="21"/>
              </w:rPr>
              <w:t>时间</w:t>
            </w:r>
          </w:p>
        </w:tc>
        <w:tc>
          <w:tcPr>
            <w:tcW w:w="993" w:type="dxa"/>
            <w:tcBorders>
              <w:left w:val="single" w:sz="6" w:space="0" w:color="000000"/>
              <w:bottom w:val="single" w:sz="6" w:space="0" w:color="000000"/>
              <w:right w:val="single" w:sz="6" w:space="0" w:color="000000"/>
            </w:tcBorders>
          </w:tcPr>
          <w:p>
            <w:pPr>
              <w:pStyle w:val="TableParagraph"/>
              <w:spacing w:line="302" w:lineRule="exact"/>
              <w:ind w:left="296"/>
              <w:jc w:val="left"/>
              <w:rPr>
                <w:sz w:val="21"/>
              </w:rPr>
            </w:pPr>
            <w:r>
              <w:rPr>
                <w:sz w:val="21"/>
              </w:rPr>
              <w:t>起始</w:t>
            </w:r>
          </w:p>
          <w:p>
            <w:pPr>
              <w:pStyle w:val="TableParagraph"/>
              <w:spacing w:line="302" w:lineRule="exact"/>
              <w:ind w:left="296"/>
              <w:jc w:val="left"/>
              <w:rPr>
                <w:sz w:val="21"/>
              </w:rPr>
            </w:pPr>
            <w:r>
              <w:rPr>
                <w:sz w:val="21"/>
              </w:rPr>
              <w:t>时刻</w:t>
            </w:r>
          </w:p>
        </w:tc>
        <w:tc>
          <w:tcPr>
            <w:tcW w:w="988" w:type="dxa"/>
            <w:tcBorders>
              <w:left w:val="single" w:sz="6" w:space="0" w:color="000000"/>
              <w:bottom w:val="single" w:sz="6" w:space="0" w:color="000000"/>
              <w:right w:val="single" w:sz="6" w:space="0" w:color="000000"/>
            </w:tcBorders>
          </w:tcPr>
          <w:p>
            <w:pPr>
              <w:pStyle w:val="TableParagraph"/>
              <w:spacing w:line="302" w:lineRule="exact"/>
              <w:ind w:left="295"/>
              <w:jc w:val="left"/>
              <w:rPr>
                <w:sz w:val="21"/>
              </w:rPr>
            </w:pPr>
            <w:r>
              <w:rPr>
                <w:sz w:val="21"/>
              </w:rPr>
              <w:t>终止</w:t>
            </w:r>
          </w:p>
          <w:p>
            <w:pPr>
              <w:pStyle w:val="TableParagraph"/>
              <w:spacing w:line="302" w:lineRule="exact"/>
              <w:ind w:left="295"/>
              <w:jc w:val="left"/>
              <w:rPr>
                <w:sz w:val="21"/>
              </w:rPr>
            </w:pPr>
            <w:r>
              <w:rPr>
                <w:sz w:val="21"/>
              </w:rPr>
              <w:t>时刻</w:t>
            </w:r>
          </w:p>
        </w:tc>
        <w:tc>
          <w:tcPr>
            <w:tcW w:w="765" w:type="dxa"/>
            <w:tcBorders>
              <w:left w:val="single" w:sz="6" w:space="0" w:color="000000"/>
              <w:bottom w:val="single" w:sz="6" w:space="0" w:color="000000"/>
            </w:tcBorders>
          </w:tcPr>
          <w:p>
            <w:pPr>
              <w:pStyle w:val="TableParagraph"/>
              <w:spacing w:before="77"/>
              <w:ind w:left="166" w:right="115"/>
              <w:rPr>
                <w:sz w:val="21"/>
              </w:rPr>
            </w:pPr>
            <w:r>
              <w:rPr>
                <w:sz w:val="21"/>
              </w:rPr>
              <w:t>时间</w:t>
            </w:r>
          </w:p>
        </w:tc>
      </w:tr>
      <w:tr>
        <w:trPr>
          <w:trHeight w:val="313" w:hRule="atLeast"/>
        </w:trPr>
        <w:tc>
          <w:tcPr>
            <w:tcW w:w="619"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1</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63" w:right="137"/>
              <w:rPr>
                <w:sz w:val="21"/>
              </w:rPr>
            </w:pPr>
            <w:r>
              <w:rPr>
                <w:sz w:val="21"/>
              </w:rPr>
              <w:t>前鲍家村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5"/>
              <w:rPr>
                <w:rFonts w:ascii="Times New Roman"/>
                <w:sz w:val="22"/>
              </w:rPr>
            </w:pPr>
            <w:r>
              <w:rPr>
                <w:rFonts w:ascii="Times New Roman"/>
                <w:sz w:val="22"/>
              </w:rPr>
              <w:t>64.9539|850</w:t>
            </w:r>
          </w:p>
        </w:tc>
        <w:tc>
          <w:tcPr>
            <w:tcW w:w="707" w:type="dxa"/>
            <w:tcBorders>
              <w:top w:val="single" w:sz="6" w:space="0" w:color="000000"/>
              <w:left w:val="single" w:sz="6" w:space="0" w:color="000000"/>
              <w:bottom w:val="single" w:sz="6" w:space="0" w:color="000000"/>
              <w:right w:val="single" w:sz="6" w:space="0" w:color="000000"/>
            </w:tcBorders>
          </w:tcPr>
          <w:p>
            <w:pPr>
              <w:pStyle w:val="TableParagraph"/>
              <w:spacing w:before="36"/>
              <w:ind w:right="259"/>
              <w:jc w:val="right"/>
              <w:rPr>
                <w:rFonts w:ascii="Times New Roman"/>
                <w:sz w:val="21"/>
              </w:rPr>
            </w:pPr>
            <w:r>
              <w:rPr>
                <w:rFonts w:ascii="Times New Roman"/>
                <w:sz w:val="21"/>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36"/>
              <w:ind w:left="204" w:right="170"/>
              <w:rPr>
                <w:rFonts w:ascii="Times New Roman"/>
                <w:sz w:val="21"/>
              </w:rPr>
            </w:pPr>
            <w:r>
              <w:rPr>
                <w:rFonts w:ascii="Times New Roman"/>
                <w:sz w:val="21"/>
              </w:rPr>
              <w:t>--</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69"/>
              <w:rPr>
                <w:rFonts w:ascii="Times New Roman"/>
                <w:sz w:val="21"/>
              </w:rPr>
            </w:pPr>
            <w:r>
              <w:rPr>
                <w:rFonts w:ascii="Times New Roman"/>
                <w:sz w:val="21"/>
              </w:rPr>
              <w:t>--</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36"/>
              <w:ind w:left="277" w:right="240"/>
              <w:rPr>
                <w:rFonts w:ascii="Times New Roman"/>
                <w:sz w:val="21"/>
              </w:rPr>
            </w:pPr>
            <w:r>
              <w:rPr>
                <w:rFonts w:ascii="Times New Roman"/>
                <w:sz w:val="21"/>
              </w:rPr>
              <w:t>820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36"/>
              <w:ind w:left="275" w:right="235"/>
              <w:rPr>
                <w:rFonts w:ascii="Times New Roman"/>
                <w:sz w:val="21"/>
              </w:rPr>
            </w:pPr>
            <w:r>
              <w:rPr>
                <w:rFonts w:ascii="Times New Roman"/>
                <w:sz w:val="21"/>
              </w:rPr>
              <w:t>2240</w:t>
            </w:r>
          </w:p>
        </w:tc>
        <w:tc>
          <w:tcPr>
            <w:tcW w:w="765" w:type="dxa"/>
            <w:tcBorders>
              <w:top w:val="single" w:sz="6" w:space="0" w:color="000000"/>
              <w:left w:val="single" w:sz="6" w:space="0" w:color="000000"/>
              <w:bottom w:val="single" w:sz="6" w:space="0" w:color="000000"/>
            </w:tcBorders>
          </w:tcPr>
          <w:p>
            <w:pPr>
              <w:pStyle w:val="TableParagraph"/>
              <w:spacing w:before="36"/>
              <w:ind w:left="166" w:right="115"/>
              <w:rPr>
                <w:rFonts w:ascii="Times New Roman"/>
                <w:sz w:val="21"/>
              </w:rPr>
            </w:pPr>
            <w:r>
              <w:rPr>
                <w:rFonts w:ascii="Times New Roman"/>
                <w:sz w:val="21"/>
              </w:rPr>
              <w:t>1420</w:t>
            </w:r>
          </w:p>
        </w:tc>
      </w:tr>
      <w:tr>
        <w:trPr>
          <w:trHeight w:val="311" w:hRule="atLeast"/>
        </w:trPr>
        <w:tc>
          <w:tcPr>
            <w:tcW w:w="619"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2</w:t>
            </w:r>
          </w:p>
        </w:tc>
        <w:tc>
          <w:tcPr>
            <w:tcW w:w="119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63" w:right="137"/>
              <w:rPr>
                <w:sz w:val="21"/>
              </w:rPr>
            </w:pPr>
            <w:r>
              <w:rPr>
                <w:sz w:val="21"/>
              </w:rPr>
              <w:t>中柴沟村</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7"/>
              <w:ind w:left="115" w:right="85"/>
              <w:rPr>
                <w:rFonts w:ascii="Times New Roman"/>
                <w:sz w:val="22"/>
              </w:rPr>
            </w:pPr>
            <w:r>
              <w:rPr>
                <w:rFonts w:ascii="Times New Roman"/>
                <w:sz w:val="22"/>
              </w:rPr>
              <w:t>88.7844|710</w:t>
            </w:r>
          </w:p>
        </w:tc>
        <w:tc>
          <w:tcPr>
            <w:tcW w:w="707" w:type="dxa"/>
            <w:tcBorders>
              <w:top w:val="single" w:sz="6" w:space="0" w:color="000000"/>
              <w:left w:val="single" w:sz="6" w:space="0" w:color="000000"/>
              <w:bottom w:val="single" w:sz="6" w:space="0" w:color="000000"/>
              <w:right w:val="single" w:sz="6" w:space="0" w:color="000000"/>
            </w:tcBorders>
          </w:tcPr>
          <w:p>
            <w:pPr>
              <w:pStyle w:val="TableParagraph"/>
              <w:spacing w:before="34"/>
              <w:ind w:right="259"/>
              <w:jc w:val="right"/>
              <w:rPr>
                <w:rFonts w:ascii="Times New Roman"/>
                <w:sz w:val="21"/>
              </w:rPr>
            </w:pPr>
            <w:r>
              <w:rPr>
                <w:rFonts w:ascii="Times New Roman"/>
                <w:sz w:val="21"/>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34"/>
              <w:ind w:left="204" w:right="170"/>
              <w:rPr>
                <w:rFonts w:ascii="Times New Roman"/>
                <w:sz w:val="21"/>
              </w:rPr>
            </w:pPr>
            <w:r>
              <w:rPr>
                <w:rFonts w:ascii="Times New Roman"/>
                <w:sz w:val="21"/>
              </w:rPr>
              <w:t>--</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34"/>
              <w:ind w:left="202" w:right="169"/>
              <w:rPr>
                <w:rFonts w:ascii="Times New Roman"/>
                <w:sz w:val="21"/>
              </w:rPr>
            </w:pPr>
            <w:r>
              <w:rPr>
                <w:rFonts w:ascii="Times New Roman"/>
                <w:sz w:val="21"/>
              </w:rPr>
              <w:t>--</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34"/>
              <w:ind w:left="277" w:right="240"/>
              <w:rPr>
                <w:rFonts w:ascii="Times New Roman"/>
                <w:sz w:val="21"/>
              </w:rPr>
            </w:pPr>
            <w:r>
              <w:rPr>
                <w:rFonts w:ascii="Times New Roman"/>
                <w:sz w:val="21"/>
              </w:rPr>
              <w:t>690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34"/>
              <w:ind w:left="275" w:right="235"/>
              <w:rPr>
                <w:rFonts w:ascii="Times New Roman"/>
                <w:sz w:val="21"/>
              </w:rPr>
            </w:pPr>
            <w:r>
              <w:rPr>
                <w:rFonts w:ascii="Times New Roman"/>
                <w:sz w:val="21"/>
              </w:rPr>
              <w:t>1920</w:t>
            </w:r>
          </w:p>
        </w:tc>
        <w:tc>
          <w:tcPr>
            <w:tcW w:w="765" w:type="dxa"/>
            <w:tcBorders>
              <w:top w:val="single" w:sz="6" w:space="0" w:color="000000"/>
              <w:left w:val="single" w:sz="6" w:space="0" w:color="000000"/>
              <w:bottom w:val="single" w:sz="6" w:space="0" w:color="000000"/>
            </w:tcBorders>
          </w:tcPr>
          <w:p>
            <w:pPr>
              <w:pStyle w:val="TableParagraph"/>
              <w:spacing w:before="34"/>
              <w:ind w:left="166" w:right="115"/>
              <w:rPr>
                <w:rFonts w:ascii="Times New Roman"/>
                <w:sz w:val="21"/>
              </w:rPr>
            </w:pPr>
            <w:r>
              <w:rPr>
                <w:rFonts w:ascii="Times New Roman"/>
                <w:sz w:val="21"/>
              </w:rPr>
              <w:t>1230</w:t>
            </w:r>
          </w:p>
        </w:tc>
      </w:tr>
      <w:tr>
        <w:trPr>
          <w:trHeight w:val="311" w:hRule="atLeast"/>
        </w:trPr>
        <w:tc>
          <w:tcPr>
            <w:tcW w:w="619" w:type="dxa"/>
            <w:tcBorders>
              <w:top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3</w:t>
            </w:r>
          </w:p>
        </w:tc>
        <w:tc>
          <w:tcPr>
            <w:tcW w:w="1195" w:type="dxa"/>
            <w:tcBorders>
              <w:top w:val="single" w:sz="6" w:space="0" w:color="000000"/>
              <w:left w:val="single" w:sz="6" w:space="0" w:color="000000"/>
              <w:right w:val="single" w:sz="6" w:space="0" w:color="000000"/>
            </w:tcBorders>
          </w:tcPr>
          <w:p>
            <w:pPr>
              <w:pStyle w:val="TableParagraph"/>
              <w:spacing w:line="291" w:lineRule="exact"/>
              <w:ind w:left="163" w:right="137"/>
              <w:rPr>
                <w:sz w:val="21"/>
              </w:rPr>
            </w:pPr>
            <w:r>
              <w:rPr>
                <w:sz w:val="21"/>
              </w:rPr>
              <w:t>后柴沟村</w:t>
            </w:r>
          </w:p>
        </w:tc>
        <w:tc>
          <w:tcPr>
            <w:tcW w:w="1560" w:type="dxa"/>
            <w:tcBorders>
              <w:top w:val="single" w:sz="6" w:space="0" w:color="000000"/>
              <w:left w:val="single" w:sz="6" w:space="0" w:color="000000"/>
              <w:right w:val="single" w:sz="6" w:space="0" w:color="000000"/>
            </w:tcBorders>
          </w:tcPr>
          <w:p>
            <w:pPr>
              <w:pStyle w:val="TableParagraph"/>
              <w:spacing w:before="27"/>
              <w:ind w:left="115" w:right="85"/>
              <w:rPr>
                <w:rFonts w:ascii="Times New Roman"/>
                <w:sz w:val="22"/>
              </w:rPr>
            </w:pPr>
            <w:r>
              <w:rPr>
                <w:rFonts w:ascii="Times New Roman"/>
                <w:sz w:val="22"/>
              </w:rPr>
              <w:t>33.7504|1260</w:t>
            </w:r>
          </w:p>
        </w:tc>
        <w:tc>
          <w:tcPr>
            <w:tcW w:w="707" w:type="dxa"/>
            <w:tcBorders>
              <w:top w:val="single" w:sz="6" w:space="0" w:color="000000"/>
              <w:left w:val="single" w:sz="6" w:space="0" w:color="000000"/>
              <w:right w:val="single" w:sz="6" w:space="0" w:color="000000"/>
            </w:tcBorders>
          </w:tcPr>
          <w:p>
            <w:pPr>
              <w:pStyle w:val="TableParagraph"/>
              <w:spacing w:before="34"/>
              <w:ind w:right="259"/>
              <w:jc w:val="right"/>
              <w:rPr>
                <w:rFonts w:ascii="Times New Roman"/>
                <w:sz w:val="21"/>
              </w:rPr>
            </w:pPr>
            <w:r>
              <w:rPr>
                <w:rFonts w:ascii="Times New Roman"/>
                <w:sz w:val="21"/>
              </w:rPr>
              <w:t>--</w:t>
            </w:r>
          </w:p>
        </w:tc>
        <w:tc>
          <w:tcPr>
            <w:tcW w:w="849" w:type="dxa"/>
            <w:tcBorders>
              <w:top w:val="single" w:sz="6" w:space="0" w:color="000000"/>
              <w:left w:val="single" w:sz="6" w:space="0" w:color="000000"/>
              <w:right w:val="single" w:sz="6" w:space="0" w:color="000000"/>
            </w:tcBorders>
          </w:tcPr>
          <w:p>
            <w:pPr>
              <w:pStyle w:val="TableParagraph"/>
              <w:spacing w:before="34"/>
              <w:ind w:left="204" w:right="170"/>
              <w:rPr>
                <w:rFonts w:ascii="Times New Roman"/>
                <w:sz w:val="21"/>
              </w:rPr>
            </w:pPr>
            <w:r>
              <w:rPr>
                <w:rFonts w:ascii="Times New Roman"/>
                <w:sz w:val="21"/>
              </w:rPr>
              <w:t>--</w:t>
            </w:r>
          </w:p>
        </w:tc>
        <w:tc>
          <w:tcPr>
            <w:tcW w:w="846" w:type="dxa"/>
            <w:tcBorders>
              <w:top w:val="single" w:sz="6" w:space="0" w:color="000000"/>
              <w:left w:val="single" w:sz="6" w:space="0" w:color="000000"/>
              <w:right w:val="single" w:sz="6" w:space="0" w:color="000000"/>
            </w:tcBorders>
          </w:tcPr>
          <w:p>
            <w:pPr>
              <w:pStyle w:val="TableParagraph"/>
              <w:spacing w:before="34"/>
              <w:ind w:left="202" w:right="169"/>
              <w:rPr>
                <w:rFonts w:ascii="Times New Roman"/>
                <w:sz w:val="21"/>
              </w:rPr>
            </w:pPr>
            <w:r>
              <w:rPr>
                <w:rFonts w:ascii="Times New Roman"/>
                <w:sz w:val="21"/>
              </w:rPr>
              <w:t>--</w:t>
            </w:r>
          </w:p>
        </w:tc>
        <w:tc>
          <w:tcPr>
            <w:tcW w:w="993" w:type="dxa"/>
            <w:tcBorders>
              <w:top w:val="single" w:sz="6" w:space="0" w:color="000000"/>
              <w:left w:val="single" w:sz="6" w:space="0" w:color="000000"/>
              <w:right w:val="single" w:sz="6" w:space="0" w:color="000000"/>
            </w:tcBorders>
          </w:tcPr>
          <w:p>
            <w:pPr>
              <w:pStyle w:val="TableParagraph"/>
              <w:spacing w:before="34"/>
              <w:ind w:left="277" w:right="240"/>
              <w:rPr>
                <w:rFonts w:ascii="Times New Roman"/>
                <w:sz w:val="21"/>
              </w:rPr>
            </w:pPr>
            <w:r>
              <w:rPr>
                <w:rFonts w:ascii="Times New Roman"/>
                <w:sz w:val="21"/>
              </w:rPr>
              <w:t>1260</w:t>
            </w:r>
          </w:p>
        </w:tc>
        <w:tc>
          <w:tcPr>
            <w:tcW w:w="988" w:type="dxa"/>
            <w:tcBorders>
              <w:top w:val="single" w:sz="6" w:space="0" w:color="000000"/>
              <w:left w:val="single" w:sz="6" w:space="0" w:color="000000"/>
              <w:right w:val="single" w:sz="6" w:space="0" w:color="000000"/>
            </w:tcBorders>
          </w:tcPr>
          <w:p>
            <w:pPr>
              <w:pStyle w:val="TableParagraph"/>
              <w:spacing w:before="34"/>
              <w:ind w:left="276" w:right="234"/>
              <w:rPr>
                <w:rFonts w:ascii="Times New Roman"/>
                <w:sz w:val="21"/>
              </w:rPr>
            </w:pPr>
            <w:r>
              <w:rPr>
                <w:rFonts w:ascii="Times New Roman"/>
                <w:sz w:val="21"/>
              </w:rPr>
              <w:t>3110</w:t>
            </w:r>
          </w:p>
        </w:tc>
        <w:tc>
          <w:tcPr>
            <w:tcW w:w="765" w:type="dxa"/>
            <w:tcBorders>
              <w:top w:val="single" w:sz="6" w:space="0" w:color="000000"/>
              <w:left w:val="single" w:sz="6" w:space="0" w:color="000000"/>
            </w:tcBorders>
          </w:tcPr>
          <w:p>
            <w:pPr>
              <w:pStyle w:val="TableParagraph"/>
              <w:spacing w:before="34"/>
              <w:ind w:left="166" w:right="115"/>
              <w:rPr>
                <w:rFonts w:ascii="Times New Roman"/>
                <w:sz w:val="21"/>
              </w:rPr>
            </w:pPr>
            <w:r>
              <w:rPr>
                <w:rFonts w:ascii="Times New Roman"/>
                <w:sz w:val="21"/>
              </w:rPr>
              <w:t>1850</w:t>
            </w:r>
          </w:p>
        </w:tc>
      </w:tr>
    </w:tbl>
    <w:p>
      <w:pPr>
        <w:pStyle w:val="BodyText"/>
        <w:spacing w:before="5"/>
        <w:rPr>
          <w:sz w:val="4"/>
        </w:rPr>
      </w:pPr>
    </w:p>
    <w:p>
      <w:pPr>
        <w:pStyle w:val="BodyText"/>
        <w:spacing w:line="463" w:lineRule="exact"/>
        <w:ind w:left="1058"/>
      </w:pPr>
      <w:r>
        <w:rPr/>
        <w:t>（</w:t>
      </w:r>
      <w:r>
        <w:rPr>
          <w:rFonts w:ascii="Times New Roman" w:eastAsia="Times New Roman"/>
        </w:rPr>
        <w:t>2</w:t>
      </w:r>
      <w:r>
        <w:rPr/>
        <w:t>）最常见气象条件下</w:t>
      </w:r>
    </w:p>
    <w:p>
      <w:pPr>
        <w:pStyle w:val="BodyText"/>
        <w:spacing w:line="458" w:lineRule="exact"/>
        <w:ind w:left="1058"/>
      </w:pPr>
      <w:r>
        <w:rPr/>
        <w:t>①盐酸预测结果</w:t>
      </w:r>
    </w:p>
    <w:p>
      <w:pPr>
        <w:pStyle w:val="BodyText"/>
        <w:spacing w:line="443" w:lineRule="exact"/>
        <w:ind w:left="1058"/>
      </w:pPr>
      <w:r>
        <w:rPr/>
        <w:t>由盐酸预测结果可知，在最常见气象条件（</w:t>
      </w:r>
      <w:r>
        <w:rPr>
          <w:rFonts w:ascii="Times New Roman" w:eastAsia="Times New Roman"/>
        </w:rPr>
        <w:t>D </w:t>
      </w:r>
      <w:r>
        <w:rPr/>
        <w:t>类稳定度，</w:t>
      </w:r>
      <w:r>
        <w:rPr>
          <w:rFonts w:ascii="Times New Roman" w:eastAsia="Times New Roman"/>
        </w:rPr>
        <w:t>2.4m/s </w:t>
      </w:r>
      <w:r>
        <w:rPr/>
        <w:t>风速，温度</w:t>
      </w:r>
    </w:p>
    <w:p>
      <w:pPr>
        <w:pStyle w:val="BodyText"/>
        <w:spacing w:line="220" w:lineRule="auto" w:before="8"/>
        <w:ind w:left="578" w:right="753"/>
        <w:jc w:val="both"/>
      </w:pPr>
      <w:r>
        <w:rPr/>
        <w:drawing>
          <wp:anchor distT="0" distB="0" distL="0" distR="0" allowOverlap="1" layoutInCell="1" locked="0" behindDoc="1" simplePos="0" relativeHeight="268435199">
            <wp:simplePos x="0" y="0"/>
            <wp:positionH relativeFrom="page">
              <wp:posOffset>1144269</wp:posOffset>
            </wp:positionH>
            <wp:positionV relativeFrom="paragraph">
              <wp:posOffset>958585</wp:posOffset>
            </wp:positionV>
            <wp:extent cx="5271678" cy="3646741"/>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47" cstate="print"/>
                    <a:stretch>
                      <a:fillRect/>
                    </a:stretch>
                  </pic:blipFill>
                  <pic:spPr>
                    <a:xfrm>
                      <a:off x="0" y="0"/>
                      <a:ext cx="5271678" cy="3646741"/>
                    </a:xfrm>
                    <a:prstGeom prst="rect">
                      <a:avLst/>
                    </a:prstGeom>
                  </pic:spPr>
                </pic:pic>
              </a:graphicData>
            </a:graphic>
          </wp:anchor>
        </w:drawing>
      </w:r>
      <w:r>
        <w:rPr>
          <w:rFonts w:ascii="Times New Roman" w:hAnsi="Times New Roman" w:eastAsia="Times New Roman"/>
          <w:spacing w:val="-4"/>
        </w:rPr>
        <w:t>18.7</w:t>
      </w:r>
      <w:r>
        <w:rPr>
          <w:spacing w:val="-2"/>
        </w:rPr>
        <w:t>℃，相对湿度 </w:t>
      </w:r>
      <w:r>
        <w:rPr>
          <w:rFonts w:ascii="Times New Roman" w:hAnsi="Times New Roman" w:eastAsia="Times New Roman"/>
          <w:spacing w:val="-6"/>
        </w:rPr>
        <w:t>74%</w:t>
      </w:r>
      <w:r>
        <w:rPr>
          <w:spacing w:val="-6"/>
        </w:rPr>
        <w:t>）</w:t>
      </w:r>
      <w:r>
        <w:rPr>
          <w:spacing w:val="-5"/>
        </w:rPr>
        <w:t>下，氯化氢浓度达到大气毒性终点浓度</w:t>
      </w:r>
      <w:r>
        <w:rPr>
          <w:rFonts w:ascii="Times New Roman" w:hAnsi="Times New Roman" w:eastAsia="Times New Roman"/>
        </w:rPr>
        <w:t>-1 </w:t>
      </w:r>
      <w:r>
        <w:rPr/>
        <w:t>的最大影响范</w:t>
      </w:r>
      <w:r>
        <w:rPr>
          <w:spacing w:val="1"/>
        </w:rPr>
        <w:t>围约为 </w:t>
      </w:r>
      <w:r>
        <w:rPr>
          <w:rFonts w:ascii="Times New Roman" w:hAnsi="Times New Roman" w:eastAsia="Times New Roman"/>
          <w:spacing w:val="-3"/>
        </w:rPr>
        <w:t>197m</w:t>
      </w:r>
      <w:r>
        <w:rPr>
          <w:spacing w:val="-1"/>
        </w:rPr>
        <w:t>，发生时间为第 </w:t>
      </w:r>
      <w:r>
        <w:rPr>
          <w:rFonts w:ascii="Times New Roman" w:hAnsi="Times New Roman" w:eastAsia="Times New Roman"/>
          <w:spacing w:val="-3"/>
        </w:rPr>
        <w:t>247s</w:t>
      </w:r>
      <w:r>
        <w:rPr>
          <w:spacing w:val="-2"/>
        </w:rPr>
        <w:t>，达到大气毒性终点浓度</w:t>
      </w:r>
      <w:r>
        <w:rPr>
          <w:rFonts w:ascii="Times New Roman" w:hAnsi="Times New Roman" w:eastAsia="Times New Roman"/>
        </w:rPr>
        <w:t>-2 </w:t>
      </w:r>
      <w:r>
        <w:rPr/>
        <w:t>的最大影响范围约</w:t>
      </w:r>
      <w:r>
        <w:rPr>
          <w:spacing w:val="3"/>
        </w:rPr>
        <w:t>为 </w:t>
      </w:r>
      <w:r>
        <w:rPr>
          <w:rFonts w:ascii="Times New Roman" w:hAnsi="Times New Roman" w:eastAsia="Times New Roman"/>
        </w:rPr>
        <w:t>562m</w:t>
      </w:r>
      <w:r>
        <w:rPr/>
        <w:t>，发生时间为第 </w:t>
      </w:r>
      <w:r>
        <w:rPr>
          <w:rFonts w:ascii="Times New Roman" w:hAnsi="Times New Roman" w:eastAsia="Times New Roman"/>
        </w:rPr>
        <w:t>558s</w:t>
      </w:r>
      <w:r>
        <w:rPr/>
        <w:t>，该范围内存在村庄、学校等敏感目标。</w:t>
      </w:r>
    </w:p>
    <w:p>
      <w:pPr>
        <w:tabs>
          <w:tab w:pos="912" w:val="left" w:leader="none"/>
        </w:tabs>
        <w:spacing w:before="0"/>
        <w:ind w:left="0" w:right="176" w:firstLine="0"/>
        <w:jc w:val="center"/>
        <w:rPr>
          <w:sz w:val="21"/>
        </w:rPr>
      </w:pPr>
      <w:r>
        <w:rPr>
          <w:sz w:val="21"/>
        </w:rPr>
        <w:t>图</w:t>
      </w:r>
      <w:r>
        <w:rPr>
          <w:spacing w:val="7"/>
          <w:sz w:val="21"/>
        </w:rPr>
        <w:t> </w:t>
      </w:r>
      <w:r>
        <w:rPr>
          <w:rFonts w:ascii="Times New Roman" w:eastAsia="Times New Roman"/>
          <w:b/>
          <w:sz w:val="21"/>
        </w:rPr>
        <w:t>7.6-5</w:t>
        <w:tab/>
      </w:r>
      <w:r>
        <w:rPr>
          <w:sz w:val="21"/>
        </w:rPr>
        <w:t>氯化氢浓度达</w:t>
      </w:r>
      <w:r>
        <w:rPr>
          <w:spacing w:val="-3"/>
          <w:sz w:val="21"/>
        </w:rPr>
        <w:t>到</w:t>
      </w:r>
      <w:r>
        <w:rPr>
          <w:sz w:val="21"/>
        </w:rPr>
        <w:t>不同毒性终点浓度</w:t>
      </w:r>
      <w:r>
        <w:rPr>
          <w:spacing w:val="-3"/>
          <w:sz w:val="21"/>
        </w:rPr>
        <w:t>时</w:t>
      </w:r>
      <w:r>
        <w:rPr>
          <w:sz w:val="21"/>
        </w:rPr>
        <w:t>的</w:t>
      </w:r>
      <w:r>
        <w:rPr>
          <w:spacing w:val="-3"/>
          <w:sz w:val="21"/>
        </w:rPr>
        <w:t>最</w:t>
      </w:r>
      <w:r>
        <w:rPr>
          <w:sz w:val="21"/>
        </w:rPr>
        <w:t>大影响范围图</w:t>
      </w:r>
    </w:p>
    <w:p>
      <w:pPr>
        <w:tabs>
          <w:tab w:pos="912" w:val="left" w:leader="none"/>
        </w:tabs>
        <w:spacing w:before="121"/>
        <w:ind w:left="0" w:right="176" w:firstLine="0"/>
        <w:jc w:val="center"/>
        <w:rPr>
          <w:sz w:val="21"/>
        </w:rPr>
      </w:pPr>
      <w:r>
        <w:rPr>
          <w:sz w:val="21"/>
        </w:rPr>
        <w:t>表</w:t>
      </w:r>
      <w:r>
        <w:rPr>
          <w:spacing w:val="7"/>
          <w:sz w:val="21"/>
        </w:rPr>
        <w:t> </w:t>
      </w:r>
      <w:r>
        <w:rPr>
          <w:rFonts w:ascii="Times New Roman" w:eastAsia="Times New Roman"/>
          <w:b/>
          <w:sz w:val="21"/>
        </w:rPr>
        <w:t>7.6-7</w:t>
        <w:tab/>
      </w:r>
      <w:r>
        <w:rPr>
          <w:sz w:val="21"/>
        </w:rPr>
        <w:t>最常见气象条</w:t>
      </w:r>
      <w:r>
        <w:rPr>
          <w:spacing w:val="-3"/>
          <w:sz w:val="21"/>
        </w:rPr>
        <w:t>件</w:t>
      </w:r>
      <w:r>
        <w:rPr>
          <w:sz w:val="21"/>
        </w:rPr>
        <w:t>下下风向不同距离</w:t>
      </w:r>
      <w:r>
        <w:rPr>
          <w:spacing w:val="-3"/>
          <w:sz w:val="21"/>
        </w:rPr>
        <w:t>处</w:t>
      </w:r>
      <w:r>
        <w:rPr>
          <w:sz w:val="21"/>
        </w:rPr>
        <w:t>氯</w:t>
      </w:r>
      <w:r>
        <w:rPr>
          <w:spacing w:val="-3"/>
          <w:sz w:val="21"/>
        </w:rPr>
        <w:t>化</w:t>
      </w:r>
      <w:r>
        <w:rPr>
          <w:sz w:val="21"/>
        </w:rPr>
        <w:t>氢最大浓度</w:t>
      </w:r>
    </w:p>
    <w:p>
      <w:pPr>
        <w:pStyle w:val="BodyText"/>
        <w:spacing w:before="14"/>
        <w:rPr>
          <w:sz w:val="3"/>
        </w:rPr>
      </w:pPr>
    </w:p>
    <w:tbl>
      <w:tblPr>
        <w:tblW w:w="0" w:type="auto"/>
        <w:jc w:val="left"/>
        <w:tblInd w:w="55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45"/>
        <w:gridCol w:w="2493"/>
        <w:gridCol w:w="2821"/>
      </w:tblGrid>
      <w:tr>
        <w:trPr>
          <w:trHeight w:val="318" w:hRule="atLeast"/>
        </w:trPr>
        <w:tc>
          <w:tcPr>
            <w:tcW w:w="3045" w:type="dxa"/>
            <w:tcBorders>
              <w:left w:val="single" w:sz="6" w:space="0" w:color="000000"/>
              <w:bottom w:val="single" w:sz="12" w:space="0" w:color="000000"/>
              <w:right w:val="single" w:sz="12" w:space="0" w:color="000000"/>
            </w:tcBorders>
            <w:shd w:val="clear" w:color="auto" w:fill="F9F9F9"/>
          </w:tcPr>
          <w:p>
            <w:pPr>
              <w:pStyle w:val="TableParagraph"/>
              <w:spacing w:line="299" w:lineRule="exact"/>
              <w:ind w:left="689" w:right="659"/>
              <w:rPr>
                <w:sz w:val="21"/>
              </w:rPr>
            </w:pPr>
            <w:r>
              <w:rPr>
                <w:color w:val="404040"/>
                <w:sz w:val="21"/>
              </w:rPr>
              <w:t>下风向距离（</w:t>
            </w:r>
            <w:r>
              <w:rPr>
                <w:rFonts w:ascii="Times New Roman" w:eastAsia="Times New Roman"/>
                <w:color w:val="404040"/>
                <w:sz w:val="21"/>
              </w:rPr>
              <w:t>m</w:t>
            </w:r>
            <w:r>
              <w:rPr>
                <w:color w:val="404040"/>
                <w:sz w:val="21"/>
              </w:rPr>
              <w:t>）</w:t>
            </w:r>
          </w:p>
        </w:tc>
        <w:tc>
          <w:tcPr>
            <w:tcW w:w="2493" w:type="dxa"/>
            <w:tcBorders>
              <w:left w:val="single" w:sz="12" w:space="0" w:color="000000"/>
              <w:bottom w:val="single" w:sz="12" w:space="0" w:color="000000"/>
              <w:right w:val="double" w:sz="2" w:space="0" w:color="000000"/>
            </w:tcBorders>
            <w:shd w:val="clear" w:color="auto" w:fill="F9F9F9"/>
          </w:tcPr>
          <w:p>
            <w:pPr>
              <w:pStyle w:val="TableParagraph"/>
              <w:spacing w:line="299" w:lineRule="exact"/>
              <w:ind w:left="546" w:right="526"/>
              <w:rPr>
                <w:sz w:val="21"/>
              </w:rPr>
            </w:pPr>
            <w:r>
              <w:rPr>
                <w:color w:val="404040"/>
                <w:sz w:val="21"/>
              </w:rPr>
              <w:t>出现时间（</w:t>
            </w:r>
            <w:r>
              <w:rPr>
                <w:rFonts w:ascii="Times New Roman" w:eastAsia="Times New Roman"/>
                <w:color w:val="404040"/>
                <w:sz w:val="21"/>
              </w:rPr>
              <w:t>s</w:t>
            </w:r>
            <w:r>
              <w:rPr>
                <w:color w:val="404040"/>
                <w:sz w:val="21"/>
              </w:rPr>
              <w:t>）</w:t>
            </w:r>
          </w:p>
        </w:tc>
        <w:tc>
          <w:tcPr>
            <w:tcW w:w="2821" w:type="dxa"/>
            <w:tcBorders>
              <w:left w:val="double" w:sz="2" w:space="0" w:color="000000"/>
              <w:bottom w:val="single" w:sz="12" w:space="0" w:color="000000"/>
              <w:right w:val="single" w:sz="6" w:space="0" w:color="000000"/>
            </w:tcBorders>
            <w:shd w:val="clear" w:color="auto" w:fill="F9F9F9"/>
          </w:tcPr>
          <w:p>
            <w:pPr>
              <w:pStyle w:val="TableParagraph"/>
              <w:spacing w:line="299" w:lineRule="exact"/>
              <w:ind w:left="672" w:right="678"/>
              <w:rPr>
                <w:sz w:val="21"/>
              </w:rPr>
            </w:pPr>
            <w:r>
              <w:rPr>
                <w:color w:val="404040"/>
                <w:sz w:val="21"/>
              </w:rPr>
              <w:t>浓度（</w:t>
            </w:r>
            <w:r>
              <w:rPr>
                <w:rFonts w:ascii="Times New Roman" w:eastAsia="Times New Roman"/>
                <w:color w:val="404040"/>
                <w:sz w:val="21"/>
              </w:rPr>
              <w:t>mg/m</w:t>
            </w:r>
            <w:r>
              <w:rPr>
                <w:rFonts w:ascii="Times New Roman" w:eastAsia="Times New Roman"/>
                <w:color w:val="404040"/>
                <w:position w:val="7"/>
                <w:sz w:val="14"/>
              </w:rPr>
              <w:t>3</w:t>
            </w:r>
            <w:r>
              <w:rPr>
                <w:color w:val="404040"/>
                <w:sz w:val="21"/>
              </w:rPr>
              <w:t>）</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3" w:right="659"/>
              <w:rPr>
                <w:rFonts w:ascii="Times New Roman"/>
                <w:sz w:val="14"/>
              </w:rPr>
            </w:pPr>
            <w:r>
              <w:rPr>
                <w:rFonts w:ascii="Times New Roman"/>
                <w:color w:val="404040"/>
                <w:sz w:val="14"/>
              </w:rPr>
              <w:t>-11.7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7.26</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right="6"/>
              <w:rPr>
                <w:rFonts w:ascii="Times New Roman"/>
                <w:sz w:val="14"/>
              </w:rPr>
            </w:pPr>
            <w:r>
              <w:rPr>
                <w:rFonts w:ascii="Times New Roman"/>
                <w:color w:val="404040"/>
                <w:w w:val="99"/>
                <w:sz w:val="14"/>
              </w:rPr>
              <w:t>0</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683" w:right="659"/>
              <w:rPr>
                <w:rFonts w:ascii="Times New Roman"/>
                <w:sz w:val="14"/>
              </w:rPr>
            </w:pPr>
            <w:r>
              <w:rPr>
                <w:rFonts w:ascii="Times New Roman"/>
                <w:color w:val="404040"/>
                <w:sz w:val="14"/>
              </w:rPr>
              <w:t>-9.35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546" w:right="526"/>
              <w:rPr>
                <w:rFonts w:ascii="Times New Roman"/>
                <w:sz w:val="14"/>
              </w:rPr>
            </w:pPr>
            <w:r>
              <w:rPr>
                <w:rFonts w:ascii="Times New Roman"/>
                <w:color w:val="404040"/>
                <w:sz w:val="14"/>
              </w:rPr>
              <w:t>8.57</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671" w:right="678"/>
              <w:rPr>
                <w:rFonts w:ascii="Times New Roman"/>
                <w:sz w:val="14"/>
              </w:rPr>
            </w:pPr>
            <w:r>
              <w:rPr>
                <w:rFonts w:ascii="Times New Roman"/>
                <w:color w:val="404040"/>
                <w:sz w:val="14"/>
              </w:rPr>
              <w:t>1291.5076205756175</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3" w:right="659"/>
              <w:rPr>
                <w:rFonts w:ascii="Times New Roman"/>
                <w:sz w:val="14"/>
              </w:rPr>
            </w:pPr>
            <w:r>
              <w:rPr>
                <w:rFonts w:ascii="Times New Roman"/>
                <w:color w:val="404040"/>
                <w:sz w:val="14"/>
              </w:rPr>
              <w:t>-7.01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9.87</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71" w:right="678"/>
              <w:rPr>
                <w:rFonts w:ascii="Times New Roman"/>
                <w:sz w:val="14"/>
              </w:rPr>
            </w:pPr>
            <w:r>
              <w:rPr>
                <w:rFonts w:ascii="Times New Roman"/>
                <w:color w:val="404040"/>
                <w:sz w:val="14"/>
              </w:rPr>
              <w:t>1673.0010421800614</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683" w:right="659"/>
              <w:rPr>
                <w:rFonts w:ascii="Times New Roman"/>
                <w:sz w:val="14"/>
              </w:rPr>
            </w:pPr>
            <w:r>
              <w:rPr>
                <w:rFonts w:ascii="Times New Roman"/>
                <w:color w:val="404040"/>
                <w:sz w:val="14"/>
              </w:rPr>
              <w:t>-4.68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11.4</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668" w:right="678"/>
              <w:rPr>
                <w:rFonts w:ascii="Times New Roman"/>
                <w:sz w:val="14"/>
              </w:rPr>
            </w:pPr>
            <w:r>
              <w:rPr>
                <w:rFonts w:ascii="Times New Roman"/>
                <w:color w:val="404040"/>
                <w:sz w:val="14"/>
              </w:rPr>
              <w:t>1926.879324677257</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3"/>
              <w:ind w:left="683" w:right="659"/>
              <w:rPr>
                <w:rFonts w:ascii="Times New Roman"/>
                <w:sz w:val="14"/>
              </w:rPr>
            </w:pPr>
            <w:r>
              <w:rPr>
                <w:rFonts w:ascii="Times New Roman"/>
                <w:color w:val="404040"/>
                <w:sz w:val="14"/>
              </w:rPr>
              <w:t>-2.34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3"/>
              <w:ind w:left="545" w:right="526"/>
              <w:rPr>
                <w:rFonts w:ascii="Times New Roman"/>
                <w:sz w:val="14"/>
              </w:rPr>
            </w:pPr>
            <w:r>
              <w:rPr>
                <w:rFonts w:ascii="Times New Roman"/>
                <w:color w:val="404040"/>
                <w:sz w:val="14"/>
              </w:rPr>
              <w:t>12.8</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3"/>
              <w:ind w:left="671" w:right="678"/>
              <w:rPr>
                <w:rFonts w:ascii="Times New Roman"/>
                <w:sz w:val="14"/>
              </w:rPr>
            </w:pPr>
            <w:r>
              <w:rPr>
                <w:rFonts w:ascii="Times New Roman"/>
                <w:color w:val="404040"/>
                <w:sz w:val="14"/>
              </w:rPr>
              <w:t>2113.0891759435276</w:t>
            </w:r>
          </w:p>
        </w:tc>
      </w:tr>
      <w:tr>
        <w:trPr>
          <w:trHeight w:val="312" w:hRule="atLeast"/>
        </w:trPr>
        <w:tc>
          <w:tcPr>
            <w:tcW w:w="3045" w:type="dxa"/>
            <w:tcBorders>
              <w:top w:val="single" w:sz="12" w:space="0" w:color="000000"/>
              <w:left w:val="single" w:sz="6" w:space="0" w:color="000000"/>
              <w:right w:val="single" w:sz="12" w:space="0" w:color="000000"/>
            </w:tcBorders>
            <w:shd w:val="clear" w:color="auto" w:fill="F9F9F9"/>
          </w:tcPr>
          <w:p>
            <w:pPr>
              <w:pStyle w:val="TableParagraph"/>
              <w:spacing w:before="74"/>
              <w:ind w:left="29"/>
              <w:rPr>
                <w:rFonts w:ascii="Times New Roman"/>
                <w:sz w:val="14"/>
              </w:rPr>
            </w:pPr>
            <w:r>
              <w:rPr>
                <w:rFonts w:ascii="Times New Roman"/>
                <w:color w:val="404040"/>
                <w:w w:val="99"/>
                <w:sz w:val="14"/>
              </w:rPr>
              <w:t>0</w:t>
            </w:r>
          </w:p>
        </w:tc>
        <w:tc>
          <w:tcPr>
            <w:tcW w:w="2493" w:type="dxa"/>
            <w:tcBorders>
              <w:top w:val="single" w:sz="12" w:space="0" w:color="000000"/>
              <w:left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14.5</w:t>
            </w:r>
          </w:p>
        </w:tc>
        <w:tc>
          <w:tcPr>
            <w:tcW w:w="2821" w:type="dxa"/>
            <w:tcBorders>
              <w:top w:val="single" w:sz="12" w:space="0" w:color="000000"/>
              <w:left w:val="double" w:sz="2" w:space="0" w:color="000000"/>
              <w:right w:val="single" w:sz="6" w:space="0" w:color="000000"/>
            </w:tcBorders>
            <w:shd w:val="clear" w:color="auto" w:fill="F9F9F9"/>
          </w:tcPr>
          <w:p>
            <w:pPr>
              <w:pStyle w:val="TableParagraph"/>
              <w:spacing w:before="74"/>
              <w:ind w:left="668" w:right="678"/>
              <w:rPr>
                <w:rFonts w:ascii="Times New Roman"/>
                <w:sz w:val="14"/>
              </w:rPr>
            </w:pPr>
            <w:r>
              <w:rPr>
                <w:rFonts w:ascii="Times New Roman"/>
                <w:color w:val="404040"/>
                <w:sz w:val="14"/>
              </w:rPr>
              <w:t>2252.226856018675</w:t>
            </w:r>
          </w:p>
        </w:tc>
      </w:tr>
    </w:tbl>
    <w:p>
      <w:pPr>
        <w:spacing w:after="0"/>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63"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45"/>
        <w:gridCol w:w="2493"/>
        <w:gridCol w:w="2821"/>
      </w:tblGrid>
      <w:tr>
        <w:trPr>
          <w:trHeight w:val="312" w:hRule="atLeast"/>
        </w:trPr>
        <w:tc>
          <w:tcPr>
            <w:tcW w:w="3045" w:type="dxa"/>
            <w:tcBorders>
              <w:bottom w:val="single" w:sz="12" w:space="0" w:color="000000"/>
              <w:right w:val="single" w:sz="12" w:space="0" w:color="000000"/>
            </w:tcBorders>
            <w:shd w:val="clear" w:color="auto" w:fill="F9F9F9"/>
          </w:tcPr>
          <w:p>
            <w:pPr>
              <w:pStyle w:val="TableParagraph"/>
              <w:spacing w:before="74"/>
              <w:ind w:left="1356" w:right="1330"/>
              <w:rPr>
                <w:rFonts w:ascii="Times New Roman"/>
                <w:sz w:val="14"/>
              </w:rPr>
            </w:pPr>
            <w:r>
              <w:rPr>
                <w:rFonts w:ascii="Times New Roman"/>
                <w:color w:val="404040"/>
                <w:sz w:val="14"/>
              </w:rPr>
              <w:t>2.34</w:t>
            </w:r>
          </w:p>
        </w:tc>
        <w:tc>
          <w:tcPr>
            <w:tcW w:w="2493" w:type="dxa"/>
            <w:tcBorders>
              <w:left w:val="single" w:sz="12" w:space="0" w:color="000000"/>
              <w:bottom w:val="single" w:sz="12" w:space="0" w:color="000000"/>
              <w:right w:val="double" w:sz="2" w:space="0" w:color="000000"/>
            </w:tcBorders>
            <w:shd w:val="clear" w:color="auto" w:fill="F9F9F9"/>
          </w:tcPr>
          <w:p>
            <w:pPr>
              <w:pStyle w:val="TableParagraph"/>
              <w:spacing w:before="74"/>
              <w:ind w:left="546" w:right="512"/>
              <w:rPr>
                <w:rFonts w:ascii="Times New Roman"/>
                <w:sz w:val="14"/>
              </w:rPr>
            </w:pPr>
            <w:r>
              <w:rPr>
                <w:rFonts w:ascii="Times New Roman"/>
                <w:color w:val="404040"/>
                <w:sz w:val="14"/>
              </w:rPr>
              <w:t>16.1</w:t>
            </w:r>
          </w:p>
        </w:tc>
        <w:tc>
          <w:tcPr>
            <w:tcW w:w="2821" w:type="dxa"/>
            <w:tcBorders>
              <w:left w:val="double" w:sz="2" w:space="0" w:color="000000"/>
              <w:bottom w:val="single" w:sz="12" w:space="0" w:color="000000"/>
            </w:tcBorders>
            <w:shd w:val="clear" w:color="auto" w:fill="F9F9F9"/>
          </w:tcPr>
          <w:p>
            <w:pPr>
              <w:pStyle w:val="TableParagraph"/>
              <w:spacing w:before="74"/>
              <w:ind w:right="801"/>
              <w:jc w:val="right"/>
              <w:rPr>
                <w:rFonts w:ascii="Times New Roman"/>
                <w:sz w:val="14"/>
              </w:rPr>
            </w:pPr>
            <w:r>
              <w:rPr>
                <w:rFonts w:ascii="Times New Roman"/>
                <w:color w:val="404040"/>
                <w:w w:val="95"/>
                <w:sz w:val="14"/>
              </w:rPr>
              <w:t>2364.808370999881</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4.68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1"/>
              <w:rPr>
                <w:rFonts w:ascii="Times New Roman"/>
                <w:sz w:val="14"/>
              </w:rPr>
            </w:pPr>
            <w:r>
              <w:rPr>
                <w:rFonts w:ascii="Times New Roman"/>
                <w:color w:val="404040"/>
                <w:sz w:val="14"/>
              </w:rPr>
              <w:t>18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2437.8482474146763</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7.01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19.8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765"/>
              <w:jc w:val="right"/>
              <w:rPr>
                <w:rFonts w:ascii="Times New Roman"/>
                <w:sz w:val="14"/>
              </w:rPr>
            </w:pPr>
            <w:r>
              <w:rPr>
                <w:rFonts w:ascii="Times New Roman"/>
                <w:color w:val="404040"/>
                <w:w w:val="95"/>
                <w:sz w:val="14"/>
              </w:rPr>
              <w:t>2494.2766477577406</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9.35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21.8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35"/>
              <w:jc w:val="right"/>
              <w:rPr>
                <w:rFonts w:ascii="Times New Roman"/>
                <w:sz w:val="14"/>
              </w:rPr>
            </w:pPr>
            <w:r>
              <w:rPr>
                <w:rFonts w:ascii="Times New Roman"/>
                <w:color w:val="404040"/>
                <w:w w:val="95"/>
                <w:sz w:val="14"/>
              </w:rPr>
              <w:t>2552.52231182238</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11.7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23.8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2600.090571562242</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11.9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24.2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01"/>
              <w:jc w:val="right"/>
              <w:rPr>
                <w:rFonts w:ascii="Times New Roman"/>
                <w:sz w:val="14"/>
              </w:rPr>
            </w:pPr>
            <w:r>
              <w:rPr>
                <w:rFonts w:ascii="Times New Roman"/>
                <w:color w:val="404040"/>
                <w:w w:val="95"/>
                <w:sz w:val="14"/>
              </w:rPr>
              <w:t>2555.224839422252</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12.2</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24.7</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2536.967006148141</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12.5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25.3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2499.8015701776876</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12.9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1"/>
              <w:rPr>
                <w:rFonts w:ascii="Times New Roman"/>
                <w:sz w:val="14"/>
              </w:rPr>
            </w:pPr>
            <w:r>
              <w:rPr>
                <w:rFonts w:ascii="Times New Roman"/>
                <w:color w:val="404040"/>
                <w:sz w:val="14"/>
              </w:rPr>
              <w:t>26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2471.783945038211</w:t>
            </w:r>
          </w:p>
        </w:tc>
      </w:tr>
      <w:tr>
        <w:trPr>
          <w:trHeight w:val="311"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13.4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26.8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2432.1816693167507</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27.8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2375.788223963626</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14.7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1"/>
              <w:rPr>
                <w:rFonts w:ascii="Times New Roman"/>
                <w:sz w:val="14"/>
              </w:rPr>
            </w:pPr>
            <w:r>
              <w:rPr>
                <w:rFonts w:ascii="Times New Roman"/>
                <w:color w:val="404040"/>
                <w:sz w:val="14"/>
              </w:rPr>
              <w:t>29</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01"/>
              <w:jc w:val="right"/>
              <w:rPr>
                <w:rFonts w:ascii="Times New Roman"/>
                <w:sz w:val="14"/>
              </w:rPr>
            </w:pPr>
            <w:r>
              <w:rPr>
                <w:rFonts w:ascii="Times New Roman"/>
                <w:color w:val="404040"/>
                <w:w w:val="95"/>
                <w:sz w:val="14"/>
              </w:rPr>
              <w:t>2315.452443502002</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15.5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30.5</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2251.130410018589</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16.5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32.2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2167.0760834260022</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17.7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34.2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765"/>
              <w:jc w:val="right"/>
              <w:rPr>
                <w:rFonts w:ascii="Times New Roman"/>
                <w:sz w:val="14"/>
              </w:rPr>
            </w:pPr>
            <w:r>
              <w:rPr>
                <w:rFonts w:ascii="Times New Roman"/>
                <w:color w:val="404040"/>
                <w:w w:val="95"/>
                <w:sz w:val="14"/>
              </w:rPr>
              <w:t>2072.7201599405576</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19.1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36.5</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01"/>
              <w:jc w:val="right"/>
              <w:rPr>
                <w:rFonts w:ascii="Times New Roman"/>
                <w:sz w:val="14"/>
              </w:rPr>
            </w:pPr>
            <w:r>
              <w:rPr>
                <w:rFonts w:ascii="Times New Roman"/>
                <w:color w:val="404040"/>
                <w:w w:val="95"/>
                <w:sz w:val="14"/>
              </w:rPr>
              <w:t>1976.109534205825</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20.8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39.3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1864.944532207771</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22.8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42.7</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1741.2855452433485</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25.3</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46.6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765"/>
              <w:jc w:val="right"/>
              <w:rPr>
                <w:rFonts w:ascii="Times New Roman"/>
                <w:sz w:val="14"/>
              </w:rPr>
            </w:pPr>
            <w:r>
              <w:rPr>
                <w:rFonts w:ascii="Times New Roman"/>
                <w:color w:val="404040"/>
                <w:w w:val="95"/>
                <w:sz w:val="14"/>
              </w:rPr>
              <w:t>1605.0829478478688</w:t>
            </w:r>
          </w:p>
        </w:tc>
      </w:tr>
      <w:tr>
        <w:trPr>
          <w:trHeight w:val="311"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3"/>
              <w:ind w:left="1356" w:right="1330"/>
              <w:rPr>
                <w:rFonts w:ascii="Times New Roman"/>
                <w:sz w:val="14"/>
              </w:rPr>
            </w:pPr>
            <w:r>
              <w:rPr>
                <w:rFonts w:ascii="Times New Roman"/>
                <w:color w:val="404040"/>
                <w:sz w:val="14"/>
              </w:rPr>
              <w:t>28.2</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3"/>
              <w:ind w:left="546" w:right="512"/>
              <w:rPr>
                <w:rFonts w:ascii="Times New Roman"/>
                <w:sz w:val="14"/>
              </w:rPr>
            </w:pPr>
            <w:r>
              <w:rPr>
                <w:rFonts w:ascii="Times New Roman"/>
                <w:color w:val="404040"/>
                <w:sz w:val="14"/>
              </w:rPr>
              <w:t>51.2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3"/>
              <w:ind w:right="765"/>
              <w:jc w:val="right"/>
              <w:rPr>
                <w:rFonts w:ascii="Times New Roman"/>
                <w:sz w:val="14"/>
              </w:rPr>
            </w:pPr>
            <w:r>
              <w:rPr>
                <w:rFonts w:ascii="Times New Roman"/>
                <w:color w:val="404040"/>
                <w:w w:val="95"/>
                <w:sz w:val="14"/>
              </w:rPr>
              <w:t>1472.2163840700368</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31.7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56.6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765"/>
              <w:jc w:val="right"/>
              <w:rPr>
                <w:rFonts w:ascii="Times New Roman"/>
                <w:sz w:val="14"/>
              </w:rPr>
            </w:pPr>
            <w:r>
              <w:rPr>
                <w:rFonts w:ascii="Times New Roman"/>
                <w:color w:val="404040"/>
                <w:w w:val="95"/>
                <w:sz w:val="14"/>
              </w:rPr>
              <w:t>1321.2551541124337</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35.9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62.9</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4"/>
              <w:jc w:val="right"/>
              <w:rPr>
                <w:rFonts w:ascii="Times New Roman"/>
                <w:sz w:val="14"/>
              </w:rPr>
            </w:pPr>
            <w:r>
              <w:rPr>
                <w:rFonts w:ascii="Times New Roman"/>
                <w:color w:val="404040"/>
                <w:w w:val="95"/>
                <w:sz w:val="14"/>
              </w:rPr>
              <w:t>1176.4950680748302</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40.9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70.2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1035.698624951565</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47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78.8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01"/>
              <w:jc w:val="right"/>
              <w:rPr>
                <w:rFonts w:ascii="Times New Roman"/>
                <w:sz w:val="14"/>
              </w:rPr>
            </w:pPr>
            <w:r>
              <w:rPr>
                <w:rFonts w:ascii="Times New Roman"/>
                <w:color w:val="404040"/>
                <w:w w:val="95"/>
                <w:sz w:val="14"/>
              </w:rPr>
              <w:t>898.2686283186895</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54.2</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88.7</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768.0377269455065</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62.9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100</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01"/>
              <w:jc w:val="right"/>
              <w:rPr>
                <w:rFonts w:ascii="Times New Roman"/>
                <w:sz w:val="14"/>
              </w:rPr>
            </w:pPr>
            <w:r>
              <w:rPr>
                <w:rFonts w:ascii="Times New Roman"/>
                <w:color w:val="404040"/>
                <w:w w:val="95"/>
                <w:sz w:val="14"/>
              </w:rPr>
              <w:t>648.0293201458549</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73.3</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113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544.5301549017676</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85.8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129</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452.75370213788443</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101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146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370.9385555435852</w:t>
            </w:r>
          </w:p>
        </w:tc>
      </w:tr>
      <w:tr>
        <w:trPr>
          <w:trHeight w:val="311"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3"/>
              <w:ind w:left="1354" w:right="1330"/>
              <w:rPr>
                <w:rFonts w:ascii="Times New Roman"/>
                <w:sz w:val="14"/>
              </w:rPr>
            </w:pPr>
            <w:r>
              <w:rPr>
                <w:rFonts w:ascii="Times New Roman"/>
                <w:color w:val="404040"/>
                <w:sz w:val="14"/>
              </w:rPr>
              <w:t>119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3"/>
              <w:ind w:left="546" w:right="514"/>
              <w:rPr>
                <w:rFonts w:ascii="Times New Roman"/>
                <w:sz w:val="14"/>
              </w:rPr>
            </w:pPr>
            <w:r>
              <w:rPr>
                <w:rFonts w:ascii="Times New Roman"/>
                <w:color w:val="404040"/>
                <w:sz w:val="14"/>
              </w:rPr>
              <w:t>166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3"/>
              <w:ind w:right="801"/>
              <w:jc w:val="right"/>
              <w:rPr>
                <w:rFonts w:ascii="Times New Roman"/>
                <w:sz w:val="14"/>
              </w:rPr>
            </w:pPr>
            <w:r>
              <w:rPr>
                <w:rFonts w:ascii="Times New Roman"/>
                <w:color w:val="404040"/>
                <w:w w:val="95"/>
                <w:sz w:val="14"/>
              </w:rPr>
              <w:t>300.8994684891924</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140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190</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764"/>
              <w:jc w:val="right"/>
              <w:rPr>
                <w:rFonts w:ascii="Times New Roman"/>
                <w:sz w:val="14"/>
              </w:rPr>
            </w:pPr>
            <w:r>
              <w:rPr>
                <w:rFonts w:ascii="Times New Roman"/>
                <w:color w:val="404040"/>
                <w:w w:val="95"/>
                <w:sz w:val="14"/>
              </w:rPr>
              <w:t>242.68714137880832</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166</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216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194.16992592501558</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197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247</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155.5242082122493</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233</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282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765"/>
              <w:jc w:val="right"/>
              <w:rPr>
                <w:rFonts w:ascii="Times New Roman"/>
                <w:sz w:val="14"/>
              </w:rPr>
            </w:pPr>
            <w:r>
              <w:rPr>
                <w:rFonts w:ascii="Times New Roman"/>
                <w:color w:val="404040"/>
                <w:w w:val="95"/>
                <w:sz w:val="14"/>
              </w:rPr>
              <w:t>122.16000833724581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278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323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96.47330726812781</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331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370</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01"/>
              <w:jc w:val="right"/>
              <w:rPr>
                <w:rFonts w:ascii="Times New Roman"/>
                <w:sz w:val="14"/>
              </w:rPr>
            </w:pPr>
            <w:r>
              <w:rPr>
                <w:rFonts w:ascii="Times New Roman"/>
                <w:color w:val="404040"/>
                <w:w w:val="95"/>
                <w:sz w:val="14"/>
              </w:rPr>
              <w:t>75.24750719391591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394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424</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58.09445783737471</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471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486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right="801"/>
              <w:jc w:val="right"/>
              <w:rPr>
                <w:rFonts w:ascii="Times New Roman"/>
                <w:sz w:val="14"/>
              </w:rPr>
            </w:pPr>
            <w:r>
              <w:rPr>
                <w:rFonts w:ascii="Times New Roman"/>
                <w:color w:val="404040"/>
                <w:w w:val="95"/>
                <w:sz w:val="14"/>
              </w:rPr>
              <w:t>44.79877320631463</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562</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558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right="801"/>
              <w:jc w:val="right"/>
              <w:rPr>
                <w:rFonts w:ascii="Times New Roman"/>
                <w:sz w:val="14"/>
              </w:rPr>
            </w:pPr>
            <w:r>
              <w:rPr>
                <w:rFonts w:ascii="Times New Roman"/>
                <w:color w:val="404040"/>
                <w:w w:val="95"/>
                <w:sz w:val="14"/>
              </w:rPr>
              <w:t>34.32188214839611</w:t>
            </w:r>
          </w:p>
        </w:tc>
      </w:tr>
      <w:tr>
        <w:trPr>
          <w:trHeight w:val="311" w:hRule="atLeast"/>
        </w:trPr>
        <w:tc>
          <w:tcPr>
            <w:tcW w:w="3045" w:type="dxa"/>
            <w:tcBorders>
              <w:top w:val="single" w:sz="12" w:space="0" w:color="000000"/>
              <w:right w:val="single" w:sz="12" w:space="0" w:color="000000"/>
            </w:tcBorders>
            <w:shd w:val="clear" w:color="auto" w:fill="F9F9F9"/>
          </w:tcPr>
          <w:p>
            <w:pPr>
              <w:pStyle w:val="TableParagraph"/>
              <w:spacing w:before="73"/>
              <w:ind w:left="1354" w:right="1330"/>
              <w:rPr>
                <w:rFonts w:ascii="Times New Roman"/>
                <w:sz w:val="14"/>
              </w:rPr>
            </w:pPr>
            <w:r>
              <w:rPr>
                <w:rFonts w:ascii="Times New Roman"/>
                <w:color w:val="404040"/>
                <w:sz w:val="14"/>
              </w:rPr>
              <w:t>671</w:t>
            </w:r>
          </w:p>
        </w:tc>
        <w:tc>
          <w:tcPr>
            <w:tcW w:w="2493" w:type="dxa"/>
            <w:tcBorders>
              <w:top w:val="single" w:sz="12" w:space="0" w:color="000000"/>
              <w:left w:val="single" w:sz="12" w:space="0" w:color="000000"/>
              <w:right w:val="double" w:sz="2" w:space="0" w:color="000000"/>
            </w:tcBorders>
            <w:shd w:val="clear" w:color="auto" w:fill="F9F9F9"/>
          </w:tcPr>
          <w:p>
            <w:pPr>
              <w:pStyle w:val="TableParagraph"/>
              <w:spacing w:before="73"/>
              <w:ind w:left="546" w:right="514"/>
              <w:rPr>
                <w:rFonts w:ascii="Times New Roman"/>
                <w:sz w:val="14"/>
              </w:rPr>
            </w:pPr>
            <w:r>
              <w:rPr>
                <w:rFonts w:ascii="Times New Roman"/>
                <w:color w:val="404040"/>
                <w:sz w:val="14"/>
              </w:rPr>
              <w:t>641</w:t>
            </w:r>
          </w:p>
        </w:tc>
        <w:tc>
          <w:tcPr>
            <w:tcW w:w="2821" w:type="dxa"/>
            <w:tcBorders>
              <w:top w:val="single" w:sz="12" w:space="0" w:color="000000"/>
              <w:left w:val="double" w:sz="2" w:space="0" w:color="000000"/>
            </w:tcBorders>
            <w:shd w:val="clear" w:color="auto" w:fill="F9F9F9"/>
          </w:tcPr>
          <w:p>
            <w:pPr>
              <w:pStyle w:val="TableParagraph"/>
              <w:spacing w:before="73"/>
              <w:ind w:right="765"/>
              <w:jc w:val="right"/>
              <w:rPr>
                <w:rFonts w:ascii="Times New Roman"/>
                <w:sz w:val="14"/>
              </w:rPr>
            </w:pPr>
            <w:r>
              <w:rPr>
                <w:rFonts w:ascii="Times New Roman"/>
                <w:color w:val="404040"/>
                <w:w w:val="95"/>
                <w:sz w:val="14"/>
              </w:rPr>
              <w:t>26.208748149331388</w:t>
            </w:r>
          </w:p>
        </w:tc>
      </w:tr>
    </w:tbl>
    <w:p>
      <w:pPr>
        <w:spacing w:after="0"/>
        <w:jc w:val="right"/>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4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53"/>
        <w:gridCol w:w="2492"/>
        <w:gridCol w:w="2820"/>
      </w:tblGrid>
      <w:tr>
        <w:trPr>
          <w:trHeight w:val="312" w:hRule="atLeast"/>
        </w:trPr>
        <w:tc>
          <w:tcPr>
            <w:tcW w:w="3053" w:type="dxa"/>
            <w:tcBorders>
              <w:left w:val="single" w:sz="6" w:space="0" w:color="000000"/>
              <w:bottom w:val="single" w:sz="12" w:space="0" w:color="000000"/>
              <w:right w:val="single" w:sz="12" w:space="0" w:color="000000"/>
            </w:tcBorders>
            <w:shd w:val="clear" w:color="auto" w:fill="F9F9F9"/>
          </w:tcPr>
          <w:p>
            <w:pPr>
              <w:pStyle w:val="TableParagraph"/>
              <w:spacing w:before="74"/>
              <w:ind w:left="1336" w:right="1303"/>
              <w:rPr>
                <w:rFonts w:ascii="Times New Roman"/>
                <w:sz w:val="14"/>
              </w:rPr>
            </w:pPr>
            <w:r>
              <w:rPr>
                <w:rFonts w:ascii="Times New Roman"/>
                <w:color w:val="404040"/>
                <w:sz w:val="14"/>
              </w:rPr>
              <w:t>805</w:t>
            </w:r>
          </w:p>
        </w:tc>
        <w:tc>
          <w:tcPr>
            <w:tcW w:w="2492" w:type="dxa"/>
            <w:tcBorders>
              <w:left w:val="single" w:sz="12" w:space="0" w:color="000000"/>
              <w:bottom w:val="single" w:sz="12" w:space="0" w:color="000000"/>
              <w:right w:val="double" w:sz="2" w:space="0" w:color="000000"/>
            </w:tcBorders>
            <w:shd w:val="clear" w:color="auto" w:fill="F9F9F9"/>
          </w:tcPr>
          <w:p>
            <w:pPr>
              <w:pStyle w:val="TableParagraph"/>
              <w:spacing w:before="74"/>
              <w:ind w:left="1075" w:right="1055"/>
              <w:rPr>
                <w:rFonts w:ascii="Times New Roman"/>
                <w:sz w:val="14"/>
              </w:rPr>
            </w:pPr>
            <w:r>
              <w:rPr>
                <w:rFonts w:ascii="Times New Roman"/>
                <w:color w:val="404040"/>
                <w:sz w:val="14"/>
              </w:rPr>
              <w:t>649</w:t>
            </w:r>
          </w:p>
        </w:tc>
        <w:tc>
          <w:tcPr>
            <w:tcW w:w="2820" w:type="dxa"/>
            <w:tcBorders>
              <w:left w:val="double" w:sz="2" w:space="0" w:color="000000"/>
              <w:bottom w:val="single" w:sz="12" w:space="0" w:color="000000"/>
            </w:tcBorders>
            <w:shd w:val="clear" w:color="auto" w:fill="F9F9F9"/>
          </w:tcPr>
          <w:p>
            <w:pPr>
              <w:pStyle w:val="TableParagraph"/>
              <w:spacing w:before="74"/>
              <w:ind w:left="759" w:right="750"/>
              <w:rPr>
                <w:rFonts w:ascii="Times New Roman"/>
                <w:sz w:val="14"/>
              </w:rPr>
            </w:pPr>
            <w:r>
              <w:rPr>
                <w:rFonts w:ascii="Times New Roman"/>
                <w:color w:val="404040"/>
                <w:sz w:val="14"/>
              </w:rPr>
              <w:t>18.993042954313076</w:t>
            </w:r>
          </w:p>
        </w:tc>
      </w:tr>
      <w:tr>
        <w:trPr>
          <w:trHeight w:val="310"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1336" w:right="1303"/>
              <w:rPr>
                <w:rFonts w:ascii="Times New Roman"/>
                <w:sz w:val="14"/>
              </w:rPr>
            </w:pPr>
            <w:r>
              <w:rPr>
                <w:rFonts w:ascii="Times New Roman"/>
                <w:color w:val="404040"/>
                <w:sz w:val="14"/>
              </w:rPr>
              <w:t>973</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1075" w:right="1055"/>
              <w:rPr>
                <w:rFonts w:ascii="Times New Roman"/>
                <w:sz w:val="14"/>
              </w:rPr>
            </w:pPr>
            <w:r>
              <w:rPr>
                <w:rFonts w:ascii="Times New Roman"/>
                <w:color w:val="404040"/>
                <w:sz w:val="14"/>
              </w:rPr>
              <w:t>708</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2"/>
              <w:ind w:left="759" w:right="750"/>
              <w:rPr>
                <w:rFonts w:ascii="Times New Roman"/>
                <w:sz w:val="14"/>
              </w:rPr>
            </w:pPr>
            <w:r>
              <w:rPr>
                <w:rFonts w:ascii="Times New Roman"/>
                <w:color w:val="404040"/>
                <w:sz w:val="14"/>
              </w:rPr>
              <w:t>13.581129455447185</w:t>
            </w:r>
          </w:p>
        </w:tc>
      </w:tr>
      <w:tr>
        <w:trPr>
          <w:trHeight w:val="313"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5"/>
              <w:ind w:left="1336" w:right="1301"/>
              <w:rPr>
                <w:rFonts w:ascii="Times New Roman"/>
                <w:sz w:val="14"/>
              </w:rPr>
            </w:pPr>
            <w:r>
              <w:rPr>
                <w:rFonts w:ascii="Times New Roman"/>
                <w:color w:val="404040"/>
                <w:sz w:val="14"/>
              </w:rPr>
              <w:t>1180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1075" w:right="1055"/>
              <w:rPr>
                <w:rFonts w:ascii="Times New Roman"/>
                <w:sz w:val="14"/>
              </w:rPr>
            </w:pPr>
            <w:r>
              <w:rPr>
                <w:rFonts w:ascii="Times New Roman"/>
                <w:color w:val="404040"/>
                <w:sz w:val="14"/>
              </w:rPr>
              <w:t>778</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5"/>
              <w:ind w:left="756" w:right="750"/>
              <w:rPr>
                <w:rFonts w:ascii="Times New Roman"/>
                <w:sz w:val="14"/>
              </w:rPr>
            </w:pPr>
            <w:r>
              <w:rPr>
                <w:rFonts w:ascii="Times New Roman"/>
                <w:color w:val="404040"/>
                <w:sz w:val="14"/>
              </w:rPr>
              <w:t>9.751959691976062</w:t>
            </w:r>
          </w:p>
        </w:tc>
      </w:tr>
      <w:tr>
        <w:trPr>
          <w:trHeight w:val="310"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1336" w:right="1301"/>
              <w:rPr>
                <w:rFonts w:ascii="Times New Roman"/>
                <w:sz w:val="14"/>
              </w:rPr>
            </w:pPr>
            <w:r>
              <w:rPr>
                <w:rFonts w:ascii="Times New Roman"/>
                <w:color w:val="404040"/>
                <w:sz w:val="14"/>
              </w:rPr>
              <w:t>1440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1075" w:right="1055"/>
              <w:rPr>
                <w:rFonts w:ascii="Times New Roman"/>
                <w:sz w:val="14"/>
              </w:rPr>
            </w:pPr>
            <w:r>
              <w:rPr>
                <w:rFonts w:ascii="Times New Roman"/>
                <w:color w:val="404040"/>
                <w:sz w:val="14"/>
              </w:rPr>
              <w:t>862</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2"/>
              <w:ind w:left="756" w:right="750"/>
              <w:rPr>
                <w:rFonts w:ascii="Times New Roman"/>
                <w:sz w:val="14"/>
              </w:rPr>
            </w:pPr>
            <w:r>
              <w:rPr>
                <w:rFonts w:ascii="Times New Roman"/>
                <w:color w:val="404040"/>
                <w:sz w:val="14"/>
              </w:rPr>
              <w:t>6.920101691720154</w:t>
            </w:r>
          </w:p>
        </w:tc>
      </w:tr>
      <w:tr>
        <w:trPr>
          <w:trHeight w:val="313"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5"/>
              <w:ind w:left="1336" w:right="1301"/>
              <w:rPr>
                <w:rFonts w:ascii="Times New Roman"/>
                <w:sz w:val="14"/>
              </w:rPr>
            </w:pPr>
            <w:r>
              <w:rPr>
                <w:rFonts w:ascii="Times New Roman"/>
                <w:color w:val="404040"/>
                <w:sz w:val="14"/>
              </w:rPr>
              <w:t>1770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1075" w:right="1055"/>
              <w:rPr>
                <w:rFonts w:ascii="Times New Roman"/>
                <w:sz w:val="14"/>
              </w:rPr>
            </w:pPr>
            <w:r>
              <w:rPr>
                <w:rFonts w:ascii="Times New Roman"/>
                <w:color w:val="404040"/>
                <w:sz w:val="14"/>
              </w:rPr>
              <w:t>963</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5"/>
              <w:ind w:left="756" w:right="750"/>
              <w:rPr>
                <w:rFonts w:ascii="Times New Roman"/>
                <w:sz w:val="14"/>
              </w:rPr>
            </w:pPr>
            <w:r>
              <w:rPr>
                <w:rFonts w:ascii="Times New Roman"/>
                <w:color w:val="404040"/>
                <w:sz w:val="14"/>
              </w:rPr>
              <w:t>4.916701653906621</w:t>
            </w:r>
          </w:p>
        </w:tc>
      </w:tr>
      <w:tr>
        <w:trPr>
          <w:trHeight w:val="310"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1336" w:right="1301"/>
              <w:rPr>
                <w:rFonts w:ascii="Times New Roman"/>
                <w:sz w:val="14"/>
              </w:rPr>
            </w:pPr>
            <w:r>
              <w:rPr>
                <w:rFonts w:ascii="Times New Roman"/>
                <w:color w:val="404040"/>
                <w:sz w:val="14"/>
              </w:rPr>
              <w:t>2180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1075" w:right="1059"/>
              <w:rPr>
                <w:rFonts w:ascii="Times New Roman"/>
                <w:sz w:val="14"/>
              </w:rPr>
            </w:pPr>
            <w:r>
              <w:rPr>
                <w:rFonts w:ascii="Times New Roman"/>
                <w:color w:val="404040"/>
                <w:sz w:val="14"/>
              </w:rPr>
              <w:t>1080</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2"/>
              <w:ind w:left="759" w:right="750"/>
              <w:rPr>
                <w:rFonts w:ascii="Times New Roman"/>
                <w:sz w:val="14"/>
              </w:rPr>
            </w:pPr>
            <w:r>
              <w:rPr>
                <w:rFonts w:ascii="Times New Roman"/>
                <w:color w:val="404040"/>
                <w:sz w:val="14"/>
              </w:rPr>
              <w:t>3.4074639488687537</w:t>
            </w:r>
          </w:p>
        </w:tc>
      </w:tr>
      <w:tr>
        <w:trPr>
          <w:trHeight w:val="313"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5"/>
              <w:ind w:left="1336" w:right="1301"/>
              <w:rPr>
                <w:rFonts w:ascii="Times New Roman"/>
                <w:sz w:val="14"/>
              </w:rPr>
            </w:pPr>
            <w:r>
              <w:rPr>
                <w:rFonts w:ascii="Times New Roman"/>
                <w:color w:val="404040"/>
                <w:sz w:val="14"/>
              </w:rPr>
              <w:t>2680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1075" w:right="1059"/>
              <w:rPr>
                <w:rFonts w:ascii="Times New Roman"/>
                <w:sz w:val="14"/>
              </w:rPr>
            </w:pPr>
            <w:r>
              <w:rPr>
                <w:rFonts w:ascii="Times New Roman"/>
                <w:color w:val="404040"/>
                <w:sz w:val="14"/>
              </w:rPr>
              <w:t>1230</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5"/>
              <w:ind w:left="759" w:right="750"/>
              <w:rPr>
                <w:rFonts w:ascii="Times New Roman"/>
                <w:sz w:val="14"/>
              </w:rPr>
            </w:pPr>
            <w:r>
              <w:rPr>
                <w:rFonts w:ascii="Times New Roman"/>
                <w:color w:val="404040"/>
                <w:sz w:val="14"/>
              </w:rPr>
              <w:t>2.4186963271549295</w:t>
            </w:r>
          </w:p>
        </w:tc>
      </w:tr>
      <w:tr>
        <w:trPr>
          <w:trHeight w:val="312"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1336" w:right="1301"/>
              <w:rPr>
                <w:rFonts w:ascii="Times New Roman"/>
                <w:sz w:val="14"/>
              </w:rPr>
            </w:pPr>
            <w:r>
              <w:rPr>
                <w:rFonts w:ascii="Times New Roman"/>
                <w:color w:val="404040"/>
                <w:sz w:val="14"/>
              </w:rPr>
              <w:t>3300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1075" w:right="1059"/>
              <w:rPr>
                <w:rFonts w:ascii="Times New Roman"/>
                <w:sz w:val="14"/>
              </w:rPr>
            </w:pPr>
            <w:r>
              <w:rPr>
                <w:rFonts w:ascii="Times New Roman"/>
                <w:color w:val="404040"/>
                <w:sz w:val="14"/>
              </w:rPr>
              <w:t>1400</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2"/>
              <w:ind w:left="759" w:right="750"/>
              <w:rPr>
                <w:rFonts w:ascii="Times New Roman"/>
                <w:sz w:val="14"/>
              </w:rPr>
            </w:pPr>
            <w:r>
              <w:rPr>
                <w:rFonts w:ascii="Times New Roman"/>
                <w:color w:val="404040"/>
                <w:sz w:val="14"/>
              </w:rPr>
              <w:t>1.6812802026036282</w:t>
            </w:r>
          </w:p>
        </w:tc>
      </w:tr>
      <w:tr>
        <w:trPr>
          <w:trHeight w:val="312"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1336" w:right="1301"/>
              <w:rPr>
                <w:rFonts w:ascii="Times New Roman"/>
                <w:sz w:val="14"/>
              </w:rPr>
            </w:pPr>
            <w:r>
              <w:rPr>
                <w:rFonts w:ascii="Times New Roman"/>
                <w:color w:val="404040"/>
                <w:sz w:val="14"/>
              </w:rPr>
              <w:t>4070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1075" w:right="1059"/>
              <w:rPr>
                <w:rFonts w:ascii="Times New Roman"/>
                <w:sz w:val="14"/>
              </w:rPr>
            </w:pPr>
            <w:r>
              <w:rPr>
                <w:rFonts w:ascii="Times New Roman"/>
                <w:color w:val="404040"/>
                <w:sz w:val="14"/>
              </w:rPr>
              <w:t>1610</w:t>
            </w:r>
          </w:p>
        </w:tc>
        <w:tc>
          <w:tcPr>
            <w:tcW w:w="2820" w:type="dxa"/>
            <w:tcBorders>
              <w:top w:val="single" w:sz="12" w:space="0" w:color="000000"/>
              <w:left w:val="double" w:sz="2" w:space="0" w:color="000000"/>
              <w:bottom w:val="single" w:sz="12" w:space="0" w:color="000000"/>
            </w:tcBorders>
            <w:shd w:val="clear" w:color="auto" w:fill="F9F9F9"/>
          </w:tcPr>
          <w:p>
            <w:pPr>
              <w:pStyle w:val="TableParagraph"/>
              <w:spacing w:before="74"/>
              <w:ind w:left="759" w:right="750"/>
              <w:rPr>
                <w:rFonts w:ascii="Times New Roman"/>
                <w:sz w:val="14"/>
              </w:rPr>
            </w:pPr>
            <w:r>
              <w:rPr>
                <w:rFonts w:ascii="Times New Roman"/>
                <w:color w:val="404040"/>
                <w:sz w:val="14"/>
              </w:rPr>
              <w:t>1.18137697681451</w:t>
            </w:r>
          </w:p>
        </w:tc>
      </w:tr>
      <w:tr>
        <w:trPr>
          <w:trHeight w:val="312"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1336" w:right="1301"/>
              <w:rPr>
                <w:rFonts w:ascii="Times New Roman"/>
                <w:sz w:val="14"/>
              </w:rPr>
            </w:pPr>
            <w:r>
              <w:rPr>
                <w:rFonts w:ascii="Times New Roman"/>
                <w:color w:val="404040"/>
                <w:sz w:val="14"/>
              </w:rPr>
              <w:t>5020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1075" w:right="1059"/>
              <w:rPr>
                <w:rFonts w:ascii="Times New Roman"/>
                <w:sz w:val="14"/>
              </w:rPr>
            </w:pPr>
            <w:r>
              <w:rPr>
                <w:rFonts w:ascii="Times New Roman"/>
                <w:color w:val="404040"/>
                <w:sz w:val="14"/>
              </w:rPr>
              <w:t>1860</w:t>
            </w:r>
          </w:p>
        </w:tc>
        <w:tc>
          <w:tcPr>
            <w:tcW w:w="2820"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725" w:right="728"/>
              <w:rPr>
                <w:rFonts w:ascii="Times New Roman"/>
                <w:sz w:val="14"/>
              </w:rPr>
            </w:pPr>
            <w:r>
              <w:rPr>
                <w:rFonts w:ascii="Times New Roman"/>
                <w:color w:val="404040"/>
                <w:sz w:val="14"/>
              </w:rPr>
              <w:t>0.8294421823625469</w:t>
            </w:r>
          </w:p>
        </w:tc>
      </w:tr>
      <w:tr>
        <w:trPr>
          <w:trHeight w:val="311"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1336" w:right="1301"/>
              <w:rPr>
                <w:rFonts w:ascii="Times New Roman"/>
                <w:sz w:val="14"/>
              </w:rPr>
            </w:pPr>
            <w:r>
              <w:rPr>
                <w:rFonts w:ascii="Times New Roman"/>
                <w:color w:val="404040"/>
                <w:sz w:val="14"/>
              </w:rPr>
              <w:t>6190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1075" w:right="1059"/>
              <w:rPr>
                <w:rFonts w:ascii="Times New Roman"/>
                <w:sz w:val="14"/>
              </w:rPr>
            </w:pPr>
            <w:r>
              <w:rPr>
                <w:rFonts w:ascii="Times New Roman"/>
                <w:color w:val="404040"/>
                <w:sz w:val="14"/>
              </w:rPr>
              <w:t>2160</w:t>
            </w:r>
          </w:p>
        </w:tc>
        <w:tc>
          <w:tcPr>
            <w:tcW w:w="2820"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724" w:right="730"/>
              <w:rPr>
                <w:rFonts w:ascii="Times New Roman"/>
                <w:sz w:val="14"/>
              </w:rPr>
            </w:pPr>
            <w:r>
              <w:rPr>
                <w:rFonts w:ascii="Times New Roman"/>
                <w:color w:val="404040"/>
                <w:sz w:val="14"/>
              </w:rPr>
              <w:t>0.590485828813359</w:t>
            </w:r>
          </w:p>
        </w:tc>
      </w:tr>
      <w:tr>
        <w:trPr>
          <w:trHeight w:val="312"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1336" w:right="1301"/>
              <w:rPr>
                <w:rFonts w:ascii="Times New Roman"/>
                <w:sz w:val="14"/>
              </w:rPr>
            </w:pPr>
            <w:r>
              <w:rPr>
                <w:rFonts w:ascii="Times New Roman"/>
                <w:color w:val="404040"/>
                <w:sz w:val="14"/>
              </w:rPr>
              <w:t>7630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1075" w:right="1059"/>
              <w:rPr>
                <w:rFonts w:ascii="Times New Roman"/>
                <w:sz w:val="14"/>
              </w:rPr>
            </w:pPr>
            <w:r>
              <w:rPr>
                <w:rFonts w:ascii="Times New Roman"/>
                <w:color w:val="404040"/>
                <w:sz w:val="14"/>
              </w:rPr>
              <w:t>2520</w:t>
            </w:r>
          </w:p>
        </w:tc>
        <w:tc>
          <w:tcPr>
            <w:tcW w:w="2820"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725" w:right="728"/>
              <w:rPr>
                <w:rFonts w:ascii="Times New Roman"/>
                <w:sz w:val="14"/>
              </w:rPr>
            </w:pPr>
            <w:r>
              <w:rPr>
                <w:rFonts w:ascii="Times New Roman"/>
                <w:color w:val="404040"/>
                <w:sz w:val="14"/>
              </w:rPr>
              <w:t>0.4177991398333954</w:t>
            </w:r>
          </w:p>
        </w:tc>
      </w:tr>
      <w:tr>
        <w:trPr>
          <w:trHeight w:val="311"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1336" w:right="1301"/>
              <w:rPr>
                <w:rFonts w:ascii="Times New Roman"/>
                <w:sz w:val="14"/>
              </w:rPr>
            </w:pPr>
            <w:r>
              <w:rPr>
                <w:rFonts w:ascii="Times New Roman"/>
                <w:color w:val="404040"/>
                <w:sz w:val="14"/>
              </w:rPr>
              <w:t>9400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1075" w:right="1059"/>
              <w:rPr>
                <w:rFonts w:ascii="Times New Roman"/>
                <w:sz w:val="14"/>
              </w:rPr>
            </w:pPr>
            <w:r>
              <w:rPr>
                <w:rFonts w:ascii="Times New Roman"/>
                <w:color w:val="404040"/>
                <w:sz w:val="14"/>
              </w:rPr>
              <w:t>2950</w:t>
            </w:r>
          </w:p>
        </w:tc>
        <w:tc>
          <w:tcPr>
            <w:tcW w:w="2820"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725" w:right="728"/>
              <w:rPr>
                <w:rFonts w:ascii="Times New Roman"/>
                <w:sz w:val="14"/>
              </w:rPr>
            </w:pPr>
            <w:r>
              <w:rPr>
                <w:rFonts w:ascii="Times New Roman"/>
                <w:color w:val="404040"/>
                <w:sz w:val="14"/>
              </w:rPr>
              <w:t>0.2978289331065267</w:t>
            </w:r>
          </w:p>
        </w:tc>
      </w:tr>
      <w:tr>
        <w:trPr>
          <w:trHeight w:val="312" w:hRule="atLeast"/>
        </w:trPr>
        <w:tc>
          <w:tcPr>
            <w:tcW w:w="3053"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1336" w:right="1303"/>
              <w:rPr>
                <w:rFonts w:ascii="Times New Roman"/>
                <w:sz w:val="14"/>
              </w:rPr>
            </w:pPr>
            <w:r>
              <w:rPr>
                <w:rFonts w:ascii="Times New Roman"/>
                <w:color w:val="404040"/>
                <w:sz w:val="14"/>
              </w:rPr>
              <w:t>11600</w:t>
            </w:r>
          </w:p>
        </w:tc>
        <w:tc>
          <w:tcPr>
            <w:tcW w:w="2492"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1075" w:right="1059"/>
              <w:rPr>
                <w:rFonts w:ascii="Times New Roman"/>
                <w:sz w:val="14"/>
              </w:rPr>
            </w:pPr>
            <w:r>
              <w:rPr>
                <w:rFonts w:ascii="Times New Roman"/>
                <w:color w:val="404040"/>
                <w:sz w:val="14"/>
              </w:rPr>
              <w:t>3460</w:t>
            </w:r>
          </w:p>
        </w:tc>
        <w:tc>
          <w:tcPr>
            <w:tcW w:w="2820"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725" w:right="730"/>
              <w:rPr>
                <w:rFonts w:ascii="Times New Roman"/>
                <w:sz w:val="14"/>
              </w:rPr>
            </w:pPr>
            <w:r>
              <w:rPr>
                <w:rFonts w:ascii="Times New Roman"/>
                <w:color w:val="404040"/>
                <w:sz w:val="14"/>
              </w:rPr>
              <w:t>0.21472665293722965</w:t>
            </w:r>
          </w:p>
        </w:tc>
      </w:tr>
      <w:tr>
        <w:trPr>
          <w:trHeight w:val="320" w:hRule="atLeast"/>
        </w:trPr>
        <w:tc>
          <w:tcPr>
            <w:tcW w:w="3053" w:type="dxa"/>
            <w:tcBorders>
              <w:top w:val="single" w:sz="12" w:space="0" w:color="000000"/>
              <w:left w:val="single" w:sz="6" w:space="0" w:color="000000"/>
              <w:right w:val="single" w:sz="12" w:space="0" w:color="000000"/>
            </w:tcBorders>
            <w:shd w:val="clear" w:color="auto" w:fill="F9F9F9"/>
          </w:tcPr>
          <w:p>
            <w:pPr>
              <w:pStyle w:val="TableParagraph"/>
              <w:spacing w:before="74"/>
              <w:ind w:left="1336" w:right="1303"/>
              <w:rPr>
                <w:rFonts w:ascii="Times New Roman"/>
                <w:sz w:val="14"/>
              </w:rPr>
            </w:pPr>
            <w:r>
              <w:rPr>
                <w:rFonts w:ascii="Times New Roman"/>
                <w:color w:val="404040"/>
                <w:sz w:val="14"/>
              </w:rPr>
              <w:t>14200</w:t>
            </w:r>
          </w:p>
        </w:tc>
        <w:tc>
          <w:tcPr>
            <w:tcW w:w="2492" w:type="dxa"/>
            <w:tcBorders>
              <w:top w:val="single" w:sz="12" w:space="0" w:color="000000"/>
              <w:left w:val="single" w:sz="12" w:space="0" w:color="000000"/>
              <w:right w:val="double" w:sz="2" w:space="0" w:color="000000"/>
            </w:tcBorders>
            <w:shd w:val="clear" w:color="auto" w:fill="F9F9F9"/>
          </w:tcPr>
          <w:p>
            <w:pPr>
              <w:pStyle w:val="TableParagraph"/>
              <w:spacing w:before="74"/>
              <w:ind w:left="1075" w:right="1059"/>
              <w:rPr>
                <w:rFonts w:ascii="Times New Roman"/>
                <w:sz w:val="14"/>
              </w:rPr>
            </w:pPr>
            <w:r>
              <w:rPr>
                <w:rFonts w:ascii="Times New Roman"/>
                <w:color w:val="404040"/>
                <w:sz w:val="14"/>
              </w:rPr>
              <w:t>4080</w:t>
            </w:r>
          </w:p>
        </w:tc>
        <w:tc>
          <w:tcPr>
            <w:tcW w:w="2820" w:type="dxa"/>
            <w:tcBorders>
              <w:top w:val="single" w:sz="12" w:space="0" w:color="000000"/>
              <w:left w:val="double" w:sz="2" w:space="0" w:color="000000"/>
              <w:right w:val="single" w:sz="6" w:space="0" w:color="000000"/>
            </w:tcBorders>
            <w:shd w:val="clear" w:color="auto" w:fill="F9F9F9"/>
          </w:tcPr>
          <w:p>
            <w:pPr>
              <w:pStyle w:val="TableParagraph"/>
              <w:spacing w:before="74"/>
              <w:ind w:left="725" w:right="730"/>
              <w:rPr>
                <w:rFonts w:ascii="Times New Roman"/>
                <w:sz w:val="14"/>
              </w:rPr>
            </w:pPr>
            <w:r>
              <w:rPr>
                <w:rFonts w:ascii="Times New Roman"/>
                <w:color w:val="404040"/>
                <w:sz w:val="14"/>
              </w:rPr>
              <w:t>0.15530425462711356</w:t>
            </w:r>
          </w:p>
        </w:tc>
      </w:tr>
    </w:tbl>
    <w:p>
      <w:pPr>
        <w:pStyle w:val="BodyText"/>
        <w:rPr>
          <w:rFonts w:ascii="Times New Roman"/>
          <w:sz w:val="20"/>
        </w:rPr>
      </w:pPr>
    </w:p>
    <w:p>
      <w:pPr>
        <w:pStyle w:val="BodyText"/>
        <w:spacing w:before="1"/>
        <w:rPr>
          <w:rFonts w:ascii="Times New Roman"/>
          <w:sz w:val="22"/>
        </w:rPr>
      </w:pPr>
    </w:p>
    <w:tbl>
      <w:tblPr>
        <w:tblW w:w="0" w:type="auto"/>
        <w:jc w:val="left"/>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563"/>
        <w:gridCol w:w="4443"/>
      </w:tblGrid>
      <w:tr>
        <w:trPr>
          <w:trHeight w:val="2495" w:hRule="atLeast"/>
        </w:trPr>
        <w:tc>
          <w:tcPr>
            <w:tcW w:w="4563" w:type="dxa"/>
            <w:tcBorders>
              <w:bottom w:val="single" w:sz="6" w:space="0" w:color="000000"/>
              <w:right w:val="single" w:sz="6" w:space="0" w:color="000000"/>
            </w:tcBorders>
          </w:tcPr>
          <w:p>
            <w:pPr>
              <w:pStyle w:val="TableParagraph"/>
              <w:ind w:left="106"/>
              <w:jc w:val="left"/>
              <w:rPr>
                <w:rFonts w:ascii="Times New Roman"/>
                <w:sz w:val="20"/>
              </w:rPr>
            </w:pPr>
            <w:r>
              <w:rPr>
                <w:rFonts w:ascii="Times New Roman"/>
                <w:sz w:val="20"/>
              </w:rPr>
              <w:drawing>
                <wp:inline distT="0" distB="0" distL="0" distR="0">
                  <wp:extent cx="2779735" cy="1568958"/>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48" cstate="print"/>
                          <a:stretch>
                            <a:fillRect/>
                          </a:stretch>
                        </pic:blipFill>
                        <pic:spPr>
                          <a:xfrm>
                            <a:off x="0" y="0"/>
                            <a:ext cx="2779735" cy="1568958"/>
                          </a:xfrm>
                          <a:prstGeom prst="rect">
                            <a:avLst/>
                          </a:prstGeom>
                        </pic:spPr>
                      </pic:pic>
                    </a:graphicData>
                  </a:graphic>
                </wp:inline>
              </w:drawing>
            </w:r>
            <w:r>
              <w:rPr>
                <w:rFonts w:ascii="Times New Roman"/>
                <w:sz w:val="20"/>
              </w:rPr>
            </w:r>
          </w:p>
        </w:tc>
        <w:tc>
          <w:tcPr>
            <w:tcW w:w="4443" w:type="dxa"/>
            <w:tcBorders>
              <w:left w:val="single" w:sz="6" w:space="0" w:color="000000"/>
              <w:bottom w:val="single" w:sz="6" w:space="0" w:color="000000"/>
            </w:tcBorders>
          </w:tcPr>
          <w:p>
            <w:pPr>
              <w:pStyle w:val="TableParagraph"/>
              <w:spacing w:before="3"/>
              <w:jc w:val="left"/>
              <w:rPr>
                <w:rFonts w:ascii="Times New Roman"/>
                <w:sz w:val="5"/>
              </w:rPr>
            </w:pPr>
          </w:p>
          <w:p>
            <w:pPr>
              <w:pStyle w:val="TableParagraph"/>
              <w:ind w:left="111"/>
              <w:jc w:val="left"/>
              <w:rPr>
                <w:rFonts w:ascii="Times New Roman"/>
                <w:sz w:val="20"/>
              </w:rPr>
            </w:pPr>
            <w:r>
              <w:rPr>
                <w:rFonts w:ascii="Times New Roman"/>
                <w:sz w:val="20"/>
              </w:rPr>
              <w:drawing>
                <wp:inline distT="0" distB="0" distL="0" distR="0">
                  <wp:extent cx="2692798" cy="1509522"/>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49" cstate="print"/>
                          <a:stretch>
                            <a:fillRect/>
                          </a:stretch>
                        </pic:blipFill>
                        <pic:spPr>
                          <a:xfrm>
                            <a:off x="0" y="0"/>
                            <a:ext cx="2692798" cy="1509522"/>
                          </a:xfrm>
                          <a:prstGeom prst="rect">
                            <a:avLst/>
                          </a:prstGeom>
                        </pic:spPr>
                      </pic:pic>
                    </a:graphicData>
                  </a:graphic>
                </wp:inline>
              </w:drawing>
            </w:r>
            <w:r>
              <w:rPr>
                <w:rFonts w:ascii="Times New Roman"/>
                <w:sz w:val="20"/>
              </w:rPr>
            </w:r>
          </w:p>
        </w:tc>
      </w:tr>
      <w:tr>
        <w:trPr>
          <w:trHeight w:val="311" w:hRule="atLeast"/>
        </w:trPr>
        <w:tc>
          <w:tcPr>
            <w:tcW w:w="4563" w:type="dxa"/>
            <w:tcBorders>
              <w:top w:val="single" w:sz="6" w:space="0" w:color="000000"/>
              <w:bottom w:val="single" w:sz="6" w:space="0" w:color="000000"/>
              <w:right w:val="single" w:sz="6" w:space="0" w:color="000000"/>
            </w:tcBorders>
          </w:tcPr>
          <w:p>
            <w:pPr>
              <w:pStyle w:val="TableParagraph"/>
              <w:spacing w:line="291" w:lineRule="exact"/>
              <w:ind w:left="1840" w:right="1820"/>
              <w:rPr>
                <w:sz w:val="21"/>
              </w:rPr>
            </w:pPr>
            <w:r>
              <w:rPr>
                <w:sz w:val="21"/>
              </w:rPr>
              <w:t>中柴沟村</w:t>
            </w:r>
          </w:p>
        </w:tc>
        <w:tc>
          <w:tcPr>
            <w:tcW w:w="4443" w:type="dxa"/>
            <w:tcBorders>
              <w:top w:val="single" w:sz="6" w:space="0" w:color="000000"/>
              <w:left w:val="single" w:sz="6" w:space="0" w:color="000000"/>
              <w:bottom w:val="single" w:sz="6" w:space="0" w:color="000000"/>
            </w:tcBorders>
          </w:tcPr>
          <w:p>
            <w:pPr>
              <w:pStyle w:val="TableParagraph"/>
              <w:spacing w:line="291" w:lineRule="exact"/>
              <w:ind w:left="1785" w:right="1754"/>
              <w:rPr>
                <w:sz w:val="21"/>
              </w:rPr>
            </w:pPr>
            <w:r>
              <w:rPr>
                <w:sz w:val="21"/>
              </w:rPr>
              <w:t>前鲍家村</w:t>
            </w:r>
          </w:p>
        </w:tc>
      </w:tr>
      <w:tr>
        <w:trPr>
          <w:trHeight w:val="2498" w:hRule="atLeast"/>
        </w:trPr>
        <w:tc>
          <w:tcPr>
            <w:tcW w:w="4563" w:type="dxa"/>
            <w:tcBorders>
              <w:top w:val="single" w:sz="6" w:space="0" w:color="000000"/>
              <w:bottom w:val="single" w:sz="6" w:space="0" w:color="000000"/>
              <w:right w:val="single" w:sz="6" w:space="0" w:color="000000"/>
            </w:tcBorders>
          </w:tcPr>
          <w:p>
            <w:pPr>
              <w:pStyle w:val="TableParagraph"/>
              <w:spacing w:before="5"/>
              <w:jc w:val="left"/>
              <w:rPr>
                <w:rFonts w:ascii="Times New Roman"/>
                <w:sz w:val="4"/>
              </w:rPr>
            </w:pPr>
          </w:p>
          <w:p>
            <w:pPr>
              <w:pStyle w:val="TableParagraph"/>
              <w:ind w:left="130"/>
              <w:jc w:val="left"/>
              <w:rPr>
                <w:rFonts w:ascii="Times New Roman"/>
                <w:sz w:val="20"/>
              </w:rPr>
            </w:pPr>
            <w:r>
              <w:rPr>
                <w:rFonts w:ascii="Times New Roman"/>
                <w:sz w:val="20"/>
              </w:rPr>
              <w:drawing>
                <wp:inline distT="0" distB="0" distL="0" distR="0">
                  <wp:extent cx="2709948" cy="1509522"/>
                  <wp:effectExtent l="0" t="0" r="0" b="0"/>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50" cstate="print"/>
                          <a:stretch>
                            <a:fillRect/>
                          </a:stretch>
                        </pic:blipFill>
                        <pic:spPr>
                          <a:xfrm>
                            <a:off x="0" y="0"/>
                            <a:ext cx="2709948" cy="1509522"/>
                          </a:xfrm>
                          <a:prstGeom prst="rect">
                            <a:avLst/>
                          </a:prstGeom>
                        </pic:spPr>
                      </pic:pic>
                    </a:graphicData>
                  </a:graphic>
                </wp:inline>
              </w:drawing>
            </w:r>
            <w:r>
              <w:rPr>
                <w:rFonts w:ascii="Times New Roman"/>
                <w:sz w:val="20"/>
              </w:rPr>
            </w:r>
          </w:p>
        </w:tc>
        <w:tc>
          <w:tcPr>
            <w:tcW w:w="4443" w:type="dxa"/>
            <w:tcBorders>
              <w:top w:val="single" w:sz="6" w:space="0" w:color="000000"/>
              <w:left w:val="single" w:sz="6" w:space="0" w:color="000000"/>
              <w:bottom w:val="single" w:sz="6" w:space="0" w:color="000000"/>
            </w:tcBorders>
          </w:tcPr>
          <w:p>
            <w:pPr>
              <w:pStyle w:val="TableParagraph"/>
              <w:jc w:val="left"/>
              <w:rPr>
                <w:rFonts w:ascii="Times New Roman"/>
                <w:sz w:val="16"/>
              </w:rPr>
            </w:pPr>
          </w:p>
        </w:tc>
      </w:tr>
      <w:tr>
        <w:trPr>
          <w:trHeight w:val="308" w:hRule="atLeast"/>
        </w:trPr>
        <w:tc>
          <w:tcPr>
            <w:tcW w:w="4563" w:type="dxa"/>
            <w:tcBorders>
              <w:top w:val="single" w:sz="6" w:space="0" w:color="000000"/>
              <w:right w:val="single" w:sz="6" w:space="0" w:color="000000"/>
            </w:tcBorders>
          </w:tcPr>
          <w:p>
            <w:pPr>
              <w:pStyle w:val="TableParagraph"/>
              <w:spacing w:line="289" w:lineRule="exact"/>
              <w:ind w:left="1840" w:right="1820"/>
              <w:rPr>
                <w:sz w:val="21"/>
              </w:rPr>
            </w:pPr>
            <w:r>
              <w:rPr>
                <w:sz w:val="21"/>
              </w:rPr>
              <w:t>后柴沟村</w:t>
            </w:r>
          </w:p>
        </w:tc>
        <w:tc>
          <w:tcPr>
            <w:tcW w:w="4443" w:type="dxa"/>
            <w:tcBorders>
              <w:top w:val="single" w:sz="6" w:space="0" w:color="000000"/>
              <w:left w:val="single" w:sz="6" w:space="0" w:color="000000"/>
            </w:tcBorders>
          </w:tcPr>
          <w:p>
            <w:pPr>
              <w:pStyle w:val="TableParagraph"/>
              <w:jc w:val="left"/>
              <w:rPr>
                <w:rFonts w:ascii="Times New Roman"/>
                <w:sz w:val="16"/>
              </w:rPr>
            </w:pPr>
          </w:p>
        </w:tc>
      </w:tr>
    </w:tbl>
    <w:p>
      <w:pPr>
        <w:tabs>
          <w:tab w:pos="2520" w:val="left" w:leader="none"/>
        </w:tabs>
        <w:spacing w:line="348" w:lineRule="exact" w:before="0"/>
        <w:ind w:left="1607" w:right="0" w:firstLine="0"/>
        <w:jc w:val="left"/>
        <w:rPr>
          <w:sz w:val="21"/>
        </w:rPr>
      </w:pPr>
      <w:r>
        <w:rPr>
          <w:sz w:val="21"/>
        </w:rPr>
        <w:t>图</w:t>
      </w:r>
      <w:r>
        <w:rPr>
          <w:spacing w:val="7"/>
          <w:sz w:val="21"/>
        </w:rPr>
        <w:t> </w:t>
      </w:r>
      <w:r>
        <w:rPr>
          <w:rFonts w:ascii="Times New Roman" w:eastAsia="Times New Roman"/>
          <w:b/>
          <w:sz w:val="21"/>
        </w:rPr>
        <w:t>7.6-6</w:t>
        <w:tab/>
      </w:r>
      <w:r>
        <w:rPr>
          <w:sz w:val="21"/>
        </w:rPr>
        <w:t>氯化氢在前鲍</w:t>
      </w:r>
      <w:r>
        <w:rPr>
          <w:spacing w:val="-3"/>
          <w:sz w:val="21"/>
        </w:rPr>
        <w:t>家</w:t>
      </w:r>
      <w:r>
        <w:rPr>
          <w:sz w:val="21"/>
        </w:rPr>
        <w:t>村、中柴沟村、后</w:t>
      </w:r>
      <w:r>
        <w:rPr>
          <w:spacing w:val="-3"/>
          <w:sz w:val="21"/>
        </w:rPr>
        <w:t>柴</w:t>
      </w:r>
      <w:r>
        <w:rPr>
          <w:sz w:val="21"/>
        </w:rPr>
        <w:t>沟</w:t>
      </w:r>
      <w:r>
        <w:rPr>
          <w:spacing w:val="-3"/>
          <w:sz w:val="21"/>
        </w:rPr>
        <w:t>村</w:t>
      </w:r>
      <w:r>
        <w:rPr>
          <w:sz w:val="21"/>
        </w:rPr>
        <w:t>的浓度</w:t>
      </w:r>
      <w:r>
        <w:rPr>
          <w:rFonts w:ascii="Times New Roman" w:eastAsia="Times New Roman"/>
          <w:b/>
          <w:spacing w:val="-4"/>
          <w:sz w:val="21"/>
        </w:rPr>
        <w:t>-</w:t>
      </w:r>
      <w:r>
        <w:rPr>
          <w:sz w:val="21"/>
        </w:rPr>
        <w:t>时间曲线</w:t>
      </w:r>
    </w:p>
    <w:p>
      <w:pPr>
        <w:pStyle w:val="BodyText"/>
        <w:spacing w:before="1"/>
        <w:rPr>
          <w:sz w:val="10"/>
        </w:rPr>
      </w:pPr>
    </w:p>
    <w:p>
      <w:pPr>
        <w:pStyle w:val="BodyText"/>
        <w:spacing w:line="220" w:lineRule="auto"/>
        <w:ind w:left="578" w:right="752" w:firstLine="479"/>
      </w:pPr>
      <w:r>
        <w:rPr>
          <w:spacing w:val="-9"/>
        </w:rPr>
        <w:t>由上图可以看出，最常见气象条件下，氯化氢浓度在各关心敏感点的浓度均未出现超标。</w:t>
      </w:r>
    </w:p>
    <w:p>
      <w:pPr>
        <w:pStyle w:val="BodyText"/>
        <w:spacing w:line="463" w:lineRule="exact" w:before="53"/>
        <w:ind w:left="1058"/>
      </w:pPr>
      <w:r>
        <w:rPr/>
        <w:t>②甲醛预测结果</w:t>
      </w:r>
    </w:p>
    <w:p>
      <w:pPr>
        <w:pStyle w:val="BodyText"/>
        <w:spacing w:line="463" w:lineRule="exact"/>
        <w:ind w:left="1058"/>
      </w:pPr>
      <w:r>
        <w:rPr/>
        <w:t>由甲醛预测结果可知，在最常见气象条件（</w:t>
      </w:r>
      <w:r>
        <w:rPr>
          <w:rFonts w:ascii="Times New Roman" w:eastAsia="Times New Roman"/>
        </w:rPr>
        <w:t>D </w:t>
      </w:r>
      <w:r>
        <w:rPr/>
        <w:t>类稳定度，</w:t>
      </w:r>
      <w:r>
        <w:rPr>
          <w:rFonts w:ascii="Times New Roman" w:eastAsia="Times New Roman"/>
        </w:rPr>
        <w:t>2.4m/s </w:t>
      </w:r>
      <w:r>
        <w:rPr/>
        <w:t>风速，温度</w:t>
      </w:r>
    </w:p>
    <w:p>
      <w:pPr>
        <w:spacing w:after="0" w:line="463" w:lineRule="exact"/>
        <w:sectPr>
          <w:pgSz w:w="11910" w:h="16840"/>
          <w:pgMar w:header="877" w:footer="973" w:top="1340" w:bottom="1160" w:left="1220" w:right="1040"/>
        </w:sectPr>
      </w:pPr>
    </w:p>
    <w:p>
      <w:pPr>
        <w:pStyle w:val="BodyText"/>
        <w:spacing w:line="220" w:lineRule="auto" w:before="77"/>
        <w:ind w:left="578" w:right="753"/>
        <w:jc w:val="both"/>
      </w:pPr>
      <w:r>
        <w:rPr>
          <w:rFonts w:ascii="Times New Roman" w:hAnsi="Times New Roman" w:eastAsia="Times New Roman"/>
          <w:spacing w:val="-4"/>
        </w:rPr>
        <w:t>18.7</w:t>
      </w:r>
      <w:r>
        <w:rPr>
          <w:spacing w:val="-2"/>
        </w:rPr>
        <w:t>℃，相对湿度 </w:t>
      </w:r>
      <w:r>
        <w:rPr>
          <w:rFonts w:ascii="Times New Roman" w:hAnsi="Times New Roman" w:eastAsia="Times New Roman"/>
          <w:spacing w:val="-6"/>
        </w:rPr>
        <w:t>74%</w:t>
      </w:r>
      <w:r>
        <w:rPr>
          <w:spacing w:val="-6"/>
        </w:rPr>
        <w:t>）</w:t>
      </w:r>
      <w:r>
        <w:rPr>
          <w:spacing w:val="-5"/>
        </w:rPr>
        <w:t>下，甲醛浓度达到大气毒性终点浓度</w:t>
      </w:r>
      <w:r>
        <w:rPr>
          <w:rFonts w:ascii="Times New Roman" w:hAnsi="Times New Roman" w:eastAsia="Times New Roman"/>
        </w:rPr>
        <w:t>-1 </w:t>
      </w:r>
      <w:r>
        <w:rPr/>
        <w:t>的最大影响范围</w:t>
      </w:r>
      <w:r>
        <w:rPr>
          <w:spacing w:val="1"/>
        </w:rPr>
        <w:t>约为 </w:t>
      </w:r>
      <w:r>
        <w:rPr>
          <w:rFonts w:ascii="Times New Roman" w:hAnsi="Times New Roman" w:eastAsia="Times New Roman"/>
          <w:spacing w:val="-3"/>
        </w:rPr>
        <w:t>197m</w:t>
      </w:r>
      <w:r>
        <w:rPr>
          <w:spacing w:val="-1"/>
        </w:rPr>
        <w:t>，发生时间为第 </w:t>
      </w:r>
      <w:r>
        <w:rPr>
          <w:rFonts w:ascii="Times New Roman" w:hAnsi="Times New Roman" w:eastAsia="Times New Roman"/>
          <w:spacing w:val="-3"/>
        </w:rPr>
        <w:t>247s</w:t>
      </w:r>
      <w:r>
        <w:rPr>
          <w:spacing w:val="-2"/>
        </w:rPr>
        <w:t>，达到大气毒性终点浓度</w:t>
      </w:r>
      <w:r>
        <w:rPr>
          <w:rFonts w:ascii="Times New Roman" w:hAnsi="Times New Roman" w:eastAsia="Times New Roman"/>
        </w:rPr>
        <w:t>-2 </w:t>
      </w:r>
      <w:r>
        <w:rPr/>
        <w:t>的最大影响范围约为</w:t>
      </w:r>
      <w:r>
        <w:rPr>
          <w:rFonts w:ascii="Times New Roman" w:hAnsi="Times New Roman" w:eastAsia="Times New Roman"/>
        </w:rPr>
        <w:t>562m</w:t>
      </w:r>
      <w:r>
        <w:rPr/>
        <w:t>，发生时间为第 </w:t>
      </w:r>
      <w:r>
        <w:rPr>
          <w:rFonts w:ascii="Times New Roman" w:hAnsi="Times New Roman" w:eastAsia="Times New Roman"/>
        </w:rPr>
        <w:t>558s</w:t>
      </w:r>
      <w:r>
        <w:rPr/>
        <w:t>，该范围内存在村庄等敏感目标。</w:t>
      </w:r>
    </w:p>
    <w:p>
      <w:pPr>
        <w:pStyle w:val="BodyText"/>
        <w:spacing w:before="16"/>
        <w:rPr>
          <w:sz w:val="26"/>
        </w:rPr>
      </w:pPr>
      <w:r>
        <w:rPr/>
        <w:drawing>
          <wp:anchor distT="0" distB="0" distL="0" distR="0" allowOverlap="1" layoutInCell="1" locked="0" behindDoc="1" simplePos="0" relativeHeight="268435223">
            <wp:simplePos x="0" y="0"/>
            <wp:positionH relativeFrom="page">
              <wp:posOffset>1143000</wp:posOffset>
            </wp:positionH>
            <wp:positionV relativeFrom="paragraph">
              <wp:posOffset>385319</wp:posOffset>
            </wp:positionV>
            <wp:extent cx="5295036" cy="3609498"/>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51" cstate="print"/>
                    <a:stretch>
                      <a:fillRect/>
                    </a:stretch>
                  </pic:blipFill>
                  <pic:spPr>
                    <a:xfrm>
                      <a:off x="0" y="0"/>
                      <a:ext cx="5295036" cy="3609498"/>
                    </a:xfrm>
                    <a:prstGeom prst="rect">
                      <a:avLst/>
                    </a:prstGeom>
                  </pic:spPr>
                </pic:pic>
              </a:graphicData>
            </a:graphic>
          </wp:anchor>
        </w:drawing>
      </w:r>
    </w:p>
    <w:p>
      <w:pPr>
        <w:tabs>
          <w:tab w:pos="912" w:val="left" w:leader="none"/>
        </w:tabs>
        <w:spacing w:line="430" w:lineRule="exact" w:before="0"/>
        <w:ind w:left="0" w:right="176" w:firstLine="0"/>
        <w:jc w:val="center"/>
        <w:rPr>
          <w:sz w:val="21"/>
        </w:rPr>
      </w:pPr>
      <w:r>
        <w:rPr>
          <w:sz w:val="21"/>
        </w:rPr>
        <w:t>图</w:t>
      </w:r>
      <w:r>
        <w:rPr>
          <w:spacing w:val="7"/>
          <w:sz w:val="21"/>
        </w:rPr>
        <w:t> </w:t>
      </w:r>
      <w:r>
        <w:rPr>
          <w:rFonts w:ascii="Times New Roman" w:eastAsia="Times New Roman"/>
          <w:b/>
          <w:sz w:val="21"/>
        </w:rPr>
        <w:t>6.2-7</w:t>
        <w:tab/>
      </w:r>
      <w:r>
        <w:rPr>
          <w:sz w:val="21"/>
        </w:rPr>
        <w:t>甲醛浓度达到</w:t>
      </w:r>
      <w:r>
        <w:rPr>
          <w:spacing w:val="-3"/>
          <w:sz w:val="21"/>
        </w:rPr>
        <w:t>不</w:t>
      </w:r>
      <w:r>
        <w:rPr>
          <w:sz w:val="21"/>
        </w:rPr>
        <w:t>同毒性终点浓度时</w:t>
      </w:r>
      <w:r>
        <w:rPr>
          <w:spacing w:val="-3"/>
          <w:sz w:val="21"/>
        </w:rPr>
        <w:t>的</w:t>
      </w:r>
      <w:r>
        <w:rPr>
          <w:sz w:val="21"/>
        </w:rPr>
        <w:t>最</w:t>
      </w:r>
      <w:r>
        <w:rPr>
          <w:spacing w:val="-3"/>
          <w:sz w:val="21"/>
        </w:rPr>
        <w:t>大</w:t>
      </w:r>
      <w:r>
        <w:rPr>
          <w:sz w:val="21"/>
        </w:rPr>
        <w:t>影响范围图</w:t>
      </w:r>
    </w:p>
    <w:p>
      <w:pPr>
        <w:tabs>
          <w:tab w:pos="912" w:val="left" w:leader="none"/>
        </w:tabs>
        <w:spacing w:before="119"/>
        <w:ind w:left="0" w:right="176" w:firstLine="0"/>
        <w:jc w:val="center"/>
        <w:rPr>
          <w:sz w:val="21"/>
        </w:rPr>
      </w:pPr>
      <w:r>
        <w:rPr>
          <w:sz w:val="21"/>
        </w:rPr>
        <w:t>表</w:t>
      </w:r>
      <w:r>
        <w:rPr>
          <w:spacing w:val="7"/>
          <w:sz w:val="21"/>
        </w:rPr>
        <w:t> </w:t>
      </w:r>
      <w:r>
        <w:rPr>
          <w:rFonts w:ascii="Times New Roman" w:eastAsia="Times New Roman"/>
          <w:b/>
          <w:sz w:val="21"/>
        </w:rPr>
        <w:t>7.6-7</w:t>
        <w:tab/>
      </w:r>
      <w:r>
        <w:rPr>
          <w:sz w:val="21"/>
        </w:rPr>
        <w:t>最常见气象条</w:t>
      </w:r>
      <w:r>
        <w:rPr>
          <w:spacing w:val="-3"/>
          <w:sz w:val="21"/>
        </w:rPr>
        <w:t>件</w:t>
      </w:r>
      <w:r>
        <w:rPr>
          <w:sz w:val="21"/>
        </w:rPr>
        <w:t>下下风向不同距离</w:t>
      </w:r>
      <w:r>
        <w:rPr>
          <w:spacing w:val="-3"/>
          <w:sz w:val="21"/>
        </w:rPr>
        <w:t>处</w:t>
      </w:r>
      <w:r>
        <w:rPr>
          <w:sz w:val="21"/>
        </w:rPr>
        <w:t>甲</w:t>
      </w:r>
      <w:r>
        <w:rPr>
          <w:spacing w:val="-3"/>
          <w:sz w:val="21"/>
        </w:rPr>
        <w:t>醛</w:t>
      </w:r>
      <w:r>
        <w:rPr>
          <w:sz w:val="21"/>
        </w:rPr>
        <w:t>最大浓度</w:t>
      </w:r>
    </w:p>
    <w:p>
      <w:pPr>
        <w:pStyle w:val="BodyText"/>
        <w:spacing w:before="14"/>
        <w:rPr>
          <w:sz w:val="3"/>
        </w:rPr>
      </w:pPr>
    </w:p>
    <w:tbl>
      <w:tblPr>
        <w:tblW w:w="0" w:type="auto"/>
        <w:jc w:val="left"/>
        <w:tblInd w:w="55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45"/>
        <w:gridCol w:w="2493"/>
        <w:gridCol w:w="2821"/>
      </w:tblGrid>
      <w:tr>
        <w:trPr>
          <w:trHeight w:val="321" w:hRule="atLeast"/>
        </w:trPr>
        <w:tc>
          <w:tcPr>
            <w:tcW w:w="3045" w:type="dxa"/>
            <w:tcBorders>
              <w:left w:val="single" w:sz="6" w:space="0" w:color="000000"/>
              <w:bottom w:val="single" w:sz="12" w:space="0" w:color="000000"/>
              <w:right w:val="single" w:sz="12" w:space="0" w:color="000000"/>
            </w:tcBorders>
            <w:shd w:val="clear" w:color="auto" w:fill="F9F9F9"/>
          </w:tcPr>
          <w:p>
            <w:pPr>
              <w:pStyle w:val="TableParagraph"/>
              <w:spacing w:line="301" w:lineRule="exact"/>
              <w:ind w:left="689" w:right="659"/>
              <w:rPr>
                <w:sz w:val="21"/>
              </w:rPr>
            </w:pPr>
            <w:r>
              <w:rPr>
                <w:color w:val="404040"/>
                <w:sz w:val="21"/>
              </w:rPr>
              <w:t>下风向距离（</w:t>
            </w:r>
            <w:r>
              <w:rPr>
                <w:rFonts w:ascii="Times New Roman" w:eastAsia="Times New Roman"/>
                <w:color w:val="404040"/>
                <w:sz w:val="21"/>
              </w:rPr>
              <w:t>m</w:t>
            </w:r>
            <w:r>
              <w:rPr>
                <w:color w:val="404040"/>
                <w:sz w:val="21"/>
              </w:rPr>
              <w:t>）</w:t>
            </w:r>
          </w:p>
        </w:tc>
        <w:tc>
          <w:tcPr>
            <w:tcW w:w="2493" w:type="dxa"/>
            <w:tcBorders>
              <w:left w:val="single" w:sz="12" w:space="0" w:color="000000"/>
              <w:bottom w:val="single" w:sz="12" w:space="0" w:color="000000"/>
              <w:right w:val="double" w:sz="2" w:space="0" w:color="000000"/>
            </w:tcBorders>
            <w:shd w:val="clear" w:color="auto" w:fill="F9F9F9"/>
          </w:tcPr>
          <w:p>
            <w:pPr>
              <w:pStyle w:val="TableParagraph"/>
              <w:spacing w:line="301" w:lineRule="exact"/>
              <w:ind w:left="546" w:right="526"/>
              <w:rPr>
                <w:sz w:val="21"/>
              </w:rPr>
            </w:pPr>
            <w:r>
              <w:rPr>
                <w:color w:val="404040"/>
                <w:sz w:val="21"/>
              </w:rPr>
              <w:t>出现时间（</w:t>
            </w:r>
            <w:r>
              <w:rPr>
                <w:rFonts w:ascii="Times New Roman" w:eastAsia="Times New Roman"/>
                <w:color w:val="404040"/>
                <w:sz w:val="21"/>
              </w:rPr>
              <w:t>s</w:t>
            </w:r>
            <w:r>
              <w:rPr>
                <w:color w:val="404040"/>
                <w:sz w:val="21"/>
              </w:rPr>
              <w:t>）</w:t>
            </w:r>
          </w:p>
        </w:tc>
        <w:tc>
          <w:tcPr>
            <w:tcW w:w="2821" w:type="dxa"/>
            <w:tcBorders>
              <w:left w:val="double" w:sz="2" w:space="0" w:color="000000"/>
              <w:bottom w:val="single" w:sz="12" w:space="0" w:color="000000"/>
              <w:right w:val="single" w:sz="6" w:space="0" w:color="000000"/>
            </w:tcBorders>
            <w:shd w:val="clear" w:color="auto" w:fill="F9F9F9"/>
          </w:tcPr>
          <w:p>
            <w:pPr>
              <w:pStyle w:val="TableParagraph"/>
              <w:spacing w:line="301" w:lineRule="exact"/>
              <w:ind w:left="672" w:right="678"/>
              <w:rPr>
                <w:sz w:val="21"/>
              </w:rPr>
            </w:pPr>
            <w:r>
              <w:rPr>
                <w:color w:val="404040"/>
                <w:sz w:val="21"/>
              </w:rPr>
              <w:t>浓度（</w:t>
            </w:r>
            <w:r>
              <w:rPr>
                <w:rFonts w:ascii="Times New Roman" w:eastAsia="Times New Roman"/>
                <w:color w:val="404040"/>
                <w:sz w:val="21"/>
              </w:rPr>
              <w:t>mg/m</w:t>
            </w:r>
            <w:r>
              <w:rPr>
                <w:rFonts w:ascii="Times New Roman" w:eastAsia="Times New Roman"/>
                <w:color w:val="404040"/>
                <w:position w:val="7"/>
                <w:sz w:val="14"/>
              </w:rPr>
              <w:t>3</w:t>
            </w:r>
            <w:r>
              <w:rPr>
                <w:color w:val="404040"/>
                <w:sz w:val="21"/>
              </w:rPr>
              <w:t>）</w:t>
            </w:r>
          </w:p>
        </w:tc>
      </w:tr>
      <w:tr>
        <w:trPr>
          <w:trHeight w:val="310"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3" w:right="659"/>
              <w:rPr>
                <w:rFonts w:ascii="Times New Roman"/>
                <w:sz w:val="14"/>
              </w:rPr>
            </w:pPr>
            <w:r>
              <w:rPr>
                <w:rFonts w:ascii="Times New Roman"/>
                <w:color w:val="404040"/>
                <w:sz w:val="14"/>
              </w:rPr>
              <w:t>-11.7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7.26</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right="6"/>
              <w:rPr>
                <w:rFonts w:ascii="Times New Roman"/>
                <w:sz w:val="14"/>
              </w:rPr>
            </w:pPr>
            <w:r>
              <w:rPr>
                <w:rFonts w:ascii="Times New Roman"/>
                <w:color w:val="404040"/>
                <w:w w:val="99"/>
                <w:sz w:val="14"/>
              </w:rPr>
              <w:t>0</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3" w:right="659"/>
              <w:rPr>
                <w:rFonts w:ascii="Times New Roman"/>
                <w:sz w:val="14"/>
              </w:rPr>
            </w:pPr>
            <w:r>
              <w:rPr>
                <w:rFonts w:ascii="Times New Roman"/>
                <w:color w:val="404040"/>
                <w:sz w:val="14"/>
              </w:rPr>
              <w:t>-9.35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8.57</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71" w:right="678"/>
              <w:rPr>
                <w:rFonts w:ascii="Times New Roman"/>
                <w:sz w:val="14"/>
              </w:rPr>
            </w:pPr>
            <w:r>
              <w:rPr>
                <w:rFonts w:ascii="Times New Roman"/>
                <w:color w:val="404040"/>
                <w:sz w:val="14"/>
              </w:rPr>
              <w:t>1291.5076205756175</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683" w:right="659"/>
              <w:rPr>
                <w:rFonts w:ascii="Times New Roman"/>
                <w:sz w:val="14"/>
              </w:rPr>
            </w:pPr>
            <w:r>
              <w:rPr>
                <w:rFonts w:ascii="Times New Roman"/>
                <w:color w:val="404040"/>
                <w:sz w:val="14"/>
              </w:rPr>
              <w:t>-7.01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9.87</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671" w:right="678"/>
              <w:rPr>
                <w:rFonts w:ascii="Times New Roman"/>
                <w:sz w:val="14"/>
              </w:rPr>
            </w:pPr>
            <w:r>
              <w:rPr>
                <w:rFonts w:ascii="Times New Roman"/>
                <w:color w:val="404040"/>
                <w:sz w:val="14"/>
              </w:rPr>
              <w:t>1673.0010421800614</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3" w:right="659"/>
              <w:rPr>
                <w:rFonts w:ascii="Times New Roman"/>
                <w:sz w:val="14"/>
              </w:rPr>
            </w:pPr>
            <w:r>
              <w:rPr>
                <w:rFonts w:ascii="Times New Roman"/>
                <w:color w:val="404040"/>
                <w:sz w:val="14"/>
              </w:rPr>
              <w:t>-4.68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11.4</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68" w:right="678"/>
              <w:rPr>
                <w:rFonts w:ascii="Times New Roman"/>
                <w:sz w:val="14"/>
              </w:rPr>
            </w:pPr>
            <w:r>
              <w:rPr>
                <w:rFonts w:ascii="Times New Roman"/>
                <w:color w:val="404040"/>
                <w:sz w:val="14"/>
              </w:rPr>
              <w:t>1926.879324677257</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683" w:right="659"/>
              <w:rPr>
                <w:rFonts w:ascii="Times New Roman"/>
                <w:sz w:val="14"/>
              </w:rPr>
            </w:pPr>
            <w:r>
              <w:rPr>
                <w:rFonts w:ascii="Times New Roman"/>
                <w:color w:val="404040"/>
                <w:sz w:val="14"/>
              </w:rPr>
              <w:t>-2.34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12.8</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671" w:right="678"/>
              <w:rPr>
                <w:rFonts w:ascii="Times New Roman"/>
                <w:sz w:val="14"/>
              </w:rPr>
            </w:pPr>
            <w:r>
              <w:rPr>
                <w:rFonts w:ascii="Times New Roman"/>
                <w:color w:val="404040"/>
                <w:sz w:val="14"/>
              </w:rPr>
              <w:t>2113.0891759435276</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29"/>
              <w:rPr>
                <w:rFonts w:ascii="Times New Roman"/>
                <w:sz w:val="14"/>
              </w:rPr>
            </w:pPr>
            <w:r>
              <w:rPr>
                <w:rFonts w:ascii="Times New Roman"/>
                <w:color w:val="404040"/>
                <w:w w:val="99"/>
                <w:sz w:val="14"/>
              </w:rPr>
              <w:t>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14.5</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68" w:right="678"/>
              <w:rPr>
                <w:rFonts w:ascii="Times New Roman"/>
                <w:sz w:val="14"/>
              </w:rPr>
            </w:pPr>
            <w:r>
              <w:rPr>
                <w:rFonts w:ascii="Times New Roman"/>
                <w:color w:val="404040"/>
                <w:sz w:val="14"/>
              </w:rPr>
              <w:t>2252.226856018675</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686" w:right="659"/>
              <w:rPr>
                <w:rFonts w:ascii="Times New Roman"/>
                <w:sz w:val="14"/>
              </w:rPr>
            </w:pPr>
            <w:r>
              <w:rPr>
                <w:rFonts w:ascii="Times New Roman"/>
                <w:color w:val="404040"/>
                <w:sz w:val="14"/>
              </w:rPr>
              <w:t>2.34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16.1</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668" w:right="678"/>
              <w:rPr>
                <w:rFonts w:ascii="Times New Roman"/>
                <w:sz w:val="14"/>
              </w:rPr>
            </w:pPr>
            <w:r>
              <w:rPr>
                <w:rFonts w:ascii="Times New Roman"/>
                <w:color w:val="404040"/>
                <w:sz w:val="14"/>
              </w:rPr>
              <w:t>2364.808370999881</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6" w:right="659"/>
              <w:rPr>
                <w:rFonts w:ascii="Times New Roman"/>
                <w:sz w:val="14"/>
              </w:rPr>
            </w:pPr>
            <w:r>
              <w:rPr>
                <w:rFonts w:ascii="Times New Roman"/>
                <w:color w:val="404040"/>
                <w:sz w:val="14"/>
              </w:rPr>
              <w:t>4.68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26"/>
              <w:rPr>
                <w:rFonts w:ascii="Times New Roman"/>
                <w:sz w:val="14"/>
              </w:rPr>
            </w:pPr>
            <w:r>
              <w:rPr>
                <w:rFonts w:ascii="Times New Roman"/>
                <w:color w:val="404040"/>
                <w:sz w:val="14"/>
              </w:rPr>
              <w:t>18</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71" w:right="678"/>
              <w:rPr>
                <w:rFonts w:ascii="Times New Roman"/>
                <w:sz w:val="14"/>
              </w:rPr>
            </w:pPr>
            <w:r>
              <w:rPr>
                <w:rFonts w:ascii="Times New Roman"/>
                <w:color w:val="404040"/>
                <w:sz w:val="14"/>
              </w:rPr>
              <w:t>2437.8482474146763</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686" w:right="659"/>
              <w:rPr>
                <w:rFonts w:ascii="Times New Roman"/>
                <w:sz w:val="14"/>
              </w:rPr>
            </w:pPr>
            <w:r>
              <w:rPr>
                <w:rFonts w:ascii="Times New Roman"/>
                <w:color w:val="404040"/>
                <w:sz w:val="14"/>
              </w:rPr>
              <w:t>7.01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19.8</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671" w:right="678"/>
              <w:rPr>
                <w:rFonts w:ascii="Times New Roman"/>
                <w:sz w:val="14"/>
              </w:rPr>
            </w:pPr>
            <w:r>
              <w:rPr>
                <w:rFonts w:ascii="Times New Roman"/>
                <w:color w:val="404040"/>
                <w:sz w:val="14"/>
              </w:rPr>
              <w:t>2494.2766477577406</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6" w:right="659"/>
              <w:rPr>
                <w:rFonts w:ascii="Times New Roman"/>
                <w:sz w:val="14"/>
              </w:rPr>
            </w:pPr>
            <w:r>
              <w:rPr>
                <w:rFonts w:ascii="Times New Roman"/>
                <w:color w:val="404040"/>
                <w:sz w:val="14"/>
              </w:rPr>
              <w:t>9.35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21.8</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71" w:right="678"/>
              <w:rPr>
                <w:rFonts w:ascii="Times New Roman"/>
                <w:sz w:val="14"/>
              </w:rPr>
            </w:pPr>
            <w:r>
              <w:rPr>
                <w:rFonts w:ascii="Times New Roman"/>
                <w:color w:val="404040"/>
                <w:sz w:val="14"/>
              </w:rPr>
              <w:t>2552.52231182238</w:t>
            </w:r>
          </w:p>
        </w:tc>
      </w:tr>
      <w:tr>
        <w:trPr>
          <w:trHeight w:val="311"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4"/>
              <w:ind w:left="686" w:right="659"/>
              <w:rPr>
                <w:rFonts w:ascii="Times New Roman"/>
                <w:sz w:val="14"/>
              </w:rPr>
            </w:pPr>
            <w:r>
              <w:rPr>
                <w:rFonts w:ascii="Times New Roman"/>
                <w:color w:val="404040"/>
                <w:sz w:val="14"/>
              </w:rPr>
              <w:t>11.7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23.8</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4"/>
              <w:ind w:left="668" w:right="678"/>
              <w:rPr>
                <w:rFonts w:ascii="Times New Roman"/>
                <w:sz w:val="14"/>
              </w:rPr>
            </w:pPr>
            <w:r>
              <w:rPr>
                <w:rFonts w:ascii="Times New Roman"/>
                <w:color w:val="404040"/>
                <w:sz w:val="14"/>
              </w:rPr>
              <w:t>2600.090571562242</w:t>
            </w:r>
          </w:p>
        </w:tc>
      </w:tr>
      <w:tr>
        <w:trPr>
          <w:trHeight w:val="312"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6" w:right="659"/>
              <w:rPr>
                <w:rFonts w:ascii="Times New Roman"/>
                <w:sz w:val="14"/>
              </w:rPr>
            </w:pPr>
            <w:r>
              <w:rPr>
                <w:rFonts w:ascii="Times New Roman"/>
                <w:color w:val="404040"/>
                <w:sz w:val="14"/>
              </w:rPr>
              <w:t>11.9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5" w:right="526"/>
              <w:rPr>
                <w:rFonts w:ascii="Times New Roman"/>
                <w:sz w:val="14"/>
              </w:rPr>
            </w:pPr>
            <w:r>
              <w:rPr>
                <w:rFonts w:ascii="Times New Roman"/>
                <w:color w:val="404040"/>
                <w:sz w:val="14"/>
              </w:rPr>
              <w:t>24.2</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68" w:right="678"/>
              <w:rPr>
                <w:rFonts w:ascii="Times New Roman"/>
                <w:sz w:val="14"/>
              </w:rPr>
            </w:pPr>
            <w:r>
              <w:rPr>
                <w:rFonts w:ascii="Times New Roman"/>
                <w:color w:val="404040"/>
                <w:sz w:val="14"/>
              </w:rPr>
              <w:t>2555.224839422252</w:t>
            </w:r>
          </w:p>
        </w:tc>
      </w:tr>
      <w:tr>
        <w:trPr>
          <w:trHeight w:val="313" w:hRule="atLeast"/>
        </w:trPr>
        <w:tc>
          <w:tcPr>
            <w:tcW w:w="3045" w:type="dxa"/>
            <w:tcBorders>
              <w:top w:val="single" w:sz="12" w:space="0" w:color="000000"/>
              <w:left w:val="single" w:sz="6" w:space="0" w:color="000000"/>
              <w:right w:val="single" w:sz="12" w:space="0" w:color="000000"/>
            </w:tcBorders>
            <w:shd w:val="clear" w:color="auto" w:fill="F9F9F9"/>
          </w:tcPr>
          <w:p>
            <w:pPr>
              <w:pStyle w:val="TableParagraph"/>
              <w:spacing w:before="74"/>
              <w:ind w:left="686" w:right="659"/>
              <w:rPr>
                <w:rFonts w:ascii="Times New Roman"/>
                <w:sz w:val="14"/>
              </w:rPr>
            </w:pPr>
            <w:r>
              <w:rPr>
                <w:rFonts w:ascii="Times New Roman"/>
                <w:color w:val="404040"/>
                <w:sz w:val="14"/>
              </w:rPr>
              <w:t>12.2</w:t>
            </w:r>
          </w:p>
        </w:tc>
        <w:tc>
          <w:tcPr>
            <w:tcW w:w="2493" w:type="dxa"/>
            <w:tcBorders>
              <w:top w:val="single" w:sz="12" w:space="0" w:color="000000"/>
              <w:left w:val="single" w:sz="12" w:space="0" w:color="000000"/>
              <w:right w:val="double" w:sz="2" w:space="0" w:color="000000"/>
            </w:tcBorders>
            <w:shd w:val="clear" w:color="auto" w:fill="F9F9F9"/>
          </w:tcPr>
          <w:p>
            <w:pPr>
              <w:pStyle w:val="TableParagraph"/>
              <w:spacing w:before="74"/>
              <w:ind w:left="545" w:right="526"/>
              <w:rPr>
                <w:rFonts w:ascii="Times New Roman"/>
                <w:sz w:val="14"/>
              </w:rPr>
            </w:pPr>
            <w:r>
              <w:rPr>
                <w:rFonts w:ascii="Times New Roman"/>
                <w:color w:val="404040"/>
                <w:sz w:val="14"/>
              </w:rPr>
              <w:t>24.7</w:t>
            </w:r>
          </w:p>
        </w:tc>
        <w:tc>
          <w:tcPr>
            <w:tcW w:w="2821" w:type="dxa"/>
            <w:tcBorders>
              <w:top w:val="single" w:sz="12" w:space="0" w:color="000000"/>
              <w:left w:val="double" w:sz="2" w:space="0" w:color="000000"/>
              <w:right w:val="single" w:sz="6" w:space="0" w:color="000000"/>
            </w:tcBorders>
            <w:shd w:val="clear" w:color="auto" w:fill="F9F9F9"/>
          </w:tcPr>
          <w:p>
            <w:pPr>
              <w:pStyle w:val="TableParagraph"/>
              <w:spacing w:before="74"/>
              <w:ind w:left="668" w:right="678"/>
              <w:rPr>
                <w:rFonts w:ascii="Times New Roman"/>
                <w:sz w:val="14"/>
              </w:rPr>
            </w:pPr>
            <w:r>
              <w:rPr>
                <w:rFonts w:ascii="Times New Roman"/>
                <w:color w:val="404040"/>
                <w:sz w:val="14"/>
              </w:rPr>
              <w:t>2536.967006148141</w:t>
            </w:r>
          </w:p>
        </w:tc>
      </w:tr>
    </w:tbl>
    <w:p>
      <w:pPr>
        <w:spacing w:after="0"/>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63"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45"/>
        <w:gridCol w:w="2493"/>
        <w:gridCol w:w="2821"/>
      </w:tblGrid>
      <w:tr>
        <w:trPr>
          <w:trHeight w:val="312" w:hRule="atLeast"/>
        </w:trPr>
        <w:tc>
          <w:tcPr>
            <w:tcW w:w="3045" w:type="dxa"/>
            <w:tcBorders>
              <w:bottom w:val="single" w:sz="12" w:space="0" w:color="000000"/>
              <w:right w:val="single" w:sz="12" w:space="0" w:color="000000"/>
            </w:tcBorders>
            <w:shd w:val="clear" w:color="auto" w:fill="F9F9F9"/>
          </w:tcPr>
          <w:p>
            <w:pPr>
              <w:pStyle w:val="TableParagraph"/>
              <w:spacing w:before="74"/>
              <w:ind w:left="1356" w:right="1330"/>
              <w:rPr>
                <w:rFonts w:ascii="Times New Roman"/>
                <w:sz w:val="14"/>
              </w:rPr>
            </w:pPr>
            <w:r>
              <w:rPr>
                <w:rFonts w:ascii="Times New Roman"/>
                <w:color w:val="404040"/>
                <w:sz w:val="14"/>
              </w:rPr>
              <w:t>12.5</w:t>
            </w:r>
          </w:p>
        </w:tc>
        <w:tc>
          <w:tcPr>
            <w:tcW w:w="2493" w:type="dxa"/>
            <w:tcBorders>
              <w:left w:val="single" w:sz="12" w:space="0" w:color="000000"/>
              <w:bottom w:val="single" w:sz="12" w:space="0" w:color="000000"/>
              <w:right w:val="double" w:sz="2" w:space="0" w:color="000000"/>
            </w:tcBorders>
            <w:shd w:val="clear" w:color="auto" w:fill="F9F9F9"/>
          </w:tcPr>
          <w:p>
            <w:pPr>
              <w:pStyle w:val="TableParagraph"/>
              <w:spacing w:before="74"/>
              <w:ind w:left="546" w:right="512"/>
              <w:rPr>
                <w:rFonts w:ascii="Times New Roman"/>
                <w:sz w:val="14"/>
              </w:rPr>
            </w:pPr>
            <w:r>
              <w:rPr>
                <w:rFonts w:ascii="Times New Roman"/>
                <w:color w:val="404040"/>
                <w:sz w:val="14"/>
              </w:rPr>
              <w:t>25.3</w:t>
            </w:r>
          </w:p>
        </w:tc>
        <w:tc>
          <w:tcPr>
            <w:tcW w:w="2821" w:type="dxa"/>
            <w:tcBorders>
              <w:left w:val="double" w:sz="2" w:space="0" w:color="000000"/>
              <w:bottom w:val="single" w:sz="12" w:space="0" w:color="000000"/>
            </w:tcBorders>
            <w:shd w:val="clear" w:color="auto" w:fill="F9F9F9"/>
          </w:tcPr>
          <w:p>
            <w:pPr>
              <w:pStyle w:val="TableParagraph"/>
              <w:spacing w:before="74"/>
              <w:ind w:left="787"/>
              <w:jc w:val="left"/>
              <w:rPr>
                <w:rFonts w:ascii="Times New Roman"/>
                <w:sz w:val="14"/>
              </w:rPr>
            </w:pPr>
            <w:r>
              <w:rPr>
                <w:rFonts w:ascii="Times New Roman"/>
                <w:color w:val="404040"/>
                <w:sz w:val="14"/>
              </w:rPr>
              <w:t>2499.8015701776876</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12.9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1"/>
              <w:rPr>
                <w:rFonts w:ascii="Times New Roman"/>
                <w:sz w:val="14"/>
              </w:rPr>
            </w:pPr>
            <w:r>
              <w:rPr>
                <w:rFonts w:ascii="Times New Roman"/>
                <w:color w:val="404040"/>
                <w:sz w:val="14"/>
              </w:rPr>
              <w:t>26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2471.783945038211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13.4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26.8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2432.1816693167507</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27.8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2375.788223963626</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14.7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1"/>
              <w:rPr>
                <w:rFonts w:ascii="Times New Roman"/>
                <w:sz w:val="14"/>
              </w:rPr>
            </w:pPr>
            <w:r>
              <w:rPr>
                <w:rFonts w:ascii="Times New Roman"/>
                <w:color w:val="404040"/>
                <w:sz w:val="14"/>
              </w:rPr>
              <w:t>29</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2315.452443502002</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15.5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30.5</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2251.130410018589</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16.5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32.2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2167.0760834260022</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17.7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34.2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787"/>
              <w:jc w:val="left"/>
              <w:rPr>
                <w:rFonts w:ascii="Times New Roman"/>
                <w:sz w:val="14"/>
              </w:rPr>
            </w:pPr>
            <w:r>
              <w:rPr>
                <w:rFonts w:ascii="Times New Roman"/>
                <w:color w:val="404040"/>
                <w:sz w:val="14"/>
              </w:rPr>
              <w:t>2072.7201599405576</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19.1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36.5</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1976.109534205825</w:t>
            </w:r>
          </w:p>
        </w:tc>
      </w:tr>
      <w:tr>
        <w:trPr>
          <w:trHeight w:val="311"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20.8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39.3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1864.944532207771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22.8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42.7</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1741.2855452433485</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25.3</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46.6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787"/>
              <w:jc w:val="left"/>
              <w:rPr>
                <w:rFonts w:ascii="Times New Roman"/>
                <w:sz w:val="14"/>
              </w:rPr>
            </w:pPr>
            <w:r>
              <w:rPr>
                <w:rFonts w:ascii="Times New Roman"/>
                <w:color w:val="404040"/>
                <w:sz w:val="14"/>
              </w:rPr>
              <w:t>1605.0829478478688</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28.2</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51.2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1472.2163840700368</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31.7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56.6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787"/>
              <w:jc w:val="left"/>
              <w:rPr>
                <w:rFonts w:ascii="Times New Roman"/>
                <w:sz w:val="14"/>
              </w:rPr>
            </w:pPr>
            <w:r>
              <w:rPr>
                <w:rFonts w:ascii="Times New Roman"/>
                <w:color w:val="404040"/>
                <w:sz w:val="14"/>
              </w:rPr>
              <w:t>1321.2551541124337</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35.9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62.9</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1176.4950680748302</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40.9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70.2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1035.698624951565</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47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2"/>
              <w:rPr>
                <w:rFonts w:ascii="Times New Roman"/>
                <w:sz w:val="14"/>
              </w:rPr>
            </w:pPr>
            <w:r>
              <w:rPr>
                <w:rFonts w:ascii="Times New Roman"/>
                <w:color w:val="404040"/>
                <w:sz w:val="14"/>
              </w:rPr>
              <w:t>78.8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898.2686283186895</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54.2</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2"/>
              <w:rPr>
                <w:rFonts w:ascii="Times New Roman"/>
                <w:sz w:val="14"/>
              </w:rPr>
            </w:pPr>
            <w:r>
              <w:rPr>
                <w:rFonts w:ascii="Times New Roman"/>
                <w:color w:val="404040"/>
                <w:sz w:val="14"/>
              </w:rPr>
              <w:t>88.7</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768.0377269455065</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62.9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100</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648.0293201458549</w:t>
            </w:r>
          </w:p>
        </w:tc>
      </w:tr>
      <w:tr>
        <w:trPr>
          <w:trHeight w:val="311"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3"/>
              <w:ind w:left="1356" w:right="1330"/>
              <w:rPr>
                <w:rFonts w:ascii="Times New Roman"/>
                <w:sz w:val="14"/>
              </w:rPr>
            </w:pPr>
            <w:r>
              <w:rPr>
                <w:rFonts w:ascii="Times New Roman"/>
                <w:color w:val="404040"/>
                <w:sz w:val="14"/>
              </w:rPr>
              <w:t>73.3</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3"/>
              <w:ind w:left="546" w:right="514"/>
              <w:rPr>
                <w:rFonts w:ascii="Times New Roman"/>
                <w:sz w:val="14"/>
              </w:rPr>
            </w:pPr>
            <w:r>
              <w:rPr>
                <w:rFonts w:ascii="Times New Roman"/>
                <w:color w:val="404040"/>
                <w:sz w:val="14"/>
              </w:rPr>
              <w:t>113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3"/>
              <w:ind w:left="820"/>
              <w:jc w:val="left"/>
              <w:rPr>
                <w:rFonts w:ascii="Times New Roman"/>
                <w:sz w:val="14"/>
              </w:rPr>
            </w:pPr>
            <w:r>
              <w:rPr>
                <w:rFonts w:ascii="Times New Roman"/>
                <w:color w:val="404040"/>
                <w:sz w:val="14"/>
              </w:rPr>
              <w:t>544.5301549017676</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85.8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129</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452.75370213788443</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101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146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370.9385555435852</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119</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166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300.8994684891924</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140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190</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787"/>
              <w:jc w:val="left"/>
              <w:rPr>
                <w:rFonts w:ascii="Times New Roman"/>
                <w:sz w:val="14"/>
              </w:rPr>
            </w:pPr>
            <w:r>
              <w:rPr>
                <w:rFonts w:ascii="Times New Roman"/>
                <w:color w:val="404040"/>
                <w:sz w:val="14"/>
              </w:rPr>
              <w:t>242.68714137880832</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166</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216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194.16992592501558</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197</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247</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155.5242082122493</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233</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282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122.16000833724581</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278</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323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96.47330726812781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331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370</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75.24750719391591</w:t>
            </w:r>
          </w:p>
        </w:tc>
      </w:tr>
      <w:tr>
        <w:trPr>
          <w:trHeight w:val="311"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3"/>
              <w:ind w:left="1354" w:right="1330"/>
              <w:rPr>
                <w:rFonts w:ascii="Times New Roman"/>
                <w:sz w:val="14"/>
              </w:rPr>
            </w:pPr>
            <w:r>
              <w:rPr>
                <w:rFonts w:ascii="Times New Roman"/>
                <w:color w:val="404040"/>
                <w:sz w:val="14"/>
              </w:rPr>
              <w:t>394</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3"/>
              <w:ind w:left="546" w:right="514"/>
              <w:rPr>
                <w:rFonts w:ascii="Times New Roman"/>
                <w:sz w:val="14"/>
              </w:rPr>
            </w:pPr>
            <w:r>
              <w:rPr>
                <w:rFonts w:ascii="Times New Roman"/>
                <w:color w:val="404040"/>
                <w:sz w:val="14"/>
              </w:rPr>
              <w:t>424</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3"/>
              <w:ind w:left="820"/>
              <w:jc w:val="left"/>
              <w:rPr>
                <w:rFonts w:ascii="Times New Roman"/>
                <w:sz w:val="14"/>
              </w:rPr>
            </w:pPr>
            <w:r>
              <w:rPr>
                <w:rFonts w:ascii="Times New Roman"/>
                <w:color w:val="404040"/>
                <w:sz w:val="14"/>
              </w:rPr>
              <w:t>58.09445783737471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471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486</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44.79877320631463</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562</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558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34.32188214839611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671</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641</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26.208748149331388</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4" w:right="1330"/>
              <w:rPr>
                <w:rFonts w:ascii="Times New Roman"/>
                <w:sz w:val="14"/>
              </w:rPr>
            </w:pPr>
            <w:r>
              <w:rPr>
                <w:rFonts w:ascii="Times New Roman"/>
                <w:color w:val="404040"/>
                <w:sz w:val="14"/>
              </w:rPr>
              <w:t>805</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649</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787"/>
              <w:jc w:val="left"/>
              <w:rPr>
                <w:rFonts w:ascii="Times New Roman"/>
                <w:sz w:val="14"/>
              </w:rPr>
            </w:pPr>
            <w:r>
              <w:rPr>
                <w:rFonts w:ascii="Times New Roman"/>
                <w:color w:val="404040"/>
                <w:sz w:val="14"/>
              </w:rPr>
              <w:t>18.993042954313076</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4" w:right="1330"/>
              <w:rPr>
                <w:rFonts w:ascii="Times New Roman"/>
                <w:sz w:val="14"/>
              </w:rPr>
            </w:pPr>
            <w:r>
              <w:rPr>
                <w:rFonts w:ascii="Times New Roman"/>
                <w:color w:val="404040"/>
                <w:sz w:val="14"/>
              </w:rPr>
              <w:t>973</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708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13.581129455447185</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1180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778</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9.751959691976062</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1440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4"/>
              <w:rPr>
                <w:rFonts w:ascii="Times New Roman"/>
                <w:sz w:val="14"/>
              </w:rPr>
            </w:pPr>
            <w:r>
              <w:rPr>
                <w:rFonts w:ascii="Times New Roman"/>
                <w:color w:val="404040"/>
                <w:sz w:val="14"/>
              </w:rPr>
              <w:t>862</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820"/>
              <w:jc w:val="left"/>
              <w:rPr>
                <w:rFonts w:ascii="Times New Roman"/>
                <w:sz w:val="14"/>
              </w:rPr>
            </w:pPr>
            <w:r>
              <w:rPr>
                <w:rFonts w:ascii="Times New Roman"/>
                <w:color w:val="404040"/>
                <w:sz w:val="14"/>
              </w:rPr>
              <w:t>6.920101691720154</w:t>
            </w:r>
          </w:p>
        </w:tc>
      </w:tr>
      <w:tr>
        <w:trPr>
          <w:trHeight w:val="310"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2"/>
              <w:ind w:left="1356" w:right="1330"/>
              <w:rPr>
                <w:rFonts w:ascii="Times New Roman"/>
                <w:sz w:val="14"/>
              </w:rPr>
            </w:pPr>
            <w:r>
              <w:rPr>
                <w:rFonts w:ascii="Times New Roman"/>
                <w:color w:val="404040"/>
                <w:sz w:val="14"/>
              </w:rPr>
              <w:t>1770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left="546" w:right="514"/>
              <w:rPr>
                <w:rFonts w:ascii="Times New Roman"/>
                <w:sz w:val="14"/>
              </w:rPr>
            </w:pPr>
            <w:r>
              <w:rPr>
                <w:rFonts w:ascii="Times New Roman"/>
                <w:color w:val="404040"/>
                <w:sz w:val="14"/>
              </w:rPr>
              <w:t>963</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2"/>
              <w:ind w:left="820"/>
              <w:jc w:val="left"/>
              <w:rPr>
                <w:rFonts w:ascii="Times New Roman"/>
                <w:sz w:val="14"/>
              </w:rPr>
            </w:pPr>
            <w:r>
              <w:rPr>
                <w:rFonts w:ascii="Times New Roman"/>
                <w:color w:val="404040"/>
                <w:sz w:val="14"/>
              </w:rPr>
              <w:t>4.916701653906621</w:t>
            </w:r>
          </w:p>
        </w:tc>
      </w:tr>
      <w:tr>
        <w:trPr>
          <w:trHeight w:val="313" w:hRule="atLeast"/>
        </w:trPr>
        <w:tc>
          <w:tcPr>
            <w:tcW w:w="3045" w:type="dxa"/>
            <w:tcBorders>
              <w:top w:val="single" w:sz="12" w:space="0" w:color="000000"/>
              <w:bottom w:val="single" w:sz="12" w:space="0" w:color="000000"/>
              <w:right w:val="single" w:sz="12" w:space="0" w:color="000000"/>
            </w:tcBorders>
            <w:shd w:val="clear" w:color="auto" w:fill="F9F9F9"/>
          </w:tcPr>
          <w:p>
            <w:pPr>
              <w:pStyle w:val="TableParagraph"/>
              <w:spacing w:before="75"/>
              <w:ind w:left="1356" w:right="1330"/>
              <w:rPr>
                <w:rFonts w:ascii="Times New Roman"/>
                <w:sz w:val="14"/>
              </w:rPr>
            </w:pPr>
            <w:r>
              <w:rPr>
                <w:rFonts w:ascii="Times New Roman"/>
                <w:color w:val="404040"/>
                <w:sz w:val="14"/>
              </w:rPr>
              <w:t>2180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left="546" w:right="517"/>
              <w:rPr>
                <w:rFonts w:ascii="Times New Roman"/>
                <w:sz w:val="14"/>
              </w:rPr>
            </w:pPr>
            <w:r>
              <w:rPr>
                <w:rFonts w:ascii="Times New Roman"/>
                <w:color w:val="404040"/>
                <w:sz w:val="14"/>
              </w:rPr>
              <w:t>1080</w:t>
            </w:r>
          </w:p>
        </w:tc>
        <w:tc>
          <w:tcPr>
            <w:tcW w:w="2821" w:type="dxa"/>
            <w:tcBorders>
              <w:top w:val="single" w:sz="12" w:space="0" w:color="000000"/>
              <w:left w:val="double" w:sz="2" w:space="0" w:color="000000"/>
              <w:bottom w:val="single" w:sz="12" w:space="0" w:color="000000"/>
            </w:tcBorders>
            <w:shd w:val="clear" w:color="auto" w:fill="F9F9F9"/>
          </w:tcPr>
          <w:p>
            <w:pPr>
              <w:pStyle w:val="TableParagraph"/>
              <w:spacing w:before="75"/>
              <w:ind w:left="787"/>
              <w:jc w:val="left"/>
              <w:rPr>
                <w:rFonts w:ascii="Times New Roman"/>
                <w:sz w:val="14"/>
              </w:rPr>
            </w:pPr>
            <w:r>
              <w:rPr>
                <w:rFonts w:ascii="Times New Roman"/>
                <w:color w:val="404040"/>
                <w:sz w:val="14"/>
              </w:rPr>
              <w:t>3.4074639488687537</w:t>
            </w:r>
          </w:p>
        </w:tc>
      </w:tr>
      <w:tr>
        <w:trPr>
          <w:trHeight w:val="311" w:hRule="atLeast"/>
        </w:trPr>
        <w:tc>
          <w:tcPr>
            <w:tcW w:w="3045" w:type="dxa"/>
            <w:tcBorders>
              <w:top w:val="single" w:sz="12" w:space="0" w:color="000000"/>
              <w:right w:val="single" w:sz="12" w:space="0" w:color="000000"/>
            </w:tcBorders>
            <w:shd w:val="clear" w:color="auto" w:fill="F9F9F9"/>
          </w:tcPr>
          <w:p>
            <w:pPr>
              <w:pStyle w:val="TableParagraph"/>
              <w:spacing w:before="73"/>
              <w:ind w:left="1356" w:right="1330"/>
              <w:rPr>
                <w:rFonts w:ascii="Times New Roman"/>
                <w:sz w:val="14"/>
              </w:rPr>
            </w:pPr>
            <w:r>
              <w:rPr>
                <w:rFonts w:ascii="Times New Roman"/>
                <w:color w:val="404040"/>
                <w:sz w:val="14"/>
              </w:rPr>
              <w:t>2680</w:t>
            </w:r>
          </w:p>
        </w:tc>
        <w:tc>
          <w:tcPr>
            <w:tcW w:w="2493" w:type="dxa"/>
            <w:tcBorders>
              <w:top w:val="single" w:sz="12" w:space="0" w:color="000000"/>
              <w:left w:val="single" w:sz="12" w:space="0" w:color="000000"/>
              <w:right w:val="double" w:sz="2" w:space="0" w:color="000000"/>
            </w:tcBorders>
            <w:shd w:val="clear" w:color="auto" w:fill="F9F9F9"/>
          </w:tcPr>
          <w:p>
            <w:pPr>
              <w:pStyle w:val="TableParagraph"/>
              <w:spacing w:before="73"/>
              <w:ind w:left="546" w:right="517"/>
              <w:rPr>
                <w:rFonts w:ascii="Times New Roman"/>
                <w:sz w:val="14"/>
              </w:rPr>
            </w:pPr>
            <w:r>
              <w:rPr>
                <w:rFonts w:ascii="Times New Roman"/>
                <w:color w:val="404040"/>
                <w:sz w:val="14"/>
              </w:rPr>
              <w:t>1230</w:t>
            </w:r>
          </w:p>
        </w:tc>
        <w:tc>
          <w:tcPr>
            <w:tcW w:w="2821" w:type="dxa"/>
            <w:tcBorders>
              <w:top w:val="single" w:sz="12" w:space="0" w:color="000000"/>
              <w:left w:val="double" w:sz="2" w:space="0" w:color="000000"/>
            </w:tcBorders>
            <w:shd w:val="clear" w:color="auto" w:fill="F9F9F9"/>
          </w:tcPr>
          <w:p>
            <w:pPr>
              <w:pStyle w:val="TableParagraph"/>
              <w:spacing w:before="73"/>
              <w:ind w:left="787"/>
              <w:jc w:val="left"/>
              <w:rPr>
                <w:rFonts w:ascii="Times New Roman"/>
                <w:sz w:val="14"/>
              </w:rPr>
            </w:pPr>
            <w:r>
              <w:rPr>
                <w:rFonts w:ascii="Times New Roman"/>
                <w:color w:val="404040"/>
                <w:sz w:val="14"/>
              </w:rPr>
              <w:t>2.4186963271549295</w:t>
            </w:r>
          </w:p>
        </w:tc>
      </w:tr>
    </w:tbl>
    <w:p>
      <w:pPr>
        <w:spacing w:after="0"/>
        <w:jc w:val="left"/>
        <w:rPr>
          <w:rFonts w:ascii="Times New Roman"/>
          <w:sz w:val="14"/>
        </w:rPr>
        <w:sectPr>
          <w:pgSz w:w="11910" w:h="16840"/>
          <w:pgMar w:header="877" w:footer="973" w:top="1340" w:bottom="1160" w:left="1220" w:right="1040"/>
        </w:sectPr>
      </w:pPr>
    </w:p>
    <w:p>
      <w:pPr>
        <w:pStyle w:val="BodyText"/>
        <w:rPr>
          <w:rFonts w:ascii="Times New Roman"/>
          <w:sz w:val="8"/>
        </w:rPr>
      </w:pPr>
    </w:p>
    <w:tbl>
      <w:tblPr>
        <w:tblW w:w="0" w:type="auto"/>
        <w:jc w:val="left"/>
        <w:tblInd w:w="55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3045"/>
        <w:gridCol w:w="2493"/>
        <w:gridCol w:w="2821"/>
      </w:tblGrid>
      <w:tr>
        <w:trPr>
          <w:trHeight w:val="312" w:hRule="atLeast"/>
        </w:trPr>
        <w:tc>
          <w:tcPr>
            <w:tcW w:w="3045" w:type="dxa"/>
            <w:tcBorders>
              <w:left w:val="single" w:sz="6" w:space="0" w:color="000000"/>
              <w:bottom w:val="single" w:sz="12" w:space="0" w:color="000000"/>
              <w:right w:val="single" w:sz="12" w:space="0" w:color="000000"/>
            </w:tcBorders>
            <w:shd w:val="clear" w:color="auto" w:fill="F9F9F9"/>
          </w:tcPr>
          <w:p>
            <w:pPr>
              <w:pStyle w:val="TableParagraph"/>
              <w:spacing w:before="74"/>
              <w:ind w:left="686" w:right="659"/>
              <w:rPr>
                <w:rFonts w:ascii="Times New Roman"/>
                <w:sz w:val="14"/>
              </w:rPr>
            </w:pPr>
            <w:r>
              <w:rPr>
                <w:rFonts w:ascii="Times New Roman"/>
                <w:color w:val="404040"/>
                <w:sz w:val="14"/>
              </w:rPr>
              <w:t>3300</w:t>
            </w:r>
          </w:p>
        </w:tc>
        <w:tc>
          <w:tcPr>
            <w:tcW w:w="2493" w:type="dxa"/>
            <w:tcBorders>
              <w:left w:val="single" w:sz="12" w:space="0" w:color="000000"/>
              <w:bottom w:val="single" w:sz="12" w:space="0" w:color="000000"/>
              <w:right w:val="double" w:sz="2" w:space="0" w:color="000000"/>
            </w:tcBorders>
            <w:shd w:val="clear" w:color="auto" w:fill="F9F9F9"/>
          </w:tcPr>
          <w:p>
            <w:pPr>
              <w:pStyle w:val="TableParagraph"/>
              <w:spacing w:before="74"/>
              <w:ind w:right="1078"/>
              <w:jc w:val="right"/>
              <w:rPr>
                <w:rFonts w:ascii="Times New Roman"/>
                <w:sz w:val="14"/>
              </w:rPr>
            </w:pPr>
            <w:r>
              <w:rPr>
                <w:rFonts w:ascii="Times New Roman"/>
                <w:color w:val="404040"/>
                <w:w w:val="95"/>
                <w:sz w:val="14"/>
              </w:rPr>
              <w:t>1400</w:t>
            </w:r>
          </w:p>
        </w:tc>
        <w:tc>
          <w:tcPr>
            <w:tcW w:w="2821" w:type="dxa"/>
            <w:tcBorders>
              <w:left w:val="double" w:sz="2" w:space="0" w:color="000000"/>
              <w:bottom w:val="single" w:sz="12" w:space="0" w:color="000000"/>
              <w:right w:val="single" w:sz="6" w:space="0" w:color="000000"/>
            </w:tcBorders>
            <w:shd w:val="clear" w:color="auto" w:fill="F9F9F9"/>
          </w:tcPr>
          <w:p>
            <w:pPr>
              <w:pStyle w:val="TableParagraph"/>
              <w:spacing w:before="74"/>
              <w:ind w:left="671" w:right="678"/>
              <w:rPr>
                <w:rFonts w:ascii="Times New Roman"/>
                <w:sz w:val="14"/>
              </w:rPr>
            </w:pPr>
            <w:r>
              <w:rPr>
                <w:rFonts w:ascii="Times New Roman"/>
                <w:color w:val="404040"/>
                <w:sz w:val="14"/>
              </w:rPr>
              <w:t>1.6812802026036282</w:t>
            </w:r>
          </w:p>
        </w:tc>
      </w:tr>
      <w:tr>
        <w:trPr>
          <w:trHeight w:val="310"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6" w:right="659"/>
              <w:rPr>
                <w:rFonts w:ascii="Times New Roman"/>
                <w:sz w:val="14"/>
              </w:rPr>
            </w:pPr>
            <w:r>
              <w:rPr>
                <w:rFonts w:ascii="Times New Roman"/>
                <w:color w:val="404040"/>
                <w:sz w:val="14"/>
              </w:rPr>
              <w:t>4070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right="1078"/>
              <w:jc w:val="right"/>
              <w:rPr>
                <w:rFonts w:ascii="Times New Roman"/>
                <w:sz w:val="14"/>
              </w:rPr>
            </w:pPr>
            <w:r>
              <w:rPr>
                <w:rFonts w:ascii="Times New Roman"/>
                <w:color w:val="404040"/>
                <w:w w:val="95"/>
                <w:sz w:val="14"/>
              </w:rPr>
              <w:t>1610</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71" w:right="678"/>
              <w:rPr>
                <w:rFonts w:ascii="Times New Roman"/>
                <w:sz w:val="14"/>
              </w:rPr>
            </w:pPr>
            <w:r>
              <w:rPr>
                <w:rFonts w:ascii="Times New Roman"/>
                <w:color w:val="404040"/>
                <w:sz w:val="14"/>
              </w:rPr>
              <w:t>1.18137697681451</w:t>
            </w:r>
          </w:p>
        </w:tc>
      </w:tr>
      <w:tr>
        <w:trPr>
          <w:trHeight w:val="313"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5"/>
              <w:ind w:left="686" w:right="659"/>
              <w:rPr>
                <w:rFonts w:ascii="Times New Roman"/>
                <w:sz w:val="14"/>
              </w:rPr>
            </w:pPr>
            <w:r>
              <w:rPr>
                <w:rFonts w:ascii="Times New Roman"/>
                <w:color w:val="404040"/>
                <w:sz w:val="14"/>
              </w:rPr>
              <w:t>5020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right="1078"/>
              <w:jc w:val="right"/>
              <w:rPr>
                <w:rFonts w:ascii="Times New Roman"/>
                <w:sz w:val="14"/>
              </w:rPr>
            </w:pPr>
            <w:r>
              <w:rPr>
                <w:rFonts w:ascii="Times New Roman"/>
                <w:color w:val="404040"/>
                <w:w w:val="95"/>
                <w:sz w:val="14"/>
              </w:rPr>
              <w:t>1860</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5"/>
              <w:ind w:left="671" w:right="678"/>
              <w:rPr>
                <w:rFonts w:ascii="Times New Roman"/>
                <w:sz w:val="14"/>
              </w:rPr>
            </w:pPr>
            <w:r>
              <w:rPr>
                <w:rFonts w:ascii="Times New Roman"/>
                <w:color w:val="404040"/>
                <w:sz w:val="14"/>
              </w:rPr>
              <w:t>0.8294421823625469</w:t>
            </w:r>
          </w:p>
        </w:tc>
      </w:tr>
      <w:tr>
        <w:trPr>
          <w:trHeight w:val="310"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6" w:right="659"/>
              <w:rPr>
                <w:rFonts w:ascii="Times New Roman"/>
                <w:sz w:val="14"/>
              </w:rPr>
            </w:pPr>
            <w:r>
              <w:rPr>
                <w:rFonts w:ascii="Times New Roman"/>
                <w:color w:val="404040"/>
                <w:sz w:val="14"/>
              </w:rPr>
              <w:t>6190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right="1078"/>
              <w:jc w:val="right"/>
              <w:rPr>
                <w:rFonts w:ascii="Times New Roman"/>
                <w:sz w:val="14"/>
              </w:rPr>
            </w:pPr>
            <w:r>
              <w:rPr>
                <w:rFonts w:ascii="Times New Roman"/>
                <w:color w:val="404040"/>
                <w:w w:val="95"/>
                <w:sz w:val="14"/>
              </w:rPr>
              <w:t>2160</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68" w:right="678"/>
              <w:rPr>
                <w:rFonts w:ascii="Times New Roman"/>
                <w:sz w:val="14"/>
              </w:rPr>
            </w:pPr>
            <w:r>
              <w:rPr>
                <w:rFonts w:ascii="Times New Roman"/>
                <w:color w:val="404040"/>
                <w:sz w:val="14"/>
              </w:rPr>
              <w:t>0.590485828813359</w:t>
            </w:r>
          </w:p>
        </w:tc>
      </w:tr>
      <w:tr>
        <w:trPr>
          <w:trHeight w:val="313"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5"/>
              <w:ind w:left="686" w:right="659"/>
              <w:rPr>
                <w:rFonts w:ascii="Times New Roman"/>
                <w:sz w:val="14"/>
              </w:rPr>
            </w:pPr>
            <w:r>
              <w:rPr>
                <w:rFonts w:ascii="Times New Roman"/>
                <w:color w:val="404040"/>
                <w:sz w:val="14"/>
              </w:rPr>
              <w:t>7630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right="1078"/>
              <w:jc w:val="right"/>
              <w:rPr>
                <w:rFonts w:ascii="Times New Roman"/>
                <w:sz w:val="14"/>
              </w:rPr>
            </w:pPr>
            <w:r>
              <w:rPr>
                <w:rFonts w:ascii="Times New Roman"/>
                <w:color w:val="404040"/>
                <w:w w:val="95"/>
                <w:sz w:val="14"/>
              </w:rPr>
              <w:t>2520</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5"/>
              <w:ind w:left="671" w:right="678"/>
              <w:rPr>
                <w:rFonts w:ascii="Times New Roman"/>
                <w:sz w:val="14"/>
              </w:rPr>
            </w:pPr>
            <w:r>
              <w:rPr>
                <w:rFonts w:ascii="Times New Roman"/>
                <w:color w:val="404040"/>
                <w:sz w:val="14"/>
              </w:rPr>
              <w:t>0.4177991398333954</w:t>
            </w:r>
          </w:p>
        </w:tc>
      </w:tr>
      <w:tr>
        <w:trPr>
          <w:trHeight w:val="310"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2"/>
              <w:ind w:left="686" w:right="659"/>
              <w:rPr>
                <w:rFonts w:ascii="Times New Roman"/>
                <w:sz w:val="14"/>
              </w:rPr>
            </w:pPr>
            <w:r>
              <w:rPr>
                <w:rFonts w:ascii="Times New Roman"/>
                <w:color w:val="404040"/>
                <w:sz w:val="14"/>
              </w:rPr>
              <w:t>9400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2"/>
              <w:ind w:right="1078"/>
              <w:jc w:val="right"/>
              <w:rPr>
                <w:rFonts w:ascii="Times New Roman"/>
                <w:sz w:val="14"/>
              </w:rPr>
            </w:pPr>
            <w:r>
              <w:rPr>
                <w:rFonts w:ascii="Times New Roman"/>
                <w:color w:val="404040"/>
                <w:w w:val="95"/>
                <w:sz w:val="14"/>
              </w:rPr>
              <w:t>2950</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2"/>
              <w:ind w:left="671" w:right="678"/>
              <w:rPr>
                <w:rFonts w:ascii="Times New Roman"/>
                <w:sz w:val="14"/>
              </w:rPr>
            </w:pPr>
            <w:r>
              <w:rPr>
                <w:rFonts w:ascii="Times New Roman"/>
                <w:color w:val="404040"/>
                <w:sz w:val="14"/>
              </w:rPr>
              <w:t>0.2978289331065267</w:t>
            </w:r>
          </w:p>
        </w:tc>
      </w:tr>
      <w:tr>
        <w:trPr>
          <w:trHeight w:val="313" w:hRule="atLeast"/>
        </w:trPr>
        <w:tc>
          <w:tcPr>
            <w:tcW w:w="3045" w:type="dxa"/>
            <w:tcBorders>
              <w:top w:val="single" w:sz="12" w:space="0" w:color="000000"/>
              <w:left w:val="single" w:sz="6" w:space="0" w:color="000000"/>
              <w:bottom w:val="single" w:sz="12" w:space="0" w:color="000000"/>
              <w:right w:val="single" w:sz="12" w:space="0" w:color="000000"/>
            </w:tcBorders>
            <w:shd w:val="clear" w:color="auto" w:fill="F9F9F9"/>
          </w:tcPr>
          <w:p>
            <w:pPr>
              <w:pStyle w:val="TableParagraph"/>
              <w:spacing w:before="75"/>
              <w:ind w:left="683" w:right="659"/>
              <w:rPr>
                <w:rFonts w:ascii="Times New Roman"/>
                <w:sz w:val="14"/>
              </w:rPr>
            </w:pPr>
            <w:r>
              <w:rPr>
                <w:rFonts w:ascii="Times New Roman"/>
                <w:color w:val="404040"/>
                <w:sz w:val="14"/>
              </w:rPr>
              <w:t>11600</w:t>
            </w:r>
          </w:p>
        </w:tc>
        <w:tc>
          <w:tcPr>
            <w:tcW w:w="2493" w:type="dxa"/>
            <w:tcBorders>
              <w:top w:val="single" w:sz="12" w:space="0" w:color="000000"/>
              <w:left w:val="single" w:sz="12" w:space="0" w:color="000000"/>
              <w:bottom w:val="single" w:sz="12" w:space="0" w:color="000000"/>
              <w:right w:val="double" w:sz="2" w:space="0" w:color="000000"/>
            </w:tcBorders>
            <w:shd w:val="clear" w:color="auto" w:fill="F9F9F9"/>
          </w:tcPr>
          <w:p>
            <w:pPr>
              <w:pStyle w:val="TableParagraph"/>
              <w:spacing w:before="75"/>
              <w:ind w:right="1078"/>
              <w:jc w:val="right"/>
              <w:rPr>
                <w:rFonts w:ascii="Times New Roman"/>
                <w:sz w:val="14"/>
              </w:rPr>
            </w:pPr>
            <w:r>
              <w:rPr>
                <w:rFonts w:ascii="Times New Roman"/>
                <w:color w:val="404040"/>
                <w:w w:val="95"/>
                <w:sz w:val="14"/>
              </w:rPr>
              <w:t>3460</w:t>
            </w:r>
          </w:p>
        </w:tc>
        <w:tc>
          <w:tcPr>
            <w:tcW w:w="2821" w:type="dxa"/>
            <w:tcBorders>
              <w:top w:val="single" w:sz="12" w:space="0" w:color="000000"/>
              <w:left w:val="double" w:sz="2" w:space="0" w:color="000000"/>
              <w:bottom w:val="single" w:sz="12" w:space="0" w:color="000000"/>
              <w:right w:val="single" w:sz="6" w:space="0" w:color="000000"/>
            </w:tcBorders>
            <w:shd w:val="clear" w:color="auto" w:fill="F9F9F9"/>
          </w:tcPr>
          <w:p>
            <w:pPr>
              <w:pStyle w:val="TableParagraph"/>
              <w:spacing w:before="75"/>
              <w:ind w:left="671" w:right="678"/>
              <w:rPr>
                <w:rFonts w:ascii="Times New Roman"/>
                <w:sz w:val="14"/>
              </w:rPr>
            </w:pPr>
            <w:r>
              <w:rPr>
                <w:rFonts w:ascii="Times New Roman"/>
                <w:color w:val="404040"/>
                <w:sz w:val="14"/>
              </w:rPr>
              <w:t>0.21472665293722965</w:t>
            </w:r>
          </w:p>
        </w:tc>
      </w:tr>
      <w:tr>
        <w:trPr>
          <w:trHeight w:val="318" w:hRule="atLeast"/>
        </w:trPr>
        <w:tc>
          <w:tcPr>
            <w:tcW w:w="3045" w:type="dxa"/>
            <w:tcBorders>
              <w:top w:val="single" w:sz="12" w:space="0" w:color="000000"/>
              <w:left w:val="single" w:sz="6" w:space="0" w:color="000000"/>
              <w:right w:val="single" w:sz="12" w:space="0" w:color="000000"/>
            </w:tcBorders>
            <w:shd w:val="clear" w:color="auto" w:fill="F9F9F9"/>
          </w:tcPr>
          <w:p>
            <w:pPr>
              <w:pStyle w:val="TableParagraph"/>
              <w:spacing w:before="72"/>
              <w:ind w:left="683" w:right="659"/>
              <w:rPr>
                <w:rFonts w:ascii="Times New Roman"/>
                <w:sz w:val="14"/>
              </w:rPr>
            </w:pPr>
            <w:r>
              <w:rPr>
                <w:rFonts w:ascii="Times New Roman"/>
                <w:color w:val="404040"/>
                <w:sz w:val="14"/>
              </w:rPr>
              <w:t>14200</w:t>
            </w:r>
          </w:p>
        </w:tc>
        <w:tc>
          <w:tcPr>
            <w:tcW w:w="2493" w:type="dxa"/>
            <w:tcBorders>
              <w:top w:val="single" w:sz="12" w:space="0" w:color="000000"/>
              <w:left w:val="single" w:sz="12" w:space="0" w:color="000000"/>
              <w:right w:val="double" w:sz="2" w:space="0" w:color="000000"/>
            </w:tcBorders>
            <w:shd w:val="clear" w:color="auto" w:fill="F9F9F9"/>
          </w:tcPr>
          <w:p>
            <w:pPr>
              <w:pStyle w:val="TableParagraph"/>
              <w:spacing w:before="72"/>
              <w:ind w:right="1078"/>
              <w:jc w:val="right"/>
              <w:rPr>
                <w:rFonts w:ascii="Times New Roman"/>
                <w:sz w:val="14"/>
              </w:rPr>
            </w:pPr>
            <w:r>
              <w:rPr>
                <w:rFonts w:ascii="Times New Roman"/>
                <w:color w:val="404040"/>
                <w:w w:val="95"/>
                <w:sz w:val="14"/>
              </w:rPr>
              <w:t>4080</w:t>
            </w:r>
          </w:p>
        </w:tc>
        <w:tc>
          <w:tcPr>
            <w:tcW w:w="2821" w:type="dxa"/>
            <w:tcBorders>
              <w:top w:val="single" w:sz="12" w:space="0" w:color="000000"/>
              <w:left w:val="double" w:sz="2" w:space="0" w:color="000000"/>
              <w:right w:val="single" w:sz="6" w:space="0" w:color="000000"/>
            </w:tcBorders>
            <w:shd w:val="clear" w:color="auto" w:fill="F9F9F9"/>
          </w:tcPr>
          <w:p>
            <w:pPr>
              <w:pStyle w:val="TableParagraph"/>
              <w:spacing w:before="72"/>
              <w:ind w:left="671" w:right="678"/>
              <w:rPr>
                <w:rFonts w:ascii="Times New Roman"/>
                <w:sz w:val="14"/>
              </w:rPr>
            </w:pPr>
            <w:r>
              <w:rPr>
                <w:rFonts w:ascii="Times New Roman"/>
                <w:color w:val="404040"/>
                <w:sz w:val="14"/>
              </w:rPr>
              <w:t>0.15530425462711356</w:t>
            </w:r>
          </w:p>
        </w:tc>
      </w:tr>
    </w:tbl>
    <w:p>
      <w:pPr>
        <w:pStyle w:val="BodyText"/>
        <w:rPr>
          <w:rFonts w:ascii="Times New Roman"/>
          <w:sz w:val="20"/>
        </w:rPr>
      </w:pPr>
    </w:p>
    <w:p>
      <w:pPr>
        <w:pStyle w:val="BodyText"/>
        <w:spacing w:before="5"/>
        <w:rPr>
          <w:rFonts w:ascii="Times New Roman"/>
          <w:sz w:val="26"/>
        </w:rPr>
      </w:pPr>
    </w:p>
    <w:tbl>
      <w:tblPr>
        <w:tblW w:w="0" w:type="auto"/>
        <w:jc w:val="left"/>
        <w:tblInd w:w="1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505"/>
        <w:gridCol w:w="4585"/>
      </w:tblGrid>
      <w:tr>
        <w:trPr>
          <w:trHeight w:val="2498" w:hRule="atLeast"/>
        </w:trPr>
        <w:tc>
          <w:tcPr>
            <w:tcW w:w="4505" w:type="dxa"/>
            <w:tcBorders>
              <w:bottom w:val="single" w:sz="6" w:space="0" w:color="000000"/>
              <w:right w:val="single" w:sz="6" w:space="0" w:color="000000"/>
            </w:tcBorders>
          </w:tcPr>
          <w:p>
            <w:pPr>
              <w:pStyle w:val="TableParagraph"/>
              <w:spacing w:before="9"/>
              <w:jc w:val="left"/>
              <w:rPr>
                <w:rFonts w:ascii="Times New Roman"/>
                <w:sz w:val="2"/>
              </w:rPr>
            </w:pPr>
          </w:p>
          <w:p>
            <w:pPr>
              <w:pStyle w:val="TableParagraph"/>
              <w:ind w:left="107"/>
              <w:jc w:val="left"/>
              <w:rPr>
                <w:rFonts w:ascii="Times New Roman"/>
                <w:sz w:val="20"/>
              </w:rPr>
            </w:pPr>
            <w:r>
              <w:rPr>
                <w:rFonts w:ascii="Times New Roman"/>
                <w:sz w:val="20"/>
              </w:rPr>
              <w:drawing>
                <wp:inline distT="0" distB="0" distL="0" distR="0">
                  <wp:extent cx="2700884" cy="1530858"/>
                  <wp:effectExtent l="0" t="0" r="0" b="0"/>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52" cstate="print"/>
                          <a:stretch>
                            <a:fillRect/>
                          </a:stretch>
                        </pic:blipFill>
                        <pic:spPr>
                          <a:xfrm>
                            <a:off x="0" y="0"/>
                            <a:ext cx="2700884" cy="1530858"/>
                          </a:xfrm>
                          <a:prstGeom prst="rect">
                            <a:avLst/>
                          </a:prstGeom>
                        </pic:spPr>
                      </pic:pic>
                    </a:graphicData>
                  </a:graphic>
                </wp:inline>
              </w:drawing>
            </w:r>
            <w:r>
              <w:rPr>
                <w:rFonts w:ascii="Times New Roman"/>
                <w:sz w:val="20"/>
              </w:rPr>
            </w:r>
          </w:p>
        </w:tc>
        <w:tc>
          <w:tcPr>
            <w:tcW w:w="4585" w:type="dxa"/>
            <w:tcBorders>
              <w:left w:val="single" w:sz="6" w:space="0" w:color="000000"/>
              <w:bottom w:val="single" w:sz="6" w:space="0" w:color="000000"/>
            </w:tcBorders>
          </w:tcPr>
          <w:p>
            <w:pPr>
              <w:pStyle w:val="TableParagraph"/>
              <w:spacing w:before="7"/>
              <w:jc w:val="left"/>
              <w:rPr>
                <w:rFonts w:ascii="Times New Roman"/>
                <w:sz w:val="3"/>
              </w:rPr>
            </w:pPr>
          </w:p>
          <w:p>
            <w:pPr>
              <w:pStyle w:val="TableParagraph"/>
              <w:ind w:left="114"/>
              <w:jc w:val="left"/>
              <w:rPr>
                <w:rFonts w:ascii="Times New Roman"/>
                <w:sz w:val="20"/>
              </w:rPr>
            </w:pPr>
            <w:r>
              <w:rPr>
                <w:rFonts w:ascii="Times New Roman"/>
                <w:sz w:val="20"/>
              </w:rPr>
              <w:drawing>
                <wp:inline distT="0" distB="0" distL="0" distR="0">
                  <wp:extent cx="2770347" cy="1531048"/>
                  <wp:effectExtent l="0" t="0" r="0" b="0"/>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53" cstate="print"/>
                          <a:stretch>
                            <a:fillRect/>
                          </a:stretch>
                        </pic:blipFill>
                        <pic:spPr>
                          <a:xfrm>
                            <a:off x="0" y="0"/>
                            <a:ext cx="2770347" cy="1531048"/>
                          </a:xfrm>
                          <a:prstGeom prst="rect">
                            <a:avLst/>
                          </a:prstGeom>
                        </pic:spPr>
                      </pic:pic>
                    </a:graphicData>
                  </a:graphic>
                </wp:inline>
              </w:drawing>
            </w:r>
            <w:r>
              <w:rPr>
                <w:rFonts w:ascii="Times New Roman"/>
                <w:sz w:val="20"/>
              </w:rPr>
            </w:r>
          </w:p>
        </w:tc>
      </w:tr>
      <w:tr>
        <w:trPr>
          <w:trHeight w:val="311" w:hRule="atLeast"/>
        </w:trPr>
        <w:tc>
          <w:tcPr>
            <w:tcW w:w="4505" w:type="dxa"/>
            <w:tcBorders>
              <w:top w:val="single" w:sz="6" w:space="0" w:color="000000"/>
              <w:bottom w:val="single" w:sz="6" w:space="0" w:color="000000"/>
              <w:right w:val="single" w:sz="6" w:space="0" w:color="000000"/>
            </w:tcBorders>
          </w:tcPr>
          <w:p>
            <w:pPr>
              <w:pStyle w:val="TableParagraph"/>
              <w:spacing w:line="291" w:lineRule="exact"/>
              <w:ind w:left="1811" w:right="1790"/>
              <w:rPr>
                <w:sz w:val="21"/>
              </w:rPr>
            </w:pPr>
            <w:r>
              <w:rPr>
                <w:sz w:val="21"/>
              </w:rPr>
              <w:t>中柴沟村</w:t>
            </w:r>
          </w:p>
        </w:tc>
        <w:tc>
          <w:tcPr>
            <w:tcW w:w="4585" w:type="dxa"/>
            <w:tcBorders>
              <w:top w:val="single" w:sz="6" w:space="0" w:color="000000"/>
              <w:left w:val="single" w:sz="6" w:space="0" w:color="000000"/>
              <w:bottom w:val="single" w:sz="6" w:space="0" w:color="000000"/>
            </w:tcBorders>
          </w:tcPr>
          <w:p>
            <w:pPr>
              <w:pStyle w:val="TableParagraph"/>
              <w:spacing w:line="291" w:lineRule="exact"/>
              <w:ind w:left="1860" w:right="1821"/>
              <w:rPr>
                <w:sz w:val="21"/>
              </w:rPr>
            </w:pPr>
            <w:r>
              <w:rPr>
                <w:sz w:val="21"/>
              </w:rPr>
              <w:t>前鲍家村</w:t>
            </w:r>
          </w:p>
        </w:tc>
      </w:tr>
      <w:tr>
        <w:trPr>
          <w:trHeight w:val="2495" w:hRule="atLeast"/>
        </w:trPr>
        <w:tc>
          <w:tcPr>
            <w:tcW w:w="4505" w:type="dxa"/>
            <w:tcBorders>
              <w:top w:val="single" w:sz="6" w:space="0" w:color="000000"/>
              <w:bottom w:val="single" w:sz="6" w:space="0" w:color="000000"/>
              <w:right w:val="single" w:sz="6" w:space="0" w:color="000000"/>
            </w:tcBorders>
          </w:tcPr>
          <w:p>
            <w:pPr>
              <w:pStyle w:val="TableParagraph"/>
              <w:spacing w:before="7"/>
              <w:jc w:val="left"/>
              <w:rPr>
                <w:rFonts w:ascii="Times New Roman"/>
                <w:sz w:val="3"/>
              </w:rPr>
            </w:pPr>
          </w:p>
          <w:p>
            <w:pPr>
              <w:pStyle w:val="TableParagraph"/>
              <w:ind w:left="152"/>
              <w:jc w:val="left"/>
              <w:rPr>
                <w:rFonts w:ascii="Times New Roman"/>
                <w:sz w:val="20"/>
              </w:rPr>
            </w:pPr>
            <w:r>
              <w:rPr>
                <w:rFonts w:ascii="Times New Roman"/>
                <w:sz w:val="20"/>
              </w:rPr>
              <w:drawing>
                <wp:inline distT="0" distB="0" distL="0" distR="0">
                  <wp:extent cx="2646373" cy="1519237"/>
                  <wp:effectExtent l="0" t="0" r="0" b="0"/>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54" cstate="print"/>
                          <a:stretch>
                            <a:fillRect/>
                          </a:stretch>
                        </pic:blipFill>
                        <pic:spPr>
                          <a:xfrm>
                            <a:off x="0" y="0"/>
                            <a:ext cx="2646373" cy="1519237"/>
                          </a:xfrm>
                          <a:prstGeom prst="rect">
                            <a:avLst/>
                          </a:prstGeom>
                        </pic:spPr>
                      </pic:pic>
                    </a:graphicData>
                  </a:graphic>
                </wp:inline>
              </w:drawing>
            </w:r>
            <w:r>
              <w:rPr>
                <w:rFonts w:ascii="Times New Roman"/>
                <w:sz w:val="20"/>
              </w:rPr>
            </w:r>
          </w:p>
        </w:tc>
        <w:tc>
          <w:tcPr>
            <w:tcW w:w="458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11" w:hRule="atLeast"/>
        </w:trPr>
        <w:tc>
          <w:tcPr>
            <w:tcW w:w="4505" w:type="dxa"/>
            <w:tcBorders>
              <w:top w:val="single" w:sz="6" w:space="0" w:color="000000"/>
              <w:right w:val="single" w:sz="6" w:space="0" w:color="000000"/>
            </w:tcBorders>
          </w:tcPr>
          <w:p>
            <w:pPr>
              <w:pStyle w:val="TableParagraph"/>
              <w:spacing w:line="291" w:lineRule="exact"/>
              <w:ind w:left="1811" w:right="1790"/>
              <w:rPr>
                <w:sz w:val="21"/>
              </w:rPr>
            </w:pPr>
            <w:r>
              <w:rPr>
                <w:sz w:val="21"/>
              </w:rPr>
              <w:t>后柴沟村</w:t>
            </w:r>
          </w:p>
        </w:tc>
        <w:tc>
          <w:tcPr>
            <w:tcW w:w="4585" w:type="dxa"/>
            <w:tcBorders>
              <w:top w:val="single" w:sz="6" w:space="0" w:color="000000"/>
              <w:left w:val="single" w:sz="6" w:space="0" w:color="000000"/>
            </w:tcBorders>
          </w:tcPr>
          <w:p>
            <w:pPr>
              <w:pStyle w:val="TableParagraph"/>
              <w:jc w:val="left"/>
              <w:rPr>
                <w:rFonts w:ascii="Times New Roman"/>
                <w:sz w:val="20"/>
              </w:rPr>
            </w:pPr>
          </w:p>
        </w:tc>
      </w:tr>
    </w:tbl>
    <w:p>
      <w:pPr>
        <w:pStyle w:val="BodyText"/>
        <w:rPr>
          <w:rFonts w:ascii="Times New Roman"/>
          <w:sz w:val="7"/>
        </w:rPr>
      </w:pPr>
    </w:p>
    <w:p>
      <w:pPr>
        <w:tabs>
          <w:tab w:pos="2625" w:val="left" w:leader="none"/>
        </w:tabs>
        <w:spacing w:line="424" w:lineRule="exact" w:before="0"/>
        <w:ind w:left="1713" w:right="0" w:firstLine="0"/>
        <w:jc w:val="left"/>
        <w:rPr>
          <w:sz w:val="21"/>
        </w:rPr>
      </w:pPr>
      <w:r>
        <w:rPr>
          <w:sz w:val="21"/>
        </w:rPr>
        <w:t>图</w:t>
      </w:r>
      <w:r>
        <w:rPr>
          <w:spacing w:val="7"/>
          <w:sz w:val="21"/>
        </w:rPr>
        <w:t> </w:t>
      </w:r>
      <w:r>
        <w:rPr>
          <w:rFonts w:ascii="Times New Roman" w:eastAsia="Times New Roman"/>
          <w:b/>
          <w:sz w:val="21"/>
        </w:rPr>
        <w:t>6.2-8</w:t>
        <w:tab/>
      </w:r>
      <w:r>
        <w:rPr>
          <w:sz w:val="21"/>
        </w:rPr>
        <w:t>甲醛在前鲍家</w:t>
      </w:r>
      <w:r>
        <w:rPr>
          <w:spacing w:val="-3"/>
          <w:sz w:val="21"/>
        </w:rPr>
        <w:t>村</w:t>
      </w:r>
      <w:r>
        <w:rPr>
          <w:sz w:val="21"/>
        </w:rPr>
        <w:t>、中柴沟村、后柴</w:t>
      </w:r>
      <w:r>
        <w:rPr>
          <w:spacing w:val="-3"/>
          <w:sz w:val="21"/>
        </w:rPr>
        <w:t>沟</w:t>
      </w:r>
      <w:r>
        <w:rPr>
          <w:sz w:val="21"/>
        </w:rPr>
        <w:t>村</w:t>
      </w:r>
      <w:r>
        <w:rPr>
          <w:spacing w:val="-3"/>
          <w:sz w:val="21"/>
        </w:rPr>
        <w:t>的</w:t>
      </w:r>
      <w:r>
        <w:rPr>
          <w:sz w:val="21"/>
        </w:rPr>
        <w:t>浓度</w:t>
      </w:r>
      <w:r>
        <w:rPr>
          <w:rFonts w:ascii="Times New Roman" w:eastAsia="Times New Roman"/>
          <w:b/>
          <w:spacing w:val="-4"/>
          <w:sz w:val="21"/>
        </w:rPr>
        <w:t>-</w:t>
      </w:r>
      <w:r>
        <w:rPr>
          <w:sz w:val="21"/>
        </w:rPr>
        <w:t>时间曲线</w:t>
      </w:r>
    </w:p>
    <w:p>
      <w:pPr>
        <w:pStyle w:val="BodyText"/>
        <w:spacing w:before="20"/>
        <w:rPr>
          <w:sz w:val="9"/>
        </w:rPr>
      </w:pPr>
    </w:p>
    <w:p>
      <w:pPr>
        <w:pStyle w:val="BodyText"/>
        <w:spacing w:line="220" w:lineRule="auto"/>
        <w:ind w:left="578" w:right="752" w:firstLine="479"/>
        <w:jc w:val="both"/>
      </w:pPr>
      <w:r>
        <w:rPr>
          <w:spacing w:val="-9"/>
        </w:rPr>
        <w:t>由上图可以看出，最常见气象条件下，甲醛浓度在各关心敏感点的浓度均未出现超标。</w:t>
      </w:r>
    </w:p>
    <w:p>
      <w:pPr>
        <w:pStyle w:val="BodyText"/>
        <w:spacing w:line="220" w:lineRule="auto"/>
        <w:ind w:left="578" w:right="666" w:firstLine="479"/>
        <w:jc w:val="both"/>
      </w:pPr>
      <w:r>
        <w:rPr/>
        <w:t>由以上分析可知看出，事故发生后对近距离敏感目标影响和危害程度最大， </w:t>
      </w:r>
      <w:r>
        <w:rPr>
          <w:spacing w:val="-5"/>
        </w:rPr>
        <w:t>随着时间的推移对远处产生影响，但危害程度逐渐减少。在假定的风险事故状态</w:t>
      </w:r>
      <w:r>
        <w:rPr>
          <w:spacing w:val="-9"/>
        </w:rPr>
        <w:t>下各泄漏事故影响最大的为最不利条件下的丙烯醛泄漏，浓度达到大气毒性终点浓度</w:t>
      </w:r>
      <w:r>
        <w:rPr>
          <w:rFonts w:ascii="Times New Roman" w:eastAsia="Times New Roman"/>
          <w:spacing w:val="-9"/>
        </w:rPr>
        <w:t>-1 </w:t>
      </w:r>
      <w:r>
        <w:rPr/>
        <w:t>的最大影响范围约为 </w:t>
      </w:r>
      <w:r>
        <w:rPr>
          <w:rFonts w:ascii="Times New Roman" w:eastAsia="Times New Roman"/>
          <w:spacing w:val="-3"/>
        </w:rPr>
        <w:t>350m</w:t>
      </w:r>
      <w:r>
        <w:rPr>
          <w:spacing w:val="-2"/>
        </w:rPr>
        <w:t>，发生时间为第 </w:t>
      </w:r>
      <w:r>
        <w:rPr>
          <w:rFonts w:ascii="Times New Roman" w:eastAsia="Times New Roman"/>
          <w:spacing w:val="-3"/>
        </w:rPr>
        <w:t>809s</w:t>
      </w:r>
      <w:r>
        <w:rPr>
          <w:spacing w:val="-2"/>
        </w:rPr>
        <w:t>，达到大气毒性终点浓度</w:t>
      </w:r>
    </w:p>
    <w:p>
      <w:pPr>
        <w:pStyle w:val="BodyText"/>
        <w:spacing w:line="220" w:lineRule="auto"/>
        <w:ind w:left="578" w:right="709"/>
      </w:pPr>
      <w:r>
        <w:rPr>
          <w:rFonts w:ascii="Times New Roman" w:eastAsia="Times New Roman"/>
        </w:rPr>
        <w:t>-2 </w:t>
      </w:r>
      <w:r>
        <w:rPr/>
        <w:t>的最大影响范围约为 </w:t>
      </w:r>
      <w:r>
        <w:rPr>
          <w:rFonts w:ascii="Times New Roman" w:eastAsia="Times New Roman"/>
        </w:rPr>
        <w:t>1440m</w:t>
      </w:r>
      <w:r>
        <w:rPr/>
        <w:t>，发生时间为第 </w:t>
      </w:r>
      <w:r>
        <w:rPr>
          <w:rFonts w:ascii="Times New Roman" w:eastAsia="Times New Roman"/>
        </w:rPr>
        <w:t>1750s</w:t>
      </w:r>
      <w:r>
        <w:rPr/>
        <w:t>，该范围存在学校、村庄等环境敏感点，暴露时间较长会对人员产生一定的生命危险。</w:t>
      </w:r>
    </w:p>
    <w:p>
      <w:pPr>
        <w:spacing w:after="0" w:line="220" w:lineRule="auto"/>
        <w:sectPr>
          <w:pgSz w:w="11910" w:h="16840"/>
          <w:pgMar w:header="877" w:footer="973" w:top="1340" w:bottom="1160" w:left="1220" w:right="1040"/>
        </w:sectPr>
      </w:pPr>
    </w:p>
    <w:p>
      <w:pPr>
        <w:pStyle w:val="BodyText"/>
        <w:spacing w:before="18"/>
        <w:rPr>
          <w:sz w:val="5"/>
        </w:rPr>
      </w:pPr>
    </w:p>
    <w:p>
      <w:pPr>
        <w:spacing w:line="590" w:lineRule="exact" w:before="0"/>
        <w:ind w:left="578" w:right="0" w:firstLine="0"/>
        <w:jc w:val="left"/>
        <w:rPr>
          <w:sz w:val="32"/>
        </w:rPr>
      </w:pPr>
      <w:r>
        <w:rPr>
          <w:rFonts w:ascii="Times New Roman" w:eastAsia="Times New Roman"/>
          <w:b/>
          <w:sz w:val="32"/>
        </w:rPr>
        <w:t>7.6.2 </w:t>
      </w:r>
      <w:r>
        <w:rPr>
          <w:sz w:val="32"/>
        </w:rPr>
        <w:t>风险事故水环境影响分析</w:t>
      </w:r>
    </w:p>
    <w:p>
      <w:pPr>
        <w:pStyle w:val="BodyText"/>
        <w:spacing w:line="488" w:lineRule="exact" w:before="78"/>
        <w:ind w:left="1058"/>
      </w:pPr>
      <w:r>
        <w:rPr>
          <w:rFonts w:ascii="Times New Roman" w:eastAsia="Times New Roman"/>
        </w:rPr>
        <w:t>1</w:t>
      </w:r>
      <w:r>
        <w:rPr/>
        <w:t>、水环境影响分析</w:t>
      </w:r>
    </w:p>
    <w:p>
      <w:pPr>
        <w:pStyle w:val="BodyText"/>
        <w:spacing w:line="220" w:lineRule="auto" w:before="8"/>
        <w:ind w:left="578" w:right="632" w:firstLine="479"/>
        <w:jc w:val="both"/>
      </w:pPr>
      <w:r>
        <w:rPr>
          <w:spacing w:val="-11"/>
        </w:rPr>
        <w:t>泄漏事件除对空气会造成一定影响外，泄漏也会对地表水体造成影响。因此， </w:t>
      </w:r>
      <w:r>
        <w:rPr>
          <w:spacing w:val="-15"/>
        </w:rPr>
        <w:t>建设单位在运营时既要充分考虑泄漏对大气的影响，又要特别重视泄漏液体的收集和处理问题，防止因泄漏对周围水体造成污染。</w:t>
      </w:r>
    </w:p>
    <w:p>
      <w:pPr>
        <w:pStyle w:val="BodyText"/>
        <w:spacing w:line="220" w:lineRule="auto"/>
        <w:ind w:left="578" w:right="751" w:firstLine="479"/>
        <w:jc w:val="both"/>
      </w:pPr>
      <w:r>
        <w:rPr>
          <w:spacing w:val="-6"/>
        </w:rPr>
        <w:t>项目区不处于饮用水源保护区，地下水为Ⅲ类，不属于敏感区；项目运行后</w:t>
      </w:r>
      <w:r>
        <w:rPr>
          <w:spacing w:val="-12"/>
        </w:rPr>
        <w:t>采用公路运输，不采用水运。因此，本次评价只对风险事故发生后产生的水环境影响进行分析。</w:t>
      </w:r>
    </w:p>
    <w:p>
      <w:pPr>
        <w:pStyle w:val="BodyText"/>
        <w:spacing w:line="460" w:lineRule="exact"/>
        <w:ind w:left="1058"/>
      </w:pPr>
      <w:r>
        <w:rPr/>
        <w:t>项目区周围水环境敏感保护目标见表 </w:t>
      </w:r>
      <w:r>
        <w:rPr>
          <w:rFonts w:ascii="Times New Roman" w:eastAsia="Times New Roman"/>
        </w:rPr>
        <w:t>2.5-1</w:t>
      </w:r>
      <w:r>
        <w:rPr/>
        <w:t>。</w:t>
      </w:r>
    </w:p>
    <w:p>
      <w:pPr>
        <w:pStyle w:val="BodyText"/>
        <w:spacing w:line="468" w:lineRule="exact"/>
        <w:ind w:left="1058"/>
      </w:pPr>
      <w:r>
        <w:rPr/>
        <w:t>（</w:t>
      </w:r>
      <w:r>
        <w:rPr>
          <w:rFonts w:ascii="Times New Roman" w:eastAsia="Times New Roman"/>
        </w:rPr>
        <w:t>1</w:t>
      </w:r>
      <w:r>
        <w:rPr/>
        <w:t>）突发性水污染事故分析</w:t>
      </w:r>
    </w:p>
    <w:p>
      <w:pPr>
        <w:pStyle w:val="BodyText"/>
        <w:spacing w:line="220" w:lineRule="auto" w:before="8"/>
        <w:ind w:left="578" w:right="751" w:firstLine="479"/>
        <w:jc w:val="both"/>
      </w:pPr>
      <w:r>
        <w:rPr>
          <w:spacing w:val="-8"/>
        </w:rPr>
        <w:t>按事故发生源，突发性水污染事故可分为：工业生产储罐、设备泄漏或事故</w:t>
      </w:r>
      <w:r>
        <w:rPr>
          <w:spacing w:val="-10"/>
        </w:rPr>
        <w:t>排放，燃烧和爆炸事故排放，运输管线泄漏，运输车辆碰撞倾翻、泄漏排放等 </w:t>
      </w:r>
      <w:r>
        <w:rPr>
          <w:rFonts w:ascii="Times New Roman" w:eastAsia="Times New Roman"/>
        </w:rPr>
        <w:t>6 </w:t>
      </w:r>
      <w:r>
        <w:rPr>
          <w:spacing w:val="-9"/>
        </w:rPr>
        <w:t>大类事故。化学品进入水环境的最主要的途径是溶解在水中，只有少数事故包含</w:t>
      </w:r>
      <w:r>
        <w:rPr>
          <w:spacing w:val="-12"/>
        </w:rPr>
        <w:t>了空气传输、沉降的途径。与化学品的运输、储存和处理相关的事故经常引发各种生态效应。</w:t>
      </w:r>
    </w:p>
    <w:p>
      <w:pPr>
        <w:pStyle w:val="BodyText"/>
        <w:spacing w:line="460" w:lineRule="exact"/>
        <w:ind w:left="1058"/>
      </w:pPr>
      <w:r>
        <w:rPr/>
        <w:t>（</w:t>
      </w:r>
      <w:r>
        <w:rPr>
          <w:rFonts w:ascii="Times New Roman" w:eastAsia="Times New Roman"/>
        </w:rPr>
        <w:t>2</w:t>
      </w:r>
      <w:r>
        <w:rPr/>
        <w:t>）风险事故水环境风险分析</w:t>
      </w:r>
    </w:p>
    <w:p>
      <w:pPr>
        <w:pStyle w:val="BodyText"/>
        <w:spacing w:line="468" w:lineRule="exact"/>
        <w:ind w:left="1058"/>
      </w:pPr>
      <w:r>
        <w:rPr/>
        <w:t>①对地下水的环境风险影响分析</w:t>
      </w:r>
    </w:p>
    <w:p>
      <w:pPr>
        <w:pStyle w:val="BodyText"/>
        <w:spacing w:line="220" w:lineRule="auto" w:before="8"/>
        <w:ind w:left="578" w:right="751" w:firstLine="479"/>
        <w:jc w:val="both"/>
      </w:pPr>
      <w:r>
        <w:rPr>
          <w:spacing w:val="-5"/>
        </w:rPr>
        <w:t>项目区位于基岩构造裂隙水富水区内，地下水类型比较单一，主要是基岩构</w:t>
      </w:r>
      <w:r>
        <w:rPr>
          <w:spacing w:val="-7"/>
        </w:rPr>
        <w:t>造裂隙水，地下水资源比较丰富，水位深度 </w:t>
      </w:r>
      <w:r>
        <w:rPr>
          <w:rFonts w:ascii="Times New Roman" w:eastAsia="Times New Roman"/>
          <w:spacing w:val="-3"/>
        </w:rPr>
        <w:t>12-60m</w:t>
      </w:r>
      <w:r>
        <w:rPr/>
        <w:t>，最深 </w:t>
      </w:r>
      <w:r>
        <w:rPr>
          <w:rFonts w:ascii="Times New Roman" w:eastAsia="Times New Roman"/>
          <w:spacing w:val="-3"/>
        </w:rPr>
        <w:t>100m</w:t>
      </w:r>
      <w:r>
        <w:rPr>
          <w:spacing w:val="-2"/>
        </w:rPr>
        <w:t>，单井平均出水</w:t>
      </w:r>
      <w:r>
        <w:rPr>
          <w:spacing w:val="21"/>
        </w:rPr>
        <w:t>量 </w:t>
      </w:r>
      <w:r>
        <w:rPr>
          <w:rFonts w:ascii="Times New Roman" w:eastAsia="Times New Roman"/>
        </w:rPr>
        <w:t>10-50m</w:t>
      </w:r>
      <w:r>
        <w:rPr>
          <w:rFonts w:ascii="Times New Roman" w:eastAsia="Times New Roman"/>
          <w:position w:val="9"/>
          <w:sz w:val="16"/>
        </w:rPr>
        <w:t>3</w:t>
      </w:r>
      <w:r>
        <w:rPr>
          <w:rFonts w:ascii="Times New Roman" w:eastAsia="Times New Roman"/>
        </w:rPr>
        <w:t>/h</w:t>
      </w:r>
      <w:r>
        <w:rPr>
          <w:spacing w:val="-1"/>
        </w:rPr>
        <w:t>，该区含水层成连续状，中间无较厚的隔水层，地下水流向为西向东。</w:t>
      </w:r>
    </w:p>
    <w:p>
      <w:pPr>
        <w:pStyle w:val="BodyText"/>
        <w:spacing w:line="220" w:lineRule="auto"/>
        <w:ind w:left="578" w:right="750" w:firstLine="479"/>
        <w:jc w:val="both"/>
      </w:pPr>
      <w:r>
        <w:rPr>
          <w:spacing w:val="-5"/>
        </w:rPr>
        <w:t>项目区按照相关技术要求对储罐、设备及运输管线采取了防渗措施，可有效</w:t>
      </w:r>
      <w:r>
        <w:rPr>
          <w:spacing w:val="1"/>
        </w:rPr>
        <w:t>减轻由于物料泄漏及消防水不能及时收集对项目区及下游地区浅层地下水的污</w:t>
      </w:r>
      <w:r>
        <w:rPr>
          <w:spacing w:val="-9"/>
        </w:rPr>
        <w:t>染。但项目废水储存区若防渗出现问题，导则废水的泄漏，将对地下水环境产生一定的影响，具体内容，</w:t>
      </w:r>
      <w:r>
        <w:rPr>
          <w:spacing w:val="-4"/>
          <w:shd w:fill="FFFF00" w:color="auto" w:val="clear"/>
        </w:rPr>
        <w:t>详见 </w:t>
      </w:r>
      <w:r>
        <w:rPr>
          <w:rFonts w:ascii="Times New Roman" w:eastAsia="Times New Roman"/>
          <w:shd w:fill="FFFF00" w:color="auto" w:val="clear"/>
        </w:rPr>
        <w:t>6.2.3.2 </w:t>
      </w:r>
      <w:r>
        <w:rPr>
          <w:shd w:fill="FFFF00" w:color="auto" w:val="clear"/>
        </w:rPr>
        <w:t>章节，地下水环境影响预测</w:t>
      </w:r>
      <w:r>
        <w:rPr/>
        <w:t>。</w:t>
      </w:r>
    </w:p>
    <w:p>
      <w:pPr>
        <w:pStyle w:val="BodyText"/>
        <w:spacing w:line="460" w:lineRule="exact"/>
        <w:ind w:left="1058"/>
      </w:pPr>
      <w:r>
        <w:rPr/>
        <w:t>②对地表水的风险影响分析</w:t>
      </w:r>
    </w:p>
    <w:p>
      <w:pPr>
        <w:pStyle w:val="BodyText"/>
        <w:spacing w:line="220" w:lineRule="auto" w:before="8"/>
        <w:ind w:left="578" w:right="753" w:firstLine="479"/>
        <w:jc w:val="both"/>
      </w:pPr>
      <w:r>
        <w:rPr>
          <w:rFonts w:ascii="Times New Roman" w:eastAsia="Times New Roman"/>
        </w:rPr>
        <w:t>a</w:t>
      </w:r>
      <w:r>
        <w:rPr/>
        <w:t>、项目盐酸储罐泄漏遇大暴雨天气后进入白马河湿地公园，水质的变化主</w:t>
      </w:r>
      <w:r>
        <w:rPr>
          <w:spacing w:val="1"/>
        </w:rPr>
        <w:t>要体现在 </w:t>
      </w:r>
      <w:r>
        <w:rPr>
          <w:rFonts w:ascii="Times New Roman" w:eastAsia="Times New Roman"/>
        </w:rPr>
        <w:t>pH </w:t>
      </w:r>
      <w:r>
        <w:rPr>
          <w:spacing w:val="-5"/>
        </w:rPr>
        <w:t>值的变化，因泄漏量较少且经暴雨及湿地内水稀释后进入湿地的物</w:t>
      </w:r>
      <w:r>
        <w:rPr>
          <w:spacing w:val="-3"/>
        </w:rPr>
        <w:t>料导致 </w:t>
      </w:r>
      <w:r>
        <w:rPr>
          <w:rFonts w:ascii="Times New Roman" w:eastAsia="Times New Roman"/>
        </w:rPr>
        <w:t>pH </w:t>
      </w:r>
      <w:r>
        <w:rPr/>
        <w:t>的变化量较少，对湿地的影响较小。</w:t>
      </w:r>
    </w:p>
    <w:p>
      <w:pPr>
        <w:spacing w:after="0" w:line="220" w:lineRule="auto"/>
        <w:jc w:val="both"/>
        <w:sectPr>
          <w:pgSz w:w="11910" w:h="16840"/>
          <w:pgMar w:header="877" w:footer="973" w:top="1340" w:bottom="1160" w:left="1220" w:right="1040"/>
        </w:sectPr>
      </w:pPr>
    </w:p>
    <w:p>
      <w:pPr>
        <w:pStyle w:val="BodyText"/>
        <w:spacing w:line="220" w:lineRule="auto" w:before="77"/>
        <w:ind w:left="578" w:right="755" w:firstLine="479"/>
        <w:jc w:val="both"/>
      </w:pPr>
      <w:r>
        <w:rPr>
          <w:rFonts w:ascii="Times New Roman" w:eastAsia="Times New Roman"/>
        </w:rPr>
        <w:t>b</w:t>
      </w:r>
      <w:r>
        <w:rPr/>
        <w:t>、项目甲醛泄漏遇大暴雨天气进入白马河湿地公园，因白马河湿地公园及</w:t>
      </w:r>
      <w:r>
        <w:rPr>
          <w:spacing w:val="-5"/>
        </w:rPr>
        <w:t>白马河上建有橡胶坝阻止了污水的进一步流向。经分析白马河湿地公园内甲醛的</w:t>
      </w:r>
      <w:r>
        <w:rPr>
          <w:spacing w:val="7"/>
        </w:rPr>
        <w:t>浓度约 </w:t>
      </w:r>
      <w:r>
        <w:rPr>
          <w:rFonts w:ascii="Times New Roman" w:eastAsia="Times New Roman"/>
        </w:rPr>
        <w:t>2mg/L</w:t>
      </w:r>
      <w:r>
        <w:rPr>
          <w:spacing w:val="-8"/>
        </w:rPr>
        <w:t>，不能满足《地表水环境质量标准》</w:t>
      </w:r>
      <w:r>
        <w:rPr/>
        <w:t>（</w:t>
      </w:r>
      <w:r>
        <w:rPr>
          <w:rFonts w:ascii="Times New Roman" w:eastAsia="Times New Roman"/>
        </w:rPr>
        <w:t>GB3838-2002</w:t>
      </w:r>
      <w:r>
        <w:rPr/>
        <w:t>）</w:t>
      </w:r>
      <w:r>
        <w:rPr>
          <w:spacing w:val="14"/>
        </w:rPr>
        <w:t>中表 </w:t>
      </w:r>
      <w:r>
        <w:rPr>
          <w:rFonts w:ascii="Times New Roman" w:eastAsia="Times New Roman"/>
        </w:rPr>
        <w:t>3 </w:t>
      </w:r>
      <w:r>
        <w:rPr/>
        <w:t>甲醛</w:t>
      </w:r>
    </w:p>
    <w:p>
      <w:pPr>
        <w:pStyle w:val="BodyText"/>
        <w:spacing w:line="220" w:lineRule="auto"/>
        <w:ind w:left="578" w:right="685"/>
      </w:pPr>
      <w:r>
        <w:rPr>
          <w:rFonts w:ascii="Times New Roman" w:eastAsia="Times New Roman"/>
        </w:rPr>
        <w:t>0.9mg/L </w:t>
      </w:r>
      <w:r>
        <w:rPr/>
        <w:t>的要求，超标率为 </w:t>
      </w:r>
      <w:r>
        <w:rPr>
          <w:rFonts w:ascii="Times New Roman" w:eastAsia="Times New Roman"/>
        </w:rPr>
        <w:t>1.22 </w:t>
      </w:r>
      <w:r>
        <w:rPr/>
        <w:t>倍，对湿地内水生生物将产生一定的影响，事故发生后通过运营管理单位的专业人员进行修复。</w:t>
      </w:r>
    </w:p>
    <w:p>
      <w:pPr>
        <w:pStyle w:val="BodyText"/>
        <w:spacing w:line="220" w:lineRule="auto"/>
        <w:ind w:left="578" w:right="628" w:firstLine="479"/>
        <w:jc w:val="both"/>
      </w:pPr>
      <w:r>
        <w:rPr>
          <w:rFonts w:ascii="Times New Roman" w:eastAsia="Times New Roman"/>
        </w:rPr>
        <w:t>c</w:t>
      </w:r>
      <w:r>
        <w:rPr/>
        <w:t>、污水处理站出水管道泄漏，厂区污水处理站出水（</w:t>
      </w:r>
      <w:r>
        <w:rPr>
          <w:rFonts w:ascii="Times New Roman" w:eastAsia="Times New Roman"/>
        </w:rPr>
        <w:t>COD</w:t>
      </w:r>
      <w:r>
        <w:rPr/>
        <w:t>：</w:t>
      </w:r>
      <w:r>
        <w:rPr>
          <w:rFonts w:ascii="Times New Roman" w:eastAsia="Times New Roman"/>
        </w:rPr>
        <w:t>300mg/L</w:t>
      </w:r>
      <w:r>
        <w:rPr/>
        <w:t>、氨氮：</w:t>
      </w:r>
      <w:r>
        <w:rPr>
          <w:rFonts w:ascii="Times New Roman" w:eastAsia="Times New Roman"/>
        </w:rPr>
        <w:t>30 mg/L</w:t>
      </w:r>
      <w:r>
        <w:rPr/>
        <w:t>）进入白马河湿地公园，白马河湿地公园来水为经济开发区污水处</w:t>
      </w:r>
      <w:r>
        <w:rPr>
          <w:spacing w:val="-3"/>
        </w:rPr>
        <w:t>理站出水</w:t>
      </w:r>
      <w:r>
        <w:rPr/>
        <w:t>（</w:t>
      </w:r>
      <w:r>
        <w:rPr>
          <w:rFonts w:ascii="Times New Roman" w:eastAsia="Times New Roman"/>
        </w:rPr>
        <w:t>COD</w:t>
      </w:r>
      <w:r>
        <w:rPr/>
        <w:t>：</w:t>
      </w:r>
      <w:r>
        <w:rPr>
          <w:rFonts w:ascii="Times New Roman" w:eastAsia="Times New Roman"/>
        </w:rPr>
        <w:t>50mg/L</w:t>
      </w:r>
      <w:r>
        <w:rPr>
          <w:spacing w:val="-5"/>
        </w:rPr>
        <w:t>、氨氮：</w:t>
      </w:r>
      <w:r>
        <w:rPr>
          <w:rFonts w:ascii="Times New Roman" w:eastAsia="Times New Roman"/>
          <w:spacing w:val="-5"/>
        </w:rPr>
        <w:t>5 </w:t>
      </w:r>
      <w:r>
        <w:rPr>
          <w:rFonts w:ascii="Times New Roman" w:eastAsia="Times New Roman"/>
          <w:spacing w:val="-3"/>
        </w:rPr>
        <w:t>mg/L</w:t>
      </w:r>
      <w:r>
        <w:rPr>
          <w:spacing w:val="-3"/>
        </w:rPr>
        <w:t>）</w:t>
      </w:r>
      <w:r>
        <w:rPr/>
        <w:t>泄漏污水量按照一天 </w:t>
      </w:r>
      <w:r>
        <w:rPr>
          <w:rFonts w:ascii="Times New Roman" w:eastAsia="Times New Roman"/>
        </w:rPr>
        <w:t>220 m</w:t>
      </w:r>
      <w:r>
        <w:rPr>
          <w:rFonts w:ascii="Times New Roman" w:eastAsia="Times New Roman"/>
          <w:position w:val="9"/>
          <w:sz w:val="16"/>
        </w:rPr>
        <w:t>3</w:t>
      </w:r>
      <w:r>
        <w:rPr>
          <w:rFonts w:ascii="Times New Roman" w:eastAsia="Times New Roman"/>
        </w:rPr>
        <w:t>/d </w:t>
      </w:r>
      <w:r>
        <w:rPr/>
        <w:t>计算， </w:t>
      </w:r>
      <w:r>
        <w:rPr>
          <w:spacing w:val="-1"/>
        </w:rPr>
        <w:t>污水进入湿地后，湿地内平均水质约为 </w:t>
      </w:r>
      <w:r>
        <w:rPr>
          <w:rFonts w:ascii="Times New Roman" w:eastAsia="Times New Roman"/>
        </w:rPr>
        <w:t>51 mg/L</w:t>
      </w:r>
      <w:r>
        <w:rPr>
          <w:spacing w:val="-1"/>
        </w:rPr>
        <w:t>，泄漏点的水质浓度较大，对水</w:t>
      </w:r>
      <w:r>
        <w:rPr>
          <w:spacing w:val="-7"/>
        </w:rPr>
        <w:t>生生物产生一定的影响，但随着湿地内水的流动，污染物逐渐扩散，污染物逐渐</w:t>
      </w:r>
      <w:r>
        <w:rPr>
          <w:spacing w:val="-11"/>
        </w:rPr>
        <w:t>被稀释且在湿地内水生植物的降解吸附作用下，湿地内水质逐渐恢复正常，因此</w:t>
      </w:r>
      <w:r>
        <w:rPr>
          <w:spacing w:val="-15"/>
        </w:rPr>
        <w:t>污水泄漏对白马河湿地公园的水质影响不大；同时由于白马河湿地及白马河沿线建有拦河坝，泄漏污水会被拦截，不会对下游水质造成影响。</w:t>
      </w:r>
    </w:p>
    <w:p>
      <w:pPr>
        <w:pStyle w:val="BodyText"/>
        <w:spacing w:line="220" w:lineRule="auto"/>
        <w:ind w:left="578" w:right="752" w:firstLine="479"/>
        <w:jc w:val="both"/>
      </w:pPr>
      <w:r>
        <w:rPr>
          <w:spacing w:val="1"/>
        </w:rPr>
        <w:t>项目区内事故废水、废液统一收集至厂区内现有的 </w:t>
      </w:r>
      <w:r>
        <w:rPr>
          <w:rFonts w:ascii="Times New Roman" w:eastAsia="Times New Roman"/>
        </w:rPr>
        <w:t>1000m</w:t>
      </w:r>
      <w:r>
        <w:rPr>
          <w:rFonts w:ascii="Times New Roman" w:eastAsia="Times New Roman"/>
          <w:position w:val="9"/>
          <w:sz w:val="16"/>
        </w:rPr>
        <w:t>3 </w:t>
      </w:r>
      <w:r>
        <w:rPr>
          <w:spacing w:val="-1"/>
        </w:rPr>
        <w:t>事故水池，事后</w:t>
      </w:r>
      <w:r>
        <w:rPr>
          <w:spacing w:val="-5"/>
        </w:rPr>
        <w:t>分批进企业自建污水处理站处理后，再进成武县污水处理厂处理。因此，如项目区发生泄露事故时，基本不会对其造成污染。</w:t>
      </w:r>
    </w:p>
    <w:p>
      <w:pPr>
        <w:pStyle w:val="BodyText"/>
        <w:spacing w:line="220" w:lineRule="auto"/>
        <w:ind w:left="578" w:right="753" w:firstLine="479"/>
        <w:jc w:val="both"/>
      </w:pPr>
      <w:r>
        <w:rPr/>
        <w:t>根据大气、地下水环境要素风险预测结果，项目环境风险的危害范围与程度见表 </w:t>
      </w:r>
      <w:r>
        <w:rPr>
          <w:rFonts w:ascii="Times New Roman" w:eastAsia="Times New Roman"/>
        </w:rPr>
        <w:t>7.6-8 </w:t>
      </w:r>
      <w:hyperlink w:history="true" w:anchor="_bookmark0">
        <w:r>
          <w:rPr/>
          <w:t>表</w:t>
        </w:r>
      </w:hyperlink>
      <w:r>
        <w:rPr/>
        <w:t>。</w:t>
      </w:r>
    </w:p>
    <w:p>
      <w:pPr>
        <w:tabs>
          <w:tab w:pos="3813" w:val="left" w:leader="none"/>
        </w:tabs>
        <w:spacing w:before="135" w:after="36"/>
        <w:ind w:left="2844" w:right="0" w:firstLine="0"/>
        <w:jc w:val="left"/>
        <w:rPr>
          <w:sz w:val="20"/>
        </w:rPr>
      </w:pPr>
      <w:bookmarkStart w:name="_bookmark0" w:id="1"/>
      <w:bookmarkEnd w:id="1"/>
      <w:r>
        <w:rPr/>
      </w:r>
      <w:r>
        <w:rPr>
          <w:sz w:val="20"/>
        </w:rPr>
        <w:t>表</w:t>
      </w:r>
      <w:r>
        <w:rPr>
          <w:spacing w:val="7"/>
          <w:sz w:val="20"/>
        </w:rPr>
        <w:t> </w:t>
      </w:r>
      <w:r>
        <w:rPr>
          <w:rFonts w:ascii="Times New Roman" w:eastAsia="Times New Roman"/>
          <w:b/>
          <w:sz w:val="20"/>
        </w:rPr>
        <w:t>7.6-8</w:t>
        <w:tab/>
      </w:r>
      <w:r>
        <w:rPr>
          <w:sz w:val="20"/>
        </w:rPr>
        <w:t>事故源项及事故后果基本信息表</w:t>
      </w:r>
    </w:p>
    <w:tbl>
      <w:tblPr>
        <w:tblW w:w="0" w:type="auto"/>
        <w:jc w:val="left"/>
        <w:tblInd w:w="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9"/>
        <w:gridCol w:w="1097"/>
        <w:gridCol w:w="1781"/>
        <w:gridCol w:w="991"/>
        <w:gridCol w:w="1347"/>
        <w:gridCol w:w="1625"/>
      </w:tblGrid>
      <w:tr>
        <w:trPr>
          <w:trHeight w:val="311" w:hRule="atLeast"/>
        </w:trPr>
        <w:tc>
          <w:tcPr>
            <w:tcW w:w="8360" w:type="dxa"/>
            <w:gridSpan w:val="6"/>
            <w:tcBorders>
              <w:bottom w:val="single" w:sz="6" w:space="0" w:color="000000"/>
            </w:tcBorders>
          </w:tcPr>
          <w:p>
            <w:pPr>
              <w:pStyle w:val="TableParagraph"/>
              <w:spacing w:line="291" w:lineRule="exact"/>
              <w:ind w:left="3358" w:right="3332"/>
              <w:rPr>
                <w:sz w:val="20"/>
              </w:rPr>
            </w:pPr>
            <w:r>
              <w:rPr>
                <w:sz w:val="20"/>
              </w:rPr>
              <w:t>风险事故情形分析</w:t>
            </w:r>
          </w:p>
        </w:tc>
      </w:tr>
      <w:tr>
        <w:trPr>
          <w:trHeight w:val="625" w:hRule="atLeast"/>
        </w:trPr>
        <w:tc>
          <w:tcPr>
            <w:tcW w:w="1519" w:type="dxa"/>
            <w:tcBorders>
              <w:top w:val="single" w:sz="6" w:space="0" w:color="000000"/>
              <w:bottom w:val="single" w:sz="6" w:space="0" w:color="000000"/>
              <w:right w:val="single" w:sz="6" w:space="0" w:color="000000"/>
            </w:tcBorders>
          </w:tcPr>
          <w:p>
            <w:pPr>
              <w:pStyle w:val="TableParagraph"/>
              <w:spacing w:line="300" w:lineRule="exact"/>
              <w:ind w:left="97" w:right="81"/>
              <w:rPr>
                <w:sz w:val="20"/>
              </w:rPr>
            </w:pPr>
            <w:r>
              <w:rPr>
                <w:sz w:val="20"/>
              </w:rPr>
              <w:t>代表性风险事</w:t>
            </w:r>
          </w:p>
          <w:p>
            <w:pPr>
              <w:pStyle w:val="TableParagraph"/>
              <w:spacing w:line="306" w:lineRule="exact"/>
              <w:ind w:left="99" w:right="81"/>
              <w:rPr>
                <w:sz w:val="20"/>
              </w:rPr>
            </w:pPr>
            <w:r>
              <w:rPr>
                <w:sz w:val="20"/>
              </w:rPr>
              <w:t>故情形描述</w:t>
            </w:r>
          </w:p>
        </w:tc>
        <w:tc>
          <w:tcPr>
            <w:tcW w:w="6841" w:type="dxa"/>
            <w:gridSpan w:val="5"/>
            <w:tcBorders>
              <w:top w:val="single" w:sz="6" w:space="0" w:color="000000"/>
              <w:left w:val="single" w:sz="6" w:space="0" w:color="000000"/>
              <w:bottom w:val="single" w:sz="6" w:space="0" w:color="000000"/>
            </w:tcBorders>
          </w:tcPr>
          <w:p>
            <w:pPr>
              <w:pStyle w:val="TableParagraph"/>
              <w:spacing w:before="87"/>
              <w:ind w:left="2804" w:right="2774"/>
              <w:rPr>
                <w:sz w:val="20"/>
              </w:rPr>
            </w:pPr>
            <w:r>
              <w:rPr>
                <w:sz w:val="20"/>
              </w:rPr>
              <w:t>盐酸储罐泄漏</w:t>
            </w:r>
          </w:p>
        </w:tc>
      </w:tr>
      <w:tr>
        <w:trPr>
          <w:trHeight w:val="311" w:hRule="atLeast"/>
        </w:trPr>
        <w:tc>
          <w:tcPr>
            <w:tcW w:w="1519" w:type="dxa"/>
            <w:tcBorders>
              <w:top w:val="single" w:sz="6" w:space="0" w:color="000000"/>
              <w:bottom w:val="single" w:sz="6" w:space="0" w:color="000000"/>
              <w:right w:val="single" w:sz="6" w:space="0" w:color="000000"/>
            </w:tcBorders>
          </w:tcPr>
          <w:p>
            <w:pPr>
              <w:pStyle w:val="TableParagraph"/>
              <w:spacing w:line="292" w:lineRule="exact"/>
              <w:ind w:left="97" w:right="81"/>
              <w:rPr>
                <w:sz w:val="20"/>
              </w:rPr>
            </w:pPr>
            <w:r>
              <w:rPr>
                <w:sz w:val="20"/>
              </w:rPr>
              <w:t>环境风险类型</w:t>
            </w:r>
          </w:p>
        </w:tc>
        <w:tc>
          <w:tcPr>
            <w:tcW w:w="6841" w:type="dxa"/>
            <w:gridSpan w:val="5"/>
            <w:tcBorders>
              <w:top w:val="single" w:sz="6" w:space="0" w:color="000000"/>
              <w:left w:val="single" w:sz="6" w:space="0" w:color="000000"/>
              <w:bottom w:val="single" w:sz="6" w:space="0" w:color="000000"/>
            </w:tcBorders>
          </w:tcPr>
          <w:p>
            <w:pPr>
              <w:pStyle w:val="TableParagraph"/>
              <w:spacing w:line="292" w:lineRule="exact"/>
              <w:ind w:left="2801" w:right="2774"/>
              <w:rPr>
                <w:sz w:val="20"/>
              </w:rPr>
            </w:pPr>
            <w:r>
              <w:rPr>
                <w:sz w:val="20"/>
              </w:rPr>
              <w:t>泄漏</w:t>
            </w:r>
          </w:p>
        </w:tc>
      </w:tr>
      <w:tr>
        <w:trPr>
          <w:trHeight w:val="623" w:hRule="atLeast"/>
        </w:trPr>
        <w:tc>
          <w:tcPr>
            <w:tcW w:w="1519" w:type="dxa"/>
            <w:tcBorders>
              <w:top w:val="single" w:sz="6" w:space="0" w:color="000000"/>
              <w:bottom w:val="single" w:sz="6" w:space="0" w:color="000000"/>
              <w:right w:val="single" w:sz="6" w:space="0" w:color="000000"/>
            </w:tcBorders>
          </w:tcPr>
          <w:p>
            <w:pPr>
              <w:pStyle w:val="TableParagraph"/>
              <w:spacing w:before="85"/>
              <w:ind w:left="97" w:right="81"/>
              <w:rPr>
                <w:sz w:val="20"/>
              </w:rPr>
            </w:pPr>
            <w:r>
              <w:rPr>
                <w:sz w:val="20"/>
              </w:rPr>
              <w:t>泄漏设备类型</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85"/>
              <w:ind w:left="87" w:right="65"/>
              <w:rPr>
                <w:sz w:val="20"/>
              </w:rPr>
            </w:pPr>
            <w:r>
              <w:rPr>
                <w:sz w:val="20"/>
              </w:rPr>
              <w:t>储罐</w:t>
            </w: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before="75"/>
              <w:ind w:right="342"/>
              <w:jc w:val="right"/>
              <w:rPr>
                <w:sz w:val="20"/>
              </w:rPr>
            </w:pPr>
            <w:r>
              <w:rPr>
                <w:w w:val="95"/>
                <w:sz w:val="20"/>
              </w:rPr>
              <w:t>操作温度</w:t>
            </w:r>
            <w:r>
              <w:rPr>
                <w:rFonts w:ascii="Times New Roman" w:hAnsi="Times New Roman" w:eastAsia="Times New Roman"/>
                <w:w w:val="95"/>
                <w:position w:val="1"/>
                <w:sz w:val="20"/>
              </w:rPr>
              <w:t>/</w:t>
            </w:r>
            <w:r>
              <w:rPr>
                <w:w w:val="95"/>
                <w:position w:val="1"/>
                <w:sz w:val="20"/>
              </w:rPr>
              <w:t>℃</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94"/>
              <w:ind w:left="122" w:right="94"/>
              <w:rPr>
                <w:rFonts w:ascii="Times New Roman"/>
                <w:sz w:val="20"/>
              </w:rPr>
            </w:pPr>
            <w:r>
              <w:rPr>
                <w:rFonts w:ascii="Times New Roman"/>
                <w:sz w:val="20"/>
              </w:rPr>
              <w:t>25</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line="352" w:lineRule="exact"/>
              <w:ind w:left="129" w:right="107"/>
              <w:rPr>
                <w:sz w:val="20"/>
              </w:rPr>
            </w:pPr>
            <w:r>
              <w:rPr>
                <w:sz w:val="20"/>
              </w:rPr>
              <w:t>操作压力</w:t>
            </w:r>
          </w:p>
          <w:p>
            <w:pPr>
              <w:pStyle w:val="TableParagraph"/>
              <w:spacing w:line="229" w:lineRule="exact"/>
              <w:ind w:left="131" w:right="107"/>
              <w:rPr>
                <w:rFonts w:ascii="Times New Roman"/>
                <w:sz w:val="20"/>
              </w:rPr>
            </w:pPr>
            <w:r>
              <w:rPr>
                <w:rFonts w:ascii="Times New Roman"/>
                <w:sz w:val="20"/>
              </w:rPr>
              <w:t>/MPa</w:t>
            </w:r>
          </w:p>
        </w:tc>
        <w:tc>
          <w:tcPr>
            <w:tcW w:w="1625" w:type="dxa"/>
            <w:tcBorders>
              <w:top w:val="single" w:sz="6" w:space="0" w:color="000000"/>
              <w:left w:val="single" w:sz="6" w:space="0" w:color="000000"/>
              <w:bottom w:val="single" w:sz="6" w:space="0" w:color="000000"/>
            </w:tcBorders>
          </w:tcPr>
          <w:p>
            <w:pPr>
              <w:pStyle w:val="TableParagraph"/>
              <w:spacing w:before="194"/>
              <w:ind w:left="65" w:right="27"/>
              <w:rPr>
                <w:rFonts w:ascii="Times New Roman"/>
                <w:sz w:val="20"/>
              </w:rPr>
            </w:pPr>
            <w:r>
              <w:rPr>
                <w:rFonts w:ascii="Times New Roman"/>
                <w:sz w:val="20"/>
              </w:rPr>
              <w:t>101.325</w:t>
            </w:r>
          </w:p>
        </w:tc>
      </w:tr>
      <w:tr>
        <w:trPr>
          <w:trHeight w:val="623" w:hRule="atLeast"/>
        </w:trPr>
        <w:tc>
          <w:tcPr>
            <w:tcW w:w="1519" w:type="dxa"/>
            <w:tcBorders>
              <w:top w:val="single" w:sz="6" w:space="0" w:color="000000"/>
              <w:bottom w:val="single" w:sz="6" w:space="0" w:color="000000"/>
              <w:right w:val="single" w:sz="6" w:space="0" w:color="000000"/>
            </w:tcBorders>
          </w:tcPr>
          <w:p>
            <w:pPr>
              <w:pStyle w:val="TableParagraph"/>
              <w:spacing w:before="85"/>
              <w:ind w:left="97" w:right="81"/>
              <w:rPr>
                <w:sz w:val="20"/>
              </w:rPr>
            </w:pPr>
            <w:r>
              <w:rPr>
                <w:sz w:val="20"/>
              </w:rPr>
              <w:t>泄漏危险物质</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85"/>
              <w:ind w:left="87" w:right="65"/>
              <w:rPr>
                <w:sz w:val="20"/>
              </w:rPr>
            </w:pPr>
            <w:r>
              <w:rPr>
                <w:sz w:val="20"/>
              </w:rPr>
              <w:t>盐酸</w:t>
            </w: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before="85"/>
              <w:ind w:right="243"/>
              <w:jc w:val="right"/>
              <w:rPr>
                <w:rFonts w:ascii="Times New Roman" w:eastAsia="Times New Roman"/>
                <w:sz w:val="20"/>
              </w:rPr>
            </w:pPr>
            <w:r>
              <w:rPr>
                <w:w w:val="95"/>
                <w:sz w:val="20"/>
              </w:rPr>
              <w:t>最大存在量</w:t>
            </w:r>
            <w:r>
              <w:rPr>
                <w:rFonts w:ascii="Times New Roman" w:eastAsia="Times New Roman"/>
                <w:w w:val="95"/>
                <w:position w:val="1"/>
                <w:sz w:val="20"/>
              </w:rPr>
              <w:t>/kg</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94"/>
              <w:ind w:left="122" w:right="94"/>
              <w:rPr>
                <w:rFonts w:ascii="Times New Roman"/>
                <w:sz w:val="20"/>
              </w:rPr>
            </w:pPr>
            <w:r>
              <w:rPr>
                <w:rFonts w:ascii="Times New Roman"/>
                <w:sz w:val="20"/>
              </w:rPr>
              <w:t>4000</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line="352" w:lineRule="exact"/>
              <w:ind w:left="129" w:right="107"/>
              <w:rPr>
                <w:sz w:val="20"/>
              </w:rPr>
            </w:pPr>
            <w:r>
              <w:rPr>
                <w:sz w:val="20"/>
              </w:rPr>
              <w:t>泄漏孔径</w:t>
            </w:r>
          </w:p>
          <w:p>
            <w:pPr>
              <w:pStyle w:val="TableParagraph"/>
              <w:spacing w:line="229" w:lineRule="exact"/>
              <w:ind w:left="130" w:right="107"/>
              <w:rPr>
                <w:rFonts w:ascii="Times New Roman"/>
                <w:sz w:val="20"/>
              </w:rPr>
            </w:pPr>
            <w:r>
              <w:rPr>
                <w:rFonts w:ascii="Times New Roman"/>
                <w:sz w:val="20"/>
              </w:rPr>
              <w:t>/mm</w:t>
            </w:r>
          </w:p>
        </w:tc>
        <w:tc>
          <w:tcPr>
            <w:tcW w:w="1625" w:type="dxa"/>
            <w:tcBorders>
              <w:top w:val="single" w:sz="6" w:space="0" w:color="000000"/>
              <w:left w:val="single" w:sz="6" w:space="0" w:color="000000"/>
              <w:bottom w:val="single" w:sz="6" w:space="0" w:color="000000"/>
            </w:tcBorders>
          </w:tcPr>
          <w:p>
            <w:pPr>
              <w:pStyle w:val="TableParagraph"/>
              <w:spacing w:before="194"/>
              <w:ind w:left="65" w:right="25"/>
              <w:rPr>
                <w:rFonts w:ascii="Times New Roman"/>
                <w:sz w:val="20"/>
              </w:rPr>
            </w:pPr>
            <w:r>
              <w:rPr>
                <w:rFonts w:ascii="Times New Roman"/>
                <w:sz w:val="20"/>
              </w:rPr>
              <w:t>40</w:t>
            </w:r>
          </w:p>
        </w:tc>
      </w:tr>
      <w:tr>
        <w:trPr>
          <w:trHeight w:val="625" w:hRule="atLeast"/>
        </w:trPr>
        <w:tc>
          <w:tcPr>
            <w:tcW w:w="1519" w:type="dxa"/>
            <w:tcBorders>
              <w:top w:val="single" w:sz="6" w:space="0" w:color="000000"/>
              <w:bottom w:val="single" w:sz="6" w:space="0" w:color="000000"/>
              <w:right w:val="single" w:sz="6" w:space="0" w:color="000000"/>
            </w:tcBorders>
          </w:tcPr>
          <w:p>
            <w:pPr>
              <w:pStyle w:val="TableParagraph"/>
              <w:spacing w:line="354" w:lineRule="exact"/>
              <w:ind w:left="99" w:right="81"/>
              <w:rPr>
                <w:sz w:val="20"/>
              </w:rPr>
            </w:pPr>
            <w:r>
              <w:rPr>
                <w:sz w:val="20"/>
              </w:rPr>
              <w:t>泄漏速率</w:t>
            </w:r>
          </w:p>
          <w:p>
            <w:pPr>
              <w:pStyle w:val="TableParagraph"/>
              <w:spacing w:line="229" w:lineRule="exact"/>
              <w:ind w:left="96" w:right="81"/>
              <w:rPr>
                <w:rFonts w:ascii="Times New Roman"/>
                <w:sz w:val="20"/>
              </w:rPr>
            </w:pPr>
            <w:r>
              <w:rPr>
                <w:rFonts w:ascii="Times New Roman"/>
                <w:sz w:val="20"/>
              </w:rPr>
              <w:t>/(kg/s)</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197"/>
              <w:ind w:left="89" w:right="65"/>
              <w:rPr>
                <w:rFonts w:ascii="Times New Roman"/>
                <w:sz w:val="20"/>
              </w:rPr>
            </w:pPr>
            <w:r>
              <w:rPr>
                <w:rFonts w:ascii="Times New Roman"/>
                <w:sz w:val="20"/>
              </w:rPr>
              <w:t>0.003433</w:t>
            </w: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before="87"/>
              <w:ind w:right="287"/>
              <w:jc w:val="right"/>
              <w:rPr>
                <w:rFonts w:ascii="Times New Roman" w:eastAsia="Times New Roman"/>
                <w:sz w:val="20"/>
              </w:rPr>
            </w:pPr>
            <w:r>
              <w:rPr>
                <w:w w:val="95"/>
                <w:sz w:val="20"/>
              </w:rPr>
              <w:t>泄漏时间</w:t>
            </w:r>
            <w:r>
              <w:rPr>
                <w:rFonts w:ascii="Times New Roman" w:eastAsia="Times New Roman"/>
                <w:w w:val="95"/>
                <w:position w:val="1"/>
                <w:sz w:val="20"/>
              </w:rPr>
              <w:t>/min</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97"/>
              <w:ind w:left="122" w:right="94"/>
              <w:rPr>
                <w:rFonts w:ascii="Times New Roman"/>
                <w:sz w:val="20"/>
              </w:rPr>
            </w:pPr>
            <w:r>
              <w:rPr>
                <w:rFonts w:ascii="Times New Roman"/>
                <w:sz w:val="20"/>
              </w:rPr>
              <w:t>10</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87"/>
              <w:ind w:left="130" w:right="107"/>
              <w:rPr>
                <w:rFonts w:ascii="Times New Roman" w:eastAsia="Times New Roman"/>
                <w:sz w:val="20"/>
              </w:rPr>
            </w:pPr>
            <w:r>
              <w:rPr>
                <w:sz w:val="20"/>
              </w:rPr>
              <w:t>泄漏量</w:t>
            </w:r>
            <w:r>
              <w:rPr>
                <w:rFonts w:ascii="Times New Roman" w:eastAsia="Times New Roman"/>
                <w:position w:val="1"/>
                <w:sz w:val="20"/>
              </w:rPr>
              <w:t>/kg</w:t>
            </w:r>
          </w:p>
        </w:tc>
        <w:tc>
          <w:tcPr>
            <w:tcW w:w="1625" w:type="dxa"/>
            <w:tcBorders>
              <w:top w:val="single" w:sz="6" w:space="0" w:color="000000"/>
              <w:left w:val="single" w:sz="6" w:space="0" w:color="000000"/>
              <w:bottom w:val="single" w:sz="6" w:space="0" w:color="000000"/>
            </w:tcBorders>
          </w:tcPr>
          <w:p>
            <w:pPr>
              <w:pStyle w:val="TableParagraph"/>
              <w:spacing w:before="197"/>
              <w:ind w:left="65" w:right="29"/>
              <w:rPr>
                <w:rFonts w:ascii="Times New Roman"/>
                <w:sz w:val="20"/>
              </w:rPr>
            </w:pPr>
            <w:r>
              <w:rPr>
                <w:rFonts w:ascii="Times New Roman"/>
                <w:sz w:val="20"/>
              </w:rPr>
              <w:t>2.06</w:t>
            </w:r>
          </w:p>
        </w:tc>
      </w:tr>
      <w:tr>
        <w:trPr>
          <w:trHeight w:val="623" w:hRule="atLeast"/>
        </w:trPr>
        <w:tc>
          <w:tcPr>
            <w:tcW w:w="1519" w:type="dxa"/>
            <w:tcBorders>
              <w:top w:val="single" w:sz="6" w:space="0" w:color="000000"/>
              <w:bottom w:val="single" w:sz="6" w:space="0" w:color="000000"/>
              <w:right w:val="single" w:sz="6" w:space="0" w:color="000000"/>
            </w:tcBorders>
          </w:tcPr>
          <w:p>
            <w:pPr>
              <w:pStyle w:val="TableParagraph"/>
              <w:spacing w:before="85"/>
              <w:ind w:left="105" w:right="81"/>
              <w:rPr>
                <w:rFonts w:ascii="Times New Roman" w:eastAsia="Times New Roman"/>
                <w:sz w:val="20"/>
              </w:rPr>
            </w:pPr>
            <w:r>
              <w:rPr>
                <w:sz w:val="20"/>
              </w:rPr>
              <w:t>泄漏高度</w:t>
            </w:r>
            <w:r>
              <w:rPr>
                <w:rFonts w:ascii="Times New Roman" w:eastAsia="Times New Roman"/>
                <w:position w:val="1"/>
                <w:sz w:val="20"/>
              </w:rPr>
              <w:t>/m</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194"/>
              <w:ind w:left="88" w:right="65"/>
              <w:rPr>
                <w:rFonts w:ascii="Times New Roman"/>
                <w:sz w:val="20"/>
              </w:rPr>
            </w:pPr>
            <w:r>
              <w:rPr>
                <w:rFonts w:ascii="Times New Roman"/>
                <w:sz w:val="20"/>
              </w:rPr>
              <w:t>0.2</w:t>
            </w: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line="352" w:lineRule="exact"/>
              <w:ind w:left="172" w:right="153"/>
              <w:rPr>
                <w:sz w:val="20"/>
              </w:rPr>
            </w:pPr>
            <w:r>
              <w:rPr>
                <w:sz w:val="20"/>
              </w:rPr>
              <w:t>泄漏液体蒸发量</w:t>
            </w:r>
          </w:p>
          <w:p>
            <w:pPr>
              <w:pStyle w:val="TableParagraph"/>
              <w:spacing w:line="229" w:lineRule="exact"/>
              <w:ind w:left="172" w:right="149"/>
              <w:rPr>
                <w:rFonts w:ascii="Times New Roman"/>
                <w:sz w:val="20"/>
              </w:rPr>
            </w:pPr>
            <w:r>
              <w:rPr>
                <w:rFonts w:ascii="Times New Roman"/>
                <w:sz w:val="20"/>
              </w:rPr>
              <w:t>/kg</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94"/>
              <w:ind w:left="122" w:right="94"/>
              <w:rPr>
                <w:rFonts w:ascii="Times New Roman"/>
                <w:sz w:val="20"/>
              </w:rPr>
            </w:pPr>
            <w:r>
              <w:rPr>
                <w:rFonts w:ascii="Times New Roman"/>
                <w:sz w:val="20"/>
              </w:rPr>
              <w:t>1.46</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85"/>
              <w:ind w:left="129" w:right="107"/>
              <w:rPr>
                <w:sz w:val="20"/>
              </w:rPr>
            </w:pPr>
            <w:r>
              <w:rPr>
                <w:sz w:val="20"/>
              </w:rPr>
              <w:t>泄漏频率</w:t>
            </w:r>
          </w:p>
        </w:tc>
        <w:tc>
          <w:tcPr>
            <w:tcW w:w="1625" w:type="dxa"/>
            <w:tcBorders>
              <w:top w:val="single" w:sz="6" w:space="0" w:color="000000"/>
              <w:left w:val="single" w:sz="6" w:space="0" w:color="000000"/>
              <w:bottom w:val="single" w:sz="6" w:space="0" w:color="000000"/>
            </w:tcBorders>
          </w:tcPr>
          <w:p>
            <w:pPr>
              <w:pStyle w:val="TableParagraph"/>
              <w:spacing w:before="85"/>
              <w:ind w:left="65" w:right="32"/>
              <w:rPr>
                <w:sz w:val="20"/>
              </w:rPr>
            </w:pPr>
            <w:r>
              <w:rPr>
                <w:rFonts w:ascii="Times New Roman" w:hAnsi="Times New Roman" w:eastAsia="Times New Roman"/>
                <w:position w:val="1"/>
                <w:sz w:val="20"/>
              </w:rPr>
              <w:t>5.9×10 </w:t>
            </w:r>
            <w:r>
              <w:rPr>
                <w:rFonts w:ascii="Times New Roman" w:hAnsi="Times New Roman" w:eastAsia="Times New Roman"/>
                <w:position w:val="1"/>
                <w:sz w:val="20"/>
                <w:vertAlign w:val="superscript"/>
              </w:rPr>
              <w:t>-5</w:t>
            </w:r>
            <w:r>
              <w:rPr>
                <w:sz w:val="20"/>
                <w:vertAlign w:val="baseline"/>
              </w:rPr>
              <w:t>（</w:t>
            </w:r>
            <w:r>
              <w:rPr>
                <w:rFonts w:ascii="Times New Roman" w:hAnsi="Times New Roman" w:eastAsia="Times New Roman"/>
                <w:position w:val="1"/>
                <w:sz w:val="20"/>
                <w:vertAlign w:val="baseline"/>
              </w:rPr>
              <w:t>m·a </w:t>
            </w:r>
            <w:r>
              <w:rPr>
                <w:sz w:val="20"/>
                <w:vertAlign w:val="baseline"/>
              </w:rPr>
              <w:t>）</w:t>
            </w:r>
          </w:p>
        </w:tc>
      </w:tr>
      <w:tr>
        <w:trPr>
          <w:trHeight w:val="311" w:hRule="atLeast"/>
        </w:trPr>
        <w:tc>
          <w:tcPr>
            <w:tcW w:w="8360" w:type="dxa"/>
            <w:gridSpan w:val="6"/>
            <w:tcBorders>
              <w:top w:val="single" w:sz="6" w:space="0" w:color="000000"/>
              <w:bottom w:val="single" w:sz="6" w:space="0" w:color="000000"/>
            </w:tcBorders>
          </w:tcPr>
          <w:p>
            <w:pPr>
              <w:pStyle w:val="TableParagraph"/>
              <w:spacing w:line="291" w:lineRule="exact"/>
              <w:ind w:left="3356" w:right="3332"/>
              <w:rPr>
                <w:sz w:val="20"/>
              </w:rPr>
            </w:pPr>
            <w:r>
              <w:rPr>
                <w:sz w:val="20"/>
              </w:rPr>
              <w:t>事故后果预测</w:t>
            </w:r>
          </w:p>
        </w:tc>
      </w:tr>
      <w:tr>
        <w:trPr>
          <w:trHeight w:val="304" w:hRule="atLeast"/>
        </w:trPr>
        <w:tc>
          <w:tcPr>
            <w:tcW w:w="1519" w:type="dxa"/>
            <w:vMerge w:val="restart"/>
            <w:tcBorders>
              <w:top w:val="single" w:sz="6" w:space="0" w:color="000000"/>
              <w:right w:val="single" w:sz="6" w:space="0" w:color="000000"/>
            </w:tcBorders>
          </w:tcPr>
          <w:p>
            <w:pPr>
              <w:pStyle w:val="TableParagraph"/>
              <w:spacing w:before="95"/>
              <w:ind w:left="99" w:right="81"/>
              <w:rPr>
                <w:sz w:val="20"/>
              </w:rPr>
            </w:pPr>
            <w:r>
              <w:rPr>
                <w:sz w:val="20"/>
              </w:rPr>
              <w:t>大气</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86" w:right="65"/>
              <w:rPr>
                <w:sz w:val="20"/>
              </w:rPr>
            </w:pPr>
            <w:r>
              <w:rPr>
                <w:sz w:val="20"/>
              </w:rPr>
              <w:t>危险物质</w:t>
            </w:r>
          </w:p>
        </w:tc>
        <w:tc>
          <w:tcPr>
            <w:tcW w:w="5744" w:type="dxa"/>
            <w:gridSpan w:val="4"/>
            <w:tcBorders>
              <w:top w:val="single" w:sz="6" w:space="0" w:color="000000"/>
              <w:left w:val="single" w:sz="6" w:space="0" w:color="000000"/>
              <w:bottom w:val="single" w:sz="6" w:space="0" w:color="000000"/>
            </w:tcBorders>
          </w:tcPr>
          <w:p>
            <w:pPr>
              <w:pStyle w:val="TableParagraph"/>
              <w:spacing w:line="284" w:lineRule="exact"/>
              <w:ind w:left="2254" w:right="2227"/>
              <w:rPr>
                <w:sz w:val="20"/>
              </w:rPr>
            </w:pPr>
            <w:r>
              <w:rPr>
                <w:sz w:val="20"/>
              </w:rPr>
              <w:t>大气环境影响</w:t>
            </w:r>
          </w:p>
        </w:tc>
      </w:tr>
      <w:tr>
        <w:trPr>
          <w:trHeight w:val="306" w:hRule="atLeast"/>
        </w:trPr>
        <w:tc>
          <w:tcPr>
            <w:tcW w:w="1519" w:type="dxa"/>
            <w:vMerge/>
            <w:tcBorders>
              <w:top w:val="nil"/>
              <w:right w:val="single" w:sz="6" w:space="0" w:color="000000"/>
            </w:tcBorders>
          </w:tcPr>
          <w:p>
            <w:pPr>
              <w:rPr>
                <w:sz w:val="2"/>
                <w:szCs w:val="2"/>
              </w:rPr>
            </w:pPr>
          </w:p>
        </w:tc>
        <w:tc>
          <w:tcPr>
            <w:tcW w:w="1097" w:type="dxa"/>
            <w:tcBorders>
              <w:top w:val="single" w:sz="6" w:space="0" w:color="000000"/>
              <w:left w:val="single" w:sz="6" w:space="0" w:color="000000"/>
              <w:right w:val="single" w:sz="6" w:space="0" w:color="000000"/>
            </w:tcBorders>
          </w:tcPr>
          <w:p>
            <w:pPr>
              <w:pStyle w:val="TableParagraph"/>
              <w:spacing w:line="286" w:lineRule="exact"/>
              <w:ind w:left="84" w:right="65"/>
              <w:rPr>
                <w:sz w:val="20"/>
              </w:rPr>
            </w:pPr>
            <w:r>
              <w:rPr>
                <w:sz w:val="20"/>
              </w:rPr>
              <w:t>氯化氢</w:t>
            </w:r>
          </w:p>
        </w:tc>
        <w:tc>
          <w:tcPr>
            <w:tcW w:w="1781" w:type="dxa"/>
            <w:tcBorders>
              <w:top w:val="single" w:sz="6" w:space="0" w:color="000000"/>
              <w:left w:val="single" w:sz="6" w:space="0" w:color="000000"/>
              <w:right w:val="single" w:sz="6" w:space="0" w:color="000000"/>
            </w:tcBorders>
          </w:tcPr>
          <w:p>
            <w:pPr>
              <w:pStyle w:val="TableParagraph"/>
              <w:spacing w:line="286" w:lineRule="exact"/>
              <w:ind w:left="172" w:right="152"/>
              <w:rPr>
                <w:sz w:val="20"/>
              </w:rPr>
            </w:pPr>
            <w:r>
              <w:rPr>
                <w:sz w:val="20"/>
              </w:rPr>
              <w:t>指标</w:t>
            </w:r>
          </w:p>
        </w:tc>
        <w:tc>
          <w:tcPr>
            <w:tcW w:w="991" w:type="dxa"/>
            <w:tcBorders>
              <w:top w:val="single" w:sz="6" w:space="0" w:color="000000"/>
              <w:left w:val="single" w:sz="6" w:space="0" w:color="000000"/>
              <w:right w:val="single" w:sz="6" w:space="0" w:color="000000"/>
            </w:tcBorders>
          </w:tcPr>
          <w:p>
            <w:pPr>
              <w:pStyle w:val="TableParagraph"/>
              <w:spacing w:line="286" w:lineRule="exact"/>
              <w:ind w:left="122" w:right="97"/>
              <w:rPr>
                <w:sz w:val="20"/>
              </w:rPr>
            </w:pPr>
            <w:r>
              <w:rPr>
                <w:sz w:val="20"/>
              </w:rPr>
              <w:t>浓度值</w:t>
            </w:r>
          </w:p>
        </w:tc>
        <w:tc>
          <w:tcPr>
            <w:tcW w:w="1347" w:type="dxa"/>
            <w:tcBorders>
              <w:top w:val="single" w:sz="6" w:space="0" w:color="000000"/>
              <w:left w:val="single" w:sz="6" w:space="0" w:color="000000"/>
              <w:right w:val="single" w:sz="6" w:space="0" w:color="000000"/>
            </w:tcBorders>
          </w:tcPr>
          <w:p>
            <w:pPr>
              <w:pStyle w:val="TableParagraph"/>
              <w:spacing w:line="286" w:lineRule="exact"/>
              <w:ind w:left="129" w:right="107"/>
              <w:rPr>
                <w:sz w:val="20"/>
              </w:rPr>
            </w:pPr>
            <w:r>
              <w:rPr>
                <w:sz w:val="20"/>
              </w:rPr>
              <w:t>最远影响距</w:t>
            </w:r>
          </w:p>
        </w:tc>
        <w:tc>
          <w:tcPr>
            <w:tcW w:w="1625" w:type="dxa"/>
            <w:tcBorders>
              <w:top w:val="single" w:sz="6" w:space="0" w:color="000000"/>
              <w:left w:val="single" w:sz="6" w:space="0" w:color="000000"/>
            </w:tcBorders>
          </w:tcPr>
          <w:p>
            <w:pPr>
              <w:pStyle w:val="TableParagraph"/>
              <w:spacing w:line="286" w:lineRule="exact"/>
              <w:ind w:left="65" w:right="29"/>
              <w:rPr>
                <w:rFonts w:ascii="Times New Roman" w:eastAsia="Times New Roman"/>
                <w:sz w:val="20"/>
              </w:rPr>
            </w:pPr>
            <w:r>
              <w:rPr>
                <w:sz w:val="20"/>
              </w:rPr>
              <w:t>到达时间</w:t>
            </w:r>
            <w:r>
              <w:rPr>
                <w:rFonts w:ascii="Times New Roman" w:eastAsia="Times New Roman"/>
                <w:position w:val="1"/>
                <w:sz w:val="20"/>
              </w:rPr>
              <w:t>/s</w:t>
            </w:r>
          </w:p>
        </w:tc>
      </w:tr>
    </w:tbl>
    <w:p>
      <w:pPr>
        <w:spacing w:after="0" w:line="286" w:lineRule="exact"/>
        <w:rPr>
          <w:rFonts w:ascii="Times New Roman" w:eastAsia="Times New Roman"/>
          <w:sz w:val="20"/>
        </w:rPr>
        <w:sectPr>
          <w:pgSz w:w="11910" w:h="16840"/>
          <w:pgMar w:header="877" w:footer="973" w:top="1340" w:bottom="1160" w:left="1220" w:right="1040"/>
        </w:sectPr>
      </w:pPr>
    </w:p>
    <w:p>
      <w:pPr>
        <w:pStyle w:val="BodyText"/>
        <w:spacing w:before="20"/>
        <w:rPr>
          <w:sz w:val="3"/>
        </w:rPr>
      </w:pPr>
    </w:p>
    <w:tbl>
      <w:tblPr>
        <w:tblW w:w="0" w:type="auto"/>
        <w:jc w:val="left"/>
        <w:tblInd w:w="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9"/>
        <w:gridCol w:w="1097"/>
        <w:gridCol w:w="1781"/>
        <w:gridCol w:w="991"/>
        <w:gridCol w:w="1347"/>
        <w:gridCol w:w="1625"/>
      </w:tblGrid>
      <w:tr>
        <w:trPr>
          <w:trHeight w:val="304" w:hRule="atLeast"/>
        </w:trPr>
        <w:tc>
          <w:tcPr>
            <w:tcW w:w="1519" w:type="dxa"/>
            <w:vMerge w:val="restart"/>
            <w:tcBorders>
              <w:right w:val="single" w:sz="6" w:space="0" w:color="000000"/>
            </w:tcBorders>
          </w:tcPr>
          <w:p>
            <w:pPr>
              <w:pStyle w:val="TableParagraph"/>
              <w:jc w:val="left"/>
              <w:rPr>
                <w:rFonts w:ascii="Times New Roman"/>
                <w:sz w:val="22"/>
              </w:rPr>
            </w:pPr>
          </w:p>
        </w:tc>
        <w:tc>
          <w:tcPr>
            <w:tcW w:w="1097" w:type="dxa"/>
            <w:vMerge w:val="restart"/>
            <w:tcBorders>
              <w:left w:val="single" w:sz="6" w:space="0" w:color="000000"/>
              <w:right w:val="single" w:sz="6" w:space="0" w:color="000000"/>
            </w:tcBorders>
          </w:tcPr>
          <w:p>
            <w:pPr>
              <w:pStyle w:val="TableParagraph"/>
              <w:jc w:val="left"/>
              <w:rPr>
                <w:rFonts w:ascii="Times New Roman"/>
                <w:sz w:val="22"/>
              </w:rPr>
            </w:pPr>
          </w:p>
        </w:tc>
        <w:tc>
          <w:tcPr>
            <w:tcW w:w="1781" w:type="dxa"/>
            <w:tcBorders>
              <w:left w:val="single" w:sz="6" w:space="0" w:color="000000"/>
              <w:bottom w:val="single" w:sz="6" w:space="0" w:color="000000"/>
              <w:right w:val="single" w:sz="6" w:space="0" w:color="000000"/>
            </w:tcBorders>
          </w:tcPr>
          <w:p>
            <w:pPr>
              <w:pStyle w:val="TableParagraph"/>
              <w:jc w:val="left"/>
              <w:rPr>
                <w:rFonts w:ascii="Times New Roman"/>
                <w:sz w:val="22"/>
              </w:rPr>
            </w:pPr>
          </w:p>
        </w:tc>
        <w:tc>
          <w:tcPr>
            <w:tcW w:w="991" w:type="dxa"/>
            <w:tcBorders>
              <w:left w:val="single" w:sz="6" w:space="0" w:color="000000"/>
              <w:bottom w:val="single" w:sz="6" w:space="0" w:color="000000"/>
              <w:right w:val="single" w:sz="6" w:space="0" w:color="000000"/>
            </w:tcBorders>
          </w:tcPr>
          <w:p>
            <w:pPr>
              <w:pStyle w:val="TableParagraph"/>
              <w:spacing w:before="41"/>
              <w:ind w:left="122" w:right="98"/>
              <w:rPr>
                <w:rFonts w:ascii="Times New Roman"/>
                <w:sz w:val="20"/>
              </w:rPr>
            </w:pPr>
            <w:r>
              <w:rPr>
                <w:rFonts w:ascii="Times New Roman"/>
                <w:sz w:val="20"/>
              </w:rPr>
              <w:t>/(mg/m</w:t>
            </w:r>
            <w:r>
              <w:rPr>
                <w:rFonts w:ascii="Times New Roman"/>
                <w:position w:val="2"/>
                <w:sz w:val="12"/>
              </w:rPr>
              <w:t>3</w:t>
            </w:r>
            <w:r>
              <w:rPr>
                <w:rFonts w:ascii="Times New Roman"/>
                <w:sz w:val="20"/>
              </w:rPr>
              <w:t>)</w:t>
            </w:r>
          </w:p>
        </w:tc>
        <w:tc>
          <w:tcPr>
            <w:tcW w:w="1347" w:type="dxa"/>
            <w:tcBorders>
              <w:left w:val="single" w:sz="6" w:space="0" w:color="000000"/>
              <w:bottom w:val="single" w:sz="6" w:space="0" w:color="000000"/>
              <w:right w:val="single" w:sz="6" w:space="0" w:color="000000"/>
            </w:tcBorders>
          </w:tcPr>
          <w:p>
            <w:pPr>
              <w:pStyle w:val="TableParagraph"/>
              <w:spacing w:line="284" w:lineRule="exact"/>
              <w:ind w:right="442"/>
              <w:jc w:val="right"/>
              <w:rPr>
                <w:rFonts w:ascii="Times New Roman" w:eastAsia="Times New Roman"/>
                <w:sz w:val="20"/>
              </w:rPr>
            </w:pPr>
            <w:r>
              <w:rPr>
                <w:sz w:val="20"/>
              </w:rPr>
              <w:t>离</w:t>
            </w:r>
            <w:r>
              <w:rPr>
                <w:rFonts w:ascii="Times New Roman" w:eastAsia="Times New Roman"/>
                <w:position w:val="1"/>
                <w:sz w:val="20"/>
              </w:rPr>
              <w:t>/m</w:t>
            </w:r>
          </w:p>
        </w:tc>
        <w:tc>
          <w:tcPr>
            <w:tcW w:w="1625" w:type="dxa"/>
            <w:tcBorders>
              <w:left w:val="single" w:sz="6" w:space="0" w:color="000000"/>
              <w:bottom w:val="single" w:sz="6" w:space="0" w:color="000000"/>
            </w:tcBorders>
          </w:tcPr>
          <w:p>
            <w:pPr>
              <w:pStyle w:val="TableParagraph"/>
              <w:jc w:val="left"/>
              <w:rPr>
                <w:rFonts w:ascii="Times New Roman"/>
                <w:sz w:val="22"/>
              </w:rPr>
            </w:pPr>
          </w:p>
        </w:tc>
      </w:tr>
      <w:tr>
        <w:trPr>
          <w:trHeight w:val="610" w:hRule="atLeast"/>
        </w:trPr>
        <w:tc>
          <w:tcPr>
            <w:tcW w:w="1519" w:type="dxa"/>
            <w:vMerge/>
            <w:tcBorders>
              <w:top w:val="nil"/>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172" w:right="153"/>
              <w:rPr>
                <w:sz w:val="20"/>
              </w:rPr>
            </w:pPr>
            <w:r>
              <w:rPr>
                <w:sz w:val="20"/>
              </w:rPr>
              <w:t>大气毒性终点浓</w:t>
            </w:r>
          </w:p>
          <w:p>
            <w:pPr>
              <w:pStyle w:val="TableParagraph"/>
              <w:spacing w:line="299" w:lineRule="exact"/>
              <w:ind w:left="171" w:right="153"/>
              <w:rPr>
                <w:rFonts w:ascii="Times New Roman" w:eastAsia="Times New Roman"/>
                <w:sz w:val="20"/>
              </w:rPr>
            </w:pPr>
            <w:r>
              <w:rPr>
                <w:sz w:val="20"/>
              </w:rPr>
              <w:t>度</w:t>
            </w:r>
            <w:r>
              <w:rPr>
                <w:rFonts w:ascii="Times New Roman" w:eastAsia="Times New Roman"/>
                <w:position w:val="1"/>
                <w:sz w:val="20"/>
              </w:rPr>
              <w:t>-1</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89"/>
              <w:ind w:left="122" w:right="94"/>
              <w:rPr>
                <w:rFonts w:ascii="Times New Roman"/>
                <w:sz w:val="20"/>
              </w:rPr>
            </w:pPr>
            <w:r>
              <w:rPr>
                <w:rFonts w:ascii="Times New Roman"/>
                <w:sz w:val="20"/>
              </w:rPr>
              <w:t>150</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189"/>
              <w:ind w:right="498"/>
              <w:jc w:val="right"/>
              <w:rPr>
                <w:rFonts w:ascii="Times New Roman"/>
                <w:sz w:val="20"/>
              </w:rPr>
            </w:pPr>
            <w:r>
              <w:rPr>
                <w:rFonts w:ascii="Times New Roman"/>
                <w:sz w:val="20"/>
              </w:rPr>
              <w:t>350</w:t>
            </w:r>
          </w:p>
        </w:tc>
        <w:tc>
          <w:tcPr>
            <w:tcW w:w="1625" w:type="dxa"/>
            <w:tcBorders>
              <w:top w:val="single" w:sz="6" w:space="0" w:color="000000"/>
              <w:left w:val="single" w:sz="6" w:space="0" w:color="000000"/>
              <w:bottom w:val="single" w:sz="6" w:space="0" w:color="000000"/>
            </w:tcBorders>
          </w:tcPr>
          <w:p>
            <w:pPr>
              <w:pStyle w:val="TableParagraph"/>
              <w:spacing w:before="189"/>
              <w:ind w:left="65" w:right="25"/>
              <w:rPr>
                <w:rFonts w:ascii="Times New Roman"/>
                <w:sz w:val="20"/>
              </w:rPr>
            </w:pPr>
            <w:r>
              <w:rPr>
                <w:rFonts w:ascii="Times New Roman"/>
                <w:sz w:val="20"/>
              </w:rPr>
              <w:t>809</w:t>
            </w:r>
          </w:p>
        </w:tc>
      </w:tr>
      <w:tr>
        <w:trPr>
          <w:trHeight w:val="608" w:hRule="atLeast"/>
        </w:trPr>
        <w:tc>
          <w:tcPr>
            <w:tcW w:w="1519" w:type="dxa"/>
            <w:vMerge/>
            <w:tcBorders>
              <w:top w:val="nil"/>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line="290" w:lineRule="exact"/>
              <w:ind w:left="172" w:right="153"/>
              <w:rPr>
                <w:sz w:val="20"/>
              </w:rPr>
            </w:pPr>
            <w:r>
              <w:rPr>
                <w:sz w:val="20"/>
              </w:rPr>
              <w:t>大气毒性终点浓</w:t>
            </w:r>
          </w:p>
          <w:p>
            <w:pPr>
              <w:pStyle w:val="TableParagraph"/>
              <w:spacing w:line="299" w:lineRule="exact"/>
              <w:ind w:left="171" w:right="153"/>
              <w:rPr>
                <w:rFonts w:ascii="Times New Roman" w:eastAsia="Times New Roman"/>
                <w:sz w:val="20"/>
              </w:rPr>
            </w:pPr>
            <w:r>
              <w:rPr>
                <w:sz w:val="20"/>
              </w:rPr>
              <w:t>度</w:t>
            </w:r>
            <w:r>
              <w:rPr>
                <w:rFonts w:ascii="Times New Roman" w:eastAsia="Times New Roman"/>
                <w:position w:val="1"/>
                <w:sz w:val="20"/>
              </w:rPr>
              <w:t>-2</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87"/>
              <w:ind w:left="122" w:right="94"/>
              <w:rPr>
                <w:rFonts w:ascii="Times New Roman"/>
                <w:sz w:val="20"/>
              </w:rPr>
            </w:pPr>
            <w:r>
              <w:rPr>
                <w:rFonts w:ascii="Times New Roman"/>
                <w:sz w:val="20"/>
              </w:rPr>
              <w:t>33</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187"/>
              <w:ind w:right="448"/>
              <w:jc w:val="right"/>
              <w:rPr>
                <w:rFonts w:ascii="Times New Roman"/>
                <w:sz w:val="20"/>
              </w:rPr>
            </w:pPr>
            <w:r>
              <w:rPr>
                <w:rFonts w:ascii="Times New Roman"/>
                <w:sz w:val="20"/>
              </w:rPr>
              <w:t>1440</w:t>
            </w:r>
          </w:p>
        </w:tc>
        <w:tc>
          <w:tcPr>
            <w:tcW w:w="1625" w:type="dxa"/>
            <w:tcBorders>
              <w:top w:val="single" w:sz="6" w:space="0" w:color="000000"/>
              <w:left w:val="single" w:sz="6" w:space="0" w:color="000000"/>
              <w:bottom w:val="single" w:sz="6" w:space="0" w:color="000000"/>
            </w:tcBorders>
          </w:tcPr>
          <w:p>
            <w:pPr>
              <w:pStyle w:val="TableParagraph"/>
              <w:spacing w:before="187"/>
              <w:ind w:left="65" w:right="25"/>
              <w:rPr>
                <w:rFonts w:ascii="Times New Roman"/>
                <w:sz w:val="20"/>
              </w:rPr>
            </w:pPr>
            <w:r>
              <w:rPr>
                <w:rFonts w:ascii="Times New Roman"/>
                <w:sz w:val="20"/>
              </w:rPr>
              <w:t>1750</w:t>
            </w:r>
          </w:p>
        </w:tc>
      </w:tr>
      <w:tr>
        <w:trPr>
          <w:trHeight w:val="608" w:hRule="atLeast"/>
        </w:trPr>
        <w:tc>
          <w:tcPr>
            <w:tcW w:w="1519" w:type="dxa"/>
            <w:vMerge/>
            <w:tcBorders>
              <w:top w:val="nil"/>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before="78"/>
              <w:ind w:left="172" w:right="150"/>
              <w:rPr>
                <w:sz w:val="20"/>
              </w:rPr>
            </w:pPr>
            <w:r>
              <w:rPr>
                <w:sz w:val="20"/>
              </w:rPr>
              <w:t>敏感目标名称</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90" w:lineRule="exact"/>
              <w:ind w:left="202"/>
              <w:jc w:val="left"/>
              <w:rPr>
                <w:sz w:val="20"/>
              </w:rPr>
            </w:pPr>
            <w:r>
              <w:rPr>
                <w:w w:val="95"/>
                <w:sz w:val="20"/>
              </w:rPr>
              <w:t>超标时</w:t>
            </w:r>
          </w:p>
          <w:p>
            <w:pPr>
              <w:pStyle w:val="TableParagraph"/>
              <w:spacing w:line="299" w:lineRule="exact"/>
              <w:ind w:left="218"/>
              <w:jc w:val="left"/>
              <w:rPr>
                <w:rFonts w:ascii="Times New Roman" w:eastAsia="Times New Roman"/>
                <w:sz w:val="20"/>
              </w:rPr>
            </w:pPr>
            <w:r>
              <w:rPr>
                <w:w w:val="95"/>
                <w:sz w:val="20"/>
              </w:rPr>
              <w:t>间</w:t>
            </w:r>
            <w:r>
              <w:rPr>
                <w:rFonts w:ascii="Times New Roman" w:eastAsia="Times New Roman"/>
                <w:w w:val="95"/>
                <w:position w:val="1"/>
                <w:sz w:val="20"/>
              </w:rPr>
              <w:t>/min</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line="290" w:lineRule="exact"/>
              <w:ind w:left="129" w:right="107"/>
              <w:rPr>
                <w:sz w:val="20"/>
              </w:rPr>
            </w:pPr>
            <w:r>
              <w:rPr>
                <w:sz w:val="20"/>
              </w:rPr>
              <w:t>超标持续时</w:t>
            </w:r>
          </w:p>
          <w:p>
            <w:pPr>
              <w:pStyle w:val="TableParagraph"/>
              <w:spacing w:line="299" w:lineRule="exact"/>
              <w:ind w:left="132" w:right="107"/>
              <w:rPr>
                <w:rFonts w:ascii="Times New Roman" w:eastAsia="Times New Roman"/>
                <w:sz w:val="20"/>
              </w:rPr>
            </w:pPr>
            <w:r>
              <w:rPr>
                <w:sz w:val="20"/>
              </w:rPr>
              <w:t>间</w:t>
            </w:r>
            <w:r>
              <w:rPr>
                <w:rFonts w:ascii="Times New Roman" w:eastAsia="Times New Roman"/>
                <w:position w:val="1"/>
                <w:sz w:val="20"/>
              </w:rPr>
              <w:t>/min</w:t>
            </w:r>
          </w:p>
        </w:tc>
        <w:tc>
          <w:tcPr>
            <w:tcW w:w="1625" w:type="dxa"/>
            <w:tcBorders>
              <w:top w:val="single" w:sz="6" w:space="0" w:color="000000"/>
              <w:left w:val="single" w:sz="6" w:space="0" w:color="000000"/>
              <w:bottom w:val="single" w:sz="6" w:space="0" w:color="000000"/>
            </w:tcBorders>
          </w:tcPr>
          <w:p>
            <w:pPr>
              <w:pStyle w:val="TableParagraph"/>
              <w:spacing w:line="344" w:lineRule="exact"/>
              <w:ind w:left="420"/>
              <w:jc w:val="left"/>
              <w:rPr>
                <w:sz w:val="20"/>
              </w:rPr>
            </w:pPr>
            <w:r>
              <w:rPr>
                <w:w w:val="95"/>
                <w:sz w:val="20"/>
              </w:rPr>
              <w:t>最大浓度</w:t>
            </w:r>
          </w:p>
          <w:p>
            <w:pPr>
              <w:pStyle w:val="TableParagraph"/>
              <w:spacing w:line="229" w:lineRule="exact"/>
              <w:ind w:left="461"/>
              <w:jc w:val="left"/>
              <w:rPr>
                <w:rFonts w:ascii="Times New Roman"/>
                <w:sz w:val="20"/>
              </w:rPr>
            </w:pPr>
            <w:r>
              <w:rPr>
                <w:rFonts w:ascii="Times New Roman"/>
                <w:sz w:val="20"/>
              </w:rPr>
              <w:t>/(mg/m</w:t>
            </w:r>
            <w:r>
              <w:rPr>
                <w:rFonts w:ascii="Times New Roman"/>
                <w:position w:val="2"/>
                <w:sz w:val="12"/>
              </w:rPr>
              <w:t>3</w:t>
            </w:r>
            <w:r>
              <w:rPr>
                <w:rFonts w:ascii="Times New Roman"/>
                <w:sz w:val="20"/>
              </w:rPr>
              <w:t>)</w:t>
            </w:r>
          </w:p>
        </w:tc>
      </w:tr>
      <w:tr>
        <w:trPr>
          <w:trHeight w:val="296" w:hRule="atLeast"/>
        </w:trPr>
        <w:tc>
          <w:tcPr>
            <w:tcW w:w="1519" w:type="dxa"/>
            <w:vMerge/>
            <w:tcBorders>
              <w:top w:val="nil"/>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72" w:right="145"/>
              <w:rPr>
                <w:sz w:val="21"/>
              </w:rPr>
            </w:pPr>
            <w:r>
              <w:rPr>
                <w:sz w:val="21"/>
              </w:rPr>
              <w:t>前鲍家村</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26"/>
              <w:ind w:left="122" w:right="94"/>
              <w:rPr>
                <w:rFonts w:ascii="Times New Roman"/>
                <w:sz w:val="21"/>
              </w:rPr>
            </w:pPr>
            <w:r>
              <w:rPr>
                <w:rFonts w:ascii="Times New Roman"/>
                <w:sz w:val="21"/>
              </w:rPr>
              <w:t>820</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26"/>
              <w:ind w:right="438"/>
              <w:jc w:val="right"/>
              <w:rPr>
                <w:rFonts w:ascii="Times New Roman"/>
                <w:sz w:val="21"/>
              </w:rPr>
            </w:pPr>
            <w:r>
              <w:rPr>
                <w:rFonts w:ascii="Times New Roman"/>
                <w:sz w:val="21"/>
              </w:rPr>
              <w:t>1420</w:t>
            </w:r>
          </w:p>
        </w:tc>
        <w:tc>
          <w:tcPr>
            <w:tcW w:w="1625" w:type="dxa"/>
            <w:tcBorders>
              <w:top w:val="single" w:sz="6" w:space="0" w:color="000000"/>
              <w:left w:val="single" w:sz="6" w:space="0" w:color="000000"/>
              <w:bottom w:val="single" w:sz="6" w:space="0" w:color="000000"/>
            </w:tcBorders>
          </w:tcPr>
          <w:p>
            <w:pPr>
              <w:pStyle w:val="TableParagraph"/>
              <w:spacing w:before="31"/>
              <w:ind w:left="65" w:right="27"/>
              <w:rPr>
                <w:rFonts w:ascii="Times New Roman"/>
                <w:sz w:val="20"/>
              </w:rPr>
            </w:pPr>
            <w:r>
              <w:rPr>
                <w:rFonts w:ascii="Times New Roman"/>
                <w:sz w:val="20"/>
              </w:rPr>
              <w:t>64.9539</w:t>
            </w:r>
          </w:p>
        </w:tc>
      </w:tr>
      <w:tr>
        <w:trPr>
          <w:trHeight w:val="298" w:hRule="atLeast"/>
        </w:trPr>
        <w:tc>
          <w:tcPr>
            <w:tcW w:w="1519" w:type="dxa"/>
            <w:vMerge/>
            <w:tcBorders>
              <w:top w:val="nil"/>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178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72" w:right="145"/>
              <w:rPr>
                <w:sz w:val="21"/>
              </w:rPr>
            </w:pPr>
            <w:r>
              <w:rPr>
                <w:sz w:val="21"/>
              </w:rPr>
              <w:t>中柴沟村</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94"/>
              <w:rPr>
                <w:rFonts w:ascii="Times New Roman"/>
                <w:sz w:val="21"/>
              </w:rPr>
            </w:pPr>
            <w:r>
              <w:rPr>
                <w:rFonts w:ascii="Times New Roman"/>
                <w:sz w:val="21"/>
              </w:rPr>
              <w:t>690</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29"/>
              <w:ind w:right="438"/>
              <w:jc w:val="right"/>
              <w:rPr>
                <w:rFonts w:ascii="Times New Roman"/>
                <w:sz w:val="21"/>
              </w:rPr>
            </w:pPr>
            <w:r>
              <w:rPr>
                <w:rFonts w:ascii="Times New Roman"/>
                <w:sz w:val="21"/>
              </w:rPr>
              <w:t>1230</w:t>
            </w:r>
          </w:p>
        </w:tc>
        <w:tc>
          <w:tcPr>
            <w:tcW w:w="1625" w:type="dxa"/>
            <w:tcBorders>
              <w:top w:val="single" w:sz="6" w:space="0" w:color="000000"/>
              <w:left w:val="single" w:sz="6" w:space="0" w:color="000000"/>
              <w:bottom w:val="single" w:sz="6" w:space="0" w:color="000000"/>
            </w:tcBorders>
          </w:tcPr>
          <w:p>
            <w:pPr>
              <w:pStyle w:val="TableParagraph"/>
              <w:spacing w:before="33"/>
              <w:ind w:left="65" w:right="27"/>
              <w:rPr>
                <w:rFonts w:ascii="Times New Roman"/>
                <w:sz w:val="20"/>
              </w:rPr>
            </w:pPr>
            <w:r>
              <w:rPr>
                <w:rFonts w:ascii="Times New Roman"/>
                <w:sz w:val="20"/>
              </w:rPr>
              <w:t>88.7844</w:t>
            </w:r>
          </w:p>
        </w:tc>
      </w:tr>
      <w:tr>
        <w:trPr>
          <w:trHeight w:val="301" w:hRule="atLeast"/>
        </w:trPr>
        <w:tc>
          <w:tcPr>
            <w:tcW w:w="1519" w:type="dxa"/>
            <w:vMerge/>
            <w:tcBorders>
              <w:top w:val="nil"/>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1781" w:type="dxa"/>
            <w:tcBorders>
              <w:top w:val="single" w:sz="6" w:space="0" w:color="000000"/>
              <w:left w:val="single" w:sz="6" w:space="0" w:color="000000"/>
              <w:right w:val="single" w:sz="6" w:space="0" w:color="000000"/>
            </w:tcBorders>
          </w:tcPr>
          <w:p>
            <w:pPr>
              <w:pStyle w:val="TableParagraph"/>
              <w:spacing w:line="281" w:lineRule="exact"/>
              <w:ind w:left="172" w:right="145"/>
              <w:rPr>
                <w:sz w:val="21"/>
              </w:rPr>
            </w:pPr>
            <w:r>
              <w:rPr>
                <w:sz w:val="21"/>
              </w:rPr>
              <w:t>后柴沟村</w:t>
            </w:r>
          </w:p>
        </w:tc>
        <w:tc>
          <w:tcPr>
            <w:tcW w:w="991" w:type="dxa"/>
            <w:tcBorders>
              <w:top w:val="single" w:sz="6" w:space="0" w:color="000000"/>
              <w:left w:val="single" w:sz="6" w:space="0" w:color="000000"/>
              <w:right w:val="single" w:sz="6" w:space="0" w:color="000000"/>
            </w:tcBorders>
          </w:tcPr>
          <w:p>
            <w:pPr>
              <w:pStyle w:val="TableParagraph"/>
              <w:spacing w:before="26"/>
              <w:ind w:left="122" w:right="94"/>
              <w:rPr>
                <w:rFonts w:ascii="Times New Roman"/>
                <w:sz w:val="21"/>
              </w:rPr>
            </w:pPr>
            <w:r>
              <w:rPr>
                <w:rFonts w:ascii="Times New Roman"/>
                <w:sz w:val="21"/>
              </w:rPr>
              <w:t>1260</w:t>
            </w:r>
          </w:p>
        </w:tc>
        <w:tc>
          <w:tcPr>
            <w:tcW w:w="1347" w:type="dxa"/>
            <w:tcBorders>
              <w:top w:val="single" w:sz="6" w:space="0" w:color="000000"/>
              <w:left w:val="single" w:sz="6" w:space="0" w:color="000000"/>
              <w:right w:val="single" w:sz="6" w:space="0" w:color="000000"/>
            </w:tcBorders>
          </w:tcPr>
          <w:p>
            <w:pPr>
              <w:pStyle w:val="TableParagraph"/>
              <w:spacing w:before="26"/>
              <w:ind w:right="438"/>
              <w:jc w:val="right"/>
              <w:rPr>
                <w:rFonts w:ascii="Times New Roman"/>
                <w:sz w:val="21"/>
              </w:rPr>
            </w:pPr>
            <w:r>
              <w:rPr>
                <w:rFonts w:ascii="Times New Roman"/>
                <w:sz w:val="21"/>
              </w:rPr>
              <w:t>1850</w:t>
            </w:r>
          </w:p>
        </w:tc>
        <w:tc>
          <w:tcPr>
            <w:tcW w:w="1625" w:type="dxa"/>
            <w:tcBorders>
              <w:top w:val="single" w:sz="6" w:space="0" w:color="000000"/>
              <w:left w:val="single" w:sz="6" w:space="0" w:color="000000"/>
            </w:tcBorders>
          </w:tcPr>
          <w:p>
            <w:pPr>
              <w:pStyle w:val="TableParagraph"/>
              <w:spacing w:before="31"/>
              <w:ind w:left="65" w:right="27"/>
              <w:rPr>
                <w:rFonts w:ascii="Times New Roman"/>
                <w:sz w:val="20"/>
              </w:rPr>
            </w:pPr>
            <w:r>
              <w:rPr>
                <w:rFonts w:ascii="Times New Roman"/>
                <w:sz w:val="20"/>
              </w:rPr>
              <w:t>34.7504</w:t>
            </w:r>
          </w:p>
        </w:tc>
      </w:tr>
    </w:tbl>
    <w:p>
      <w:pPr>
        <w:pStyle w:val="BodyText"/>
        <w:spacing w:before="4"/>
        <w:rPr>
          <w:sz w:val="23"/>
        </w:rPr>
      </w:pPr>
    </w:p>
    <w:p>
      <w:pPr>
        <w:pStyle w:val="Heading2"/>
        <w:numPr>
          <w:ilvl w:val="1"/>
          <w:numId w:val="12"/>
        </w:numPr>
        <w:tabs>
          <w:tab w:pos="1210" w:val="left" w:leader="none"/>
        </w:tabs>
        <w:spacing w:line="613" w:lineRule="exact" w:before="0" w:after="0"/>
        <w:ind w:left="1209" w:right="0" w:hanging="631"/>
        <w:jc w:val="left"/>
      </w:pPr>
      <w:r>
        <w:rPr/>
        <w:t>风险风险管理</w:t>
      </w:r>
    </w:p>
    <w:p>
      <w:pPr>
        <w:pStyle w:val="Heading3"/>
        <w:numPr>
          <w:ilvl w:val="2"/>
          <w:numId w:val="12"/>
        </w:numPr>
        <w:tabs>
          <w:tab w:pos="1298" w:val="left" w:leader="none"/>
        </w:tabs>
        <w:spacing w:line="240" w:lineRule="auto" w:before="98" w:after="0"/>
        <w:ind w:left="1298" w:right="0" w:hanging="720"/>
        <w:jc w:val="left"/>
        <w:rPr>
          <w:rFonts w:ascii="Times New Roman" w:eastAsia="Times New Roman"/>
        </w:rPr>
      </w:pPr>
      <w:r>
        <w:rPr>
          <w:rFonts w:ascii="Noto Sans CJK JP Regular" w:eastAsia="Noto Sans CJK JP Regular" w:hint="eastAsia"/>
        </w:rPr>
        <w:t>环境风险管理目标</w:t>
      </w:r>
    </w:p>
    <w:p>
      <w:pPr>
        <w:pStyle w:val="BodyText"/>
        <w:spacing w:line="220" w:lineRule="auto" w:before="107"/>
        <w:ind w:left="578" w:right="750" w:firstLine="479"/>
        <w:jc w:val="both"/>
      </w:pPr>
      <w:r>
        <w:rPr/>
        <w:t>环境风险管理目标是采用最低合理可行原则管控环境风险。采取的环境风险防范措施应与社会经济技术发展水平相适应，运用科学的技术手段和管理方法，对环境风险进行有效的预防、监控、响应。</w:t>
      </w:r>
    </w:p>
    <w:p>
      <w:pPr>
        <w:pStyle w:val="Heading3"/>
        <w:numPr>
          <w:ilvl w:val="2"/>
          <w:numId w:val="12"/>
        </w:numPr>
        <w:tabs>
          <w:tab w:pos="1380" w:val="left" w:leader="none"/>
        </w:tabs>
        <w:spacing w:line="240" w:lineRule="auto" w:before="79" w:after="0"/>
        <w:ind w:left="1379" w:right="0" w:hanging="801"/>
        <w:jc w:val="left"/>
        <w:rPr>
          <w:rFonts w:ascii="Times New Roman" w:eastAsia="Times New Roman"/>
          <w:color w:val="FF0000"/>
        </w:rPr>
      </w:pPr>
      <w:r>
        <w:rPr>
          <w:rFonts w:ascii="Noto Sans CJK JP Regular" w:eastAsia="Noto Sans CJK JP Regular" w:hint="eastAsia"/>
          <w:color w:val="FF0000"/>
        </w:rPr>
        <w:t>环境风险防范措施</w:t>
      </w:r>
    </w:p>
    <w:p>
      <w:pPr>
        <w:pStyle w:val="BodyText"/>
        <w:spacing w:line="488" w:lineRule="exact" w:before="78"/>
        <w:ind w:left="1060"/>
      </w:pPr>
      <w:r>
        <w:rPr>
          <w:color w:val="FF0000"/>
        </w:rPr>
        <w:t>一、企业现有的风险防范措施：</w:t>
      </w:r>
    </w:p>
    <w:p>
      <w:pPr>
        <w:pStyle w:val="BodyText"/>
        <w:spacing w:line="468" w:lineRule="exact"/>
        <w:ind w:left="1058"/>
      </w:pPr>
      <w:r>
        <w:rPr>
          <w:rFonts w:ascii="Times New Roman" w:eastAsia="Times New Roman"/>
          <w:color w:val="FF0000"/>
        </w:rPr>
        <w:t>1</w:t>
      </w:r>
      <w:r>
        <w:rPr>
          <w:color w:val="FF0000"/>
        </w:rPr>
        <w:t>、大气环境风险防范措施</w:t>
      </w:r>
    </w:p>
    <w:p>
      <w:pPr>
        <w:pStyle w:val="BodyText"/>
        <w:spacing w:line="468" w:lineRule="exact"/>
        <w:ind w:left="1058"/>
      </w:pPr>
      <w:r>
        <w:rPr/>
        <w:t>（</w:t>
      </w:r>
      <w:r>
        <w:rPr>
          <w:rFonts w:ascii="Times New Roman" w:eastAsia="Times New Roman"/>
        </w:rPr>
        <w:t>1</w:t>
      </w:r>
      <w:r>
        <w:rPr/>
        <w:t>）可燃及有毒气体探测系统</w:t>
      </w:r>
    </w:p>
    <w:p>
      <w:pPr>
        <w:pStyle w:val="BodyText"/>
        <w:spacing w:line="220" w:lineRule="auto" w:before="8"/>
        <w:ind w:left="578" w:right="764" w:firstLine="479"/>
      </w:pPr>
      <w:r>
        <w:rPr/>
        <w:t>企业在生产装置区、原料仓库、罐区存在可燃气体或有毒气体集聚的地方，安装了可燃气体、有毒气体泄漏报警装置，安装了火灾报警装置。</w:t>
      </w:r>
    </w:p>
    <w:p>
      <w:pPr>
        <w:pStyle w:val="BodyText"/>
        <w:spacing w:line="460" w:lineRule="exact"/>
        <w:ind w:left="1058"/>
      </w:pPr>
      <w:r>
        <w:rPr/>
        <w:t>（</w:t>
      </w:r>
      <w:r>
        <w:rPr>
          <w:rFonts w:ascii="Times New Roman" w:eastAsia="Times New Roman"/>
        </w:rPr>
        <w:t>2</w:t>
      </w:r>
      <w:r>
        <w:rPr/>
        <w:t>）危险化学品贮运环境风险防范措施</w:t>
      </w:r>
    </w:p>
    <w:p>
      <w:pPr>
        <w:pStyle w:val="BodyText"/>
        <w:spacing w:line="468" w:lineRule="exact"/>
        <w:ind w:left="1058"/>
      </w:pPr>
      <w:r>
        <w:rPr>
          <w:rFonts w:ascii="Times New Roman" w:eastAsia="Times New Roman"/>
        </w:rPr>
        <w:t>2</w:t>
      </w:r>
      <w:r>
        <w:rPr/>
        <w:t>、事故废水环境风险防范措施</w:t>
      </w:r>
    </w:p>
    <w:p>
      <w:pPr>
        <w:pStyle w:val="BodyText"/>
        <w:spacing w:line="468" w:lineRule="exact"/>
        <w:ind w:left="1058"/>
      </w:pPr>
      <w:r>
        <w:rPr/>
        <w:t>（</w:t>
      </w:r>
      <w:r>
        <w:rPr>
          <w:rFonts w:ascii="Times New Roman" w:eastAsia="Times New Roman"/>
        </w:rPr>
        <w:t>1</w:t>
      </w:r>
      <w:r>
        <w:rPr/>
        <w:t>）雨水、事故水收集及排放</w:t>
      </w:r>
    </w:p>
    <w:p>
      <w:pPr>
        <w:pStyle w:val="BodyText"/>
        <w:spacing w:line="220" w:lineRule="auto" w:before="8"/>
        <w:ind w:left="578" w:right="672" w:firstLine="479"/>
      </w:pPr>
      <w:r>
        <w:rPr/>
        <w:t>本项目设置的雨水、事故水收集设施包括装置区围堰、罐区防火堤、消防事故水池及配套提升、管输系统。</w:t>
      </w:r>
    </w:p>
    <w:p>
      <w:pPr>
        <w:pStyle w:val="BodyText"/>
        <w:spacing w:line="460" w:lineRule="exact"/>
        <w:ind w:left="1058"/>
      </w:pPr>
      <w:r>
        <w:rPr/>
        <w:t>雨水按清洁区和污染区分别收集。</w:t>
      </w:r>
    </w:p>
    <w:p>
      <w:pPr>
        <w:pStyle w:val="BodyText"/>
        <w:spacing w:line="220" w:lineRule="auto" w:before="8"/>
        <w:ind w:left="578" w:right="751" w:firstLine="479"/>
      </w:pPr>
      <w:r>
        <w:rPr>
          <w:spacing w:val="-11"/>
        </w:rPr>
        <w:t>清洁区，即厂区办公区、辅助生产区域等，清洁区雨水自流到全厂清洁雨水系统，之后进入雨水监控池，监控合格后外排或雨水回用，不合格的雨水限流送</w:t>
      </w:r>
    </w:p>
    <w:p>
      <w:pPr>
        <w:spacing w:after="0" w:line="220" w:lineRule="auto"/>
        <w:sectPr>
          <w:pgSz w:w="11910" w:h="16840"/>
          <w:pgMar w:header="877" w:footer="973" w:top="1340" w:bottom="1160" w:left="1220" w:right="1040"/>
        </w:sectPr>
      </w:pPr>
    </w:p>
    <w:p>
      <w:pPr>
        <w:pStyle w:val="BodyText"/>
        <w:spacing w:line="488" w:lineRule="exact" w:before="48"/>
        <w:ind w:left="578"/>
      </w:pPr>
      <w:r>
        <w:rPr/>
        <w:t>至污水处理场处理。</w:t>
      </w:r>
    </w:p>
    <w:p>
      <w:pPr>
        <w:pStyle w:val="BodyText"/>
        <w:spacing w:line="220" w:lineRule="auto" w:before="8"/>
        <w:ind w:left="578" w:right="751" w:firstLine="479"/>
        <w:jc w:val="both"/>
      </w:pPr>
      <w:r>
        <w:rPr/>
        <w:t>污染区，即生产装置、原料仓库（甲类仓库、液体仓库、易制毒库等</w:t>
      </w:r>
      <w:r>
        <w:rPr>
          <w:spacing w:val="-120"/>
        </w:rPr>
        <w:t>）</w:t>
      </w:r>
      <w:r>
        <w:rPr>
          <w:spacing w:val="2"/>
        </w:rPr>
        <w:t>、罐</w:t>
      </w:r>
      <w:r>
        <w:rPr>
          <w:spacing w:val="3"/>
        </w:rPr>
        <w:t>区等，污染区雨水又按前 </w:t>
      </w:r>
      <w:r>
        <w:rPr>
          <w:rFonts w:ascii="Times New Roman" w:eastAsia="Times New Roman"/>
        </w:rPr>
        <w:t>15 </w:t>
      </w:r>
      <w:r>
        <w:rPr>
          <w:spacing w:val="-1"/>
        </w:rPr>
        <w:t>分钟初期污染雨水及后期清净雨水分别收集。污染雨水通过围堰</w:t>
      </w:r>
      <w:r>
        <w:rPr>
          <w:rFonts w:ascii="Times New Roman" w:eastAsia="Times New Roman"/>
        </w:rPr>
        <w:t>/</w:t>
      </w:r>
      <w:r>
        <w:rPr>
          <w:spacing w:val="-3"/>
        </w:rPr>
        <w:t>防火堤导流设施收集至事故水池</w:t>
      </w:r>
      <w:r>
        <w:rPr/>
        <w:t>（</w:t>
      </w:r>
      <w:r>
        <w:rPr>
          <w:rFonts w:ascii="Times New Roman" w:eastAsia="Times New Roman"/>
        </w:rPr>
        <w:t>2000m</w:t>
      </w:r>
      <w:r>
        <w:rPr>
          <w:rFonts w:ascii="Times New Roman" w:eastAsia="Times New Roman"/>
          <w:spacing w:val="1"/>
          <w:w w:val="100"/>
          <w:position w:val="9"/>
          <w:sz w:val="16"/>
        </w:rPr>
        <w:t>3</w:t>
      </w:r>
      <w:r>
        <w:rPr>
          <w:spacing w:val="-120"/>
        </w:rPr>
        <w:t>）</w:t>
      </w:r>
      <w:r>
        <w:rPr>
          <w:spacing w:val="-6"/>
        </w:rPr>
        <w:t>，后排放至污水处理场处理；后期雨水通过分流井切换到清洁雨水管网。</w:t>
      </w:r>
    </w:p>
    <w:p>
      <w:pPr>
        <w:pStyle w:val="BodyText"/>
        <w:spacing w:line="460" w:lineRule="exact"/>
        <w:ind w:left="1058"/>
      </w:pPr>
      <w:r>
        <w:rPr/>
        <w:t>（</w:t>
      </w:r>
      <w:r>
        <w:rPr>
          <w:rFonts w:ascii="Times New Roman" w:eastAsia="Times New Roman"/>
        </w:rPr>
        <w:t>1</w:t>
      </w:r>
      <w:r>
        <w:rPr/>
        <w:t>）正常工况下雨水收集排放</w:t>
      </w:r>
    </w:p>
    <w:p>
      <w:pPr>
        <w:pStyle w:val="BodyText"/>
        <w:spacing w:line="220" w:lineRule="auto" w:before="8"/>
        <w:ind w:left="578" w:right="752" w:firstLine="479"/>
        <w:jc w:val="both"/>
      </w:pPr>
      <w:r>
        <w:rPr>
          <w:spacing w:val="-9"/>
        </w:rPr>
        <w:t>①初期雨水收集：当降雨时，片区内各装置围堰和罐区防火堤内的雨水首先通过导流设施收集到事故水池，后排放至污水处理场。</w:t>
      </w:r>
    </w:p>
    <w:p>
      <w:pPr>
        <w:pStyle w:val="BodyText"/>
        <w:spacing w:line="220" w:lineRule="auto" w:before="1"/>
        <w:ind w:left="578" w:right="752" w:firstLine="479"/>
        <w:jc w:val="both"/>
      </w:pPr>
      <w:r>
        <w:rPr>
          <w:spacing w:val="-8"/>
        </w:rPr>
        <w:t>②后期雨水收集：待初期雨水收集完毕后，后期雨水通过分流井溢流至清洁雨水系统。</w:t>
      </w:r>
    </w:p>
    <w:p>
      <w:pPr>
        <w:pStyle w:val="BodyText"/>
        <w:spacing w:line="460" w:lineRule="exact"/>
        <w:ind w:left="1058"/>
      </w:pPr>
      <w:r>
        <w:rPr/>
        <w:t>（</w:t>
      </w:r>
      <w:r>
        <w:rPr>
          <w:rFonts w:ascii="Times New Roman" w:eastAsia="Times New Roman"/>
        </w:rPr>
        <w:t>2</w:t>
      </w:r>
      <w:r>
        <w:rPr/>
        <w:t>）事故状态下，事故水（污染雨水、泄漏物料、消防废水等）收集处理</w:t>
      </w:r>
    </w:p>
    <w:p>
      <w:pPr>
        <w:pStyle w:val="BodyText"/>
        <w:spacing w:line="220" w:lineRule="auto" w:before="8"/>
        <w:ind w:left="578" w:right="751" w:firstLine="479"/>
        <w:jc w:val="both"/>
      </w:pPr>
      <w:r>
        <w:rPr>
          <w:spacing w:val="-7"/>
        </w:rPr>
        <w:t>①一般情况下，装置围堰和罐区防火堤的排水口关闭，一旦发生事故，当事故水很少，围堰</w:t>
      </w:r>
      <w:r>
        <w:rPr>
          <w:rFonts w:ascii="Times New Roman" w:hAnsi="Times New Roman" w:eastAsia="Times New Roman"/>
          <w:spacing w:val="-7"/>
        </w:rPr>
        <w:t>/</w:t>
      </w:r>
      <w:r>
        <w:rPr>
          <w:spacing w:val="-7"/>
        </w:rPr>
        <w:t>防火堤能够满足储存要求时，先将事故水控制在围堰</w:t>
      </w:r>
      <w:r>
        <w:rPr>
          <w:rFonts w:ascii="Times New Roman" w:hAnsi="Times New Roman" w:eastAsia="Times New Roman"/>
          <w:spacing w:val="-7"/>
        </w:rPr>
        <w:t>/</w:t>
      </w:r>
      <w:r>
        <w:rPr>
          <w:spacing w:val="-7"/>
        </w:rPr>
        <w:t>防火堤内</w:t>
      </w:r>
      <w:r>
        <w:rPr>
          <w:spacing w:val="-11"/>
        </w:rPr>
        <w:t>进行监测，根据监测结果决定外委处置或进污水处理系统，若监测结果表明污水</w:t>
      </w:r>
      <w:r>
        <w:rPr>
          <w:spacing w:val="-14"/>
        </w:rPr>
        <w:t>处理系统可以处理的，打开排水口阀门将事故水引至事故水池，后引至污水预处</w:t>
      </w:r>
      <w:r>
        <w:rPr>
          <w:spacing w:val="-11"/>
        </w:rPr>
        <w:t>理系统，若监测结果表明污水处理系统不能处理，需外委处置。当事故水不能控制在围堰</w:t>
      </w:r>
      <w:r>
        <w:rPr>
          <w:rFonts w:ascii="Times New Roman" w:hAnsi="Times New Roman" w:eastAsia="Times New Roman"/>
          <w:spacing w:val="-11"/>
        </w:rPr>
        <w:t>/</w:t>
      </w:r>
      <w:r>
        <w:rPr>
          <w:spacing w:val="-11"/>
        </w:rPr>
        <w:t>防火堤内时，开启围堰</w:t>
      </w:r>
      <w:r>
        <w:rPr>
          <w:rFonts w:ascii="Times New Roman" w:hAnsi="Times New Roman" w:eastAsia="Times New Roman"/>
          <w:spacing w:val="-11"/>
        </w:rPr>
        <w:t>/</w:t>
      </w:r>
      <w:r>
        <w:rPr>
          <w:spacing w:val="-11"/>
        </w:rPr>
        <w:t>防火堤排水口阀门，将事故水排入区域内的初期雨水池，引入污水处理场处理。</w:t>
      </w:r>
    </w:p>
    <w:p>
      <w:pPr>
        <w:pStyle w:val="BodyText"/>
        <w:spacing w:line="220" w:lineRule="auto"/>
        <w:ind w:left="578" w:right="752" w:firstLine="479"/>
        <w:jc w:val="both"/>
      </w:pPr>
      <w:r>
        <w:rPr/>
        <w:t>②当事故水水量较大时，溢出围堰</w:t>
      </w:r>
      <w:r>
        <w:rPr>
          <w:rFonts w:ascii="Times New Roman" w:hAnsi="Times New Roman" w:eastAsia="Times New Roman"/>
          <w:spacing w:val="3"/>
        </w:rPr>
        <w:t>/</w:t>
      </w:r>
      <w:r>
        <w:rPr/>
        <w:t>防火堤及初期雨水池的事故水进入清洁</w:t>
      </w:r>
      <w:r>
        <w:rPr>
          <w:spacing w:val="-8"/>
        </w:rPr>
        <w:t>雨水管网，排入雨水监控池，关闭雨水外排阀门，打开雨水监控池与消防事故水池的联通阀，将事故水引到事故水池，后期限流引入污水处理场处理。</w:t>
      </w:r>
    </w:p>
    <w:p>
      <w:pPr>
        <w:pStyle w:val="BodyText"/>
        <w:spacing w:line="220" w:lineRule="auto"/>
        <w:ind w:left="578" w:right="752" w:firstLine="479"/>
        <w:jc w:val="both"/>
      </w:pPr>
      <w:r>
        <w:rPr/>
        <w:t>③事故结束后，将各事故缓冲设施（</w:t>
      </w:r>
      <w:r>
        <w:rPr>
          <w:spacing w:val="1"/>
        </w:rPr>
        <w:t>围堰</w:t>
      </w:r>
      <w:r>
        <w:rPr>
          <w:rFonts w:ascii="Times New Roman" w:hAnsi="Times New Roman" w:eastAsia="Times New Roman"/>
        </w:rPr>
        <w:t>/</w:t>
      </w:r>
      <w:r>
        <w:rPr/>
        <w:t>防火堤、事故水池）内的事故水</w:t>
      </w:r>
      <w:r>
        <w:rPr>
          <w:spacing w:val="-6"/>
        </w:rPr>
        <w:t>引到污水处理系统。对于含有大量物料的事故水应回收物料，尽量就地处理，将</w:t>
      </w:r>
      <w:r>
        <w:rPr>
          <w:spacing w:val="-11"/>
        </w:rPr>
        <w:t>易于收集分离的物料收集后再进行处理，如含油品的事故水应分层收油后进入污水处理系统。</w:t>
      </w:r>
    </w:p>
    <w:p>
      <w:pPr>
        <w:pStyle w:val="BodyText"/>
        <w:spacing w:line="460" w:lineRule="exact"/>
        <w:ind w:left="1058"/>
      </w:pPr>
      <w:r>
        <w:rPr/>
        <w:t>（</w:t>
      </w:r>
      <w:r>
        <w:rPr>
          <w:rFonts w:ascii="Times New Roman" w:eastAsia="Times New Roman"/>
        </w:rPr>
        <w:t>2</w:t>
      </w:r>
      <w:r>
        <w:rPr/>
        <w:t>）三级防控体系</w:t>
      </w:r>
    </w:p>
    <w:p>
      <w:pPr>
        <w:pStyle w:val="BodyText"/>
        <w:spacing w:line="468" w:lineRule="exact"/>
        <w:ind w:left="1058"/>
      </w:pPr>
      <w:r>
        <w:rPr/>
        <w:t>企业建立了从污染源头、过程处理和最终排放的三级防控体系。</w:t>
      </w:r>
    </w:p>
    <w:p>
      <w:pPr>
        <w:pStyle w:val="BodyText"/>
        <w:spacing w:line="220" w:lineRule="auto" w:before="8"/>
        <w:ind w:left="578" w:right="666" w:firstLine="479"/>
        <w:jc w:val="both"/>
      </w:pPr>
      <w:r>
        <w:rPr/>
        <w:t>一级防控：项目装置区设置有导流地槽，储罐区设置有围堰、导流设施等。事故发生时装置区物料沿导流地槽，进入事故水池；储罐区发生泄漏时，物料将</w:t>
      </w:r>
    </w:p>
    <w:p>
      <w:pPr>
        <w:spacing w:after="0" w:line="220" w:lineRule="auto"/>
        <w:jc w:val="both"/>
        <w:sectPr>
          <w:pgSz w:w="11910" w:h="16840"/>
          <w:pgMar w:header="877" w:footer="973" w:top="1340" w:bottom="1160" w:left="1220" w:right="1040"/>
        </w:sectPr>
      </w:pPr>
    </w:p>
    <w:p>
      <w:pPr>
        <w:pStyle w:val="BodyText"/>
        <w:spacing w:line="220" w:lineRule="auto" w:before="77"/>
        <w:ind w:left="578" w:right="666"/>
        <w:jc w:val="right"/>
      </w:pPr>
      <w:r>
        <w:rPr>
          <w:spacing w:val="-7"/>
        </w:rPr>
        <w:t>被围堰阻挡于其中，然后由导流收集设施转入事故水池；储罐区初期雨水暂时收</w:t>
      </w:r>
      <w:r>
        <w:rPr>
          <w:spacing w:val="-11"/>
        </w:rPr>
        <w:t>集于围堰中，然后开启导流阀门，使围堰与污水管网相连将其导出。以上作为企业以及防控措施可以有效防止少量物料泄漏事故和防止初期雨水造成环境污染。</w:t>
      </w:r>
      <w:r>
        <w:rPr>
          <w:spacing w:val="-12"/>
        </w:rPr>
        <w:t>二级防控：当厂区内产生较多事故废水时，开启与污水管网的连接阀，使大</w:t>
      </w:r>
    </w:p>
    <w:p>
      <w:pPr>
        <w:pStyle w:val="BodyText"/>
        <w:spacing w:line="220" w:lineRule="auto"/>
        <w:ind w:left="578" w:right="752"/>
        <w:jc w:val="both"/>
      </w:pPr>
      <w:r>
        <w:rPr>
          <w:spacing w:val="1"/>
        </w:rPr>
        <w:t>量事故废水沿污水管网进入厂区容积为 </w:t>
      </w:r>
      <w:r>
        <w:rPr>
          <w:rFonts w:ascii="Times New Roman" w:eastAsia="Times New Roman"/>
        </w:rPr>
        <w:t>2000m</w:t>
      </w:r>
      <w:r>
        <w:rPr>
          <w:rFonts w:ascii="Times New Roman" w:eastAsia="Times New Roman"/>
          <w:position w:val="9"/>
          <w:sz w:val="16"/>
        </w:rPr>
        <w:t>3 </w:t>
      </w:r>
      <w:r>
        <w:rPr>
          <w:spacing w:val="-1"/>
        </w:rPr>
        <w:t>的事故水池中。如果部分废水漫</w:t>
      </w:r>
      <w:r>
        <w:rPr>
          <w:spacing w:val="-8"/>
        </w:rPr>
        <w:t>流进入雨水管网，应立即关闭企业雨水排放口，将雨水管网与事故水池相连，使</w:t>
      </w:r>
      <w:r>
        <w:rPr>
          <w:spacing w:val="-13"/>
        </w:rPr>
        <w:t>废水进入事故水池中，避免进入外环境。以上措施作为企业二级防控措施，目的</w:t>
      </w:r>
      <w:r>
        <w:rPr>
          <w:spacing w:val="-17"/>
        </w:rPr>
        <w:t>在于切断污染物与外界的通道，将污染物导入事故水池，最终进入污水处理系统</w:t>
      </w:r>
      <w:r>
        <w:rPr>
          <w:spacing w:val="-12"/>
        </w:rPr>
        <w:t>处理。将污染控制在厂区，防止产生的较大事故泄漏物料和消防废水造成的环境污染。</w:t>
      </w:r>
    </w:p>
    <w:p>
      <w:pPr>
        <w:pStyle w:val="BodyText"/>
        <w:spacing w:line="220" w:lineRule="auto"/>
        <w:ind w:left="578" w:right="752" w:firstLine="479"/>
        <w:jc w:val="both"/>
      </w:pPr>
      <w:r>
        <w:rPr>
          <w:spacing w:val="-9"/>
        </w:rPr>
        <w:t>三级防线：在污水处理站的总排口前设置总切断阀，作为事故状态下的储存</w:t>
      </w:r>
      <w:r>
        <w:rPr>
          <w:spacing w:val="-11"/>
        </w:rPr>
        <w:t>和调开手段，一旦污水处理站出水出现异常，立即将排放阀关闭，并将废水导入旁边的事故水池中。将污染物控制在厂区内，防止重大事故对环境造成污染。</w:t>
      </w:r>
    </w:p>
    <w:p>
      <w:pPr>
        <w:pStyle w:val="BodyText"/>
        <w:spacing w:line="460" w:lineRule="exact"/>
        <w:ind w:left="1058"/>
      </w:pPr>
      <w:r>
        <w:rPr/>
        <w:t>雨水、污水排放走向图见 </w:t>
      </w:r>
      <w:r>
        <w:rPr>
          <w:rFonts w:ascii="Times New Roman" w:eastAsia="Times New Roman"/>
        </w:rPr>
        <w:t>7.7-1</w:t>
      </w:r>
      <w:r>
        <w:rPr/>
        <w:t>。</w:t>
      </w:r>
    </w:p>
    <w:p>
      <w:pPr>
        <w:pStyle w:val="BodyText"/>
        <w:spacing w:line="468" w:lineRule="exact"/>
        <w:ind w:left="1058"/>
      </w:pPr>
      <w:r>
        <w:rPr>
          <w:rFonts w:ascii="Times New Roman" w:eastAsia="Times New Roman"/>
        </w:rPr>
        <w:t>2</w:t>
      </w:r>
      <w:r>
        <w:rPr/>
        <w:t>、事故水收集设施的有效性分析</w:t>
      </w:r>
    </w:p>
    <w:p>
      <w:pPr>
        <w:pStyle w:val="BodyText"/>
        <w:spacing w:line="220" w:lineRule="auto" w:before="7"/>
        <w:ind w:left="578" w:right="635" w:firstLine="479"/>
      </w:pPr>
      <w:r>
        <w:rPr>
          <w:spacing w:val="-11"/>
        </w:rPr>
        <w:t>参照《石油化工企业设计防火规范》</w:t>
      </w:r>
      <w:r>
        <w:rPr>
          <w:spacing w:val="1"/>
        </w:rPr>
        <w:t>（</w:t>
      </w:r>
      <w:r>
        <w:rPr>
          <w:rFonts w:ascii="Times New Roman" w:eastAsia="Times New Roman"/>
          <w:w w:val="99"/>
        </w:rPr>
        <w:t>G</w:t>
      </w:r>
      <w:r>
        <w:rPr>
          <w:rFonts w:ascii="Times New Roman" w:eastAsia="Times New Roman"/>
          <w:spacing w:val="-3"/>
          <w:w w:val="99"/>
        </w:rPr>
        <w:t>B</w:t>
      </w:r>
      <w:r>
        <w:rPr>
          <w:rFonts w:ascii="Times New Roman" w:eastAsia="Times New Roman"/>
        </w:rPr>
        <w:t>501</w:t>
      </w:r>
      <w:r>
        <w:rPr>
          <w:rFonts w:ascii="Times New Roman" w:eastAsia="Times New Roman"/>
          <w:spacing w:val="2"/>
        </w:rPr>
        <w:t>6</w:t>
      </w:r>
      <w:r>
        <w:rPr>
          <w:rFonts w:ascii="Times New Roman" w:eastAsia="Times New Roman"/>
        </w:rPr>
        <w:t>0</w:t>
      </w:r>
      <w:r>
        <w:rPr>
          <w:rFonts w:ascii="Times New Roman" w:eastAsia="Times New Roman"/>
          <w:spacing w:val="-1"/>
        </w:rPr>
        <w:t>-</w:t>
      </w:r>
      <w:r>
        <w:rPr>
          <w:rFonts w:ascii="Times New Roman" w:eastAsia="Times New Roman"/>
        </w:rPr>
        <w:t>2008</w:t>
      </w:r>
      <w:r>
        <w:rPr>
          <w:spacing w:val="-120"/>
        </w:rPr>
        <w:t>）</w:t>
      </w:r>
      <w:r>
        <w:rPr>
          <w:spacing w:val="-15"/>
        </w:rPr>
        <w:t>、《化工建设项目环境</w:t>
      </w:r>
      <w:r>
        <w:rPr>
          <w:spacing w:val="22"/>
        </w:rPr>
        <w:t>保护设计规范》</w:t>
      </w:r>
      <w:r>
        <w:rPr/>
        <w:t>（</w:t>
      </w:r>
      <w:r>
        <w:rPr>
          <w:spacing w:val="-13"/>
        </w:rPr>
        <w:t> </w:t>
      </w:r>
      <w:r>
        <w:rPr>
          <w:rFonts w:ascii="Times New Roman" w:eastAsia="Times New Roman"/>
        </w:rPr>
        <w:t>GB50483-2009</w:t>
      </w:r>
      <w:r>
        <w:rPr>
          <w:rFonts w:ascii="Times New Roman" w:eastAsia="Times New Roman"/>
          <w:spacing w:val="-21"/>
        </w:rPr>
        <w:t> </w:t>
      </w:r>
      <w:r>
        <w:rPr>
          <w:spacing w:val="-80"/>
        </w:rPr>
        <w:t>）</w:t>
      </w:r>
      <w:r>
        <w:rPr>
          <w:spacing w:val="22"/>
        </w:rPr>
        <w:t>、《消 防给水及消火栓系统技术规范》</w:t>
      </w:r>
    </w:p>
    <w:p>
      <w:pPr>
        <w:pStyle w:val="BodyText"/>
        <w:spacing w:line="220" w:lineRule="auto"/>
        <w:ind w:left="578" w:right="633"/>
        <w:jc w:val="center"/>
      </w:pPr>
      <w:r>
        <w:rPr>
          <w:spacing w:val="-1"/>
        </w:rPr>
        <w:t>（</w:t>
      </w:r>
      <w:r>
        <w:rPr>
          <w:rFonts w:ascii="Times New Roman" w:eastAsia="Times New Roman"/>
          <w:w w:val="99"/>
        </w:rPr>
        <w:t>G</w:t>
      </w:r>
      <w:r>
        <w:rPr>
          <w:rFonts w:ascii="Times New Roman" w:eastAsia="Times New Roman"/>
          <w:spacing w:val="-3"/>
          <w:w w:val="99"/>
        </w:rPr>
        <w:t>B</w:t>
      </w:r>
      <w:r>
        <w:rPr>
          <w:rFonts w:ascii="Times New Roman" w:eastAsia="Times New Roman"/>
        </w:rPr>
        <w:t>50974</w:t>
      </w:r>
      <w:r>
        <w:rPr>
          <w:rFonts w:ascii="Times New Roman" w:eastAsia="Times New Roman"/>
          <w:spacing w:val="-1"/>
        </w:rPr>
        <w:t>-</w:t>
      </w:r>
      <w:r>
        <w:rPr>
          <w:rFonts w:ascii="Times New Roman" w:eastAsia="Times New Roman"/>
        </w:rPr>
        <w:t>2014</w:t>
      </w:r>
      <w:r>
        <w:rPr>
          <w:spacing w:val="-120"/>
        </w:rPr>
        <w:t>）</w:t>
      </w:r>
      <w:r>
        <w:rPr>
          <w:spacing w:val="-9"/>
        </w:rPr>
        <w:t>、中国石油化工集团公司《水体污染防控紧急措施设计导则》、中国石油天然气集团公司企业标准《事故状态下水体污染的预防控制技术要求》</w:t>
      </w:r>
    </w:p>
    <w:p>
      <w:pPr>
        <w:pStyle w:val="BodyText"/>
        <w:spacing w:line="220" w:lineRule="auto"/>
        <w:ind w:left="578" w:right="732"/>
        <w:jc w:val="both"/>
      </w:pPr>
      <w:r>
        <w:rPr/>
        <w:t>（</w:t>
      </w:r>
      <w:r>
        <w:rPr>
          <w:rFonts w:ascii="Times New Roman" w:eastAsia="Times New Roman"/>
        </w:rPr>
        <w:t>Q/SY1190-2013</w:t>
      </w:r>
      <w:r>
        <w:rPr/>
        <w:t>）等有关规范，分析本项目事故水收集缓冲设施总有效容积的</w:t>
      </w:r>
      <w:r>
        <w:rPr>
          <w:spacing w:val="-6"/>
        </w:rPr>
        <w:t>合理性。根据《化工建设项目环境保护设计规范》</w:t>
      </w:r>
      <w:r>
        <w:rPr/>
        <w:t>（</w:t>
      </w:r>
      <w:r>
        <w:rPr>
          <w:rFonts w:ascii="Times New Roman" w:eastAsia="Times New Roman"/>
        </w:rPr>
        <w:t>GB50483-2009</w:t>
      </w:r>
      <w:r>
        <w:rPr/>
        <w:t>）条文说明， </w:t>
      </w:r>
      <w:r>
        <w:rPr>
          <w:spacing w:val="-6"/>
        </w:rPr>
        <w:t>计算应急事故废水量时，装置区或贮罐区事故不作同时发生考虑，取其中的最大</w:t>
      </w:r>
      <w:r>
        <w:rPr>
          <w:spacing w:val="-11"/>
        </w:rPr>
        <w:t>值，因此本次评价分别选取储罐区、装置区发生火灾事故时核算对应最大事故废</w:t>
      </w:r>
      <w:r>
        <w:rPr>
          <w:spacing w:val="-10"/>
        </w:rPr>
        <w:t>水量，进而分析相应事故废水缓冲设施的有效性。其中，储罐区火灾事故选取罐容最大的汽油储罐，装置区火灾事故选取液体物料在线量最大的净化装置。</w:t>
      </w:r>
    </w:p>
    <w:p>
      <w:pPr>
        <w:pStyle w:val="BodyText"/>
        <w:spacing w:line="460" w:lineRule="exact"/>
        <w:ind w:left="1058"/>
      </w:pPr>
      <w:r>
        <w:rPr/>
        <w:t>事故水量核算依据如下：</w:t>
      </w:r>
    </w:p>
    <w:p>
      <w:pPr>
        <w:spacing w:line="488" w:lineRule="exact" w:before="0"/>
        <w:ind w:left="0" w:right="176" w:firstLine="0"/>
        <w:jc w:val="center"/>
        <w:rPr>
          <w:rFonts w:ascii="Times New Roman" w:eastAsia="Times New Roman"/>
          <w:sz w:val="16"/>
        </w:rPr>
      </w:pPr>
      <w:r>
        <w:rPr>
          <w:rFonts w:ascii="Times New Roman" w:eastAsia="Times New Roman"/>
          <w:position w:val="2"/>
          <w:sz w:val="24"/>
        </w:rPr>
        <w:t>V </w:t>
      </w:r>
      <w:r>
        <w:rPr>
          <w:sz w:val="12"/>
        </w:rPr>
        <w:t>总 </w:t>
      </w:r>
      <w:r>
        <w:rPr>
          <w:rFonts w:ascii="Times New Roman" w:eastAsia="Times New Roman"/>
          <w:position w:val="2"/>
          <w:sz w:val="24"/>
        </w:rPr>
        <w:t>=</w:t>
      </w:r>
      <w:r>
        <w:rPr>
          <w:position w:val="2"/>
          <w:sz w:val="24"/>
        </w:rPr>
        <w:t>（</w:t>
      </w:r>
      <w:r>
        <w:rPr>
          <w:rFonts w:ascii="Times New Roman" w:eastAsia="Times New Roman"/>
          <w:position w:val="2"/>
          <w:sz w:val="24"/>
        </w:rPr>
        <w:t>V</w:t>
      </w:r>
      <w:r>
        <w:rPr>
          <w:rFonts w:ascii="Times New Roman" w:eastAsia="Times New Roman"/>
          <w:sz w:val="16"/>
        </w:rPr>
        <w:t>l</w:t>
      </w:r>
      <w:r>
        <w:rPr>
          <w:rFonts w:ascii="Times New Roman" w:eastAsia="Times New Roman"/>
          <w:position w:val="2"/>
          <w:sz w:val="24"/>
        </w:rPr>
        <w:t>+V</w:t>
      </w:r>
      <w:r>
        <w:rPr>
          <w:rFonts w:ascii="Times New Roman" w:eastAsia="Times New Roman"/>
          <w:sz w:val="16"/>
        </w:rPr>
        <w:t>2</w:t>
      </w:r>
      <w:r>
        <w:rPr>
          <w:position w:val="2"/>
          <w:sz w:val="24"/>
        </w:rPr>
        <w:t>－</w:t>
      </w:r>
      <w:r>
        <w:rPr>
          <w:rFonts w:ascii="Times New Roman" w:eastAsia="Times New Roman"/>
          <w:position w:val="2"/>
          <w:sz w:val="24"/>
        </w:rPr>
        <w:t>V</w:t>
      </w:r>
      <w:r>
        <w:rPr>
          <w:rFonts w:ascii="Times New Roman" w:eastAsia="Times New Roman"/>
          <w:sz w:val="16"/>
        </w:rPr>
        <w:t>3</w:t>
      </w:r>
      <w:r>
        <w:rPr>
          <w:position w:val="2"/>
          <w:sz w:val="24"/>
        </w:rPr>
        <w:t>）</w:t>
      </w:r>
      <w:r>
        <w:rPr>
          <w:rFonts w:ascii="Times New Roman" w:eastAsia="Times New Roman"/>
          <w:sz w:val="16"/>
        </w:rPr>
        <w:t>max</w:t>
      </w:r>
      <w:r>
        <w:rPr>
          <w:rFonts w:ascii="Times New Roman" w:eastAsia="Times New Roman"/>
          <w:position w:val="2"/>
          <w:sz w:val="24"/>
        </w:rPr>
        <w:t>+V</w:t>
      </w:r>
      <w:r>
        <w:rPr>
          <w:rFonts w:ascii="Times New Roman" w:eastAsia="Times New Roman"/>
          <w:sz w:val="16"/>
        </w:rPr>
        <w:t>4</w:t>
      </w:r>
      <w:r>
        <w:rPr>
          <w:rFonts w:ascii="Times New Roman" w:eastAsia="Times New Roman"/>
          <w:position w:val="2"/>
          <w:sz w:val="24"/>
        </w:rPr>
        <w:t>+V</w:t>
      </w:r>
      <w:r>
        <w:rPr>
          <w:rFonts w:ascii="Times New Roman" w:eastAsia="Times New Roman"/>
          <w:sz w:val="16"/>
        </w:rPr>
        <w:t>5</w:t>
      </w:r>
    </w:p>
    <w:p>
      <w:pPr>
        <w:spacing w:before="90"/>
        <w:ind w:left="0" w:right="178" w:firstLine="0"/>
        <w:jc w:val="center"/>
        <w:rPr>
          <w:sz w:val="12"/>
        </w:rPr>
      </w:pPr>
      <w:r>
        <w:rPr>
          <w:rFonts w:ascii="Times New Roman" w:hAnsi="Times New Roman" w:eastAsia="Times New Roman"/>
          <w:position w:val="2"/>
          <w:sz w:val="24"/>
        </w:rPr>
        <w:t>V</w:t>
      </w:r>
      <w:r>
        <w:rPr>
          <w:rFonts w:ascii="Times New Roman" w:hAnsi="Times New Roman" w:eastAsia="Times New Roman"/>
          <w:sz w:val="16"/>
        </w:rPr>
        <w:t>2</w:t>
      </w:r>
      <w:r>
        <w:rPr>
          <w:rFonts w:ascii="Times New Roman" w:hAnsi="Times New Roman" w:eastAsia="Times New Roman"/>
          <w:position w:val="2"/>
          <w:sz w:val="24"/>
        </w:rPr>
        <w:t>=∑Q </w:t>
      </w:r>
      <w:r>
        <w:rPr>
          <w:sz w:val="12"/>
        </w:rPr>
        <w:t>消 </w:t>
      </w:r>
      <w:r>
        <w:rPr>
          <w:rFonts w:ascii="Times New Roman" w:hAnsi="Times New Roman" w:eastAsia="Times New Roman"/>
          <w:position w:val="2"/>
          <w:sz w:val="24"/>
        </w:rPr>
        <w:t>t </w:t>
      </w:r>
      <w:r>
        <w:rPr>
          <w:sz w:val="12"/>
        </w:rPr>
        <w:t>消</w:t>
      </w:r>
    </w:p>
    <w:p>
      <w:pPr>
        <w:pStyle w:val="BodyText"/>
        <w:spacing w:before="145"/>
        <w:ind w:right="179"/>
        <w:jc w:val="center"/>
        <w:rPr>
          <w:rFonts w:ascii="Times New Roman"/>
        </w:rPr>
      </w:pPr>
      <w:r>
        <w:rPr>
          <w:rFonts w:ascii="Times New Roman"/>
          <w:position w:val="2"/>
        </w:rPr>
        <w:t>V</w:t>
      </w:r>
      <w:r>
        <w:rPr>
          <w:rFonts w:ascii="Times New Roman"/>
          <w:sz w:val="16"/>
        </w:rPr>
        <w:t>5</w:t>
      </w:r>
      <w:r>
        <w:rPr>
          <w:rFonts w:ascii="Times New Roman"/>
          <w:position w:val="2"/>
        </w:rPr>
        <w:t>=10qF</w:t>
      </w:r>
    </w:p>
    <w:p>
      <w:pPr>
        <w:pStyle w:val="BodyText"/>
        <w:spacing w:before="190"/>
        <w:ind w:right="177"/>
        <w:jc w:val="center"/>
        <w:rPr>
          <w:rFonts w:ascii="Times New Roman"/>
        </w:rPr>
      </w:pPr>
      <w:r>
        <w:rPr>
          <w:rFonts w:ascii="Times New Roman"/>
          <w:position w:val="2"/>
        </w:rPr>
        <w:t>q=q</w:t>
      </w:r>
      <w:r>
        <w:rPr>
          <w:rFonts w:ascii="Times New Roman"/>
          <w:sz w:val="16"/>
        </w:rPr>
        <w:t>a</w:t>
      </w:r>
      <w:r>
        <w:rPr>
          <w:rFonts w:ascii="Times New Roman"/>
          <w:position w:val="2"/>
        </w:rPr>
        <w:t>/n</w:t>
      </w:r>
    </w:p>
    <w:p>
      <w:pPr>
        <w:spacing w:after="0"/>
        <w:jc w:val="center"/>
        <w:rPr>
          <w:rFonts w:ascii="Times New Roman"/>
        </w:rPr>
        <w:sectPr>
          <w:pgSz w:w="11910" w:h="16840"/>
          <w:pgMar w:header="877" w:footer="973" w:top="1340" w:bottom="1160" w:left="1220" w:right="1040"/>
        </w:sectPr>
      </w:pPr>
    </w:p>
    <w:p>
      <w:pPr>
        <w:pStyle w:val="BodyText"/>
        <w:spacing w:line="488" w:lineRule="exact" w:before="47"/>
        <w:ind w:left="1058"/>
        <w:rPr>
          <w:rFonts w:ascii="Times New Roman" w:hAnsi="Times New Roman" w:eastAsia="Times New Roman"/>
        </w:rPr>
      </w:pPr>
      <w:r>
        <w:rPr>
          <w:rFonts w:ascii="Times New Roman" w:hAnsi="Times New Roman" w:eastAsia="Times New Roman"/>
          <w:position w:val="2"/>
        </w:rPr>
        <w:t>V</w:t>
      </w:r>
      <w:r>
        <w:rPr>
          <w:rFonts w:ascii="Times New Roman" w:hAnsi="Times New Roman" w:eastAsia="Times New Roman"/>
          <w:sz w:val="16"/>
        </w:rPr>
        <w:t>l</w:t>
      </w:r>
      <w:r>
        <w:rPr>
          <w:rFonts w:ascii="Times New Roman" w:hAnsi="Times New Roman" w:eastAsia="Times New Roman"/>
          <w:position w:val="2"/>
        </w:rPr>
        <w:t>——</w:t>
      </w:r>
      <w:r>
        <w:rPr>
          <w:position w:val="2"/>
        </w:rPr>
        <w:t>收集系统范围内发生事故的物料量，</w:t>
      </w:r>
      <w:r>
        <w:rPr>
          <w:rFonts w:ascii="Times New Roman" w:hAnsi="Times New Roman" w:eastAsia="Times New Roman"/>
          <w:position w:val="2"/>
        </w:rPr>
        <w:t>m</w:t>
      </w:r>
      <w:r>
        <w:rPr>
          <w:rFonts w:ascii="Times New Roman" w:hAnsi="Times New Roman" w:eastAsia="Times New Roman"/>
          <w:position w:val="2"/>
          <w:vertAlign w:val="superscript"/>
        </w:rPr>
        <w:t>3</w:t>
      </w:r>
      <w:r>
        <w:rPr>
          <w:position w:val="2"/>
          <w:vertAlign w:val="baseline"/>
        </w:rPr>
        <w:t>；取最大储罐容积 </w:t>
      </w:r>
      <w:r>
        <w:rPr>
          <w:rFonts w:ascii="Times New Roman" w:hAnsi="Times New Roman" w:eastAsia="Times New Roman"/>
          <w:position w:val="2"/>
          <w:vertAlign w:val="baseline"/>
        </w:rPr>
        <w:t>V</w:t>
      </w:r>
      <w:r>
        <w:rPr>
          <w:rFonts w:ascii="Times New Roman" w:hAnsi="Times New Roman" w:eastAsia="Times New Roman"/>
          <w:sz w:val="16"/>
          <w:vertAlign w:val="baseline"/>
        </w:rPr>
        <w:t>1</w:t>
      </w:r>
      <w:r>
        <w:rPr>
          <w:rFonts w:ascii="Times New Roman" w:hAnsi="Times New Roman" w:eastAsia="Times New Roman"/>
          <w:position w:val="2"/>
          <w:vertAlign w:val="baseline"/>
        </w:rPr>
        <w:t>=20 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w:t>
      </w:r>
    </w:p>
    <w:p>
      <w:pPr>
        <w:pStyle w:val="BodyText"/>
        <w:spacing w:line="468" w:lineRule="exact"/>
        <w:ind w:left="1058"/>
      </w:pPr>
      <w:r>
        <w:rPr>
          <w:rFonts w:ascii="Times New Roman" w:hAnsi="Times New Roman" w:eastAsia="Times New Roman"/>
          <w:position w:val="2"/>
        </w:rPr>
        <w:t>V</w:t>
      </w:r>
      <w:r>
        <w:rPr>
          <w:rFonts w:ascii="Times New Roman" w:hAnsi="Times New Roman" w:eastAsia="Times New Roman"/>
          <w:sz w:val="16"/>
        </w:rPr>
        <w:t>2</w:t>
      </w:r>
      <w:r>
        <w:rPr>
          <w:rFonts w:ascii="Times New Roman" w:hAnsi="Times New Roman" w:eastAsia="Times New Roman"/>
          <w:position w:val="2"/>
        </w:rPr>
        <w:t>——</w:t>
      </w:r>
      <w:r>
        <w:rPr>
          <w:position w:val="2"/>
        </w:rPr>
        <w:t>发生事故的储罐或装置的消防水量，</w:t>
      </w:r>
      <w:r>
        <w:rPr>
          <w:rFonts w:ascii="Times New Roman" w:hAnsi="Times New Roman" w:eastAsia="Times New Roman"/>
          <w:position w:val="2"/>
        </w:rPr>
        <w:t>m</w:t>
      </w:r>
      <w:r>
        <w:rPr>
          <w:rFonts w:ascii="Times New Roman" w:hAnsi="Times New Roman" w:eastAsia="Times New Roman"/>
          <w:position w:val="2"/>
          <w:vertAlign w:val="superscript"/>
        </w:rPr>
        <w:t>3</w:t>
      </w:r>
      <w:r>
        <w:rPr>
          <w:position w:val="2"/>
          <w:vertAlign w:val="baseline"/>
        </w:rPr>
        <w:t>；</w:t>
      </w:r>
    </w:p>
    <w:p>
      <w:pPr>
        <w:pStyle w:val="BodyText"/>
        <w:spacing w:line="468" w:lineRule="exact"/>
        <w:ind w:left="1058"/>
      </w:pPr>
      <w:r>
        <w:rPr>
          <w:rFonts w:ascii="Times New Roman" w:hAnsi="Times New Roman" w:eastAsia="Times New Roman"/>
          <w:position w:val="2"/>
        </w:rPr>
        <w:t>Q </w:t>
      </w:r>
      <w:r>
        <w:rPr>
          <w:sz w:val="12"/>
        </w:rPr>
        <w:t>消</w:t>
      </w:r>
      <w:r>
        <w:rPr>
          <w:rFonts w:ascii="Times New Roman" w:hAnsi="Times New Roman" w:eastAsia="Times New Roman"/>
          <w:position w:val="2"/>
        </w:rPr>
        <w:t>——</w:t>
      </w:r>
      <w:r>
        <w:rPr>
          <w:position w:val="2"/>
        </w:rPr>
        <w:t>发生事故的储罐或装置同时使用的消防设施给水流量，</w:t>
      </w:r>
      <w:r>
        <w:rPr>
          <w:rFonts w:ascii="Times New Roman" w:hAnsi="Times New Roman" w:eastAsia="Times New Roman"/>
          <w:position w:val="2"/>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/h,50L/S</w:t>
      </w:r>
      <w:r>
        <w:rPr>
          <w:position w:val="2"/>
          <w:vertAlign w:val="baseline"/>
        </w:rPr>
        <w:t>；</w:t>
      </w:r>
    </w:p>
    <w:p>
      <w:pPr>
        <w:pStyle w:val="BodyText"/>
        <w:spacing w:line="468" w:lineRule="exact"/>
        <w:ind w:left="1058"/>
      </w:pPr>
      <w:r>
        <w:rPr>
          <w:rFonts w:ascii="Times New Roman" w:hAnsi="Times New Roman" w:eastAsia="Times New Roman"/>
          <w:position w:val="2"/>
        </w:rPr>
        <w:t>t </w:t>
      </w:r>
      <w:r>
        <w:rPr>
          <w:sz w:val="12"/>
        </w:rPr>
        <w:t>消</w:t>
      </w:r>
      <w:r>
        <w:rPr>
          <w:rFonts w:ascii="Times New Roman" w:hAnsi="Times New Roman" w:eastAsia="Times New Roman"/>
          <w:position w:val="2"/>
        </w:rPr>
        <w:t>——</w:t>
      </w:r>
      <w:r>
        <w:rPr>
          <w:position w:val="2"/>
        </w:rPr>
        <w:t>消防设施对应的设计消防历时，</w:t>
      </w:r>
      <w:r>
        <w:rPr>
          <w:rFonts w:ascii="Times New Roman" w:hAnsi="Times New Roman" w:eastAsia="Times New Roman"/>
          <w:position w:val="2"/>
        </w:rPr>
        <w:t>h</w:t>
      </w:r>
      <w:r>
        <w:rPr>
          <w:position w:val="2"/>
        </w:rPr>
        <w:t>，</w:t>
      </w:r>
      <w:r>
        <w:rPr>
          <w:rFonts w:ascii="Times New Roman" w:hAnsi="Times New Roman" w:eastAsia="Times New Roman"/>
          <w:position w:val="2"/>
        </w:rPr>
        <w:t>2h</w:t>
      </w:r>
      <w:r>
        <w:rPr>
          <w:position w:val="2"/>
        </w:rPr>
        <w:t>；</w:t>
      </w:r>
    </w:p>
    <w:p>
      <w:pPr>
        <w:pStyle w:val="BodyText"/>
        <w:spacing w:line="220" w:lineRule="auto" w:before="10"/>
        <w:ind w:left="1898" w:right="1581" w:hanging="840"/>
        <w:rPr>
          <w:rFonts w:ascii="Times New Roman" w:hAnsi="Times New Roman" w:eastAsia="Times New Roman"/>
        </w:rPr>
      </w:pPr>
      <w:r>
        <w:rPr>
          <w:rFonts w:ascii="Times New Roman" w:hAnsi="Times New Roman" w:eastAsia="Times New Roman"/>
          <w:position w:val="2"/>
        </w:rPr>
        <w:t>V</w:t>
      </w:r>
      <w:r>
        <w:rPr>
          <w:rFonts w:ascii="Times New Roman" w:hAnsi="Times New Roman" w:eastAsia="Times New Roman"/>
          <w:sz w:val="16"/>
        </w:rPr>
        <w:t>3</w:t>
      </w:r>
      <w:r>
        <w:rPr>
          <w:rFonts w:ascii="Times New Roman" w:hAnsi="Times New Roman" w:eastAsia="Times New Roman"/>
          <w:position w:val="2"/>
        </w:rPr>
        <w:t>——</w:t>
      </w:r>
      <w:r>
        <w:rPr>
          <w:position w:val="2"/>
        </w:rPr>
        <w:t>发生事故时可以转输到其他储存或处理设施的物料量，</w:t>
      </w:r>
      <w:r>
        <w:rPr>
          <w:rFonts w:ascii="Times New Roman" w:hAnsi="Times New Roman" w:eastAsia="Times New Roman"/>
          <w:position w:val="2"/>
        </w:rPr>
        <w:t>m</w:t>
      </w:r>
      <w:r>
        <w:rPr>
          <w:rFonts w:ascii="Times New Roman" w:hAnsi="Times New Roman" w:eastAsia="Times New Roman"/>
          <w:position w:val="2"/>
          <w:vertAlign w:val="superscript"/>
        </w:rPr>
        <w:t>3</w:t>
      </w:r>
      <w:r>
        <w:rPr>
          <w:position w:val="2"/>
          <w:vertAlign w:val="baseline"/>
        </w:rPr>
        <w:t>； 罐区围堰体积为 </w:t>
      </w:r>
      <w:r>
        <w:rPr>
          <w:rFonts w:ascii="Times New Roman" w:hAnsi="Times New Roman" w:eastAsia="Times New Roman"/>
          <w:position w:val="2"/>
          <w:vertAlign w:val="baseline"/>
        </w:rPr>
        <w:t>V</w:t>
      </w:r>
      <w:r>
        <w:rPr>
          <w:rFonts w:ascii="Times New Roman" w:hAnsi="Times New Roman" w:eastAsia="Times New Roman"/>
          <w:sz w:val="16"/>
          <w:vertAlign w:val="baseline"/>
        </w:rPr>
        <w:t>3</w:t>
      </w:r>
      <w:r>
        <w:rPr>
          <w:rFonts w:ascii="Times New Roman" w:hAnsi="Times New Roman" w:eastAsia="Times New Roman"/>
          <w:position w:val="2"/>
          <w:vertAlign w:val="baseline"/>
        </w:rPr>
        <w:t>=20m</w:t>
      </w:r>
      <w:r>
        <w:rPr>
          <w:rFonts w:ascii="Times New Roman" w:hAnsi="Times New Roman" w:eastAsia="Times New Roman"/>
          <w:position w:val="2"/>
          <w:vertAlign w:val="superscript"/>
        </w:rPr>
        <w:t>3</w:t>
      </w:r>
    </w:p>
    <w:p>
      <w:pPr>
        <w:pStyle w:val="BodyText"/>
        <w:spacing w:line="220" w:lineRule="auto"/>
        <w:ind w:left="1778" w:right="2061" w:hanging="720"/>
        <w:rPr>
          <w:rFonts w:ascii="Times New Roman" w:hAnsi="Times New Roman" w:eastAsia="Times New Roman"/>
          <w:sz w:val="16"/>
        </w:rPr>
      </w:pPr>
      <w:r>
        <w:rPr>
          <w:rFonts w:ascii="Times New Roman" w:hAnsi="Times New Roman" w:eastAsia="Times New Roman"/>
          <w:position w:val="2"/>
        </w:rPr>
        <w:t>V</w:t>
      </w:r>
      <w:r>
        <w:rPr>
          <w:rFonts w:ascii="Times New Roman" w:hAnsi="Times New Roman" w:eastAsia="Times New Roman"/>
          <w:sz w:val="16"/>
        </w:rPr>
        <w:t>4</w:t>
      </w:r>
      <w:r>
        <w:rPr>
          <w:rFonts w:ascii="Times New Roman" w:hAnsi="Times New Roman" w:eastAsia="Times New Roman"/>
          <w:position w:val="2"/>
        </w:rPr>
        <w:t>——</w:t>
      </w:r>
      <w:r>
        <w:rPr>
          <w:position w:val="2"/>
        </w:rPr>
        <w:t>发生事故时仍必须进入该收集系统的生产废水量，</w:t>
      </w:r>
      <w:r>
        <w:rPr>
          <w:rFonts w:ascii="Times New Roman" w:hAnsi="Times New Roman" w:eastAsia="Times New Roman"/>
          <w:position w:val="2"/>
        </w:rPr>
        <w:t>m</w:t>
      </w:r>
      <w:r>
        <w:rPr>
          <w:rFonts w:ascii="Times New Roman" w:hAnsi="Times New Roman" w:eastAsia="Times New Roman"/>
          <w:position w:val="2"/>
          <w:vertAlign w:val="superscript"/>
        </w:rPr>
        <w:t>3</w:t>
      </w:r>
      <w:r>
        <w:rPr>
          <w:position w:val="2"/>
          <w:vertAlign w:val="baseline"/>
        </w:rPr>
        <w:t>； 按生产废水一天量计算 </w:t>
      </w:r>
      <w:r>
        <w:rPr>
          <w:rFonts w:ascii="Times New Roman" w:hAnsi="Times New Roman" w:eastAsia="Times New Roman"/>
          <w:position w:val="2"/>
          <w:vertAlign w:val="baseline"/>
        </w:rPr>
        <w:t>V</w:t>
      </w:r>
      <w:r>
        <w:rPr>
          <w:rFonts w:ascii="Times New Roman" w:hAnsi="Times New Roman" w:eastAsia="Times New Roman"/>
          <w:sz w:val="16"/>
          <w:vertAlign w:val="baseline"/>
        </w:rPr>
        <w:t>4=</w:t>
      </w:r>
    </w:p>
    <w:p>
      <w:pPr>
        <w:pStyle w:val="BodyText"/>
        <w:spacing w:line="459" w:lineRule="exact"/>
        <w:ind w:left="1058"/>
      </w:pPr>
      <w:r>
        <w:rPr>
          <w:rFonts w:ascii="Times New Roman" w:hAnsi="Times New Roman" w:eastAsia="Times New Roman"/>
          <w:position w:val="2"/>
        </w:rPr>
        <w:t>V</w:t>
      </w:r>
      <w:r>
        <w:rPr>
          <w:rFonts w:ascii="Times New Roman" w:hAnsi="Times New Roman" w:eastAsia="Times New Roman"/>
          <w:sz w:val="16"/>
        </w:rPr>
        <w:t>5</w:t>
      </w:r>
      <w:r>
        <w:rPr>
          <w:rFonts w:ascii="Times New Roman" w:hAnsi="Times New Roman" w:eastAsia="Times New Roman"/>
          <w:position w:val="2"/>
        </w:rPr>
        <w:t>——</w:t>
      </w:r>
      <w:r>
        <w:rPr>
          <w:position w:val="2"/>
        </w:rPr>
        <w:t>发生事故时可能进入该收集系统的降雨量，</w:t>
      </w:r>
      <w:r>
        <w:rPr>
          <w:rFonts w:ascii="Times New Roman" w:hAnsi="Times New Roman" w:eastAsia="Times New Roman"/>
          <w:position w:val="2"/>
        </w:rPr>
        <w:t>m</w:t>
      </w:r>
      <w:r>
        <w:rPr>
          <w:rFonts w:ascii="Times New Roman" w:hAnsi="Times New Roman" w:eastAsia="Times New Roman"/>
          <w:position w:val="2"/>
          <w:vertAlign w:val="superscript"/>
        </w:rPr>
        <w:t>3</w:t>
      </w:r>
      <w:r>
        <w:rPr>
          <w:position w:val="2"/>
          <w:vertAlign w:val="baseline"/>
        </w:rPr>
        <w:t>；</w:t>
      </w:r>
    </w:p>
    <w:p>
      <w:pPr>
        <w:pStyle w:val="BodyText"/>
        <w:spacing w:line="468" w:lineRule="exact"/>
        <w:ind w:left="1058"/>
      </w:pPr>
      <w:r>
        <w:rPr>
          <w:rFonts w:ascii="Times New Roman" w:hAnsi="Times New Roman" w:eastAsia="Times New Roman"/>
        </w:rPr>
        <w:t>q——</w:t>
      </w:r>
      <w:r>
        <w:rPr/>
        <w:t>降雨强度，</w:t>
      </w:r>
      <w:r>
        <w:rPr>
          <w:rFonts w:ascii="Times New Roman" w:hAnsi="Times New Roman" w:eastAsia="Times New Roman"/>
        </w:rPr>
        <w:t>mm</w:t>
      </w:r>
      <w:r>
        <w:rPr/>
        <w:t>；按平均日降雨量计；</w:t>
      </w:r>
    </w:p>
    <w:p>
      <w:pPr>
        <w:pStyle w:val="BodyText"/>
        <w:spacing w:line="468" w:lineRule="exact"/>
        <w:ind w:left="1058"/>
      </w:pPr>
      <w:r>
        <w:rPr>
          <w:rFonts w:ascii="Times New Roman" w:hAnsi="Times New Roman" w:eastAsia="Times New Roman"/>
          <w:position w:val="2"/>
        </w:rPr>
        <w:t>q</w:t>
      </w:r>
      <w:r>
        <w:rPr>
          <w:rFonts w:ascii="Times New Roman" w:hAnsi="Times New Roman" w:eastAsia="Times New Roman"/>
          <w:sz w:val="16"/>
        </w:rPr>
        <w:t>a</w:t>
      </w:r>
      <w:r>
        <w:rPr>
          <w:rFonts w:ascii="Times New Roman" w:hAnsi="Times New Roman" w:eastAsia="Times New Roman"/>
          <w:position w:val="2"/>
        </w:rPr>
        <w:t>——</w:t>
      </w:r>
      <w:r>
        <w:rPr>
          <w:position w:val="2"/>
        </w:rPr>
        <w:t>年平均降雨量，</w:t>
      </w:r>
      <w:r>
        <w:rPr>
          <w:rFonts w:ascii="Times New Roman" w:hAnsi="Times New Roman" w:eastAsia="Times New Roman"/>
          <w:position w:val="2"/>
        </w:rPr>
        <w:t>mm</w:t>
      </w:r>
      <w:r>
        <w:rPr>
          <w:position w:val="2"/>
        </w:rPr>
        <w:t>；</w:t>
      </w:r>
    </w:p>
    <w:p>
      <w:pPr>
        <w:pStyle w:val="BodyText"/>
        <w:spacing w:line="468" w:lineRule="exact"/>
        <w:ind w:left="1058"/>
      </w:pPr>
      <w:r>
        <w:rPr>
          <w:rFonts w:ascii="Times New Roman" w:hAnsi="Times New Roman" w:eastAsia="Times New Roman"/>
        </w:rPr>
        <w:t>n——</w:t>
      </w:r>
      <w:r>
        <w:rPr/>
        <w:t>年平均降雨日数；</w:t>
      </w:r>
    </w:p>
    <w:p>
      <w:pPr>
        <w:pStyle w:val="BodyText"/>
        <w:spacing w:line="488" w:lineRule="exact"/>
        <w:ind w:left="1058"/>
      </w:pPr>
      <w:r>
        <w:rPr>
          <w:rFonts w:ascii="Times New Roman" w:hAnsi="Times New Roman" w:eastAsia="Times New Roman"/>
        </w:rPr>
        <w:t>F——</w:t>
      </w:r>
      <w:r>
        <w:rPr/>
        <w:t>必须进入事故废水收集系统的雨水汇水面积，</w:t>
      </w:r>
      <w:r>
        <w:rPr>
          <w:rFonts w:ascii="Times New Roman" w:hAnsi="Times New Roman" w:eastAsia="Times New Roman"/>
        </w:rPr>
        <w:t>hm</w:t>
      </w:r>
      <w:r>
        <w:rPr>
          <w:rFonts w:ascii="Times New Roman" w:hAnsi="Times New Roman" w:eastAsia="Times New Roman"/>
          <w:position w:val="9"/>
          <w:sz w:val="16"/>
        </w:rPr>
        <w:t>2</w:t>
      </w:r>
      <w:r>
        <w:rPr/>
        <w:t>。</w:t>
      </w:r>
    </w:p>
    <w:p>
      <w:pPr>
        <w:pStyle w:val="BodyText"/>
        <w:spacing w:before="72"/>
        <w:ind w:left="1538"/>
        <w:rPr>
          <w:rFonts w:ascii="Times New Roman"/>
          <w:sz w:val="16"/>
        </w:rPr>
      </w:pPr>
      <w:r>
        <w:rPr>
          <w:rFonts w:ascii="Times New Roman"/>
        </w:rPr>
        <w:t>V5=930 m</w:t>
      </w:r>
      <w:r>
        <w:rPr>
          <w:rFonts w:ascii="Times New Roman"/>
          <w:position w:val="9"/>
          <w:sz w:val="16"/>
        </w:rPr>
        <w:t>3</w:t>
      </w:r>
    </w:p>
    <w:p>
      <w:pPr>
        <w:spacing w:line="489" w:lineRule="exact" w:before="63"/>
        <w:ind w:left="938" w:right="0" w:firstLine="0"/>
        <w:jc w:val="left"/>
        <w:rPr>
          <w:rFonts w:ascii="Times New Roman" w:eastAsia="Times New Roman"/>
          <w:sz w:val="24"/>
        </w:rPr>
      </w:pPr>
      <w:r>
        <w:rPr>
          <w:rFonts w:ascii="Times New Roman" w:eastAsia="Times New Roman"/>
          <w:position w:val="2"/>
          <w:sz w:val="24"/>
        </w:rPr>
        <w:t>V </w:t>
      </w:r>
      <w:r>
        <w:rPr>
          <w:sz w:val="12"/>
        </w:rPr>
        <w:t>总 </w:t>
      </w:r>
      <w:r>
        <w:rPr>
          <w:rFonts w:ascii="Times New Roman" w:eastAsia="Times New Roman"/>
          <w:position w:val="2"/>
          <w:sz w:val="24"/>
        </w:rPr>
        <w:t>=</w:t>
      </w:r>
      <w:r>
        <w:rPr>
          <w:position w:val="2"/>
          <w:sz w:val="24"/>
        </w:rPr>
        <w:t>（</w:t>
      </w:r>
      <w:r>
        <w:rPr>
          <w:rFonts w:ascii="Times New Roman" w:eastAsia="Times New Roman"/>
          <w:position w:val="2"/>
          <w:sz w:val="24"/>
        </w:rPr>
        <w:t>V</w:t>
      </w:r>
      <w:r>
        <w:rPr>
          <w:rFonts w:ascii="Times New Roman" w:eastAsia="Times New Roman"/>
          <w:sz w:val="16"/>
        </w:rPr>
        <w:t>l</w:t>
      </w:r>
      <w:r>
        <w:rPr>
          <w:rFonts w:ascii="Times New Roman" w:eastAsia="Times New Roman"/>
          <w:position w:val="2"/>
          <w:sz w:val="24"/>
        </w:rPr>
        <w:t>+V</w:t>
      </w:r>
      <w:r>
        <w:rPr>
          <w:rFonts w:ascii="Times New Roman" w:eastAsia="Times New Roman"/>
          <w:sz w:val="16"/>
        </w:rPr>
        <w:t>2</w:t>
      </w:r>
      <w:r>
        <w:rPr>
          <w:position w:val="2"/>
          <w:sz w:val="24"/>
        </w:rPr>
        <w:t>－</w:t>
      </w:r>
      <w:r>
        <w:rPr>
          <w:rFonts w:ascii="Times New Roman" w:eastAsia="Times New Roman"/>
          <w:position w:val="2"/>
          <w:sz w:val="24"/>
        </w:rPr>
        <w:t>V</w:t>
      </w:r>
      <w:r>
        <w:rPr>
          <w:rFonts w:ascii="Times New Roman" w:eastAsia="Times New Roman"/>
          <w:sz w:val="16"/>
        </w:rPr>
        <w:t>3</w:t>
      </w:r>
      <w:r>
        <w:rPr>
          <w:position w:val="2"/>
          <w:sz w:val="24"/>
        </w:rPr>
        <w:t>）</w:t>
      </w:r>
      <w:r>
        <w:rPr>
          <w:rFonts w:ascii="Times New Roman" w:eastAsia="Times New Roman"/>
          <w:sz w:val="16"/>
        </w:rPr>
        <w:t>max</w:t>
      </w:r>
      <w:r>
        <w:rPr>
          <w:rFonts w:ascii="Times New Roman" w:eastAsia="Times New Roman"/>
          <w:position w:val="2"/>
          <w:sz w:val="24"/>
        </w:rPr>
        <w:t>+V</w:t>
      </w:r>
      <w:r>
        <w:rPr>
          <w:rFonts w:ascii="Times New Roman" w:eastAsia="Times New Roman"/>
          <w:sz w:val="16"/>
        </w:rPr>
        <w:t>4</w:t>
      </w:r>
      <w:r>
        <w:rPr>
          <w:rFonts w:ascii="Times New Roman" w:eastAsia="Times New Roman"/>
          <w:position w:val="2"/>
          <w:sz w:val="24"/>
        </w:rPr>
        <w:t>+V</w:t>
      </w:r>
      <w:r>
        <w:rPr>
          <w:rFonts w:ascii="Times New Roman" w:eastAsia="Times New Roman"/>
          <w:sz w:val="16"/>
        </w:rPr>
        <w:t>5</w:t>
      </w:r>
      <w:r>
        <w:rPr>
          <w:rFonts w:ascii="Times New Roman" w:eastAsia="Times New Roman"/>
          <w:position w:val="2"/>
          <w:sz w:val="24"/>
        </w:rPr>
        <w:t>=1290 m</w:t>
      </w:r>
      <w:r>
        <w:rPr>
          <w:rFonts w:ascii="Times New Roman" w:eastAsia="Times New Roman"/>
          <w:position w:val="2"/>
          <w:sz w:val="24"/>
          <w:vertAlign w:val="superscript"/>
        </w:rPr>
        <w:t>3</w:t>
      </w:r>
    </w:p>
    <w:p>
      <w:pPr>
        <w:pStyle w:val="BodyText"/>
        <w:spacing w:line="220" w:lineRule="auto" w:before="9"/>
        <w:ind w:left="578" w:right="819" w:firstLine="959"/>
      </w:pPr>
      <w:r>
        <w:rPr/>
        <w:t>由以上分析可知，厂区内现有应急水池 </w:t>
      </w:r>
      <w:r>
        <w:rPr>
          <w:rFonts w:ascii="Times New Roman" w:eastAsia="Times New Roman"/>
        </w:rPr>
        <w:t>2000m</w:t>
      </w:r>
      <w:r>
        <w:rPr>
          <w:rFonts w:ascii="Times New Roman" w:eastAsia="Times New Roman"/>
          <w:position w:val="9"/>
          <w:sz w:val="16"/>
        </w:rPr>
        <w:t>3</w:t>
      </w:r>
      <w:r>
        <w:rPr/>
        <w:t>，能够满足事故状态下的需求。</w:t>
      </w:r>
    </w:p>
    <w:p>
      <w:pPr>
        <w:pStyle w:val="BodyText"/>
        <w:spacing w:line="460" w:lineRule="exact"/>
        <w:ind w:left="1058"/>
      </w:pPr>
      <w:r>
        <w:rPr>
          <w:rFonts w:ascii="Times New Roman" w:eastAsia="Times New Roman"/>
        </w:rPr>
        <w:t>3</w:t>
      </w:r>
      <w:r>
        <w:rPr/>
        <w:t>、地下水环境风险防范措施</w:t>
      </w:r>
    </w:p>
    <w:p>
      <w:pPr>
        <w:pStyle w:val="BodyText"/>
        <w:spacing w:line="220" w:lineRule="auto" w:before="8"/>
        <w:ind w:left="1058" w:right="2586"/>
      </w:pPr>
      <w:r>
        <w:rPr/>
        <w:t>地下水环境风险防范措施内容见报告书地下水评价章节。二、现有风险防范措施不足之处</w:t>
      </w:r>
    </w:p>
    <w:p>
      <w:pPr>
        <w:pStyle w:val="BodyText"/>
        <w:spacing w:line="220" w:lineRule="auto"/>
        <w:ind w:left="578" w:right="754" w:firstLine="479"/>
        <w:jc w:val="both"/>
      </w:pPr>
      <w:r>
        <w:rPr>
          <w:rFonts w:ascii="Times New Roman" w:eastAsia="Times New Roman"/>
        </w:rPr>
        <w:t>1</w:t>
      </w:r>
      <w:r>
        <w:rPr/>
        <w:t>、厂区物料转运过程中有泄漏风险，应在物料转运沿线设置泄漏物料收集处理系统，常用物料及毒性相对较大的物料参照 </w:t>
      </w:r>
      <w:r>
        <w:rPr>
          <w:rFonts w:ascii="Times New Roman" w:eastAsia="Times New Roman"/>
        </w:rPr>
        <w:t>6.1.1 </w:t>
      </w:r>
      <w:r>
        <w:rPr/>
        <w:t>章节各物料的性质及应急处理措施的要求设置应急处理措施，例如甲醛采用吸附材料吸附等。</w:t>
      </w:r>
    </w:p>
    <w:p>
      <w:pPr>
        <w:pStyle w:val="BodyText"/>
        <w:spacing w:line="220" w:lineRule="auto"/>
        <w:ind w:left="578" w:right="751" w:firstLine="479"/>
        <w:jc w:val="both"/>
      </w:pPr>
      <w:r>
        <w:rPr>
          <w:rFonts w:ascii="Times New Roman" w:eastAsia="Times New Roman"/>
        </w:rPr>
        <w:t>2</w:t>
      </w:r>
      <w:r>
        <w:rPr/>
        <w:t>、因项目厂区南侧为莒南县白马河湿地公园为国家级 </w:t>
      </w:r>
      <w:r>
        <w:rPr>
          <w:rFonts w:ascii="Times New Roman" w:eastAsia="Times New Roman"/>
        </w:rPr>
        <w:t>3A </w:t>
      </w:r>
      <w:r>
        <w:rPr>
          <w:spacing w:val="-1"/>
        </w:rPr>
        <w:t>级旅游景区，且</w:t>
      </w:r>
      <w:r>
        <w:rPr>
          <w:spacing w:val="-8"/>
        </w:rPr>
        <w:t>厂区地形南低北高，为进一步减少项目事故对其影响，厂区污水处理站应设置截</w:t>
      </w:r>
      <w:r>
        <w:rPr>
          <w:spacing w:val="-11"/>
        </w:rPr>
        <w:t>流措施，确保事故状态未处理的废水流入湿地。根据现场踏勘厂区污水处理站出</w:t>
      </w:r>
      <w:r>
        <w:rPr>
          <w:spacing w:val="-15"/>
        </w:rPr>
        <w:t>水沿厂区道路进入经济开发区污水处理厂，管线与白马河湿地紧邻，建议优化污</w:t>
      </w:r>
      <w:r>
        <w:rPr>
          <w:spacing w:val="-14"/>
        </w:rPr>
        <w:t>水管线路线，避免管线泄漏对湿地的影响；项目厂区污水处理站已安装在线监测</w:t>
      </w:r>
      <w:r>
        <w:rPr>
          <w:spacing w:val="-17"/>
        </w:rPr>
        <w:t>设备建议在项目污水进经济开发区污水处理厂之前安装在线监测设备，通过对两</w:t>
      </w:r>
    </w:p>
    <w:p>
      <w:pPr>
        <w:spacing w:after="0" w:line="220" w:lineRule="auto"/>
        <w:jc w:val="both"/>
        <w:sectPr>
          <w:pgSz w:w="11910" w:h="16840"/>
          <w:pgMar w:header="877" w:footer="973" w:top="1340" w:bottom="1160" w:left="1220" w:right="1040"/>
        </w:sectPr>
      </w:pPr>
    </w:p>
    <w:p>
      <w:pPr>
        <w:pStyle w:val="BodyText"/>
        <w:spacing w:line="220" w:lineRule="auto" w:before="77"/>
        <w:ind w:left="578" w:right="632"/>
      </w:pPr>
      <w:r>
        <w:rPr>
          <w:spacing w:val="-12"/>
        </w:rPr>
        <w:t>个在线设备流量数据的对比，即使发现管道的泄漏情况，以便即使做出应急措施， 减少事故的影响。</w:t>
      </w:r>
    </w:p>
    <w:p>
      <w:pPr>
        <w:pStyle w:val="Heading3"/>
        <w:numPr>
          <w:ilvl w:val="2"/>
          <w:numId w:val="12"/>
        </w:numPr>
        <w:tabs>
          <w:tab w:pos="1380" w:val="left" w:leader="none"/>
        </w:tabs>
        <w:spacing w:line="240" w:lineRule="auto" w:before="78" w:after="0"/>
        <w:ind w:left="1379" w:right="0" w:hanging="801"/>
        <w:jc w:val="left"/>
        <w:rPr>
          <w:rFonts w:ascii="Times New Roman" w:eastAsia="Times New Roman"/>
        </w:rPr>
      </w:pPr>
      <w:r>
        <w:rPr>
          <w:rFonts w:ascii="Noto Sans CJK JP Regular" w:eastAsia="Noto Sans CJK JP Regular" w:hint="eastAsia"/>
        </w:rPr>
        <w:t>应急疏散与隔离</w:t>
      </w:r>
    </w:p>
    <w:p>
      <w:pPr>
        <w:pStyle w:val="BodyText"/>
        <w:spacing w:line="488" w:lineRule="exact" w:before="79"/>
        <w:ind w:left="1058"/>
      </w:pPr>
      <w:r>
        <w:rPr>
          <w:rFonts w:ascii="Times New Roman" w:eastAsia="Times New Roman"/>
        </w:rPr>
        <w:t>1</w:t>
      </w:r>
      <w:r>
        <w:rPr/>
        <w:t>、隔离与疏散</w:t>
      </w:r>
    </w:p>
    <w:p>
      <w:pPr>
        <w:pStyle w:val="BodyText"/>
        <w:spacing w:line="220" w:lineRule="auto" w:before="8"/>
        <w:ind w:left="578" w:right="752" w:firstLine="479"/>
        <w:jc w:val="both"/>
      </w:pPr>
      <w:r>
        <w:rPr>
          <w:spacing w:val="-7"/>
        </w:rPr>
        <w:t>根据风险识别的结果，项目罐区为重大危险源，一旦发生火灾爆炸等危险化</w:t>
      </w:r>
      <w:r>
        <w:rPr>
          <w:spacing w:val="-10"/>
        </w:rPr>
        <w:t>学品大量泄漏会给周边环境及居民的生命财产带来极大的威胁。危险化学品泄漏紧急疏散、隔离示意图见下图。</w:t>
      </w:r>
    </w:p>
    <w:p>
      <w:pPr>
        <w:pStyle w:val="BodyText"/>
        <w:spacing w:before="11"/>
        <w:rPr>
          <w:sz w:val="20"/>
        </w:rPr>
      </w:pPr>
      <w:r>
        <w:rPr/>
        <w:drawing>
          <wp:anchor distT="0" distB="0" distL="0" distR="0" allowOverlap="1" layoutInCell="1" locked="0" behindDoc="1" simplePos="0" relativeHeight="268435247">
            <wp:simplePos x="0" y="0"/>
            <wp:positionH relativeFrom="page">
              <wp:posOffset>1584875</wp:posOffset>
            </wp:positionH>
            <wp:positionV relativeFrom="paragraph">
              <wp:posOffset>301504</wp:posOffset>
            </wp:positionV>
            <wp:extent cx="3627691" cy="2514600"/>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55" cstate="print"/>
                    <a:stretch>
                      <a:fillRect/>
                    </a:stretch>
                  </pic:blipFill>
                  <pic:spPr>
                    <a:xfrm>
                      <a:off x="0" y="0"/>
                      <a:ext cx="3627691" cy="2514600"/>
                    </a:xfrm>
                    <a:prstGeom prst="rect">
                      <a:avLst/>
                    </a:prstGeom>
                  </pic:spPr>
                </pic:pic>
              </a:graphicData>
            </a:graphic>
          </wp:anchor>
        </w:drawing>
      </w:r>
    </w:p>
    <w:p>
      <w:pPr>
        <w:spacing w:line="294" w:lineRule="exact" w:before="0"/>
        <w:ind w:left="1492" w:right="0" w:firstLine="0"/>
        <w:jc w:val="left"/>
        <w:rPr>
          <w:rFonts w:ascii="Droid Sans Fallback" w:eastAsia="Droid Sans Fallback" w:hint="eastAsia"/>
          <w:sz w:val="18"/>
        </w:rPr>
      </w:pPr>
      <w:r>
        <w:rPr>
          <w:rFonts w:ascii="Droid Sans Fallback" w:eastAsia="Droid Sans Fallback" w:hint="eastAsia"/>
          <w:sz w:val="18"/>
        </w:rPr>
        <w:t>紧急隔离：事故发生点与四周的隔离距离；防护距离：在顺风向上人员防护最低距离。</w:t>
      </w:r>
    </w:p>
    <w:p>
      <w:pPr>
        <w:tabs>
          <w:tab w:pos="3381" w:val="left" w:leader="none"/>
        </w:tabs>
        <w:spacing w:before="91"/>
        <w:ind w:left="2469" w:right="0" w:firstLine="0"/>
        <w:jc w:val="left"/>
        <w:rPr>
          <w:sz w:val="24"/>
        </w:rPr>
      </w:pPr>
      <w:r>
        <w:rPr>
          <w:sz w:val="21"/>
        </w:rPr>
        <w:t>图</w:t>
      </w:r>
      <w:r>
        <w:rPr>
          <w:spacing w:val="7"/>
          <w:sz w:val="21"/>
        </w:rPr>
        <w:t> </w:t>
      </w:r>
      <w:r>
        <w:rPr>
          <w:rFonts w:ascii="Times New Roman" w:eastAsia="Times New Roman"/>
          <w:b/>
          <w:sz w:val="21"/>
        </w:rPr>
        <w:t>7.7-1</w:t>
        <w:tab/>
      </w:r>
      <w:r>
        <w:rPr>
          <w:sz w:val="24"/>
        </w:rPr>
        <w:t>危化品泄漏紧急疏散、隔离示意图</w:t>
      </w:r>
    </w:p>
    <w:p>
      <w:pPr>
        <w:pStyle w:val="BodyText"/>
        <w:spacing w:line="488" w:lineRule="exact" w:before="115"/>
        <w:ind w:left="1058"/>
      </w:pPr>
      <w:r>
        <w:rPr>
          <w:rFonts w:ascii="Times New Roman" w:eastAsia="Times New Roman"/>
        </w:rPr>
        <w:t>2</w:t>
      </w:r>
      <w:r>
        <w:rPr/>
        <w:t>、事故现场安全控制</w:t>
      </w:r>
    </w:p>
    <w:p>
      <w:pPr>
        <w:pStyle w:val="BodyText"/>
        <w:spacing w:line="220" w:lineRule="auto" w:before="8"/>
        <w:ind w:left="578" w:right="751" w:firstLine="479"/>
        <w:jc w:val="both"/>
      </w:pPr>
      <w:r>
        <w:rPr>
          <w:spacing w:val="-6"/>
        </w:rPr>
        <w:t>根据确定的初始安全距离，可以疏散现场的人员，禁止人员进入隔离区。应</w:t>
      </w:r>
      <w:r>
        <w:rPr>
          <w:spacing w:val="-11"/>
        </w:rPr>
        <w:t>急处置人员到达现场后，应进一步细化安全区域，确定应急处置人员、洗消人员</w:t>
      </w:r>
      <w:r>
        <w:rPr>
          <w:spacing w:val="-15"/>
        </w:rPr>
        <w:t>和指挥人员分别所处的区域。在该区域明确应急处置人员的工作，就有利于应急</w:t>
      </w:r>
      <w:r>
        <w:rPr>
          <w:spacing w:val="-17"/>
        </w:rPr>
        <w:t>行动和有效控制设备进出，并且能够统计进出事故现场的人员。典型的应急事故现场的</w:t>
      </w:r>
      <w:r>
        <w:rPr>
          <w:rFonts w:ascii="Times New Roman" w:eastAsia="Times New Roman"/>
          <w:spacing w:val="-17"/>
        </w:rPr>
        <w:t>3</w:t>
      </w:r>
      <w:r>
        <w:rPr>
          <w:spacing w:val="-17"/>
        </w:rPr>
        <w:t>个区域划分，如图</w:t>
      </w:r>
      <w:r>
        <w:rPr>
          <w:rFonts w:ascii="Times New Roman" w:eastAsia="Times New Roman"/>
          <w:spacing w:val="-17"/>
        </w:rPr>
        <w:t>7.7-2</w:t>
      </w:r>
      <w:r>
        <w:rPr>
          <w:spacing w:val="-17"/>
        </w:rPr>
        <w:t>所示。</w:t>
      </w:r>
    </w:p>
    <w:p>
      <w:pPr>
        <w:spacing w:after="0" w:line="220" w:lineRule="auto"/>
        <w:jc w:val="both"/>
        <w:sectPr>
          <w:pgSz w:w="11910" w:h="16840"/>
          <w:pgMar w:header="877" w:footer="973" w:top="1340" w:bottom="1160" w:left="1220" w:right="1040"/>
        </w:sectPr>
      </w:pPr>
    </w:p>
    <w:p>
      <w:pPr>
        <w:pStyle w:val="BodyText"/>
        <w:spacing w:before="4"/>
        <w:rPr>
          <w:sz w:val="12"/>
        </w:rPr>
      </w:pPr>
    </w:p>
    <w:p>
      <w:pPr>
        <w:pStyle w:val="BodyText"/>
        <w:ind w:left="1647"/>
        <w:rPr>
          <w:sz w:val="20"/>
        </w:rPr>
      </w:pPr>
      <w:r>
        <w:rPr>
          <w:sz w:val="20"/>
        </w:rPr>
        <w:drawing>
          <wp:inline distT="0" distB="0" distL="0" distR="0">
            <wp:extent cx="4260517" cy="2603658"/>
            <wp:effectExtent l="0" t="0" r="0" b="0"/>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56" cstate="print"/>
                    <a:stretch>
                      <a:fillRect/>
                    </a:stretch>
                  </pic:blipFill>
                  <pic:spPr>
                    <a:xfrm>
                      <a:off x="0" y="0"/>
                      <a:ext cx="4260517" cy="2603658"/>
                    </a:xfrm>
                    <a:prstGeom prst="rect">
                      <a:avLst/>
                    </a:prstGeom>
                  </pic:spPr>
                </pic:pic>
              </a:graphicData>
            </a:graphic>
          </wp:inline>
        </w:drawing>
      </w:r>
      <w:r>
        <w:rPr>
          <w:sz w:val="20"/>
        </w:rPr>
      </w:r>
    </w:p>
    <w:p>
      <w:pPr>
        <w:pStyle w:val="BodyText"/>
        <w:spacing w:before="8"/>
        <w:rPr>
          <w:sz w:val="5"/>
        </w:rPr>
      </w:pPr>
    </w:p>
    <w:p>
      <w:pPr>
        <w:tabs>
          <w:tab w:pos="3712" w:val="left" w:leader="none"/>
        </w:tabs>
        <w:spacing w:line="423" w:lineRule="exact" w:before="0"/>
        <w:ind w:left="2801" w:right="0" w:firstLine="0"/>
        <w:jc w:val="left"/>
        <w:rPr>
          <w:sz w:val="21"/>
        </w:rPr>
      </w:pPr>
      <w:r>
        <w:rPr>
          <w:sz w:val="21"/>
        </w:rPr>
        <w:t>图</w:t>
      </w:r>
      <w:r>
        <w:rPr>
          <w:spacing w:val="7"/>
          <w:sz w:val="21"/>
        </w:rPr>
        <w:t> </w:t>
      </w:r>
      <w:r>
        <w:rPr>
          <w:rFonts w:ascii="Times New Roman" w:eastAsia="Times New Roman"/>
          <w:b/>
          <w:sz w:val="21"/>
        </w:rPr>
        <w:t>7.7-2</w:t>
        <w:tab/>
      </w:r>
      <w:r>
        <w:rPr>
          <w:sz w:val="21"/>
        </w:rPr>
        <w:t>化学品泄漏事</w:t>
      </w:r>
      <w:r>
        <w:rPr>
          <w:spacing w:val="-3"/>
          <w:sz w:val="21"/>
        </w:rPr>
        <w:t>故</w:t>
      </w:r>
      <w:r>
        <w:rPr>
          <w:sz w:val="21"/>
        </w:rPr>
        <w:t>现场管制示意图</w:t>
      </w:r>
    </w:p>
    <w:p>
      <w:pPr>
        <w:pStyle w:val="BodyText"/>
        <w:spacing w:line="220" w:lineRule="auto" w:before="172"/>
        <w:ind w:left="578" w:right="752" w:firstLine="479"/>
        <w:jc w:val="both"/>
      </w:pPr>
      <w:r>
        <w:rPr>
          <w:spacing w:val="-3"/>
        </w:rPr>
        <w:t>①  热区</w:t>
      </w:r>
      <w:r>
        <w:rPr/>
        <w:t>（</w:t>
      </w:r>
      <w:r>
        <w:rPr>
          <w:spacing w:val="-5"/>
        </w:rPr>
        <w:t>红区，限制区</w:t>
      </w:r>
      <w:r>
        <w:rPr>
          <w:spacing w:val="-120"/>
        </w:rPr>
        <w:t>）</w:t>
      </w:r>
      <w:r>
        <w:rPr>
          <w:spacing w:val="-6"/>
        </w:rPr>
        <w:t>：该区域是直接接近危险化学品现场的区域，其范</w:t>
      </w:r>
      <w:r>
        <w:rPr>
          <w:spacing w:val="-9"/>
        </w:rPr>
        <w:t>围应足以防止危险化学品泄漏对该区域以外人员造成不利的影响。只有受过正规</w:t>
      </w:r>
      <w:r>
        <w:rPr>
          <w:spacing w:val="-13"/>
        </w:rPr>
        <w:t>训练和有特殊装备的应急处置人员才能够在该区域作业。所有进入这个区域的人</w:t>
      </w:r>
      <w:r>
        <w:rPr>
          <w:spacing w:val="-18"/>
        </w:rPr>
        <w:t>员必须在安全人员和指挥者的控制下工作，还应设定一个可以在紧急情况下得到后援人员帮助的紧急入口。</w:t>
      </w:r>
    </w:p>
    <w:p>
      <w:pPr>
        <w:pStyle w:val="BodyText"/>
        <w:spacing w:line="220" w:lineRule="auto"/>
        <w:ind w:left="578" w:right="635" w:firstLine="479"/>
        <w:jc w:val="both"/>
      </w:pPr>
      <w:r>
        <w:rPr>
          <w:spacing w:val="-16"/>
        </w:rPr>
        <w:t>② 暖区</w:t>
      </w:r>
      <w:r>
        <w:rPr/>
        <w:t>（</w:t>
      </w:r>
      <w:r>
        <w:rPr>
          <w:spacing w:val="-13"/>
        </w:rPr>
        <w:t>黄区，除污区</w:t>
      </w:r>
      <w:r>
        <w:rPr>
          <w:spacing w:val="-95"/>
        </w:rPr>
        <w:t>）</w:t>
      </w:r>
      <w:r>
        <w:rPr>
          <w:spacing w:val="-11"/>
        </w:rPr>
        <w:t>：是进行人员和设备洗消及对热区实施支援的区域。</w:t>
      </w:r>
      <w:r>
        <w:rPr>
          <w:spacing w:val="-14"/>
        </w:rPr>
        <w:t>该区域设有进入热区的通道入口控制点，其功能是减少污染物的传播扩散。只有</w:t>
      </w:r>
      <w:r>
        <w:rPr>
          <w:spacing w:val="-15"/>
        </w:rPr>
        <w:t>受过训练的净化人员和安全人员才可以在该区工作。净化工作非常重要</w:t>
      </w:r>
      <w:r>
        <w:rPr>
          <w:rFonts w:ascii="Times New Roman" w:hAnsi="Times New Roman" w:eastAsia="Times New Roman"/>
        </w:rPr>
        <w:t>, </w:t>
      </w:r>
      <w:r>
        <w:rPr/>
        <w:t>排除污染的方法必须与所污染的物质相匹配。</w:t>
      </w:r>
    </w:p>
    <w:p>
      <w:pPr>
        <w:pStyle w:val="BodyText"/>
        <w:spacing w:line="220" w:lineRule="auto"/>
        <w:ind w:left="578" w:right="752" w:firstLine="479"/>
        <w:jc w:val="both"/>
      </w:pPr>
      <w:r>
        <w:rPr>
          <w:spacing w:val="-3"/>
        </w:rPr>
        <w:t>③  冷区</w:t>
      </w:r>
      <w:r>
        <w:rPr/>
        <w:t>（</w:t>
      </w:r>
      <w:r>
        <w:rPr>
          <w:spacing w:val="-5"/>
        </w:rPr>
        <w:t>绿区，支援区</w:t>
      </w:r>
      <w:r>
        <w:rPr>
          <w:spacing w:val="-120"/>
        </w:rPr>
        <w:t>）</w:t>
      </w:r>
      <w:r>
        <w:rPr>
          <w:spacing w:val="-7"/>
        </w:rPr>
        <w:t>：冷区内设有指挥所，并具有一些必要的控制事故</w:t>
      </w:r>
      <w:r>
        <w:rPr>
          <w:spacing w:val="-11"/>
        </w:rPr>
        <w:t>的功能。该区域是安全的，只有应急人员和必要的专家才能在这个区域。该区在</w:t>
      </w:r>
      <w:r>
        <w:rPr>
          <w:spacing w:val="-16"/>
        </w:rPr>
        <w:t>其他文件中也称为清洁区或者支持区。在有仪器检测或根据计算机扩散模型的情况下，热区、暖区、冷区的划分原则如下：</w:t>
      </w:r>
    </w:p>
    <w:p>
      <w:pPr>
        <w:pStyle w:val="BodyText"/>
        <w:spacing w:line="460" w:lineRule="exact"/>
        <w:ind w:left="1058"/>
      </w:pPr>
      <w:r>
        <w:rPr>
          <w:rFonts w:ascii="Times New Roman" w:eastAsia="Times New Roman"/>
        </w:rPr>
        <w:t>a.</w:t>
      </w:r>
      <w:r>
        <w:rPr/>
        <w:t>热区：侦测或评估数值超过毒性化学物质浓度</w:t>
      </w:r>
      <w:r>
        <w:rPr>
          <w:rFonts w:ascii="Times New Roman" w:eastAsia="Times New Roman"/>
        </w:rPr>
        <w:t>1/2IDLH</w:t>
      </w:r>
      <w:r>
        <w:rPr/>
        <w:t>值或</w:t>
      </w:r>
      <w:r>
        <w:rPr>
          <w:rFonts w:ascii="Times New Roman" w:eastAsia="Times New Roman"/>
        </w:rPr>
        <w:t>ERPG-3</w:t>
      </w:r>
      <w:r>
        <w:rPr/>
        <w:t>值。</w:t>
      </w:r>
    </w:p>
    <w:p>
      <w:pPr>
        <w:pStyle w:val="BodyText"/>
        <w:spacing w:line="220" w:lineRule="auto" w:before="8"/>
        <w:ind w:left="578" w:right="756" w:firstLine="479"/>
        <w:jc w:val="both"/>
      </w:pPr>
      <w:r>
        <w:rPr>
          <w:rFonts w:ascii="Times New Roman" w:eastAsia="Times New Roman"/>
        </w:rPr>
        <w:t>b.</w:t>
      </w:r>
      <w:r>
        <w:rPr>
          <w:spacing w:val="-5"/>
        </w:rPr>
        <w:t>暖区：侦测或评估数值超过毒性化学物质浓度</w:t>
      </w:r>
      <w:r>
        <w:rPr>
          <w:rFonts w:ascii="Times New Roman" w:eastAsia="Times New Roman"/>
          <w:spacing w:val="-9"/>
        </w:rPr>
        <w:t>TWA</w:t>
      </w:r>
      <w:r>
        <w:rPr>
          <w:spacing w:val="-6"/>
        </w:rPr>
        <w:t>值，低于</w:t>
      </w:r>
      <w:r>
        <w:rPr>
          <w:rFonts w:ascii="Times New Roman" w:eastAsia="Times New Roman"/>
        </w:rPr>
        <w:t>1/2 IDLH</w:t>
      </w:r>
      <w:r>
        <w:rPr/>
        <w:t>值或</w:t>
      </w:r>
      <w:r>
        <w:rPr>
          <w:rFonts w:ascii="Times New Roman" w:eastAsia="Times New Roman"/>
        </w:rPr>
        <w:t>ERPG-3</w:t>
      </w:r>
      <w:r>
        <w:rPr/>
        <w:t>值。</w:t>
      </w:r>
    </w:p>
    <w:p>
      <w:pPr>
        <w:pStyle w:val="BodyText"/>
        <w:spacing w:line="480" w:lineRule="exact"/>
        <w:ind w:left="1058"/>
      </w:pPr>
      <w:r>
        <w:rPr>
          <w:rFonts w:ascii="Times New Roman" w:eastAsia="Times New Roman"/>
        </w:rPr>
        <w:t>c.</w:t>
      </w:r>
      <w:r>
        <w:rPr/>
        <w:t>冷区：侦测或评估数值低于毒性化学物质浓度</w:t>
      </w:r>
      <w:r>
        <w:rPr>
          <w:rFonts w:ascii="Times New Roman" w:eastAsia="Times New Roman"/>
        </w:rPr>
        <w:t>TWA</w:t>
      </w:r>
      <w:r>
        <w:rPr/>
        <w:t>值。</w:t>
      </w:r>
    </w:p>
    <w:p>
      <w:pPr>
        <w:pStyle w:val="BodyText"/>
        <w:spacing w:before="38"/>
        <w:ind w:left="1058"/>
      </w:pPr>
      <w:r>
        <w:rPr>
          <w:w w:val="105"/>
        </w:rPr>
        <w:t>有毒有害化学物质在</w:t>
      </w:r>
      <w:r>
        <w:rPr>
          <w:rFonts w:ascii="Arial" w:eastAsia="Arial"/>
          <w:w w:val="105"/>
        </w:rPr>
        <w:t>不</w:t>
      </w:r>
      <w:r>
        <w:rPr>
          <w:w w:val="105"/>
        </w:rPr>
        <w:t>同气象条件下</w:t>
      </w:r>
      <w:r>
        <w:rPr>
          <w:rFonts w:ascii="Times New Roman" w:eastAsia="Times New Roman"/>
          <w:w w:val="105"/>
        </w:rPr>
        <w:t>ERPG-2</w:t>
      </w:r>
      <w:r>
        <w:rPr>
          <w:w w:val="105"/>
        </w:rPr>
        <w:t>下风处的扩散距离，侧风处则</w:t>
      </w:r>
    </w:p>
    <w:p>
      <w:pPr>
        <w:spacing w:after="0"/>
        <w:sectPr>
          <w:pgSz w:w="11910" w:h="16840"/>
          <w:pgMar w:header="877" w:footer="973" w:top="1340" w:bottom="1160" w:left="1220" w:right="1040"/>
        </w:sectPr>
      </w:pPr>
    </w:p>
    <w:p>
      <w:pPr>
        <w:pStyle w:val="BodyText"/>
        <w:spacing w:line="256" w:lineRule="auto" w:before="48"/>
        <w:ind w:left="578" w:right="748"/>
        <w:jc w:val="both"/>
      </w:pPr>
      <w:r>
        <w:rPr/>
        <w:drawing>
          <wp:anchor distT="0" distB="0" distL="0" distR="0" allowOverlap="1" layoutInCell="1" locked="0" behindDoc="1" simplePos="0" relativeHeight="268435271">
            <wp:simplePos x="0" y="0"/>
            <wp:positionH relativeFrom="page">
              <wp:posOffset>1951217</wp:posOffset>
            </wp:positionH>
            <wp:positionV relativeFrom="paragraph">
              <wp:posOffset>1138301</wp:posOffset>
            </wp:positionV>
            <wp:extent cx="3757384" cy="1507045"/>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57" cstate="print"/>
                    <a:stretch>
                      <a:fillRect/>
                    </a:stretch>
                  </pic:blipFill>
                  <pic:spPr>
                    <a:xfrm>
                      <a:off x="0" y="0"/>
                      <a:ext cx="3757384" cy="1507045"/>
                    </a:xfrm>
                    <a:prstGeom prst="rect">
                      <a:avLst/>
                    </a:prstGeom>
                  </pic:spPr>
                </pic:pic>
              </a:graphicData>
            </a:graphic>
          </wp:anchor>
        </w:drawing>
      </w:r>
      <w:r>
        <w:rPr/>
        <w:t>以毒性化学物质之</w:t>
      </w:r>
      <w:r>
        <w:rPr>
          <w:rFonts w:ascii="Times New Roman" w:hAnsi="Times New Roman" w:eastAsia="Times New Roman"/>
        </w:rPr>
        <w:t>ERPG-2 </w:t>
      </w:r>
      <w:r>
        <w:rPr/>
        <w:t>可能扩散距离的</w:t>
      </w:r>
      <w:r>
        <w:rPr>
          <w:rFonts w:ascii="Times New Roman" w:hAnsi="Times New Roman" w:eastAsia="Times New Roman"/>
        </w:rPr>
        <w:t>1/4</w:t>
      </w:r>
      <w:r>
        <w:rPr/>
        <w:t>，则面积为</w:t>
      </w:r>
      <w:r>
        <w:rPr>
          <w:rFonts w:ascii="Times New Roman" w:hAnsi="Times New Roman" w:eastAsia="Times New Roman"/>
        </w:rPr>
        <w:t>1/4×</w:t>
      </w:r>
      <w:r>
        <w:rPr/>
        <w:t>（</w:t>
      </w:r>
      <w:r>
        <w:rPr>
          <w:rFonts w:ascii="Times New Roman" w:hAnsi="Times New Roman" w:eastAsia="Times New Roman"/>
        </w:rPr>
        <w:t>ERPG-2 </w:t>
      </w:r>
      <w:r>
        <w:rPr/>
        <w:t>扩散距离）</w:t>
      </w:r>
      <w:r>
        <w:rPr>
          <w:rFonts w:ascii="Times New Roman" w:hAnsi="Times New Roman" w:eastAsia="Times New Roman"/>
          <w:vertAlign w:val="superscript"/>
        </w:rPr>
        <w:t>2</w:t>
      </w:r>
      <w:r>
        <w:rPr>
          <w:vertAlign w:val="baseline"/>
        </w:rPr>
        <w:t>的长方形做为发布管制区范围，严格限制、禁止民众进入并进</w:t>
      </w:r>
      <w:r>
        <w:rPr>
          <w:rFonts w:ascii="Arial" w:hAnsi="Arial" w:eastAsia="Arial"/>
          <w:vertAlign w:val="baseline"/>
        </w:rPr>
        <w:t>行</w:t>
      </w:r>
      <w:r>
        <w:rPr>
          <w:vertAlign w:val="baseline"/>
        </w:rPr>
        <w:t>居家避难</w:t>
      </w:r>
      <w:r>
        <w:rPr>
          <w:w w:val="105"/>
          <w:vertAlign w:val="baseline"/>
        </w:rPr>
        <w:t>或疏散撤离。公式及疏散范围示意图如下：</w:t>
      </w:r>
    </w:p>
    <w:p>
      <w:pPr>
        <w:pStyle w:val="BodyText"/>
        <w:spacing w:before="9"/>
        <w:rPr>
          <w:sz w:val="10"/>
        </w:rPr>
      </w:pPr>
    </w:p>
    <w:p>
      <w:pPr>
        <w:pStyle w:val="BodyText"/>
        <w:spacing w:line="488" w:lineRule="exact"/>
        <w:ind w:left="1058"/>
      </w:pPr>
      <w:r>
        <w:rPr>
          <w:rFonts w:ascii="Times New Roman" w:eastAsia="Times New Roman"/>
        </w:rPr>
        <w:t>3</w:t>
      </w:r>
      <w:r>
        <w:rPr/>
        <w:t>、疏散组织与指挥机构</w:t>
      </w:r>
    </w:p>
    <w:p>
      <w:pPr>
        <w:pStyle w:val="BodyText"/>
        <w:spacing w:line="220" w:lineRule="auto" w:before="8"/>
        <w:ind w:left="578" w:right="632" w:firstLine="479"/>
      </w:pPr>
      <w:r>
        <w:rPr>
          <w:spacing w:val="-6"/>
        </w:rPr>
        <w:t>疏散组织为现场工作组，由成武县环境突发事件应急领指挥部指派，有关部</w:t>
      </w:r>
      <w:r>
        <w:rPr>
          <w:spacing w:val="-17"/>
        </w:rPr>
        <w:t>门、相关单位有关人员及专家组成。指挥机构为成武县环境突发事件应急指挥部。</w:t>
      </w:r>
    </w:p>
    <w:p>
      <w:pPr>
        <w:pStyle w:val="BodyText"/>
        <w:spacing w:line="460" w:lineRule="exact"/>
        <w:ind w:left="1058"/>
      </w:pPr>
      <w:r>
        <w:rPr>
          <w:rFonts w:ascii="Times New Roman" w:eastAsia="Times New Roman"/>
        </w:rPr>
        <w:t>4</w:t>
      </w:r>
      <w:r>
        <w:rPr/>
        <w:t>、疏散范围及疏散方式</w:t>
      </w:r>
    </w:p>
    <w:p>
      <w:pPr>
        <w:pStyle w:val="BodyText"/>
        <w:spacing w:line="220" w:lineRule="auto" w:before="8"/>
        <w:ind w:left="578" w:right="672" w:firstLine="479"/>
      </w:pPr>
      <w:r>
        <w:rPr/>
        <w:t>根据不同物质的理化特性和毒性，结合气象条件，由本项目拟成立的环境风险应急指挥部确定疏散距离和范围。</w:t>
      </w:r>
    </w:p>
    <w:p>
      <w:pPr>
        <w:pStyle w:val="BodyText"/>
        <w:spacing w:line="220" w:lineRule="auto" w:before="1"/>
        <w:ind w:left="578" w:right="666" w:firstLine="479"/>
        <w:jc w:val="both"/>
      </w:pPr>
      <w:r>
        <w:rPr>
          <w:spacing w:val="-10"/>
        </w:rPr>
        <w:t>人员疏散，包括撤离和就地保护两种。撤离是指把所有可能受到威胁的人员从危险区域转移到安全区域。在有足够的时间向群众报警，进行准备的情况下， </w:t>
      </w:r>
      <w:r>
        <w:rPr>
          <w:spacing w:val="-14"/>
        </w:rPr>
        <w:t>撤离是最佳保护措施。一般是从上风侧离开，必须有组织、有秩序地进行。就地</w:t>
      </w:r>
      <w:r>
        <w:rPr>
          <w:spacing w:val="-18"/>
        </w:rPr>
        <w:t>保护是指人进入建筑物或其他设施内，直至危险过去。当撤离比就地保护更危险</w:t>
      </w:r>
      <w:r>
        <w:rPr>
          <w:spacing w:val="-17"/>
        </w:rPr>
        <w:t>或撤离无法进行时，采取此项措施。指挥建筑物内的人，关闭所有门窗，并关闭所有通风、加热、冷却系统。</w:t>
      </w:r>
    </w:p>
    <w:p>
      <w:pPr>
        <w:pStyle w:val="BodyText"/>
        <w:spacing w:line="220" w:lineRule="auto"/>
        <w:ind w:left="578" w:right="635" w:firstLine="479"/>
        <w:jc w:val="both"/>
      </w:pPr>
      <w:r>
        <w:rPr/>
        <w:t>① 应急人员的安全防护。根据危险化学品事故的特点及其引发物质的不同</w:t>
      </w:r>
      <w:r>
        <w:rPr>
          <w:spacing w:val="-6"/>
        </w:rPr>
        <w:t>以及应急人员的职责，采取不同的防护措施：应急救援指挥人员、医务人员和其</w:t>
      </w:r>
      <w:r>
        <w:rPr>
          <w:spacing w:val="-15"/>
        </w:rPr>
        <w:t>他不进入污染区域的应急人员一般配备防护服、防毒手套、防毒靴等；工程抢险、</w:t>
      </w:r>
      <w:r>
        <w:rPr>
          <w:spacing w:val="-18"/>
        </w:rPr>
        <w:t>消防和侦检等进入污染区域的应急人员应配备密闭型防毒面罩、防酸碱型防护服等；同时做好现场毒物的洗消工作（包括人员、设备、设施和场所等）。</w:t>
      </w:r>
    </w:p>
    <w:p>
      <w:pPr>
        <w:pStyle w:val="BodyText"/>
        <w:spacing w:line="460" w:lineRule="exact"/>
        <w:ind w:left="1058"/>
      </w:pPr>
      <w:r>
        <w:rPr/>
        <w:t>群众的安全防护。根据不同危险化学品事故特点，组织和指导群众就地取材</w:t>
      </w:r>
    </w:p>
    <w:p>
      <w:pPr>
        <w:pStyle w:val="BodyText"/>
        <w:spacing w:line="468" w:lineRule="exact"/>
        <w:ind w:left="578"/>
        <w:jc w:val="both"/>
      </w:pPr>
      <w:r>
        <w:rPr/>
        <w:t>（如毛巾、湿布、口罩等），采用简易有效的防护措施保护自己。</w:t>
      </w:r>
    </w:p>
    <w:p>
      <w:pPr>
        <w:pStyle w:val="BodyText"/>
        <w:spacing w:line="489" w:lineRule="exact"/>
        <w:ind w:left="1058"/>
      </w:pPr>
      <w:r>
        <w:rPr>
          <w:rFonts w:ascii="Times New Roman" w:eastAsia="Times New Roman"/>
        </w:rPr>
        <w:t>5</w:t>
      </w:r>
      <w:r>
        <w:rPr/>
        <w:t>、疏散路线</w:t>
      </w:r>
    </w:p>
    <w:p>
      <w:pPr>
        <w:spacing w:after="0" w:line="489" w:lineRule="exact"/>
        <w:sectPr>
          <w:pgSz w:w="11910" w:h="16840"/>
          <w:pgMar w:header="877" w:footer="973" w:top="1340" w:bottom="1160" w:left="1220" w:right="1040"/>
        </w:sectPr>
      </w:pPr>
    </w:p>
    <w:p>
      <w:pPr>
        <w:pStyle w:val="BodyText"/>
        <w:spacing w:line="220" w:lineRule="auto" w:before="77"/>
        <w:ind w:left="578" w:right="750" w:firstLine="479"/>
        <w:jc w:val="both"/>
      </w:pPr>
      <w:r>
        <w:rPr>
          <w:spacing w:val="-6"/>
        </w:rPr>
        <w:t>组织人员撤离危险区域，选择安全的撤离路线，避免横穿危险区域。进入安</w:t>
      </w:r>
      <w:r>
        <w:rPr>
          <w:spacing w:val="-11"/>
        </w:rPr>
        <w:t>全区域后，应尽快去除受污染的衣物，防止继发性伤害。人员疏散方向以危险源为圆心，其下风向扇型区域内人员向扇型就近边缘垂直方向撤离，其上风向人员</w:t>
      </w:r>
      <w:r>
        <w:rPr>
          <w:spacing w:val="1"/>
        </w:rPr>
        <w:t>沿风向的逆向撤离，撤离区域范围根据灾害性质和严重程度由现场紧急会议确</w:t>
      </w:r>
      <w:r>
        <w:rPr/>
        <w:t>定。</w:t>
      </w:r>
    </w:p>
    <w:p>
      <w:pPr>
        <w:pStyle w:val="BodyText"/>
        <w:spacing w:line="220" w:lineRule="auto"/>
        <w:ind w:left="578" w:right="752" w:firstLine="479"/>
        <w:jc w:val="both"/>
      </w:pPr>
      <w:r>
        <w:rPr>
          <w:spacing w:val="-6"/>
        </w:rPr>
        <w:t>项目所在区域地势平坦，人群疏散撤离主要依托周边既有道路，临时避难场所可选择区域外语事故上风向或侧风向的村庄。</w:t>
      </w:r>
    </w:p>
    <w:p>
      <w:pPr>
        <w:pStyle w:val="BodyText"/>
        <w:spacing w:line="220" w:lineRule="auto"/>
        <w:ind w:left="578" w:right="754" w:firstLine="479"/>
        <w:jc w:val="both"/>
      </w:pPr>
      <w:r>
        <w:rPr/>
        <w:t>莒南县近 </w:t>
      </w:r>
      <w:r>
        <w:rPr>
          <w:rFonts w:ascii="Times New Roman" w:eastAsia="Times New Roman"/>
        </w:rPr>
        <w:t>20 </w:t>
      </w:r>
      <w:r>
        <w:rPr/>
        <w:t>年主导风向为东南偏东，风频为 </w:t>
      </w:r>
      <w:r>
        <w:rPr>
          <w:rFonts w:ascii="Times New Roman" w:eastAsia="Times New Roman"/>
        </w:rPr>
        <w:t>10.4%</w:t>
      </w:r>
      <w:r>
        <w:rPr/>
        <w:t>，本次评价主要考虑厂内发生环境风险事故时 </w:t>
      </w:r>
      <w:r>
        <w:rPr>
          <w:rFonts w:ascii="Times New Roman" w:eastAsia="Times New Roman"/>
        </w:rPr>
        <w:t>ESE </w:t>
      </w:r>
      <w:r>
        <w:rPr/>
        <w:t>风向下厂区内职工及周边敏感点的疏散，疏散示意图见图 </w:t>
      </w:r>
      <w:r>
        <w:rPr>
          <w:rFonts w:ascii="Times New Roman" w:eastAsia="Times New Roman"/>
        </w:rPr>
        <w:t>7.7-4</w:t>
      </w:r>
      <w:r>
        <w:rPr/>
        <w:t>。</w:t>
      </w:r>
    </w:p>
    <w:p>
      <w:pPr>
        <w:pStyle w:val="Heading3"/>
        <w:numPr>
          <w:ilvl w:val="2"/>
          <w:numId w:val="12"/>
        </w:numPr>
        <w:tabs>
          <w:tab w:pos="1380" w:val="left" w:leader="none"/>
        </w:tabs>
        <w:spacing w:line="240" w:lineRule="auto" w:before="78" w:after="0"/>
        <w:ind w:left="1379" w:right="0" w:hanging="801"/>
        <w:jc w:val="left"/>
        <w:rPr>
          <w:rFonts w:ascii="Times New Roman" w:eastAsia="Times New Roman"/>
        </w:rPr>
      </w:pPr>
      <w:r>
        <w:rPr>
          <w:rFonts w:ascii="Noto Sans CJK JP Regular" w:eastAsia="Noto Sans CJK JP Regular" w:hint="eastAsia"/>
        </w:rPr>
        <w:t>事故污染物进入环境后的应急措施</w:t>
      </w:r>
    </w:p>
    <w:p>
      <w:pPr>
        <w:pStyle w:val="BodyText"/>
        <w:spacing w:line="488" w:lineRule="exact" w:before="78"/>
        <w:ind w:left="1058"/>
      </w:pPr>
      <w:r>
        <w:rPr/>
        <w:t>（</w:t>
      </w:r>
      <w:r>
        <w:rPr>
          <w:rFonts w:ascii="Times New Roman" w:eastAsia="Times New Roman"/>
        </w:rPr>
        <w:t>1</w:t>
      </w:r>
      <w:r>
        <w:rPr/>
        <w:t>）事故气态污染物进入大气环境的应急措施</w:t>
      </w:r>
    </w:p>
    <w:p>
      <w:pPr>
        <w:pStyle w:val="BodyText"/>
        <w:spacing w:line="220" w:lineRule="auto" w:before="8"/>
        <w:ind w:left="578" w:right="752" w:firstLine="479"/>
        <w:jc w:val="both"/>
      </w:pPr>
      <w:r>
        <w:rPr>
          <w:spacing w:val="-8"/>
        </w:rPr>
        <w:t>发生事故后，如果气态污染物一旦进入环境，应立即采取消除措施：对气态</w:t>
      </w:r>
      <w:r>
        <w:rPr>
          <w:spacing w:val="-13"/>
        </w:rPr>
        <w:t>物高污染区喷洒解毒剂，针对不同的毒物采用不同的消除剂，并有效收集事故消防水。</w:t>
      </w:r>
    </w:p>
    <w:p>
      <w:pPr>
        <w:pStyle w:val="BodyText"/>
        <w:spacing w:line="460" w:lineRule="exact"/>
        <w:ind w:left="1058"/>
      </w:pPr>
      <w:r>
        <w:rPr/>
        <w:t>（</w:t>
      </w:r>
      <w:r>
        <w:rPr>
          <w:rFonts w:ascii="Times New Roman" w:eastAsia="Times New Roman"/>
        </w:rPr>
        <w:t>2</w:t>
      </w:r>
      <w:r>
        <w:rPr/>
        <w:t>）事故液态污染物进入地表水的应急措施</w:t>
      </w:r>
    </w:p>
    <w:p>
      <w:pPr>
        <w:pStyle w:val="BodyText"/>
        <w:spacing w:line="220" w:lineRule="auto" w:before="8"/>
        <w:ind w:left="578" w:right="753" w:firstLine="482"/>
        <w:jc w:val="both"/>
      </w:pPr>
      <w:r>
        <w:rPr>
          <w:spacing w:val="-10"/>
        </w:rPr>
        <w:t>发生事故时，液态污染物进入地表水体，应立即采取措施消除污染物对水体环境造成的污染，及时控制事故扩大，最大限度控制水环境污染。</w:t>
      </w:r>
    </w:p>
    <w:p>
      <w:pPr>
        <w:pStyle w:val="BodyText"/>
        <w:spacing w:line="480" w:lineRule="exact"/>
        <w:ind w:left="1060"/>
      </w:pPr>
      <w:r>
        <w:rPr/>
        <w:t>有毒有害物质、易燃易爆物质进入大气环境、水体环境应急措施见表 </w:t>
      </w:r>
      <w:r>
        <w:rPr>
          <w:rFonts w:ascii="Times New Roman" w:eastAsia="Times New Roman"/>
        </w:rPr>
        <w:t>7.7-1</w:t>
      </w:r>
      <w:r>
        <w:rPr/>
        <w:t>。</w:t>
      </w:r>
    </w:p>
    <w:p>
      <w:pPr>
        <w:tabs>
          <w:tab w:pos="3081" w:val="left" w:leader="none"/>
        </w:tabs>
        <w:spacing w:before="150" w:after="25"/>
        <w:ind w:left="2169" w:right="0" w:firstLine="0"/>
        <w:jc w:val="left"/>
        <w:rPr>
          <w:sz w:val="21"/>
        </w:rPr>
      </w:pPr>
      <w:r>
        <w:rPr>
          <w:color w:val="FF0000"/>
          <w:sz w:val="21"/>
        </w:rPr>
        <w:t>表</w:t>
      </w:r>
      <w:r>
        <w:rPr>
          <w:color w:val="FF0000"/>
          <w:spacing w:val="7"/>
          <w:sz w:val="21"/>
        </w:rPr>
        <w:t> </w:t>
      </w:r>
      <w:r>
        <w:rPr>
          <w:rFonts w:ascii="Times New Roman" w:eastAsia="Times New Roman"/>
          <w:b/>
          <w:color w:val="FF0000"/>
          <w:sz w:val="21"/>
        </w:rPr>
        <w:t>7.7-1</w:t>
        <w:tab/>
      </w:r>
      <w:r>
        <w:rPr>
          <w:color w:val="FF0000"/>
          <w:sz w:val="21"/>
        </w:rPr>
        <w:t>危险化学品进</w:t>
      </w:r>
      <w:r>
        <w:rPr>
          <w:color w:val="FF0000"/>
          <w:spacing w:val="-3"/>
          <w:sz w:val="21"/>
        </w:rPr>
        <w:t>入</w:t>
      </w:r>
      <w:r>
        <w:rPr>
          <w:color w:val="FF0000"/>
          <w:sz w:val="21"/>
        </w:rPr>
        <w:t>大气环境、水体环</w:t>
      </w:r>
      <w:r>
        <w:rPr>
          <w:color w:val="FF0000"/>
          <w:spacing w:val="-3"/>
          <w:sz w:val="21"/>
        </w:rPr>
        <w:t>境</w:t>
      </w:r>
      <w:r>
        <w:rPr>
          <w:color w:val="FF0000"/>
          <w:sz w:val="21"/>
        </w:rPr>
        <w:t>应</w:t>
      </w:r>
      <w:r>
        <w:rPr>
          <w:color w:val="FF0000"/>
          <w:spacing w:val="-3"/>
          <w:sz w:val="21"/>
        </w:rPr>
        <w:t>急</w:t>
      </w:r>
      <w:r>
        <w:rPr>
          <w:color w:val="FF0000"/>
          <w:sz w:val="21"/>
        </w:rPr>
        <w:t>措施</w:t>
      </w:r>
    </w:p>
    <w:tbl>
      <w:tblPr>
        <w:tblW w:w="0" w:type="auto"/>
        <w:jc w:val="left"/>
        <w:tblInd w:w="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6"/>
        <w:gridCol w:w="2772"/>
        <w:gridCol w:w="2789"/>
        <w:gridCol w:w="1325"/>
        <w:gridCol w:w="1274"/>
      </w:tblGrid>
      <w:tr>
        <w:trPr>
          <w:trHeight w:val="623" w:hRule="atLeast"/>
        </w:trPr>
        <w:tc>
          <w:tcPr>
            <w:tcW w:w="866" w:type="dxa"/>
            <w:tcBorders>
              <w:bottom w:val="single" w:sz="6" w:space="0" w:color="000000"/>
              <w:right w:val="single" w:sz="6" w:space="0" w:color="000000"/>
            </w:tcBorders>
          </w:tcPr>
          <w:p>
            <w:pPr>
              <w:pStyle w:val="TableParagraph"/>
              <w:spacing w:line="301" w:lineRule="exact"/>
              <w:ind w:left="222"/>
              <w:jc w:val="left"/>
              <w:rPr>
                <w:sz w:val="21"/>
              </w:rPr>
            </w:pPr>
            <w:r>
              <w:rPr>
                <w:sz w:val="21"/>
              </w:rPr>
              <w:t>物质</w:t>
            </w:r>
          </w:p>
          <w:p>
            <w:pPr>
              <w:pStyle w:val="TableParagraph"/>
              <w:spacing w:line="303" w:lineRule="exact"/>
              <w:ind w:left="222"/>
              <w:jc w:val="left"/>
              <w:rPr>
                <w:sz w:val="21"/>
              </w:rPr>
            </w:pPr>
            <w:r>
              <w:rPr>
                <w:sz w:val="21"/>
              </w:rPr>
              <w:t>名称</w:t>
            </w:r>
          </w:p>
        </w:tc>
        <w:tc>
          <w:tcPr>
            <w:tcW w:w="2772" w:type="dxa"/>
            <w:tcBorders>
              <w:left w:val="single" w:sz="6" w:space="0" w:color="000000"/>
              <w:bottom w:val="single" w:sz="6" w:space="0" w:color="000000"/>
              <w:right w:val="single" w:sz="6" w:space="0" w:color="000000"/>
            </w:tcBorders>
          </w:tcPr>
          <w:p>
            <w:pPr>
              <w:pStyle w:val="TableParagraph"/>
              <w:spacing w:before="78"/>
              <w:ind w:left="113" w:right="84"/>
              <w:rPr>
                <w:sz w:val="21"/>
              </w:rPr>
            </w:pPr>
            <w:r>
              <w:rPr>
                <w:sz w:val="21"/>
              </w:rPr>
              <w:t>进入大气环境应急处理方式</w:t>
            </w:r>
          </w:p>
        </w:tc>
        <w:tc>
          <w:tcPr>
            <w:tcW w:w="2789" w:type="dxa"/>
            <w:tcBorders>
              <w:left w:val="single" w:sz="6" w:space="0" w:color="000000"/>
              <w:bottom w:val="single" w:sz="6" w:space="0" w:color="000000"/>
              <w:right w:val="single" w:sz="6" w:space="0" w:color="000000"/>
            </w:tcBorders>
          </w:tcPr>
          <w:p>
            <w:pPr>
              <w:pStyle w:val="TableParagraph"/>
              <w:spacing w:before="78"/>
              <w:ind w:left="121" w:right="91"/>
              <w:rPr>
                <w:sz w:val="21"/>
              </w:rPr>
            </w:pPr>
            <w:r>
              <w:rPr>
                <w:sz w:val="21"/>
              </w:rPr>
              <w:t>进入水体应急处理方式</w:t>
            </w:r>
          </w:p>
        </w:tc>
        <w:tc>
          <w:tcPr>
            <w:tcW w:w="1325" w:type="dxa"/>
            <w:tcBorders>
              <w:left w:val="single" w:sz="6" w:space="0" w:color="000000"/>
              <w:bottom w:val="single" w:sz="6" w:space="0" w:color="000000"/>
              <w:right w:val="single" w:sz="6" w:space="0" w:color="000000"/>
            </w:tcBorders>
          </w:tcPr>
          <w:p>
            <w:pPr>
              <w:pStyle w:val="TableParagraph"/>
              <w:spacing w:before="78"/>
              <w:ind w:left="122" w:right="94"/>
              <w:rPr>
                <w:sz w:val="21"/>
              </w:rPr>
            </w:pPr>
            <w:r>
              <w:rPr>
                <w:sz w:val="21"/>
              </w:rPr>
              <w:t>应急物资</w:t>
            </w:r>
          </w:p>
        </w:tc>
        <w:tc>
          <w:tcPr>
            <w:tcW w:w="1274" w:type="dxa"/>
            <w:tcBorders>
              <w:left w:val="single" w:sz="6" w:space="0" w:color="000000"/>
              <w:bottom w:val="single" w:sz="6" w:space="0" w:color="000000"/>
            </w:tcBorders>
          </w:tcPr>
          <w:p>
            <w:pPr>
              <w:pStyle w:val="TableParagraph"/>
              <w:spacing w:before="78"/>
              <w:ind w:left="203" w:right="168"/>
              <w:rPr>
                <w:sz w:val="21"/>
              </w:rPr>
            </w:pPr>
            <w:r>
              <w:rPr>
                <w:sz w:val="21"/>
              </w:rPr>
              <w:t>物理性质</w:t>
            </w:r>
          </w:p>
        </w:tc>
      </w:tr>
      <w:tr>
        <w:trPr>
          <w:trHeight w:val="1561" w:hRule="atLeast"/>
        </w:trPr>
        <w:tc>
          <w:tcPr>
            <w:tcW w:w="866" w:type="dxa"/>
            <w:tcBorders>
              <w:top w:val="single" w:sz="6" w:space="0" w:color="000000"/>
              <w:bottom w:val="single" w:sz="6" w:space="0" w:color="000000"/>
              <w:right w:val="single" w:sz="6" w:space="0" w:color="000000"/>
            </w:tcBorders>
          </w:tcPr>
          <w:p>
            <w:pPr>
              <w:pStyle w:val="TableParagraph"/>
              <w:spacing w:before="18"/>
              <w:jc w:val="left"/>
              <w:rPr>
                <w:sz w:val="25"/>
              </w:rPr>
            </w:pPr>
          </w:p>
          <w:p>
            <w:pPr>
              <w:pStyle w:val="TableParagraph"/>
              <w:ind w:left="98" w:right="74"/>
              <w:rPr>
                <w:sz w:val="21"/>
              </w:rPr>
            </w:pPr>
            <w:r>
              <w:rPr>
                <w:sz w:val="21"/>
              </w:rPr>
              <w:t>硫酸</w:t>
            </w:r>
          </w:p>
        </w:tc>
        <w:tc>
          <w:tcPr>
            <w:tcW w:w="2772"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15"/>
              </w:rPr>
            </w:pPr>
          </w:p>
          <w:p>
            <w:pPr>
              <w:pStyle w:val="TableParagraph"/>
              <w:spacing w:line="168" w:lineRule="auto"/>
              <w:ind w:left="132" w:right="100"/>
              <w:rPr>
                <w:sz w:val="21"/>
              </w:rPr>
            </w:pPr>
            <w:r>
              <w:rPr>
                <w:sz w:val="21"/>
              </w:rPr>
              <w:t>用沙土或其他不燃材料吸收泄漏物；用石灰或碳酸氢钠中和泄漏物。</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39" w:right="109"/>
              <w:jc w:val="both"/>
              <w:rPr>
                <w:sz w:val="21"/>
              </w:rPr>
            </w:pPr>
            <w:r>
              <w:rPr>
                <w:sz w:val="21"/>
              </w:rPr>
              <w:t>在下游筑坝拦截污水，同时在上游开渠引流，让清洁水改走新河道；可洒入大量石灰或加入碳酸氢钠中和污染</w:t>
            </w:r>
          </w:p>
          <w:p>
            <w:pPr>
              <w:pStyle w:val="TableParagraph"/>
              <w:spacing w:line="278" w:lineRule="exact"/>
              <w:ind w:left="121" w:right="90"/>
              <w:rPr>
                <w:sz w:val="21"/>
              </w:rPr>
            </w:pPr>
            <w:r>
              <w:rPr>
                <w:sz w:val="21"/>
              </w:rPr>
              <w:t>物。</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before="18"/>
              <w:jc w:val="left"/>
              <w:rPr>
                <w:sz w:val="22"/>
              </w:rPr>
            </w:pPr>
          </w:p>
          <w:p>
            <w:pPr>
              <w:pStyle w:val="TableParagraph"/>
              <w:spacing w:line="168" w:lineRule="auto" w:before="1"/>
              <w:ind w:left="563" w:right="111" w:hanging="421"/>
              <w:jc w:val="left"/>
              <w:rPr>
                <w:sz w:val="21"/>
              </w:rPr>
            </w:pPr>
            <w:r>
              <w:rPr>
                <w:sz w:val="21"/>
              </w:rPr>
              <w:t>沙土、生石灰</w:t>
            </w:r>
          </w:p>
        </w:tc>
        <w:tc>
          <w:tcPr>
            <w:tcW w:w="1274" w:type="dxa"/>
            <w:tcBorders>
              <w:top w:val="single" w:sz="6" w:space="0" w:color="000000"/>
              <w:left w:val="single" w:sz="6" w:space="0" w:color="000000"/>
              <w:bottom w:val="single" w:sz="6" w:space="0" w:color="000000"/>
            </w:tcBorders>
          </w:tcPr>
          <w:p>
            <w:pPr>
              <w:pStyle w:val="TableParagraph"/>
              <w:spacing w:before="18"/>
              <w:jc w:val="left"/>
              <w:rPr>
                <w:sz w:val="22"/>
              </w:rPr>
            </w:pPr>
          </w:p>
          <w:p>
            <w:pPr>
              <w:pStyle w:val="TableParagraph"/>
              <w:spacing w:line="168" w:lineRule="auto" w:before="1"/>
              <w:ind w:left="116" w:right="79" w:firstLine="105"/>
              <w:jc w:val="left"/>
              <w:rPr>
                <w:sz w:val="21"/>
              </w:rPr>
            </w:pPr>
            <w:r>
              <w:rPr>
                <w:sz w:val="21"/>
              </w:rPr>
              <w:t>与水混合熔点 </w:t>
            </w:r>
            <w:r>
              <w:rPr>
                <w:rFonts w:ascii="Times New Roman" w:hAnsi="Times New Roman" w:eastAsia="Times New Roman"/>
                <w:sz w:val="21"/>
              </w:rPr>
              <w:t>10.5</w:t>
            </w:r>
            <w:r>
              <w:rPr>
                <w:sz w:val="21"/>
              </w:rPr>
              <w:t>℃</w:t>
            </w:r>
          </w:p>
        </w:tc>
      </w:tr>
      <w:tr>
        <w:trPr>
          <w:trHeight w:val="1247" w:hRule="atLeast"/>
        </w:trPr>
        <w:tc>
          <w:tcPr>
            <w:tcW w:w="866" w:type="dxa"/>
            <w:tcBorders>
              <w:top w:val="single" w:sz="6" w:space="0" w:color="000000"/>
              <w:bottom w:val="single" w:sz="6" w:space="0" w:color="000000"/>
              <w:right w:val="single" w:sz="6" w:space="0" w:color="000000"/>
            </w:tcBorders>
          </w:tcPr>
          <w:p>
            <w:pPr>
              <w:pStyle w:val="TableParagraph"/>
              <w:spacing w:before="14"/>
              <w:jc w:val="left"/>
              <w:rPr>
                <w:sz w:val="23"/>
              </w:rPr>
            </w:pPr>
          </w:p>
          <w:p>
            <w:pPr>
              <w:pStyle w:val="TableParagraph"/>
              <w:ind w:left="95" w:right="74"/>
              <w:rPr>
                <w:rFonts w:ascii="Times New Roman"/>
                <w:sz w:val="21"/>
              </w:rPr>
            </w:pPr>
            <w:r>
              <w:rPr>
                <w:rFonts w:ascii="Times New Roman"/>
                <w:sz w:val="21"/>
              </w:rPr>
              <w:t>CO</w:t>
            </w:r>
          </w:p>
        </w:tc>
        <w:tc>
          <w:tcPr>
            <w:tcW w:w="2772"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5"/>
              <w:ind w:left="132" w:right="99"/>
              <w:jc w:val="both"/>
              <w:rPr>
                <w:sz w:val="21"/>
              </w:rPr>
            </w:pPr>
            <w:r>
              <w:rPr>
                <w:sz w:val="21"/>
              </w:rPr>
              <w:t>喷雾状水稀释、溶解、改变蒸汽云流向；如有可能，将漏出气用排风机送至空旷地</w:t>
            </w:r>
          </w:p>
          <w:p>
            <w:pPr>
              <w:pStyle w:val="TableParagraph"/>
              <w:spacing w:line="278" w:lineRule="exact"/>
              <w:ind w:left="237"/>
              <w:jc w:val="left"/>
              <w:rPr>
                <w:sz w:val="21"/>
              </w:rPr>
            </w:pPr>
            <w:r>
              <w:rPr>
                <w:sz w:val="21"/>
              </w:rPr>
              <w:t>方或装设适当喷头烧掉。</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23"/>
              </w:rPr>
            </w:pPr>
          </w:p>
          <w:p>
            <w:pPr>
              <w:pStyle w:val="TableParagraph"/>
              <w:ind w:left="119" w:right="93"/>
              <w:rPr>
                <w:rFonts w:ascii="Times New Roman"/>
                <w:sz w:val="21"/>
              </w:rPr>
            </w:pPr>
            <w:r>
              <w:rPr>
                <w:rFonts w:ascii="Times New Roman"/>
                <w:sz w:val="21"/>
              </w:rPr>
              <w:t>--</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8"/>
              </w:rPr>
            </w:pPr>
          </w:p>
          <w:p>
            <w:pPr>
              <w:pStyle w:val="TableParagraph"/>
              <w:ind w:left="120" w:right="94"/>
              <w:rPr>
                <w:sz w:val="21"/>
              </w:rPr>
            </w:pPr>
            <w:r>
              <w:rPr>
                <w:sz w:val="21"/>
              </w:rPr>
              <w:t>雾状水</w:t>
            </w:r>
          </w:p>
        </w:tc>
        <w:tc>
          <w:tcPr>
            <w:tcW w:w="1274" w:type="dxa"/>
            <w:tcBorders>
              <w:top w:val="single" w:sz="6" w:space="0" w:color="000000"/>
              <w:left w:val="single" w:sz="6" w:space="0" w:color="000000"/>
              <w:bottom w:val="single" w:sz="6" w:space="0" w:color="000000"/>
            </w:tcBorders>
          </w:tcPr>
          <w:p>
            <w:pPr>
              <w:pStyle w:val="TableParagraph"/>
              <w:spacing w:before="8"/>
              <w:jc w:val="left"/>
              <w:rPr>
                <w:sz w:val="18"/>
              </w:rPr>
            </w:pPr>
          </w:p>
          <w:p>
            <w:pPr>
              <w:pStyle w:val="TableParagraph"/>
              <w:ind w:left="203" w:right="168"/>
              <w:rPr>
                <w:sz w:val="21"/>
              </w:rPr>
            </w:pPr>
            <w:r>
              <w:rPr>
                <w:sz w:val="21"/>
              </w:rPr>
              <w:t>微溶于水</w:t>
            </w:r>
          </w:p>
        </w:tc>
      </w:tr>
      <w:tr>
        <w:trPr>
          <w:trHeight w:val="311" w:hRule="atLeast"/>
        </w:trPr>
        <w:tc>
          <w:tcPr>
            <w:tcW w:w="866" w:type="dxa"/>
            <w:tcBorders>
              <w:top w:val="single" w:sz="6" w:space="0" w:color="000000"/>
              <w:right w:val="single" w:sz="6" w:space="0" w:color="000000"/>
            </w:tcBorders>
          </w:tcPr>
          <w:p>
            <w:pPr>
              <w:pStyle w:val="TableParagraph"/>
              <w:spacing w:line="291" w:lineRule="exact"/>
              <w:ind w:left="98" w:right="74"/>
              <w:rPr>
                <w:sz w:val="21"/>
              </w:rPr>
            </w:pPr>
            <w:r>
              <w:rPr>
                <w:sz w:val="21"/>
              </w:rPr>
              <w:t>甲醇、</w:t>
            </w:r>
          </w:p>
        </w:tc>
        <w:tc>
          <w:tcPr>
            <w:tcW w:w="2772" w:type="dxa"/>
            <w:tcBorders>
              <w:top w:val="single" w:sz="6" w:space="0" w:color="000000"/>
              <w:left w:val="single" w:sz="6" w:space="0" w:color="000000"/>
              <w:right w:val="single" w:sz="6" w:space="0" w:color="000000"/>
            </w:tcBorders>
          </w:tcPr>
          <w:p>
            <w:pPr>
              <w:pStyle w:val="TableParagraph"/>
              <w:spacing w:line="291" w:lineRule="exact"/>
              <w:ind w:left="113" w:right="84"/>
              <w:rPr>
                <w:sz w:val="21"/>
              </w:rPr>
            </w:pPr>
            <w:r>
              <w:rPr>
                <w:sz w:val="21"/>
              </w:rPr>
              <w:t>用沙土、活性炭或其他惰性</w:t>
            </w:r>
          </w:p>
        </w:tc>
        <w:tc>
          <w:tcPr>
            <w:tcW w:w="2789" w:type="dxa"/>
            <w:tcBorders>
              <w:top w:val="single" w:sz="6" w:space="0" w:color="000000"/>
              <w:left w:val="single" w:sz="6" w:space="0" w:color="000000"/>
              <w:right w:val="single" w:sz="6" w:space="0" w:color="000000"/>
            </w:tcBorders>
          </w:tcPr>
          <w:p>
            <w:pPr>
              <w:pStyle w:val="TableParagraph"/>
              <w:spacing w:line="291" w:lineRule="exact"/>
              <w:ind w:left="121" w:right="93"/>
              <w:rPr>
                <w:sz w:val="21"/>
              </w:rPr>
            </w:pPr>
            <w:r>
              <w:rPr>
                <w:sz w:val="21"/>
              </w:rPr>
              <w:t>污染水体时，在水体中加入</w:t>
            </w:r>
          </w:p>
        </w:tc>
        <w:tc>
          <w:tcPr>
            <w:tcW w:w="1325" w:type="dxa"/>
            <w:tcBorders>
              <w:top w:val="single" w:sz="6" w:space="0" w:color="000000"/>
              <w:left w:val="single" w:sz="6" w:space="0" w:color="000000"/>
              <w:right w:val="single" w:sz="6" w:space="0" w:color="000000"/>
            </w:tcBorders>
          </w:tcPr>
          <w:p>
            <w:pPr>
              <w:pStyle w:val="TableParagraph"/>
              <w:spacing w:line="291" w:lineRule="exact"/>
              <w:ind w:left="122" w:right="94"/>
              <w:rPr>
                <w:sz w:val="21"/>
              </w:rPr>
            </w:pPr>
            <w:r>
              <w:rPr>
                <w:sz w:val="21"/>
              </w:rPr>
              <w:t>沙土、吸附</w:t>
            </w:r>
          </w:p>
        </w:tc>
        <w:tc>
          <w:tcPr>
            <w:tcW w:w="1274" w:type="dxa"/>
            <w:tcBorders>
              <w:top w:val="single" w:sz="6" w:space="0" w:color="000000"/>
              <w:left w:val="single" w:sz="6" w:space="0" w:color="000000"/>
            </w:tcBorders>
          </w:tcPr>
          <w:p>
            <w:pPr>
              <w:pStyle w:val="TableParagraph"/>
              <w:spacing w:line="291" w:lineRule="exact"/>
              <w:ind w:left="203" w:right="166"/>
              <w:rPr>
                <w:sz w:val="21"/>
              </w:rPr>
            </w:pPr>
            <w:r>
              <w:rPr>
                <w:sz w:val="21"/>
              </w:rPr>
              <w:t>溶于水</w:t>
            </w:r>
          </w:p>
        </w:tc>
      </w:tr>
    </w:tbl>
    <w:p>
      <w:pPr>
        <w:spacing w:after="0" w:line="291"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6"/>
        <w:gridCol w:w="2772"/>
        <w:gridCol w:w="2789"/>
        <w:gridCol w:w="1325"/>
        <w:gridCol w:w="1274"/>
      </w:tblGrid>
      <w:tr>
        <w:trPr>
          <w:trHeight w:val="623" w:hRule="atLeast"/>
        </w:trPr>
        <w:tc>
          <w:tcPr>
            <w:tcW w:w="866" w:type="dxa"/>
            <w:tcBorders>
              <w:bottom w:val="single" w:sz="6" w:space="0" w:color="000000"/>
              <w:right w:val="single" w:sz="6" w:space="0" w:color="000000"/>
            </w:tcBorders>
          </w:tcPr>
          <w:p>
            <w:pPr>
              <w:pStyle w:val="TableParagraph"/>
              <w:spacing w:line="302" w:lineRule="exact"/>
              <w:ind w:left="222"/>
              <w:jc w:val="left"/>
              <w:rPr>
                <w:sz w:val="21"/>
              </w:rPr>
            </w:pPr>
            <w:r>
              <w:rPr>
                <w:sz w:val="21"/>
              </w:rPr>
              <w:t>物质</w:t>
            </w:r>
          </w:p>
          <w:p>
            <w:pPr>
              <w:pStyle w:val="TableParagraph"/>
              <w:spacing w:line="302" w:lineRule="exact"/>
              <w:ind w:left="222"/>
              <w:jc w:val="left"/>
              <w:rPr>
                <w:sz w:val="21"/>
              </w:rPr>
            </w:pPr>
            <w:r>
              <w:rPr>
                <w:sz w:val="21"/>
              </w:rPr>
              <w:t>名称</w:t>
            </w:r>
          </w:p>
        </w:tc>
        <w:tc>
          <w:tcPr>
            <w:tcW w:w="2772" w:type="dxa"/>
            <w:tcBorders>
              <w:left w:val="single" w:sz="6" w:space="0" w:color="000000"/>
              <w:bottom w:val="single" w:sz="6" w:space="0" w:color="000000"/>
              <w:right w:val="single" w:sz="6" w:space="0" w:color="000000"/>
            </w:tcBorders>
          </w:tcPr>
          <w:p>
            <w:pPr>
              <w:pStyle w:val="TableParagraph"/>
              <w:spacing w:before="77"/>
              <w:ind w:left="132"/>
              <w:jc w:val="left"/>
              <w:rPr>
                <w:sz w:val="21"/>
              </w:rPr>
            </w:pPr>
            <w:r>
              <w:rPr>
                <w:sz w:val="21"/>
              </w:rPr>
              <w:t>进入大气环境应急处理方式</w:t>
            </w:r>
          </w:p>
        </w:tc>
        <w:tc>
          <w:tcPr>
            <w:tcW w:w="2789" w:type="dxa"/>
            <w:tcBorders>
              <w:left w:val="single" w:sz="6" w:space="0" w:color="000000"/>
              <w:bottom w:val="single" w:sz="6" w:space="0" w:color="000000"/>
              <w:right w:val="single" w:sz="6" w:space="0" w:color="000000"/>
            </w:tcBorders>
          </w:tcPr>
          <w:p>
            <w:pPr>
              <w:pStyle w:val="TableParagraph"/>
              <w:spacing w:before="77"/>
              <w:ind w:left="351"/>
              <w:jc w:val="left"/>
              <w:rPr>
                <w:sz w:val="21"/>
              </w:rPr>
            </w:pPr>
            <w:r>
              <w:rPr>
                <w:sz w:val="21"/>
              </w:rPr>
              <w:t>进入水体应急处理方式</w:t>
            </w:r>
          </w:p>
        </w:tc>
        <w:tc>
          <w:tcPr>
            <w:tcW w:w="1325" w:type="dxa"/>
            <w:tcBorders>
              <w:left w:val="single" w:sz="6" w:space="0" w:color="000000"/>
              <w:bottom w:val="single" w:sz="6" w:space="0" w:color="000000"/>
              <w:right w:val="single" w:sz="6" w:space="0" w:color="000000"/>
            </w:tcBorders>
          </w:tcPr>
          <w:p>
            <w:pPr>
              <w:pStyle w:val="TableParagraph"/>
              <w:spacing w:before="77"/>
              <w:ind w:left="248"/>
              <w:jc w:val="left"/>
              <w:rPr>
                <w:sz w:val="21"/>
              </w:rPr>
            </w:pPr>
            <w:r>
              <w:rPr>
                <w:sz w:val="21"/>
              </w:rPr>
              <w:t>应急物资</w:t>
            </w:r>
          </w:p>
        </w:tc>
        <w:tc>
          <w:tcPr>
            <w:tcW w:w="1274" w:type="dxa"/>
            <w:tcBorders>
              <w:left w:val="single" w:sz="6" w:space="0" w:color="000000"/>
              <w:bottom w:val="single" w:sz="6" w:space="0" w:color="000000"/>
            </w:tcBorders>
          </w:tcPr>
          <w:p>
            <w:pPr>
              <w:pStyle w:val="TableParagraph"/>
              <w:spacing w:before="77"/>
              <w:ind w:left="222"/>
              <w:jc w:val="left"/>
              <w:rPr>
                <w:sz w:val="21"/>
              </w:rPr>
            </w:pPr>
            <w:r>
              <w:rPr>
                <w:sz w:val="21"/>
              </w:rPr>
              <w:t>物理性质</w:t>
            </w:r>
          </w:p>
        </w:tc>
      </w:tr>
      <w:tr>
        <w:trPr>
          <w:trHeight w:val="625" w:hRule="atLeast"/>
        </w:trPr>
        <w:tc>
          <w:tcPr>
            <w:tcW w:w="866" w:type="dxa"/>
            <w:tcBorders>
              <w:top w:val="single" w:sz="6" w:space="0" w:color="000000"/>
              <w:bottom w:val="single" w:sz="6" w:space="0" w:color="000000"/>
              <w:right w:val="single" w:sz="6" w:space="0" w:color="000000"/>
            </w:tcBorders>
          </w:tcPr>
          <w:p>
            <w:pPr>
              <w:pStyle w:val="TableParagraph"/>
              <w:spacing w:line="303" w:lineRule="exact"/>
              <w:ind w:left="116"/>
              <w:jc w:val="left"/>
              <w:rPr>
                <w:sz w:val="21"/>
              </w:rPr>
            </w:pPr>
            <w:r>
              <w:rPr>
                <w:sz w:val="21"/>
              </w:rPr>
              <w:t>甲醛、</w:t>
            </w:r>
          </w:p>
          <w:p>
            <w:pPr>
              <w:pStyle w:val="TableParagraph"/>
              <w:spacing w:line="303" w:lineRule="exact"/>
              <w:ind w:left="116"/>
              <w:jc w:val="left"/>
              <w:rPr>
                <w:sz w:val="21"/>
              </w:rPr>
            </w:pPr>
            <w:r>
              <w:rPr>
                <w:sz w:val="21"/>
              </w:rPr>
              <w:t>乙醇等</w:t>
            </w:r>
          </w:p>
        </w:tc>
        <w:tc>
          <w:tcPr>
            <w:tcW w:w="2772"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13" w:right="84"/>
              <w:rPr>
                <w:sz w:val="21"/>
              </w:rPr>
            </w:pPr>
            <w:r>
              <w:rPr>
                <w:sz w:val="21"/>
              </w:rPr>
              <w:t>不燃材料吸收，量多时可用</w:t>
            </w:r>
          </w:p>
          <w:p>
            <w:pPr>
              <w:pStyle w:val="TableParagraph"/>
              <w:spacing w:line="303" w:lineRule="exact"/>
              <w:ind w:left="113" w:right="84"/>
              <w:rPr>
                <w:sz w:val="21"/>
              </w:rPr>
            </w:pPr>
            <w:r>
              <w:rPr>
                <w:sz w:val="21"/>
              </w:rPr>
              <w:t>泡沫覆盖抑制蒸发。</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21" w:right="93"/>
              <w:rPr>
                <w:sz w:val="21"/>
              </w:rPr>
            </w:pPr>
            <w:r>
              <w:rPr>
                <w:sz w:val="21"/>
              </w:rPr>
              <w:t>活性炭，作为吸附剂去除甲</w:t>
            </w:r>
          </w:p>
          <w:p>
            <w:pPr>
              <w:pStyle w:val="TableParagraph"/>
              <w:spacing w:line="303" w:lineRule="exact"/>
              <w:ind w:left="26"/>
              <w:rPr>
                <w:sz w:val="21"/>
              </w:rPr>
            </w:pPr>
            <w:r>
              <w:rPr>
                <w:w w:val="100"/>
                <w:sz w:val="21"/>
              </w:rPr>
              <w:t>醇</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42"/>
              <w:jc w:val="left"/>
              <w:rPr>
                <w:sz w:val="21"/>
              </w:rPr>
            </w:pPr>
            <w:r>
              <w:rPr>
                <w:spacing w:val="-1"/>
                <w:sz w:val="21"/>
              </w:rPr>
              <w:t>材料、水中</w:t>
            </w:r>
          </w:p>
          <w:p>
            <w:pPr>
              <w:pStyle w:val="TableParagraph"/>
              <w:spacing w:line="303" w:lineRule="exact"/>
              <w:ind w:left="142"/>
              <w:jc w:val="left"/>
              <w:rPr>
                <w:sz w:val="21"/>
              </w:rPr>
            </w:pPr>
            <w:r>
              <w:rPr>
                <w:spacing w:val="-1"/>
                <w:sz w:val="21"/>
              </w:rPr>
              <w:t>甲醇吸附剂</w:t>
            </w:r>
          </w:p>
        </w:tc>
        <w:tc>
          <w:tcPr>
            <w:tcW w:w="1274"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11" w:hRule="atLeast"/>
        </w:trPr>
        <w:tc>
          <w:tcPr>
            <w:tcW w:w="9026" w:type="dxa"/>
            <w:gridSpan w:val="5"/>
            <w:tcBorders>
              <w:top w:val="single" w:sz="6" w:space="0" w:color="000000"/>
            </w:tcBorders>
          </w:tcPr>
          <w:p>
            <w:pPr>
              <w:pStyle w:val="TableParagraph"/>
              <w:spacing w:line="291" w:lineRule="exact"/>
              <w:ind w:left="256"/>
              <w:jc w:val="left"/>
              <w:rPr>
                <w:sz w:val="21"/>
              </w:rPr>
            </w:pPr>
            <w:r>
              <w:rPr>
                <w:sz w:val="21"/>
              </w:rPr>
              <w:t>备注：其他危险化学品的泄漏处理处置按照 </w:t>
            </w:r>
            <w:r>
              <w:rPr>
                <w:rFonts w:ascii="Times New Roman" w:eastAsia="Times New Roman"/>
                <w:sz w:val="21"/>
              </w:rPr>
              <w:t>6.1.1 </w:t>
            </w:r>
            <w:r>
              <w:rPr>
                <w:sz w:val="21"/>
              </w:rPr>
              <w:t>章节危险物质安全技术说明书的要求进行。</w:t>
            </w:r>
          </w:p>
        </w:tc>
      </w:tr>
    </w:tbl>
    <w:p>
      <w:pPr>
        <w:spacing w:line="305" w:lineRule="exact" w:before="0"/>
        <w:ind w:left="935" w:right="0" w:firstLine="0"/>
        <w:jc w:val="left"/>
        <w:rPr>
          <w:sz w:val="18"/>
        </w:rPr>
      </w:pPr>
      <w:r>
        <w:rPr>
          <w:sz w:val="18"/>
        </w:rPr>
        <w:t>注：吸附材料主要有黏土、沙土、高吸油材料、秸秆、活性炭等；密度为相对密度（</w:t>
      </w:r>
      <w:r>
        <w:rPr>
          <w:spacing w:val="1"/>
          <w:sz w:val="18"/>
        </w:rPr>
        <w:t>水</w:t>
      </w:r>
      <w:r>
        <w:rPr>
          <w:rFonts w:ascii="Times New Roman" w:eastAsia="Times New Roman"/>
          <w:spacing w:val="-1"/>
          <w:sz w:val="18"/>
        </w:rPr>
        <w:t>=</w:t>
      </w:r>
      <w:r>
        <w:rPr>
          <w:rFonts w:ascii="Times New Roman" w:eastAsia="Times New Roman"/>
          <w:spacing w:val="1"/>
          <w:sz w:val="18"/>
        </w:rPr>
        <w:t>1</w:t>
      </w:r>
      <w:r>
        <w:rPr>
          <w:spacing w:val="-92"/>
          <w:sz w:val="18"/>
        </w:rPr>
        <w:t>）。</w:t>
      </w:r>
    </w:p>
    <w:p>
      <w:pPr>
        <w:pStyle w:val="BodyText"/>
        <w:spacing w:line="460" w:lineRule="exact"/>
        <w:ind w:left="1058"/>
      </w:pPr>
      <w:r>
        <w:rPr/>
        <w:t>（</w:t>
      </w:r>
      <w:r>
        <w:rPr>
          <w:rFonts w:ascii="Times New Roman" w:eastAsia="Times New Roman"/>
        </w:rPr>
        <w:t>3</w:t>
      </w:r>
      <w:r>
        <w:rPr/>
        <w:t>）事故液态污染物进入土壤应急处置措施</w:t>
      </w:r>
    </w:p>
    <w:p>
      <w:pPr>
        <w:pStyle w:val="BodyText"/>
        <w:spacing w:line="220" w:lineRule="auto" w:before="8"/>
        <w:ind w:left="578" w:right="752" w:firstLine="479"/>
        <w:jc w:val="both"/>
      </w:pPr>
      <w:r>
        <w:rPr>
          <w:spacing w:val="-5"/>
        </w:rPr>
        <w:t>一旦物料泄漏至土壤后发生污染，要及时处理。在污染的初期，污染物主要</w:t>
      </w:r>
      <w:r>
        <w:rPr>
          <w:spacing w:val="-11"/>
        </w:rPr>
        <w:t>是集中在土壤中，分布深度小，工程处理较易。随着时间的推移，污染物不断向</w:t>
      </w:r>
      <w:r>
        <w:rPr>
          <w:spacing w:val="-12"/>
        </w:rPr>
        <w:t>下运移，污染范围不断增大，治理难度逐渐增大，治理费用和治理时间增大。目</w:t>
      </w:r>
      <w:r>
        <w:rPr>
          <w:spacing w:val="-15"/>
        </w:rPr>
        <w:t>前常用的土壤修复技术可以分为原位修复技术和异位修复技术。原位修复技术是指采用相应的物理、化学和生物方法对污染土壤在污染现场进行处理；异位修复</w:t>
      </w:r>
      <w:r>
        <w:rPr>
          <w:spacing w:val="-18"/>
        </w:rPr>
        <w:t>技术则是将受污染的土壤按照危险废物的求，运离污染现场，送至专门的处理场地进行处理。</w:t>
      </w:r>
    </w:p>
    <w:p>
      <w:pPr>
        <w:pStyle w:val="BodyText"/>
        <w:spacing w:line="220" w:lineRule="auto"/>
        <w:ind w:left="578" w:right="666" w:firstLine="479"/>
        <w:jc w:val="both"/>
      </w:pPr>
      <w:r>
        <w:rPr>
          <w:spacing w:val="-9"/>
        </w:rPr>
        <w:t>一旦发生事故，企业应及时联系有资质的污染场地修复单位。对于小面积的</w:t>
      </w:r>
      <w:r>
        <w:rPr>
          <w:spacing w:val="-11"/>
        </w:rPr>
        <w:t>污染土壤，可以采用开挖的方式进行治理，将被污染的土壤全部取出，进行现场</w:t>
      </w:r>
      <w:r>
        <w:rPr>
          <w:spacing w:val="-16"/>
        </w:rPr>
        <w:t>处理或委托有资质的单位处置，这也是一种最彻底的办法，杜绝了对地下水的污染；对于大面积的土壤污染，建议由污染场地修复单位对场地进行调查与评价， </w:t>
      </w:r>
      <w:r>
        <w:rPr>
          <w:spacing w:val="-15"/>
        </w:rPr>
        <w:t>根据场地污染事故，进行现场采样，确定场地污染程度和范围，最终确认污染物修复目标及修复范围，并给出场地修复技术建议。在采取临时处置措施时，应注意防止二次污染。</w:t>
      </w:r>
    </w:p>
    <w:p>
      <w:pPr>
        <w:pStyle w:val="BodyText"/>
        <w:spacing w:line="460" w:lineRule="exact"/>
        <w:ind w:left="1058"/>
      </w:pPr>
      <w:r>
        <w:rPr/>
        <w:t>（</w:t>
      </w:r>
      <w:r>
        <w:rPr>
          <w:rFonts w:ascii="Times New Roman" w:eastAsia="Times New Roman"/>
        </w:rPr>
        <w:t>4</w:t>
      </w:r>
      <w:r>
        <w:rPr/>
        <w:t>） 事故液态污染物进入地下水应急处置措施</w:t>
      </w:r>
    </w:p>
    <w:p>
      <w:pPr>
        <w:pStyle w:val="BodyText"/>
        <w:spacing w:line="220" w:lineRule="auto" w:before="8"/>
        <w:ind w:left="578" w:right="666" w:firstLine="479"/>
        <w:jc w:val="both"/>
      </w:pPr>
      <w:r>
        <w:rPr/>
        <w:t>受污染地下水通常采取抽出处理方法</w:t>
      </w:r>
      <w:r>
        <w:rPr>
          <w:spacing w:val="5"/>
        </w:rPr>
        <w:t>（</w:t>
      </w:r>
      <w:r>
        <w:rPr>
          <w:rFonts w:ascii="Times New Roman" w:eastAsia="Times New Roman"/>
          <w:w w:val="99"/>
        </w:rPr>
        <w:t>P</w:t>
      </w:r>
      <w:r>
        <w:rPr>
          <w:rFonts w:ascii="Times New Roman" w:eastAsia="Times New Roman"/>
          <w:spacing w:val="-2"/>
        </w:rPr>
        <w:t>&amp;</w:t>
      </w:r>
      <w:r>
        <w:rPr>
          <w:rFonts w:ascii="Times New Roman" w:eastAsia="Times New Roman"/>
          <w:spacing w:val="2"/>
        </w:rPr>
        <w:t>T</w:t>
      </w:r>
      <w:r>
        <w:rPr>
          <w:spacing w:val="-120"/>
        </w:rPr>
        <w:t>）</w:t>
      </w:r>
      <w:r>
        <w:rPr/>
        <w:t>、原位修复技术</w:t>
      </w:r>
      <w:r>
        <w:rPr>
          <w:spacing w:val="2"/>
        </w:rPr>
        <w:t>（</w:t>
      </w:r>
      <w:r>
        <w:rPr/>
        <w:t>加药法、渗</w:t>
      </w:r>
      <w:r>
        <w:rPr>
          <w:spacing w:val="-4"/>
        </w:rPr>
        <w:t>透性处理床、土壤改性等</w:t>
      </w:r>
      <w:r>
        <w:rPr>
          <w:spacing w:val="-22"/>
        </w:rPr>
        <w:t>）</w:t>
      </w:r>
      <w:r>
        <w:rPr>
          <w:spacing w:val="-7"/>
        </w:rPr>
        <w:t>等。一旦监测到地下水污染，企业应及时联系有资质</w:t>
      </w:r>
      <w:r>
        <w:rPr>
          <w:spacing w:val="-13"/>
        </w:rPr>
        <w:t>的污染场地修复单位，对场地进行调查，根据场地污染事故资料、地下水分布及流向、水质检测数据，判断污染程度及范围，进一步确认修复目标及修复范围， 制定场地修复计划。</w:t>
      </w:r>
    </w:p>
    <w:p>
      <w:pPr>
        <w:pStyle w:val="BodyText"/>
        <w:spacing w:line="460" w:lineRule="exact"/>
        <w:ind w:left="1058"/>
      </w:pPr>
      <w:r>
        <w:rPr/>
        <w:t>（</w:t>
      </w:r>
      <w:r>
        <w:rPr>
          <w:rFonts w:ascii="Times New Roman" w:eastAsia="Times New Roman"/>
        </w:rPr>
        <w:t>5</w:t>
      </w:r>
      <w:r>
        <w:rPr/>
        <w:t>）事故终止后处置措施</w:t>
      </w:r>
    </w:p>
    <w:p>
      <w:pPr>
        <w:pStyle w:val="BodyText"/>
        <w:spacing w:line="220" w:lineRule="auto" w:before="8"/>
        <w:ind w:left="578" w:right="750" w:firstLine="479"/>
        <w:jc w:val="both"/>
      </w:pPr>
      <w:r>
        <w:rPr/>
        <w:t>在处置事故过程中，由于大量使用水进行灭火、冷却、稀释、洗消等措施，这些水落地后与泄漏的原料、产品混合后形成事故废水，通过管网收集至事故池。事故终止后，首先对事故废水进行检测，根据废水中污染物的组成和</w:t>
      </w:r>
    </w:p>
    <w:p>
      <w:pPr>
        <w:spacing w:after="0" w:line="220" w:lineRule="auto"/>
        <w:jc w:val="both"/>
        <w:sectPr>
          <w:pgSz w:w="11910" w:h="16840"/>
          <w:pgMar w:header="877" w:footer="973" w:top="1340" w:bottom="1160" w:left="1220" w:right="1040"/>
        </w:sectPr>
      </w:pPr>
    </w:p>
    <w:p>
      <w:pPr>
        <w:pStyle w:val="BodyText"/>
        <w:spacing w:line="220" w:lineRule="auto" w:before="77"/>
        <w:ind w:left="578" w:right="749"/>
        <w:jc w:val="both"/>
      </w:pPr>
      <w:r>
        <w:rPr/>
        <w:t>浓度判断企业自行处理或者外委处理。若污水处理场有效运行且可接纳事故废水，则将事故废水分批送往污水处理场进行处理；若污水处理场不能有效运行或不能接纳事故废水，应将事故废水交由有资质的单位进行处置，同时将转移联单回执复印留档。</w:t>
      </w:r>
    </w:p>
    <w:p>
      <w:pPr>
        <w:pStyle w:val="BodyText"/>
        <w:spacing w:line="220" w:lineRule="auto"/>
        <w:ind w:left="578" w:right="753" w:firstLine="479"/>
        <w:jc w:val="both"/>
      </w:pPr>
      <w:r>
        <w:rPr/>
        <w:t>事故过程中产生的危险废物比如废油泥、废物料等，需要委托有资质的单位进行处理处置。</w:t>
      </w:r>
    </w:p>
    <w:p>
      <w:pPr>
        <w:pStyle w:val="Heading2"/>
        <w:numPr>
          <w:ilvl w:val="1"/>
          <w:numId w:val="13"/>
        </w:numPr>
        <w:tabs>
          <w:tab w:pos="1210" w:val="left" w:leader="none"/>
        </w:tabs>
        <w:spacing w:line="240" w:lineRule="auto" w:before="133" w:after="0"/>
        <w:ind w:left="1209" w:right="0" w:hanging="631"/>
        <w:jc w:val="left"/>
        <w:rPr>
          <w:rFonts w:ascii="Times New Roman" w:eastAsia="Times New Roman"/>
        </w:rPr>
      </w:pPr>
      <w:r>
        <w:rPr/>
        <w:t>应急预案</w:t>
      </w:r>
    </w:p>
    <w:p>
      <w:pPr>
        <w:pStyle w:val="BodyText"/>
        <w:spacing w:line="220" w:lineRule="auto" w:before="140"/>
        <w:ind w:left="578" w:right="754" w:firstLine="479"/>
        <w:jc w:val="both"/>
      </w:pPr>
      <w:r>
        <w:rPr>
          <w:spacing w:val="-4"/>
        </w:rPr>
        <w:t>厂区内已制定山东仁和堂药业有限公司突发环境事件应急预案，并进行了备</w:t>
      </w:r>
      <w:r>
        <w:rPr>
          <w:spacing w:val="-20"/>
        </w:rPr>
        <w:t>案</w:t>
      </w:r>
      <w:r>
        <w:rPr/>
        <w:t>（</w:t>
      </w:r>
      <w:r>
        <w:rPr>
          <w:spacing w:val="-4"/>
        </w:rPr>
        <w:t>备案文号：</w:t>
      </w:r>
      <w:r>
        <w:rPr>
          <w:rFonts w:ascii="Times New Roman" w:eastAsia="Times New Roman"/>
        </w:rPr>
        <w:t>371327</w:t>
      </w:r>
      <w:r>
        <w:rPr>
          <w:rFonts w:ascii="Times New Roman" w:eastAsia="Times New Roman"/>
          <w:spacing w:val="-4"/>
        </w:rPr>
        <w:t>-</w:t>
      </w:r>
      <w:r>
        <w:rPr>
          <w:rFonts w:ascii="Times New Roman" w:eastAsia="Times New Roman"/>
        </w:rPr>
        <w:t>2017</w:t>
      </w:r>
      <w:r>
        <w:rPr>
          <w:rFonts w:ascii="Times New Roman" w:eastAsia="Times New Roman"/>
          <w:spacing w:val="-1"/>
        </w:rPr>
        <w:t>-</w:t>
      </w:r>
      <w:r>
        <w:rPr>
          <w:rFonts w:ascii="Times New Roman" w:eastAsia="Times New Roman"/>
        </w:rPr>
        <w:t>023</w:t>
      </w:r>
      <w:r>
        <w:rPr>
          <w:rFonts w:ascii="Times New Roman" w:eastAsia="Times New Roman"/>
          <w:spacing w:val="-1"/>
        </w:rPr>
        <w:t>-</w:t>
      </w:r>
      <w:r>
        <w:rPr>
          <w:rFonts w:ascii="Times New Roman" w:eastAsia="Times New Roman"/>
          <w:w w:val="99"/>
        </w:rPr>
        <w:t>M</w:t>
      </w:r>
      <w:r>
        <w:rPr>
          <w:spacing w:val="-120"/>
        </w:rPr>
        <w:t>）</w:t>
      </w:r>
      <w:r>
        <w:rPr>
          <w:spacing w:val="-5"/>
        </w:rPr>
        <w:t>。本小节引用突发环境事件应急预案中的相</w:t>
      </w:r>
      <w:r>
        <w:rPr>
          <w:spacing w:val="-10"/>
        </w:rPr>
        <w:t>关内容进行介绍。并根据《建设项目环境风险评价技术导则》</w:t>
      </w:r>
      <w:r>
        <w:rPr>
          <w:rFonts w:ascii="Times New Roman" w:eastAsia="Times New Roman"/>
        </w:rPr>
        <w:t>(HJ 169-2018)</w:t>
      </w:r>
      <w:r>
        <w:rPr>
          <w:spacing w:val="-3"/>
        </w:rPr>
        <w:t>的要</w:t>
      </w:r>
      <w:r>
        <w:rPr/>
        <w:t>求，提出完善措施。</w:t>
      </w:r>
    </w:p>
    <w:p>
      <w:pPr>
        <w:pStyle w:val="Heading3"/>
        <w:numPr>
          <w:ilvl w:val="2"/>
          <w:numId w:val="13"/>
        </w:numPr>
        <w:tabs>
          <w:tab w:pos="1378" w:val="left" w:leader="none"/>
        </w:tabs>
        <w:spacing w:line="240" w:lineRule="auto" w:before="150" w:after="0"/>
        <w:ind w:left="1377" w:right="0" w:hanging="799"/>
        <w:jc w:val="left"/>
      </w:pPr>
      <w:r>
        <w:rPr/>
        <w:t>环境风险应急响应</w:t>
      </w:r>
    </w:p>
    <w:p>
      <w:pPr>
        <w:pStyle w:val="Heading5"/>
        <w:numPr>
          <w:ilvl w:val="3"/>
          <w:numId w:val="13"/>
        </w:numPr>
        <w:tabs>
          <w:tab w:pos="1490" w:val="left" w:leader="none"/>
        </w:tabs>
        <w:spacing w:line="240" w:lineRule="auto" w:before="204" w:after="0"/>
        <w:ind w:left="1490" w:right="0" w:hanging="912"/>
        <w:jc w:val="left"/>
      </w:pPr>
      <w:r>
        <w:rPr/>
        <w:t>响应流程</w:t>
      </w:r>
    </w:p>
    <w:p>
      <w:pPr>
        <w:pStyle w:val="BodyText"/>
        <w:spacing w:line="220" w:lineRule="auto" w:before="180"/>
        <w:ind w:left="578" w:right="752" w:firstLine="479"/>
        <w:jc w:val="both"/>
      </w:pPr>
      <w:r>
        <w:rPr/>
        <w:t>（</w:t>
      </w:r>
      <w:r>
        <w:rPr>
          <w:rFonts w:ascii="Times New Roman" w:eastAsia="Times New Roman"/>
        </w:rPr>
        <w:t>1</w:t>
      </w:r>
      <w:r>
        <w:rPr/>
        <w:t>）当在预警监控或人工巡查发现突发事故时，最早发现者应立即向生产</w:t>
      </w:r>
      <w:r>
        <w:rPr>
          <w:spacing w:val="-9"/>
        </w:rPr>
        <w:t>车间主任报告，并根据实际情况向公司副总经理或总经理报告，同时有关车间职工在保证自身安全的前提下采取一切办法切断事故源。</w:t>
      </w:r>
    </w:p>
    <w:p>
      <w:pPr>
        <w:pStyle w:val="BodyText"/>
        <w:spacing w:line="220" w:lineRule="auto"/>
        <w:ind w:left="578" w:right="760" w:firstLine="479"/>
        <w:jc w:val="both"/>
      </w:pPr>
      <w:r>
        <w:rPr/>
        <w:t>（</w:t>
      </w:r>
      <w:r>
        <w:rPr>
          <w:rFonts w:ascii="Times New Roman" w:eastAsia="Times New Roman"/>
        </w:rPr>
        <w:t>2</w:t>
      </w:r>
      <w:r>
        <w:rPr/>
        <w:t>）接报的车间主任立即赶赴现场核实情况，根据现场实际情况预判事故响应级别上报应急救援指挥组织机构，启动企业相应应急预案。</w:t>
      </w:r>
    </w:p>
    <w:p>
      <w:pPr>
        <w:pStyle w:val="BodyText"/>
        <w:spacing w:line="220" w:lineRule="auto"/>
        <w:ind w:left="578" w:right="760" w:firstLine="479"/>
        <w:jc w:val="both"/>
      </w:pPr>
      <w:r>
        <w:rPr/>
        <w:t>（</w:t>
      </w:r>
      <w:r>
        <w:rPr>
          <w:rFonts w:ascii="Times New Roman" w:eastAsia="Times New Roman"/>
        </w:rPr>
        <w:t>3</w:t>
      </w:r>
      <w:r>
        <w:rPr/>
        <w:t>）启动应急预案后各应急小组立即按照应急预案并结合实际情况进行封堵泄漏源、医疗救护、事故废水的截流收集等措施，开展相应的应急处置。</w:t>
      </w:r>
    </w:p>
    <w:p>
      <w:pPr>
        <w:pStyle w:val="BodyText"/>
        <w:spacing w:line="220" w:lineRule="auto"/>
        <w:ind w:left="578" w:right="635" w:firstLine="479"/>
        <w:jc w:val="both"/>
      </w:pPr>
      <w:r>
        <w:rPr/>
        <w:t>（</w:t>
      </w:r>
      <w:r>
        <w:rPr>
          <w:rFonts w:ascii="Times New Roman" w:eastAsia="Times New Roman"/>
        </w:rPr>
        <w:t>4</w:t>
      </w:r>
      <w:r>
        <w:rPr/>
        <w:t>）应急处置完毕并符合应急终止的条件后可申请应急终止，取得同意后</w:t>
      </w:r>
      <w:r>
        <w:rPr>
          <w:spacing w:val="-5"/>
        </w:rPr>
        <w:t>各应急救援小组应及时总结经验，查找疏漏等工作，并根据总结的经验对原有的</w:t>
      </w:r>
      <w:r>
        <w:rPr>
          <w:spacing w:val="-16"/>
        </w:rPr>
        <w:t>应急预案进行补充和完善。应急响应的过程为接警、应急启动、控制及应急行动、</w:t>
      </w:r>
      <w:r>
        <w:rPr>
          <w:spacing w:val="-18"/>
        </w:rPr>
        <w:t>扩大应急。发生重大环境事件，总指挥决定扩大应急范围后，应立即按程序上报， 启动相应应急预案。</w:t>
      </w:r>
    </w:p>
    <w:p>
      <w:pPr>
        <w:spacing w:after="0" w:line="220" w:lineRule="auto"/>
        <w:jc w:val="both"/>
        <w:sectPr>
          <w:pgSz w:w="11910" w:h="16840"/>
          <w:pgMar w:header="877" w:footer="973" w:top="1340" w:bottom="1160" w:left="1220" w:right="1040"/>
        </w:sectPr>
      </w:pPr>
    </w:p>
    <w:p>
      <w:pPr>
        <w:pStyle w:val="BodyText"/>
        <w:spacing w:before="19"/>
        <w:rPr>
          <w:sz w:val="6"/>
        </w:rPr>
      </w:pPr>
    </w:p>
    <w:p>
      <w:pPr>
        <w:pStyle w:val="Heading5"/>
        <w:numPr>
          <w:ilvl w:val="3"/>
          <w:numId w:val="13"/>
        </w:numPr>
        <w:tabs>
          <w:tab w:pos="1490" w:val="left" w:leader="none"/>
        </w:tabs>
        <w:spacing w:line="530" w:lineRule="exact" w:before="0" w:after="0"/>
        <w:ind w:left="1490" w:right="0" w:hanging="912"/>
        <w:jc w:val="left"/>
      </w:pPr>
      <w:r>
        <w:rPr/>
        <w:t>分级响应及启动条件</w:t>
      </w:r>
    </w:p>
    <w:p>
      <w:pPr>
        <w:tabs>
          <w:tab w:pos="3607" w:val="left" w:leader="none"/>
        </w:tabs>
        <w:spacing w:before="187" w:after="24"/>
        <w:ind w:left="2695" w:right="0" w:firstLine="0"/>
        <w:jc w:val="left"/>
        <w:rPr>
          <w:sz w:val="21"/>
        </w:rPr>
      </w:pPr>
      <w:r>
        <w:rPr>
          <w:sz w:val="21"/>
        </w:rPr>
        <w:t>表</w:t>
      </w:r>
      <w:r>
        <w:rPr>
          <w:spacing w:val="7"/>
          <w:sz w:val="21"/>
        </w:rPr>
        <w:t> </w:t>
      </w:r>
      <w:r>
        <w:rPr>
          <w:rFonts w:ascii="Times New Roman" w:eastAsia="Times New Roman"/>
          <w:b/>
          <w:sz w:val="21"/>
        </w:rPr>
        <w:t>7.8-1</w:t>
        <w:tab/>
      </w:r>
      <w:r>
        <w:rPr>
          <w:sz w:val="21"/>
        </w:rPr>
        <w:t>应急响应级别</w:t>
      </w:r>
      <w:r>
        <w:rPr>
          <w:spacing w:val="-3"/>
          <w:sz w:val="21"/>
        </w:rPr>
        <w:t>、</w:t>
      </w:r>
      <w:r>
        <w:rPr>
          <w:sz w:val="21"/>
        </w:rPr>
        <w:t>条件及措施一览表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3402"/>
        <w:gridCol w:w="4026"/>
      </w:tblGrid>
      <w:tr>
        <w:trPr>
          <w:trHeight w:val="311" w:hRule="atLeast"/>
        </w:trPr>
        <w:tc>
          <w:tcPr>
            <w:tcW w:w="1102" w:type="dxa"/>
            <w:tcBorders>
              <w:bottom w:val="single" w:sz="6" w:space="0" w:color="000000"/>
              <w:right w:val="single" w:sz="6" w:space="0" w:color="000000"/>
            </w:tcBorders>
          </w:tcPr>
          <w:p>
            <w:pPr>
              <w:pStyle w:val="TableParagraph"/>
              <w:spacing w:line="291" w:lineRule="exact"/>
              <w:ind w:left="109" w:right="89"/>
              <w:rPr>
                <w:sz w:val="21"/>
              </w:rPr>
            </w:pPr>
            <w:r>
              <w:rPr>
                <w:sz w:val="21"/>
              </w:rPr>
              <w:t>响应级别</w:t>
            </w:r>
          </w:p>
        </w:tc>
        <w:tc>
          <w:tcPr>
            <w:tcW w:w="3402" w:type="dxa"/>
            <w:tcBorders>
              <w:left w:val="single" w:sz="6" w:space="0" w:color="000000"/>
              <w:bottom w:val="single" w:sz="6" w:space="0" w:color="000000"/>
              <w:right w:val="single" w:sz="6" w:space="0" w:color="000000"/>
            </w:tcBorders>
          </w:tcPr>
          <w:p>
            <w:pPr>
              <w:pStyle w:val="TableParagraph"/>
              <w:spacing w:line="291" w:lineRule="exact"/>
              <w:ind w:left="1269" w:right="1237"/>
              <w:rPr>
                <w:sz w:val="21"/>
              </w:rPr>
            </w:pPr>
            <w:r>
              <w:rPr>
                <w:sz w:val="21"/>
              </w:rPr>
              <w:t>启动条件</w:t>
            </w:r>
          </w:p>
        </w:tc>
        <w:tc>
          <w:tcPr>
            <w:tcW w:w="4026" w:type="dxa"/>
            <w:tcBorders>
              <w:left w:val="single" w:sz="6" w:space="0" w:color="000000"/>
              <w:bottom w:val="single" w:sz="6" w:space="0" w:color="000000"/>
            </w:tcBorders>
          </w:tcPr>
          <w:p>
            <w:pPr>
              <w:pStyle w:val="TableParagraph"/>
              <w:spacing w:line="291" w:lineRule="exact"/>
              <w:ind w:left="1578" w:right="1545"/>
              <w:rPr>
                <w:sz w:val="21"/>
              </w:rPr>
            </w:pPr>
            <w:r>
              <w:rPr>
                <w:sz w:val="21"/>
              </w:rPr>
              <w:t>响应措施</w:t>
            </w:r>
          </w:p>
        </w:tc>
      </w:tr>
      <w:tr>
        <w:trPr>
          <w:trHeight w:val="937" w:hRule="atLeast"/>
        </w:trPr>
        <w:tc>
          <w:tcPr>
            <w:tcW w:w="1102" w:type="dxa"/>
            <w:tcBorders>
              <w:top w:val="single" w:sz="6" w:space="0" w:color="000000"/>
              <w:bottom w:val="single" w:sz="6" w:space="0" w:color="000000"/>
              <w:right w:val="single" w:sz="6" w:space="0" w:color="000000"/>
            </w:tcBorders>
          </w:tcPr>
          <w:p>
            <w:pPr>
              <w:pStyle w:val="TableParagraph"/>
              <w:spacing w:before="2"/>
              <w:jc w:val="left"/>
              <w:rPr>
                <w:sz w:val="11"/>
              </w:rPr>
            </w:pPr>
          </w:p>
          <w:p>
            <w:pPr>
              <w:pStyle w:val="TableParagraph"/>
              <w:spacing w:before="1"/>
              <w:ind w:left="109" w:right="89"/>
              <w:rPr>
                <w:sz w:val="21"/>
              </w:rPr>
            </w:pPr>
            <w:r>
              <w:rPr>
                <w:sz w:val="21"/>
              </w:rPr>
              <w:t>三级响应</w:t>
            </w:r>
          </w:p>
        </w:tc>
        <w:tc>
          <w:tcPr>
            <w:tcW w:w="3402"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14" w:right="116"/>
              <w:jc w:val="left"/>
              <w:rPr>
                <w:sz w:val="21"/>
              </w:rPr>
            </w:pPr>
            <w:r>
              <w:rPr>
                <w:sz w:val="21"/>
              </w:rPr>
              <w:t>三级环境事件，三级预警时，装置区或储罐区污染物超标，事故废水</w:t>
            </w:r>
          </w:p>
          <w:p>
            <w:pPr>
              <w:pStyle w:val="TableParagraph"/>
              <w:spacing w:line="277" w:lineRule="exact"/>
              <w:ind w:left="114"/>
              <w:jc w:val="left"/>
              <w:rPr>
                <w:sz w:val="21"/>
              </w:rPr>
            </w:pPr>
            <w:r>
              <w:rPr>
                <w:sz w:val="21"/>
              </w:rPr>
              <w:t>等污染物控制在装置区或储罐区</w:t>
            </w:r>
          </w:p>
        </w:tc>
        <w:tc>
          <w:tcPr>
            <w:tcW w:w="4026" w:type="dxa"/>
            <w:tcBorders>
              <w:top w:val="single" w:sz="6" w:space="0" w:color="000000"/>
              <w:left w:val="single" w:sz="6" w:space="0" w:color="000000"/>
              <w:bottom w:val="single" w:sz="6" w:space="0" w:color="000000"/>
            </w:tcBorders>
          </w:tcPr>
          <w:p>
            <w:pPr>
              <w:pStyle w:val="TableParagraph"/>
              <w:spacing w:line="168" w:lineRule="auto" w:before="17"/>
              <w:ind w:left="114" w:right="101"/>
              <w:jc w:val="left"/>
              <w:rPr>
                <w:sz w:val="21"/>
              </w:rPr>
            </w:pPr>
            <w:r>
              <w:rPr>
                <w:sz w:val="21"/>
              </w:rPr>
              <w:t>进行车间内部响应，车间主任组织处置行动，运行现场处置应急预案，并上报公司</w:t>
            </w:r>
          </w:p>
          <w:p>
            <w:pPr>
              <w:pStyle w:val="TableParagraph"/>
              <w:spacing w:line="277" w:lineRule="exact"/>
              <w:ind w:left="114"/>
              <w:jc w:val="left"/>
              <w:rPr>
                <w:sz w:val="21"/>
              </w:rPr>
            </w:pPr>
            <w:r>
              <w:rPr>
                <w:sz w:val="21"/>
              </w:rPr>
              <w:t>领导</w:t>
            </w:r>
          </w:p>
        </w:tc>
      </w:tr>
      <w:tr>
        <w:trPr>
          <w:trHeight w:val="1248" w:hRule="atLeast"/>
        </w:trPr>
        <w:tc>
          <w:tcPr>
            <w:tcW w:w="1102" w:type="dxa"/>
            <w:tcBorders>
              <w:top w:val="single" w:sz="6" w:space="0" w:color="000000"/>
              <w:bottom w:val="single" w:sz="6" w:space="0" w:color="000000"/>
              <w:right w:val="single" w:sz="6" w:space="0" w:color="000000"/>
            </w:tcBorders>
          </w:tcPr>
          <w:p>
            <w:pPr>
              <w:pStyle w:val="TableParagraph"/>
              <w:spacing w:before="8"/>
              <w:jc w:val="left"/>
              <w:rPr>
                <w:sz w:val="18"/>
              </w:rPr>
            </w:pPr>
          </w:p>
          <w:p>
            <w:pPr>
              <w:pStyle w:val="TableParagraph"/>
              <w:ind w:left="109" w:right="89"/>
              <w:rPr>
                <w:sz w:val="21"/>
              </w:rPr>
            </w:pPr>
            <w:r>
              <w:rPr>
                <w:sz w:val="21"/>
              </w:rPr>
              <w:t>二级响应</w:t>
            </w:r>
          </w:p>
        </w:tc>
        <w:tc>
          <w:tcPr>
            <w:tcW w:w="3402"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1"/>
              <w:ind w:left="114" w:right="116"/>
              <w:jc w:val="both"/>
              <w:rPr>
                <w:sz w:val="21"/>
              </w:rPr>
            </w:pPr>
            <w:r>
              <w:rPr>
                <w:sz w:val="21"/>
              </w:rPr>
              <w:t>二级环境事件，二级预警时，污染物泄漏影响关联装置或储罐，未扩散出厂界，污染物控制在厂界内部</w:t>
            </w:r>
          </w:p>
        </w:tc>
        <w:tc>
          <w:tcPr>
            <w:tcW w:w="4026" w:type="dxa"/>
            <w:tcBorders>
              <w:top w:val="single" w:sz="6" w:space="0" w:color="000000"/>
              <w:left w:val="single" w:sz="6" w:space="0" w:color="000000"/>
              <w:bottom w:val="single" w:sz="6" w:space="0" w:color="000000"/>
            </w:tcBorders>
          </w:tcPr>
          <w:p>
            <w:pPr>
              <w:pStyle w:val="TableParagraph"/>
              <w:spacing w:line="168" w:lineRule="auto" w:before="15"/>
              <w:ind w:left="114" w:right="-29"/>
              <w:jc w:val="left"/>
              <w:rPr>
                <w:sz w:val="21"/>
              </w:rPr>
            </w:pPr>
            <w:r>
              <w:rPr>
                <w:spacing w:val="-3"/>
                <w:sz w:val="21"/>
              </w:rPr>
              <w:t>进行公司范围内响应，各职能小组紧急动</w:t>
            </w:r>
            <w:r>
              <w:rPr>
                <w:spacing w:val="-11"/>
                <w:sz w:val="21"/>
              </w:rPr>
              <w:t>员，现场负责人为应急救援指挥部总指挥， </w:t>
            </w:r>
            <w:r>
              <w:rPr>
                <w:spacing w:val="-6"/>
                <w:sz w:val="21"/>
              </w:rPr>
              <w:t>启动综合及专项预案，并根据情况拨打园</w:t>
            </w:r>
          </w:p>
          <w:p>
            <w:pPr>
              <w:pStyle w:val="TableParagraph"/>
              <w:spacing w:line="278" w:lineRule="exact"/>
              <w:ind w:left="114"/>
              <w:jc w:val="left"/>
              <w:rPr>
                <w:sz w:val="21"/>
              </w:rPr>
            </w:pPr>
            <w:r>
              <w:rPr>
                <w:sz w:val="21"/>
              </w:rPr>
              <w:t>区公安、消防、医疗救护电话</w:t>
            </w:r>
          </w:p>
        </w:tc>
      </w:tr>
      <w:tr>
        <w:trPr>
          <w:trHeight w:val="1871" w:hRule="atLeast"/>
        </w:trPr>
        <w:tc>
          <w:tcPr>
            <w:tcW w:w="1102" w:type="dxa"/>
            <w:tcBorders>
              <w:top w:val="single" w:sz="6" w:space="0" w:color="000000"/>
              <w:right w:val="single" w:sz="6" w:space="0" w:color="000000"/>
            </w:tcBorders>
          </w:tcPr>
          <w:p>
            <w:pPr>
              <w:pStyle w:val="TableParagraph"/>
              <w:jc w:val="left"/>
              <w:rPr>
                <w:sz w:val="20"/>
              </w:rPr>
            </w:pPr>
          </w:p>
          <w:p>
            <w:pPr>
              <w:pStyle w:val="TableParagraph"/>
              <w:spacing w:before="2"/>
              <w:jc w:val="left"/>
              <w:rPr>
                <w:sz w:val="13"/>
              </w:rPr>
            </w:pPr>
          </w:p>
          <w:p>
            <w:pPr>
              <w:pStyle w:val="TableParagraph"/>
              <w:ind w:left="109" w:right="89"/>
              <w:rPr>
                <w:sz w:val="21"/>
              </w:rPr>
            </w:pPr>
            <w:r>
              <w:rPr>
                <w:sz w:val="21"/>
              </w:rPr>
              <w:t>一级响应</w:t>
            </w:r>
          </w:p>
        </w:tc>
        <w:tc>
          <w:tcPr>
            <w:tcW w:w="3402" w:type="dxa"/>
            <w:tcBorders>
              <w:top w:val="single" w:sz="6" w:space="0" w:color="000000"/>
              <w:left w:val="single" w:sz="6" w:space="0" w:color="000000"/>
              <w:right w:val="single" w:sz="6" w:space="0" w:color="000000"/>
            </w:tcBorders>
          </w:tcPr>
          <w:p>
            <w:pPr>
              <w:pStyle w:val="TableParagraph"/>
              <w:spacing w:line="168" w:lineRule="auto" w:before="15"/>
              <w:ind w:left="114" w:right="-29"/>
              <w:jc w:val="left"/>
              <w:rPr>
                <w:sz w:val="21"/>
              </w:rPr>
            </w:pPr>
            <w:r>
              <w:rPr>
                <w:spacing w:val="-3"/>
                <w:sz w:val="21"/>
              </w:rPr>
              <w:t>一级环境事件，一级预警时，事故影响超出厂界范围，引起外环境污</w:t>
            </w:r>
            <w:r>
              <w:rPr>
                <w:spacing w:val="-10"/>
                <w:sz w:val="21"/>
              </w:rPr>
              <w:t>染物浓度超标，事故废水流出厂区， </w:t>
            </w:r>
            <w:r>
              <w:rPr>
                <w:spacing w:val="-5"/>
                <w:sz w:val="21"/>
              </w:rPr>
              <w:t>火灾产生的一氧化碳等有毒气体扩</w:t>
            </w:r>
            <w:r>
              <w:rPr>
                <w:spacing w:val="-4"/>
                <w:sz w:val="21"/>
              </w:rPr>
              <w:t>散出厂界，对厂界外敏感目标产生</w:t>
            </w:r>
          </w:p>
          <w:p>
            <w:pPr>
              <w:pStyle w:val="TableParagraph"/>
              <w:spacing w:line="278" w:lineRule="exact"/>
              <w:ind w:left="114"/>
              <w:jc w:val="left"/>
              <w:rPr>
                <w:sz w:val="21"/>
              </w:rPr>
            </w:pPr>
            <w:r>
              <w:rPr>
                <w:sz w:val="21"/>
              </w:rPr>
              <w:t>不利影响</w:t>
            </w:r>
          </w:p>
        </w:tc>
        <w:tc>
          <w:tcPr>
            <w:tcW w:w="4026" w:type="dxa"/>
            <w:tcBorders>
              <w:top w:val="single" w:sz="6" w:space="0" w:color="000000"/>
              <w:left w:val="single" w:sz="6" w:space="0" w:color="000000"/>
            </w:tcBorders>
          </w:tcPr>
          <w:p>
            <w:pPr>
              <w:pStyle w:val="TableParagraph"/>
              <w:spacing w:line="168" w:lineRule="auto" w:before="15"/>
              <w:ind w:left="114" w:right="101"/>
              <w:jc w:val="both"/>
              <w:rPr>
                <w:sz w:val="21"/>
              </w:rPr>
            </w:pPr>
            <w:r>
              <w:rPr>
                <w:sz w:val="21"/>
              </w:rPr>
              <w:t>进行园区范围内响应，各职能小组紧急动员，奔赴事故现场，进行抢险和救援，现场负责人为应急救援指挥部总指挥。应急救援指挥部将事件情况上报园区环保、安监、消防部门，各部门开展相应的紧急救</w:t>
            </w:r>
          </w:p>
          <w:p>
            <w:pPr>
              <w:pStyle w:val="TableParagraph"/>
              <w:spacing w:line="278" w:lineRule="exact"/>
              <w:ind w:left="114"/>
              <w:jc w:val="both"/>
              <w:rPr>
                <w:sz w:val="21"/>
              </w:rPr>
            </w:pPr>
            <w:r>
              <w:rPr>
                <w:sz w:val="21"/>
              </w:rPr>
              <w:t>援工作</w:t>
            </w:r>
          </w:p>
        </w:tc>
      </w:tr>
    </w:tbl>
    <w:p>
      <w:pPr>
        <w:pStyle w:val="Heading5"/>
        <w:numPr>
          <w:ilvl w:val="3"/>
          <w:numId w:val="13"/>
        </w:numPr>
        <w:tabs>
          <w:tab w:pos="1490" w:val="left" w:leader="none"/>
        </w:tabs>
        <w:spacing w:line="240" w:lineRule="auto" w:before="156" w:after="0"/>
        <w:ind w:left="1490" w:right="0" w:hanging="912"/>
        <w:jc w:val="left"/>
      </w:pPr>
      <w:r>
        <w:rPr/>
        <w:t>应急联动机制</w:t>
      </w:r>
    </w:p>
    <w:p>
      <w:pPr>
        <w:pStyle w:val="BodyText"/>
        <w:spacing w:line="220" w:lineRule="auto" w:before="181"/>
        <w:ind w:left="578" w:right="754" w:firstLine="479"/>
        <w:jc w:val="both"/>
      </w:pPr>
      <w:r>
        <w:rPr>
          <w:color w:val="FF0000"/>
          <w:spacing w:val="-4"/>
        </w:rPr>
        <w:t>企业应急预案应与园区及周围企业应急预案相衔接，建立企业与周围企业之前的联动应急体系，与园区应急实现联动：</w:t>
      </w:r>
    </w:p>
    <w:p>
      <w:pPr>
        <w:pStyle w:val="BodyText"/>
        <w:spacing w:line="220" w:lineRule="auto"/>
        <w:ind w:left="578" w:right="751" w:firstLine="479"/>
        <w:jc w:val="both"/>
      </w:pPr>
      <w:r>
        <w:rPr>
          <w:color w:val="FF0000"/>
          <w:spacing w:val="-4"/>
        </w:rPr>
        <w:t>本项目的应急体系应纳入项目周围企业整体应急体系中，建立企业与周围企</w:t>
      </w:r>
      <w:r>
        <w:rPr>
          <w:color w:val="FF0000"/>
          <w:spacing w:val="-9"/>
        </w:rPr>
        <w:t>业安全环保职能管理部门、污水处理厂、公安、消防等部门的通常对接，确保发</w:t>
      </w:r>
      <w:r>
        <w:rPr>
          <w:color w:val="FF0000"/>
          <w:spacing w:val="-13"/>
        </w:rPr>
        <w:t>生风险事故情况下，事故信息能够及时传达到相关部门。企业应急消防队伍应与</w:t>
      </w:r>
      <w:r>
        <w:rPr>
          <w:color w:val="FF0000"/>
          <w:spacing w:val="-16"/>
        </w:rPr>
        <w:t>周围企业消防应急专业队伍建立合作，协同演练消防处置应急方案，做到良好配合，确保发生极端事故情况下，可及时有效配合尽快控制事故影响。</w:t>
      </w:r>
    </w:p>
    <w:p>
      <w:pPr>
        <w:pStyle w:val="Heading3"/>
        <w:numPr>
          <w:ilvl w:val="2"/>
          <w:numId w:val="14"/>
        </w:numPr>
        <w:tabs>
          <w:tab w:pos="1378" w:val="left" w:leader="none"/>
        </w:tabs>
        <w:spacing w:line="240" w:lineRule="auto" w:before="151" w:after="0"/>
        <w:ind w:left="1377" w:right="0" w:hanging="799"/>
        <w:jc w:val="left"/>
      </w:pPr>
      <w:r>
        <w:rPr/>
        <w:t>环境风险应急撤离及疏散要求</w:t>
      </w:r>
    </w:p>
    <w:p>
      <w:pPr>
        <w:pStyle w:val="BodyText"/>
        <w:spacing w:line="488" w:lineRule="exact" w:before="168"/>
        <w:ind w:left="1058"/>
      </w:pPr>
      <w:r>
        <w:rPr/>
        <w:t>厂内应急人员进入及撤离事故现场：</w:t>
      </w:r>
    </w:p>
    <w:p>
      <w:pPr>
        <w:pStyle w:val="BodyText"/>
        <w:spacing w:line="220" w:lineRule="auto" w:before="8"/>
        <w:ind w:left="578" w:right="752" w:firstLine="479"/>
        <w:jc w:val="both"/>
      </w:pPr>
      <w:r>
        <w:rPr/>
        <w:t>发生初期事故时，应急人员在做好防护的基础上，</w:t>
      </w:r>
      <w:r>
        <w:rPr>
          <w:rFonts w:ascii="Times New Roman" w:eastAsia="Times New Roman"/>
        </w:rPr>
        <w:t>5min </w:t>
      </w:r>
      <w:r>
        <w:rPr>
          <w:spacing w:val="-1"/>
        </w:rPr>
        <w:t>内进入事故现场展</w:t>
      </w:r>
      <w:r>
        <w:rPr>
          <w:spacing w:val="-9"/>
        </w:rPr>
        <w:t>开救援，当事故无法控制，威胁到应急人员生命安全时，立即进行撤离，沿公司厂区道路向就近上风向或侧风向厂区出入口集合，并进行疏散。</w:t>
      </w:r>
    </w:p>
    <w:p>
      <w:pPr>
        <w:pStyle w:val="BodyText"/>
        <w:spacing w:line="220" w:lineRule="auto"/>
        <w:ind w:left="578" w:right="752" w:firstLine="479"/>
        <w:jc w:val="both"/>
      </w:pPr>
      <w:r>
        <w:rPr>
          <w:spacing w:val="-5"/>
        </w:rPr>
        <w:t>根据事故发生位置和当时的风向等气象情况，由后勤保障人员指挥，向上风</w:t>
      </w:r>
      <w:r>
        <w:rPr>
          <w:spacing w:val="-10"/>
        </w:rPr>
        <w:t>向疏散，并在上风向设立紧急避难场所，进行人员清点，并将清点结果报告指挥</w:t>
      </w:r>
    </w:p>
    <w:p>
      <w:pPr>
        <w:spacing w:after="0" w:line="220" w:lineRule="auto"/>
        <w:jc w:val="both"/>
        <w:sectPr>
          <w:pgSz w:w="11910" w:h="16840"/>
          <w:pgMar w:header="877" w:footer="973" w:top="1340" w:bottom="1160" w:left="1220" w:right="1040"/>
        </w:sectPr>
      </w:pPr>
    </w:p>
    <w:p>
      <w:pPr>
        <w:pStyle w:val="BodyText"/>
        <w:spacing w:line="220" w:lineRule="auto" w:before="77"/>
        <w:ind w:left="578" w:right="752"/>
      </w:pPr>
      <w:r>
        <w:rPr>
          <w:spacing w:val="-9"/>
        </w:rPr>
        <w:t>组。疏散过程中根据事故严重程度由厂区保卫科共同协调指挥疏导交通，确保及时、安全完成紧急疏散任务。</w:t>
      </w:r>
    </w:p>
    <w:p>
      <w:pPr>
        <w:pStyle w:val="BodyText"/>
        <w:spacing w:line="460" w:lineRule="exact"/>
        <w:ind w:left="1058"/>
      </w:pPr>
      <w:r>
        <w:rPr/>
        <w:t>周边区域人员疏散撤离：</w:t>
      </w:r>
    </w:p>
    <w:p>
      <w:pPr>
        <w:pStyle w:val="BodyText"/>
        <w:spacing w:line="220" w:lineRule="auto" w:before="8"/>
        <w:ind w:left="578" w:right="635" w:firstLine="479"/>
        <w:jc w:val="both"/>
      </w:pPr>
      <w:r>
        <w:rPr>
          <w:spacing w:val="-15"/>
        </w:rPr>
        <w:t>①周边区域人员疏散、撤离原则：周边区域人员疏散、撤离原则为分别按东、</w:t>
      </w:r>
      <w:r>
        <w:rPr>
          <w:spacing w:val="-10"/>
        </w:rPr>
        <w:t>南、西、北四个方向及时迅速撤离危险区域到安全地带。疏散过程中尽量佩戴口</w:t>
      </w:r>
      <w:r>
        <w:rPr>
          <w:spacing w:val="-9"/>
        </w:rPr>
        <w:t>罩等简易防护措施，向上风向撤离，在 </w:t>
      </w:r>
      <w:r>
        <w:rPr>
          <w:rFonts w:ascii="Times New Roman" w:hAnsi="Times New Roman" w:eastAsia="Times New Roman"/>
        </w:rPr>
        <w:t>15min</w:t>
      </w:r>
      <w:r>
        <w:rPr>
          <w:rFonts w:ascii="Times New Roman" w:hAnsi="Times New Roman" w:eastAsia="Times New Roman"/>
          <w:spacing w:val="3"/>
        </w:rPr>
        <w:t>  </w:t>
      </w:r>
      <w:r>
        <w:rPr/>
        <w:t>内完成转移。本项目周边交通通</w:t>
      </w:r>
      <w:r>
        <w:rPr>
          <w:spacing w:val="-16"/>
        </w:rPr>
        <w:t>常，项目厂区以南为海港路，以东为东港路，以西为港西一路，以北为港北一路， 发生事故时对周边四条路进行交通管制，并组织群众向上风向进行疏散。</w:t>
      </w:r>
    </w:p>
    <w:p>
      <w:pPr>
        <w:pStyle w:val="BodyText"/>
        <w:spacing w:line="220" w:lineRule="auto"/>
        <w:ind w:left="578" w:right="751" w:firstLine="479"/>
        <w:jc w:val="both"/>
      </w:pPr>
      <w:r>
        <w:rPr>
          <w:spacing w:val="-6"/>
        </w:rPr>
        <w:t>②撤离地点及后勤保障：根据事故发生位置和当时风向等气象情况，向上风</w:t>
      </w:r>
      <w:r>
        <w:rPr>
          <w:spacing w:val="-10"/>
        </w:rPr>
        <w:t>向疏散，并在上风向设立紧急避难场所。撤离地点一般为安全地带内的广场，并</w:t>
      </w:r>
      <w:r>
        <w:rPr>
          <w:spacing w:val="-13"/>
        </w:rPr>
        <w:t>为撤离人员提供食品、饮用水等生活必需品。根据区域特点，本项目设置两处紧</w:t>
      </w:r>
      <w:r>
        <w:rPr>
          <w:spacing w:val="-14"/>
        </w:rPr>
        <w:t>急避难场所，分别为项目东南侧东营港保税区广场和西北侧山东天弘化学有限公司运动场，发生事故时，可根据当时的风向，选择位于上风向的紧急避难所。</w:t>
      </w:r>
    </w:p>
    <w:p>
      <w:pPr>
        <w:pStyle w:val="BodyText"/>
        <w:spacing w:line="460" w:lineRule="exact"/>
        <w:ind w:left="1058"/>
      </w:pPr>
      <w:r>
        <w:rPr/>
        <w:t>交通管制：</w:t>
      </w:r>
    </w:p>
    <w:p>
      <w:pPr>
        <w:pStyle w:val="BodyText"/>
        <w:spacing w:line="220" w:lineRule="auto" w:before="8"/>
        <w:ind w:left="578" w:right="752" w:firstLine="479"/>
        <w:jc w:val="both"/>
      </w:pPr>
      <w:r>
        <w:rPr>
          <w:spacing w:val="-6"/>
        </w:rPr>
        <w:t>①发生突发环境事故时，保卫科协同交警部门，对周边道路进行管控，限制无关车辆进入现场附近。</w:t>
      </w:r>
    </w:p>
    <w:p>
      <w:pPr>
        <w:pStyle w:val="BodyText"/>
        <w:spacing w:line="220" w:lineRule="auto"/>
        <w:ind w:left="578" w:right="755" w:firstLine="479"/>
        <w:jc w:val="both"/>
      </w:pPr>
      <w:r>
        <w:rPr>
          <w:spacing w:val="-5"/>
        </w:rPr>
        <w:t>②临时安置场所设在上风向区域的空地，由企业应急总指挥和当地政府根据现场风向、救援情况指定。</w:t>
      </w:r>
    </w:p>
    <w:p>
      <w:pPr>
        <w:pStyle w:val="BodyText"/>
        <w:spacing w:line="220" w:lineRule="auto"/>
        <w:ind w:left="578" w:right="752" w:firstLine="479"/>
        <w:jc w:val="both"/>
      </w:pPr>
      <w:r>
        <w:rPr>
          <w:spacing w:val="-6"/>
        </w:rPr>
        <w:t>③发生有毒有害气体扩散事件时，公司东南西北四个方向的道路全部进行交</w:t>
      </w:r>
      <w:r>
        <w:rPr>
          <w:spacing w:val="-11"/>
        </w:rPr>
        <w:t>通管制，不允许车辆进入。现场具体的道路隔离和交通疏导方案由现场公安人员根据实际风向等情况进行调整，企业应急人员进行协助。</w:t>
      </w:r>
    </w:p>
    <w:p>
      <w:pPr>
        <w:pStyle w:val="Heading3"/>
        <w:numPr>
          <w:ilvl w:val="2"/>
          <w:numId w:val="14"/>
        </w:numPr>
        <w:tabs>
          <w:tab w:pos="1378" w:val="left" w:leader="none"/>
        </w:tabs>
        <w:spacing w:line="240" w:lineRule="auto" w:before="150" w:after="0"/>
        <w:ind w:left="1377" w:right="0" w:hanging="799"/>
        <w:jc w:val="left"/>
      </w:pPr>
      <w:r>
        <w:rPr/>
        <w:t>事故应急监测方案</w:t>
      </w:r>
    </w:p>
    <w:p>
      <w:pPr>
        <w:pStyle w:val="BodyText"/>
        <w:spacing w:line="220" w:lineRule="auto" w:before="197"/>
        <w:ind w:left="578" w:right="752" w:firstLine="479"/>
        <w:jc w:val="both"/>
      </w:pPr>
      <w:r>
        <w:rPr>
          <w:spacing w:val="-9"/>
        </w:rPr>
        <w:t>若发生事故，应根据事故波及范围确定监测方案，监测人员应在必要的防护</w:t>
      </w:r>
      <w:r>
        <w:rPr>
          <w:spacing w:val="-13"/>
        </w:rPr>
        <w:t>措施和保证安全的情况下进入处理现场采样。此外，监测方案应根据事故的具体情况由指挥部作调整和安排。事故发生时应急监测方案见表</w:t>
      </w:r>
      <w:r>
        <w:rPr>
          <w:rFonts w:ascii="Times New Roman" w:eastAsia="Times New Roman"/>
          <w:spacing w:val="-13"/>
        </w:rPr>
        <w:t>7.8-2</w:t>
      </w:r>
      <w:r>
        <w:rPr>
          <w:spacing w:val="-13"/>
        </w:rPr>
        <w:t>。</w:t>
      </w:r>
    </w:p>
    <w:p>
      <w:pPr>
        <w:tabs>
          <w:tab w:pos="1213" w:val="left" w:leader="none"/>
        </w:tabs>
        <w:spacing w:before="162" w:after="25"/>
        <w:ind w:left="302" w:right="0" w:firstLine="0"/>
        <w:jc w:val="center"/>
        <w:rPr>
          <w:sz w:val="21"/>
        </w:rPr>
      </w:pPr>
      <w:r>
        <w:rPr>
          <w:sz w:val="21"/>
        </w:rPr>
        <w:t>表</w:t>
      </w:r>
      <w:r>
        <w:rPr>
          <w:spacing w:val="7"/>
          <w:sz w:val="21"/>
        </w:rPr>
        <w:t> </w:t>
      </w:r>
      <w:r>
        <w:rPr>
          <w:rFonts w:ascii="Times New Roman" w:eastAsia="Times New Roman"/>
          <w:b/>
          <w:sz w:val="21"/>
        </w:rPr>
        <w:t>7.8-2</w:t>
        <w:tab/>
      </w:r>
      <w:r>
        <w:rPr>
          <w:sz w:val="21"/>
        </w:rPr>
        <w:t>事故应急监测</w:t>
      </w:r>
      <w:r>
        <w:rPr>
          <w:spacing w:val="-3"/>
          <w:sz w:val="21"/>
        </w:rPr>
        <w:t>方</w:t>
      </w:r>
      <w:r>
        <w:rPr>
          <w:sz w:val="21"/>
        </w:rPr>
        <w:t>案</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7"/>
        <w:gridCol w:w="1347"/>
        <w:gridCol w:w="6145"/>
      </w:tblGrid>
      <w:tr>
        <w:trPr>
          <w:trHeight w:val="467" w:hRule="atLeast"/>
        </w:trPr>
        <w:tc>
          <w:tcPr>
            <w:tcW w:w="1037" w:type="dxa"/>
            <w:tcBorders>
              <w:bottom w:val="single" w:sz="6" w:space="0" w:color="000000"/>
              <w:right w:val="single" w:sz="6" w:space="0" w:color="000000"/>
            </w:tcBorders>
          </w:tcPr>
          <w:p>
            <w:pPr>
              <w:pStyle w:val="TableParagraph"/>
              <w:spacing w:line="443" w:lineRule="exact"/>
              <w:ind w:left="134" w:right="113"/>
              <w:rPr>
                <w:sz w:val="21"/>
              </w:rPr>
            </w:pPr>
            <w:r>
              <w:rPr>
                <w:sz w:val="21"/>
              </w:rPr>
              <w:t>项目</w:t>
            </w:r>
          </w:p>
        </w:tc>
        <w:tc>
          <w:tcPr>
            <w:tcW w:w="7492" w:type="dxa"/>
            <w:gridSpan w:val="2"/>
            <w:tcBorders>
              <w:left w:val="single" w:sz="6" w:space="0" w:color="000000"/>
              <w:bottom w:val="single" w:sz="6" w:space="0" w:color="000000"/>
            </w:tcBorders>
          </w:tcPr>
          <w:p>
            <w:pPr>
              <w:pStyle w:val="TableParagraph"/>
              <w:spacing w:line="443" w:lineRule="exact"/>
              <w:ind w:left="3312" w:right="3276"/>
              <w:rPr>
                <w:sz w:val="21"/>
              </w:rPr>
            </w:pPr>
            <w:r>
              <w:rPr>
                <w:sz w:val="21"/>
              </w:rPr>
              <w:t>监测制度</w:t>
            </w:r>
          </w:p>
        </w:tc>
      </w:tr>
      <w:tr>
        <w:trPr>
          <w:trHeight w:val="469" w:hRule="atLeast"/>
        </w:trPr>
        <w:tc>
          <w:tcPr>
            <w:tcW w:w="1037" w:type="dxa"/>
            <w:tcBorders>
              <w:top w:val="single" w:sz="6" w:space="0" w:color="000000"/>
              <w:right w:val="single" w:sz="6" w:space="0" w:color="000000"/>
            </w:tcBorders>
          </w:tcPr>
          <w:p>
            <w:pPr>
              <w:pStyle w:val="TableParagraph"/>
              <w:spacing w:before="1"/>
              <w:ind w:left="134" w:right="113"/>
              <w:rPr>
                <w:sz w:val="21"/>
              </w:rPr>
            </w:pPr>
            <w:r>
              <w:rPr>
                <w:sz w:val="21"/>
              </w:rPr>
              <w:t>大气应</w:t>
            </w:r>
          </w:p>
        </w:tc>
        <w:tc>
          <w:tcPr>
            <w:tcW w:w="1347" w:type="dxa"/>
            <w:tcBorders>
              <w:top w:val="single" w:sz="6" w:space="0" w:color="000000"/>
              <w:left w:val="single" w:sz="6" w:space="0" w:color="000000"/>
              <w:right w:val="single" w:sz="6" w:space="0" w:color="000000"/>
            </w:tcBorders>
          </w:tcPr>
          <w:p>
            <w:pPr>
              <w:pStyle w:val="TableParagraph"/>
              <w:spacing w:before="1"/>
              <w:ind w:left="258"/>
              <w:jc w:val="left"/>
              <w:rPr>
                <w:sz w:val="21"/>
              </w:rPr>
            </w:pPr>
            <w:r>
              <w:rPr>
                <w:color w:val="FF0000"/>
                <w:sz w:val="21"/>
              </w:rPr>
              <w:t>监测因子</w:t>
            </w:r>
          </w:p>
        </w:tc>
        <w:tc>
          <w:tcPr>
            <w:tcW w:w="6145" w:type="dxa"/>
            <w:tcBorders>
              <w:top w:val="single" w:sz="6" w:space="0" w:color="000000"/>
              <w:left w:val="single" w:sz="6" w:space="0" w:color="000000"/>
            </w:tcBorders>
          </w:tcPr>
          <w:p>
            <w:pPr>
              <w:pStyle w:val="TableParagraph"/>
              <w:spacing w:before="1"/>
              <w:ind w:left="114"/>
              <w:jc w:val="left"/>
              <w:rPr>
                <w:sz w:val="21"/>
              </w:rPr>
            </w:pPr>
            <w:r>
              <w:rPr>
                <w:color w:val="FF0000"/>
                <w:sz w:val="21"/>
              </w:rPr>
              <w:t>选择风险事故污染因子</w:t>
            </w:r>
          </w:p>
        </w:tc>
      </w:tr>
    </w:tbl>
    <w:p>
      <w:pPr>
        <w:spacing w:after="0"/>
        <w:jc w:val="lef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7"/>
        <w:gridCol w:w="1347"/>
        <w:gridCol w:w="6145"/>
      </w:tblGrid>
      <w:tr>
        <w:trPr>
          <w:trHeight w:val="623" w:hRule="atLeast"/>
        </w:trPr>
        <w:tc>
          <w:tcPr>
            <w:tcW w:w="1037" w:type="dxa"/>
            <w:vMerge w:val="restart"/>
            <w:tcBorders>
              <w:bottom w:val="single" w:sz="6" w:space="0" w:color="000000"/>
              <w:right w:val="single" w:sz="6" w:space="0" w:color="000000"/>
            </w:tcBorders>
          </w:tcPr>
          <w:p>
            <w:pPr>
              <w:pStyle w:val="TableParagraph"/>
              <w:spacing w:before="1"/>
              <w:ind w:left="200"/>
              <w:jc w:val="left"/>
              <w:rPr>
                <w:sz w:val="21"/>
              </w:rPr>
            </w:pPr>
            <w:r>
              <w:rPr>
                <w:sz w:val="21"/>
              </w:rPr>
              <w:t>急监测</w:t>
            </w:r>
          </w:p>
        </w:tc>
        <w:tc>
          <w:tcPr>
            <w:tcW w:w="1347" w:type="dxa"/>
            <w:tcBorders>
              <w:left w:val="single" w:sz="6" w:space="0" w:color="000000"/>
              <w:bottom w:val="single" w:sz="6" w:space="0" w:color="000000"/>
              <w:right w:val="single" w:sz="6" w:space="0" w:color="000000"/>
            </w:tcBorders>
          </w:tcPr>
          <w:p>
            <w:pPr>
              <w:pStyle w:val="TableParagraph"/>
              <w:spacing w:before="77"/>
              <w:ind w:left="134" w:right="107"/>
              <w:rPr>
                <w:sz w:val="21"/>
              </w:rPr>
            </w:pPr>
            <w:r>
              <w:rPr>
                <w:sz w:val="21"/>
              </w:rPr>
              <w:t>监测频率</w:t>
            </w:r>
          </w:p>
        </w:tc>
        <w:tc>
          <w:tcPr>
            <w:tcW w:w="6145" w:type="dxa"/>
            <w:tcBorders>
              <w:left w:val="single" w:sz="6" w:space="0" w:color="000000"/>
              <w:bottom w:val="single" w:sz="6" w:space="0" w:color="000000"/>
            </w:tcBorders>
          </w:tcPr>
          <w:p>
            <w:pPr>
              <w:pStyle w:val="TableParagraph"/>
              <w:spacing w:line="302" w:lineRule="exact"/>
              <w:ind w:left="114"/>
              <w:jc w:val="left"/>
              <w:rPr>
                <w:sz w:val="21"/>
              </w:rPr>
            </w:pPr>
            <w:r>
              <w:rPr>
                <w:sz w:val="21"/>
              </w:rPr>
              <w:t>按照事故持续时间决定监测时间，事故发生及处理过程中进行随</w:t>
            </w:r>
          </w:p>
          <w:p>
            <w:pPr>
              <w:pStyle w:val="TableParagraph"/>
              <w:spacing w:line="302" w:lineRule="exact"/>
              <w:ind w:left="114"/>
              <w:jc w:val="left"/>
              <w:rPr>
                <w:sz w:val="21"/>
              </w:rPr>
            </w:pPr>
            <w:r>
              <w:rPr>
                <w:sz w:val="21"/>
              </w:rPr>
              <w:t>时监测，过后</w:t>
            </w:r>
            <w:r>
              <w:rPr>
                <w:rFonts w:ascii="Times New Roman" w:eastAsia="Times New Roman"/>
                <w:sz w:val="21"/>
              </w:rPr>
              <w:t>20</w:t>
            </w:r>
            <w:r>
              <w:rPr>
                <w:sz w:val="21"/>
              </w:rPr>
              <w:t>分钟一次直到应急结束</w:t>
            </w:r>
          </w:p>
        </w:tc>
      </w:tr>
      <w:tr>
        <w:trPr>
          <w:trHeight w:val="625" w:hRule="atLeast"/>
        </w:trPr>
        <w:tc>
          <w:tcPr>
            <w:tcW w:w="1037" w:type="dxa"/>
            <w:vMerge/>
            <w:tcBorders>
              <w:top w:val="nil"/>
              <w:bottom w:val="single" w:sz="6" w:space="0" w:color="000000"/>
              <w:right w:val="single" w:sz="6" w:space="0" w:color="000000"/>
            </w:tcBorders>
          </w:tcPr>
          <w:p>
            <w:pPr>
              <w:rPr>
                <w:sz w:val="2"/>
                <w:szCs w:val="2"/>
              </w:rPr>
            </w:pP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80"/>
              <w:ind w:left="134" w:right="107"/>
              <w:rPr>
                <w:sz w:val="21"/>
              </w:rPr>
            </w:pPr>
            <w:r>
              <w:rPr>
                <w:sz w:val="21"/>
              </w:rPr>
              <w:t>监测布点</w:t>
            </w:r>
          </w:p>
        </w:tc>
        <w:tc>
          <w:tcPr>
            <w:tcW w:w="6145" w:type="dxa"/>
            <w:tcBorders>
              <w:top w:val="single" w:sz="6" w:space="0" w:color="000000"/>
              <w:left w:val="single" w:sz="6" w:space="0" w:color="000000"/>
              <w:bottom w:val="single" w:sz="6" w:space="0" w:color="000000"/>
            </w:tcBorders>
          </w:tcPr>
          <w:p>
            <w:pPr>
              <w:pStyle w:val="TableParagraph"/>
              <w:spacing w:line="303" w:lineRule="exact"/>
              <w:ind w:left="114"/>
              <w:jc w:val="left"/>
              <w:rPr>
                <w:sz w:val="21"/>
              </w:rPr>
            </w:pPr>
            <w:r>
              <w:rPr>
                <w:sz w:val="21"/>
              </w:rPr>
              <w:t>按事故发生时的主导风向的下风向，考虑区域功能，主要考虑下</w:t>
            </w:r>
          </w:p>
          <w:p>
            <w:pPr>
              <w:pStyle w:val="TableParagraph"/>
              <w:spacing w:line="303" w:lineRule="exact"/>
              <w:ind w:left="114"/>
              <w:jc w:val="left"/>
              <w:rPr>
                <w:sz w:val="21"/>
              </w:rPr>
            </w:pPr>
            <w:r>
              <w:rPr>
                <w:sz w:val="21"/>
              </w:rPr>
              <w:t>风向及距离较近的敏感点：中柴沟村、后柴沟村、前鲍家村。</w:t>
            </w:r>
          </w:p>
        </w:tc>
      </w:tr>
      <w:tr>
        <w:trPr>
          <w:trHeight w:val="623" w:hRule="atLeast"/>
        </w:trPr>
        <w:tc>
          <w:tcPr>
            <w:tcW w:w="1037" w:type="dxa"/>
            <w:vMerge/>
            <w:tcBorders>
              <w:top w:val="nil"/>
              <w:bottom w:val="single" w:sz="6" w:space="0" w:color="000000"/>
              <w:right w:val="single" w:sz="6" w:space="0" w:color="000000"/>
            </w:tcBorders>
          </w:tcPr>
          <w:p>
            <w:pPr>
              <w:rPr>
                <w:sz w:val="2"/>
                <w:szCs w:val="2"/>
              </w:rPr>
            </w:pP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34" w:right="107"/>
              <w:rPr>
                <w:sz w:val="21"/>
              </w:rPr>
            </w:pPr>
            <w:r>
              <w:rPr>
                <w:sz w:val="21"/>
              </w:rPr>
              <w:t>采样分析、</w:t>
            </w:r>
          </w:p>
          <w:p>
            <w:pPr>
              <w:pStyle w:val="TableParagraph"/>
              <w:spacing w:line="303" w:lineRule="exact"/>
              <w:ind w:left="134" w:right="107"/>
              <w:rPr>
                <w:sz w:val="21"/>
              </w:rPr>
            </w:pPr>
            <w:r>
              <w:rPr>
                <w:sz w:val="21"/>
              </w:rPr>
              <w:t>数据处理</w:t>
            </w:r>
          </w:p>
        </w:tc>
        <w:tc>
          <w:tcPr>
            <w:tcW w:w="6145" w:type="dxa"/>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sz w:val="21"/>
              </w:rPr>
              <w:t>按照《空气和废气监测分析方法》、《环境监测技术规范》的有</w:t>
            </w:r>
          </w:p>
          <w:p>
            <w:pPr>
              <w:pStyle w:val="TableParagraph"/>
              <w:spacing w:line="303" w:lineRule="exact"/>
              <w:ind w:left="114"/>
              <w:jc w:val="left"/>
              <w:rPr>
                <w:sz w:val="21"/>
              </w:rPr>
            </w:pPr>
            <w:r>
              <w:rPr>
                <w:sz w:val="21"/>
              </w:rPr>
              <w:t>关规定进行</w:t>
            </w:r>
          </w:p>
        </w:tc>
      </w:tr>
      <w:tr>
        <w:trPr>
          <w:trHeight w:val="615" w:hRule="atLeast"/>
        </w:trPr>
        <w:tc>
          <w:tcPr>
            <w:tcW w:w="1037" w:type="dxa"/>
            <w:vMerge w:val="restart"/>
            <w:tcBorders>
              <w:top w:val="single" w:sz="6" w:space="0" w:color="000000"/>
              <w:right w:val="single" w:sz="6" w:space="0" w:color="000000"/>
            </w:tcBorders>
          </w:tcPr>
          <w:p>
            <w:pPr>
              <w:pStyle w:val="TableParagraph"/>
              <w:spacing w:before="8"/>
              <w:jc w:val="left"/>
              <w:rPr>
                <w:sz w:val="19"/>
              </w:rPr>
            </w:pPr>
          </w:p>
          <w:p>
            <w:pPr>
              <w:pStyle w:val="TableParagraph"/>
              <w:spacing w:line="252" w:lineRule="auto"/>
              <w:ind w:left="200" w:right="177"/>
              <w:jc w:val="both"/>
              <w:rPr>
                <w:sz w:val="21"/>
              </w:rPr>
            </w:pPr>
            <w:r>
              <w:rPr>
                <w:sz w:val="21"/>
              </w:rPr>
              <w:t>水环境应急监测</w:t>
            </w: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77"/>
              <w:ind w:left="134" w:right="107"/>
              <w:rPr>
                <w:sz w:val="21"/>
              </w:rPr>
            </w:pPr>
            <w:r>
              <w:rPr>
                <w:color w:val="FF0000"/>
                <w:sz w:val="21"/>
              </w:rPr>
              <w:t>监测项目</w:t>
            </w:r>
          </w:p>
        </w:tc>
        <w:tc>
          <w:tcPr>
            <w:tcW w:w="6145" w:type="dxa"/>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color w:val="FF0000"/>
                <w:sz w:val="21"/>
              </w:rPr>
              <w:t>根据事故范围选择适当的监测因子。选择</w:t>
            </w:r>
            <w:r>
              <w:rPr>
                <w:rFonts w:ascii="Times New Roman" w:eastAsia="Times New Roman"/>
                <w:color w:val="FF0000"/>
                <w:sz w:val="21"/>
              </w:rPr>
              <w:t>pH</w:t>
            </w:r>
            <w:r>
              <w:rPr>
                <w:color w:val="FF0000"/>
                <w:sz w:val="21"/>
              </w:rPr>
              <w:t>、</w:t>
            </w:r>
            <w:r>
              <w:rPr>
                <w:rFonts w:ascii="Times New Roman" w:eastAsia="Times New Roman"/>
                <w:color w:val="FF0000"/>
                <w:sz w:val="21"/>
              </w:rPr>
              <w:t>COD</w:t>
            </w:r>
            <w:r>
              <w:rPr>
                <w:color w:val="FF0000"/>
                <w:sz w:val="21"/>
              </w:rPr>
              <w:t>、氨氮、泄漏</w:t>
            </w:r>
          </w:p>
          <w:p>
            <w:pPr>
              <w:pStyle w:val="TableParagraph"/>
              <w:spacing w:line="296" w:lineRule="exact"/>
              <w:ind w:left="114"/>
              <w:jc w:val="left"/>
              <w:rPr>
                <w:sz w:val="21"/>
              </w:rPr>
            </w:pPr>
            <w:r>
              <w:rPr>
                <w:color w:val="FF0000"/>
                <w:sz w:val="21"/>
              </w:rPr>
              <w:t>物料等作为监测因子</w:t>
            </w:r>
          </w:p>
        </w:tc>
      </w:tr>
      <w:tr>
        <w:trPr>
          <w:trHeight w:val="296" w:hRule="atLeast"/>
        </w:trPr>
        <w:tc>
          <w:tcPr>
            <w:tcW w:w="1037" w:type="dxa"/>
            <w:vMerge/>
            <w:tcBorders>
              <w:top w:val="nil"/>
              <w:right w:val="single" w:sz="6" w:space="0" w:color="000000"/>
            </w:tcBorders>
          </w:tcPr>
          <w:p>
            <w:pPr>
              <w:rPr>
                <w:sz w:val="2"/>
                <w:szCs w:val="2"/>
              </w:rPr>
            </w:pP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34" w:right="107"/>
              <w:rPr>
                <w:sz w:val="21"/>
              </w:rPr>
            </w:pPr>
            <w:r>
              <w:rPr>
                <w:sz w:val="21"/>
              </w:rPr>
              <w:t>监测布点</w:t>
            </w:r>
          </w:p>
        </w:tc>
        <w:tc>
          <w:tcPr>
            <w:tcW w:w="6145" w:type="dxa"/>
            <w:tcBorders>
              <w:top w:val="single" w:sz="6" w:space="0" w:color="000000"/>
              <w:left w:val="single" w:sz="6" w:space="0" w:color="000000"/>
              <w:bottom w:val="single" w:sz="6" w:space="0" w:color="000000"/>
            </w:tcBorders>
          </w:tcPr>
          <w:p>
            <w:pPr>
              <w:pStyle w:val="TableParagraph"/>
              <w:spacing w:line="276" w:lineRule="exact"/>
              <w:ind w:left="114"/>
              <w:jc w:val="left"/>
              <w:rPr>
                <w:sz w:val="21"/>
              </w:rPr>
            </w:pPr>
            <w:r>
              <w:rPr>
                <w:sz w:val="21"/>
              </w:rPr>
              <w:t>可根据事故废水的去向布点监测，布置在厂区总排口等</w:t>
            </w:r>
          </w:p>
        </w:tc>
      </w:tr>
      <w:tr>
        <w:trPr>
          <w:trHeight w:val="611" w:hRule="atLeast"/>
        </w:trPr>
        <w:tc>
          <w:tcPr>
            <w:tcW w:w="1037" w:type="dxa"/>
            <w:vMerge/>
            <w:tcBorders>
              <w:top w:val="nil"/>
              <w:right w:val="single" w:sz="6" w:space="0" w:color="000000"/>
            </w:tcBorders>
          </w:tcPr>
          <w:p>
            <w:pPr>
              <w:rPr>
                <w:sz w:val="2"/>
                <w:szCs w:val="2"/>
              </w:rPr>
            </w:pPr>
          </w:p>
        </w:tc>
        <w:tc>
          <w:tcPr>
            <w:tcW w:w="1347" w:type="dxa"/>
            <w:tcBorders>
              <w:top w:val="single" w:sz="6" w:space="0" w:color="000000"/>
              <w:left w:val="single" w:sz="6" w:space="0" w:color="000000"/>
              <w:bottom w:val="single" w:sz="6" w:space="0" w:color="000000"/>
              <w:right w:val="single" w:sz="6" w:space="0" w:color="000000"/>
            </w:tcBorders>
          </w:tcPr>
          <w:p>
            <w:pPr>
              <w:pStyle w:val="TableParagraph"/>
              <w:spacing w:before="72"/>
              <w:ind w:left="134" w:right="107"/>
              <w:rPr>
                <w:sz w:val="21"/>
              </w:rPr>
            </w:pPr>
            <w:r>
              <w:rPr>
                <w:sz w:val="21"/>
              </w:rPr>
              <w:t>监测频率</w:t>
            </w:r>
          </w:p>
        </w:tc>
        <w:tc>
          <w:tcPr>
            <w:tcW w:w="6145" w:type="dxa"/>
            <w:tcBorders>
              <w:top w:val="single" w:sz="6" w:space="0" w:color="000000"/>
              <w:left w:val="single" w:sz="6" w:space="0" w:color="000000"/>
              <w:bottom w:val="single" w:sz="6" w:space="0" w:color="000000"/>
            </w:tcBorders>
          </w:tcPr>
          <w:p>
            <w:pPr>
              <w:pStyle w:val="TableParagraph"/>
              <w:spacing w:line="295" w:lineRule="exact"/>
              <w:ind w:left="114"/>
              <w:jc w:val="left"/>
              <w:rPr>
                <w:sz w:val="21"/>
              </w:rPr>
            </w:pPr>
            <w:r>
              <w:rPr>
                <w:sz w:val="21"/>
              </w:rPr>
              <w:t>按照事故持续时间决定监测时间，事故发生及处理过程中进行随</w:t>
            </w:r>
          </w:p>
          <w:p>
            <w:pPr>
              <w:pStyle w:val="TableParagraph"/>
              <w:spacing w:line="296" w:lineRule="exact"/>
              <w:ind w:left="114"/>
              <w:jc w:val="left"/>
              <w:rPr>
                <w:sz w:val="21"/>
              </w:rPr>
            </w:pPr>
            <w:r>
              <w:rPr>
                <w:sz w:val="21"/>
              </w:rPr>
              <w:t>时监测，过后</w:t>
            </w:r>
            <w:r>
              <w:rPr>
                <w:rFonts w:ascii="Times New Roman" w:eastAsia="Times New Roman"/>
                <w:sz w:val="21"/>
              </w:rPr>
              <w:t>20</w:t>
            </w:r>
            <w:r>
              <w:rPr>
                <w:sz w:val="21"/>
              </w:rPr>
              <w:t>分钟一次直到应急结束</w:t>
            </w:r>
          </w:p>
        </w:tc>
      </w:tr>
      <w:tr>
        <w:trPr>
          <w:trHeight w:val="613" w:hRule="atLeast"/>
        </w:trPr>
        <w:tc>
          <w:tcPr>
            <w:tcW w:w="1037" w:type="dxa"/>
            <w:vMerge/>
            <w:tcBorders>
              <w:top w:val="nil"/>
              <w:right w:val="single" w:sz="6" w:space="0" w:color="000000"/>
            </w:tcBorders>
          </w:tcPr>
          <w:p>
            <w:pPr>
              <w:rPr>
                <w:sz w:val="2"/>
                <w:szCs w:val="2"/>
              </w:rPr>
            </w:pPr>
          </w:p>
        </w:tc>
        <w:tc>
          <w:tcPr>
            <w:tcW w:w="1347" w:type="dxa"/>
            <w:tcBorders>
              <w:top w:val="single" w:sz="6" w:space="0" w:color="000000"/>
              <w:left w:val="single" w:sz="6" w:space="0" w:color="000000"/>
              <w:right w:val="single" w:sz="6" w:space="0" w:color="000000"/>
            </w:tcBorders>
          </w:tcPr>
          <w:p>
            <w:pPr>
              <w:pStyle w:val="TableParagraph"/>
              <w:spacing w:line="293" w:lineRule="exact"/>
              <w:ind w:left="134" w:right="107"/>
              <w:rPr>
                <w:sz w:val="21"/>
              </w:rPr>
            </w:pPr>
            <w:r>
              <w:rPr>
                <w:sz w:val="21"/>
              </w:rPr>
              <w:t>采样分析、</w:t>
            </w:r>
          </w:p>
          <w:p>
            <w:pPr>
              <w:pStyle w:val="TableParagraph"/>
              <w:spacing w:line="300" w:lineRule="exact"/>
              <w:ind w:left="134" w:right="107"/>
              <w:rPr>
                <w:sz w:val="21"/>
              </w:rPr>
            </w:pPr>
            <w:r>
              <w:rPr>
                <w:sz w:val="21"/>
              </w:rPr>
              <w:t>数据处理</w:t>
            </w:r>
          </w:p>
        </w:tc>
        <w:tc>
          <w:tcPr>
            <w:tcW w:w="6145" w:type="dxa"/>
            <w:tcBorders>
              <w:top w:val="single" w:sz="6" w:space="0" w:color="000000"/>
              <w:left w:val="single" w:sz="6" w:space="0" w:color="000000"/>
            </w:tcBorders>
          </w:tcPr>
          <w:p>
            <w:pPr>
              <w:pStyle w:val="TableParagraph"/>
              <w:spacing w:line="293" w:lineRule="exact"/>
              <w:ind w:left="114" w:right="-44"/>
              <w:jc w:val="left"/>
              <w:rPr>
                <w:sz w:val="21"/>
              </w:rPr>
            </w:pPr>
            <w:r>
              <w:rPr>
                <w:spacing w:val="-8"/>
                <w:sz w:val="21"/>
              </w:rPr>
              <w:t>按照《环境水质监测质量保证手册》、《水和废水监测分析方法》</w:t>
            </w:r>
          </w:p>
          <w:p>
            <w:pPr>
              <w:pStyle w:val="TableParagraph"/>
              <w:spacing w:line="300" w:lineRule="exact"/>
              <w:ind w:left="114"/>
              <w:jc w:val="left"/>
              <w:rPr>
                <w:sz w:val="21"/>
              </w:rPr>
            </w:pPr>
            <w:r>
              <w:rPr>
                <w:sz w:val="21"/>
              </w:rPr>
              <w:t>的有关规定进行</w:t>
            </w:r>
          </w:p>
        </w:tc>
      </w:tr>
    </w:tbl>
    <w:p>
      <w:pPr>
        <w:pStyle w:val="BodyText"/>
        <w:spacing w:before="2"/>
        <w:rPr>
          <w:sz w:val="8"/>
        </w:rPr>
      </w:pPr>
    </w:p>
    <w:p>
      <w:pPr>
        <w:pStyle w:val="BodyText"/>
        <w:spacing w:line="440" w:lineRule="exact"/>
        <w:ind w:left="1058"/>
      </w:pPr>
      <w:r>
        <w:rPr/>
        <w:t>企业应制定详细的应急监测计划，配备必要的应急监测设备、人员，具备事</w:t>
      </w:r>
    </w:p>
    <w:p>
      <w:pPr>
        <w:pStyle w:val="BodyText"/>
        <w:spacing w:line="488" w:lineRule="exact"/>
        <w:ind w:left="578"/>
      </w:pPr>
      <w:r>
        <w:rPr/>
        <w:t>故状况下应急监测的能力。</w:t>
      </w:r>
    </w:p>
    <w:p>
      <w:pPr>
        <w:pStyle w:val="Heading3"/>
        <w:numPr>
          <w:ilvl w:val="2"/>
          <w:numId w:val="14"/>
        </w:numPr>
        <w:tabs>
          <w:tab w:pos="1378" w:val="left" w:leader="none"/>
        </w:tabs>
        <w:spacing w:line="240" w:lineRule="auto" w:before="138" w:after="0"/>
        <w:ind w:left="1377" w:right="0" w:hanging="799"/>
        <w:jc w:val="left"/>
      </w:pPr>
      <w:r>
        <w:rPr/>
        <w:t>环境风险管理完善建议</w:t>
      </w:r>
    </w:p>
    <w:p>
      <w:pPr>
        <w:pStyle w:val="BodyText"/>
        <w:spacing w:line="220" w:lineRule="auto" w:before="197"/>
        <w:ind w:left="578" w:right="751" w:firstLine="479"/>
        <w:jc w:val="both"/>
      </w:pPr>
      <w:r>
        <w:rPr>
          <w:rFonts w:ascii="Times New Roman" w:eastAsia="Times New Roman"/>
        </w:rPr>
        <w:t>1</w:t>
      </w:r>
      <w:r>
        <w:rPr/>
        <w:t>、企业应强化风险监控和预警机制。针对潜在危险源，如盐酸罐区、甲类</w:t>
      </w:r>
      <w:r>
        <w:rPr>
          <w:spacing w:val="-9"/>
        </w:rPr>
        <w:t>仓库、液体仓库、易制毒库、硝酸库等，设置实时监控系统，并严格落实巡检制</w:t>
      </w:r>
      <w:r>
        <w:rPr>
          <w:spacing w:val="-10"/>
        </w:rPr>
        <w:t>度，排查存在安全隐患；对设置的有毒气体泄漏报警仪、可燃气体报警仪、压力</w:t>
      </w:r>
      <w:r>
        <w:rPr>
          <w:spacing w:val="-13"/>
        </w:rPr>
        <w:t>报警器等系统定期进行监测确保其正常运行，并建立自动应急消防系统，确保发生事故情况下能够第一时间切断危险源，采取应急处置措施。</w:t>
      </w:r>
    </w:p>
    <w:p>
      <w:pPr>
        <w:pStyle w:val="BodyText"/>
        <w:spacing w:line="220" w:lineRule="auto"/>
        <w:ind w:left="578" w:right="752" w:firstLine="479"/>
        <w:jc w:val="both"/>
      </w:pPr>
      <w:r>
        <w:rPr>
          <w:rFonts w:ascii="Times New Roman" w:eastAsia="Times New Roman"/>
        </w:rPr>
        <w:t>2</w:t>
      </w:r>
      <w:r>
        <w:rPr/>
        <w:t>、根据企业现有危险化学品的使用及危险单元分布情况规范并完善企业应</w:t>
      </w:r>
      <w:r>
        <w:rPr>
          <w:spacing w:val="-9"/>
        </w:rPr>
        <w:t>急预案。完善应急物资、消防器材的配备以及人员的培训，企业应严格按照《燃</w:t>
      </w:r>
      <w:r>
        <w:rPr>
          <w:spacing w:val="-17"/>
        </w:rPr>
        <w:t>煤发电厂液氨罐区安全管理规定》</w:t>
      </w:r>
      <w:r>
        <w:rPr>
          <w:spacing w:val="-28"/>
        </w:rPr>
        <w:t>、《建筑设计防火规范》</w:t>
      </w:r>
      <w:r>
        <w:rPr>
          <w:spacing w:val="-17"/>
        </w:rPr>
        <w:t>、《石油化工防火设计规</w:t>
      </w:r>
      <w:r>
        <w:rPr>
          <w:spacing w:val="-10"/>
        </w:rPr>
        <w:t>范》等要求配备相应应急物资和消防器材，并进行日常维护和保养，确保应急器</w:t>
      </w:r>
      <w:r>
        <w:rPr>
          <w:spacing w:val="-12"/>
        </w:rPr>
        <w:t>材完好可用。加强应急演练和安全培训，提高工作人员的安全意识和应急救援专业能力。</w:t>
      </w:r>
    </w:p>
    <w:p>
      <w:pPr>
        <w:pStyle w:val="Heading3"/>
        <w:numPr>
          <w:ilvl w:val="2"/>
          <w:numId w:val="14"/>
        </w:numPr>
        <w:tabs>
          <w:tab w:pos="1378" w:val="left" w:leader="none"/>
        </w:tabs>
        <w:spacing w:line="240" w:lineRule="auto" w:before="150" w:after="0"/>
        <w:ind w:left="1377" w:right="0" w:hanging="799"/>
        <w:jc w:val="left"/>
      </w:pPr>
      <w:r>
        <w:rPr/>
        <w:t>风险防范措施一览表</w:t>
      </w:r>
    </w:p>
    <w:p>
      <w:pPr>
        <w:tabs>
          <w:tab w:pos="1218" w:val="left" w:leader="none"/>
        </w:tabs>
        <w:spacing w:before="203" w:after="24"/>
        <w:ind w:left="306" w:right="0" w:firstLine="0"/>
        <w:jc w:val="center"/>
        <w:rPr>
          <w:sz w:val="21"/>
        </w:rPr>
      </w:pPr>
      <w:r>
        <w:rPr>
          <w:sz w:val="21"/>
        </w:rPr>
        <w:t>表</w:t>
      </w:r>
      <w:r>
        <w:rPr>
          <w:spacing w:val="7"/>
          <w:sz w:val="21"/>
        </w:rPr>
        <w:t> </w:t>
      </w:r>
      <w:r>
        <w:rPr>
          <w:rFonts w:ascii="Times New Roman" w:eastAsia="Times New Roman"/>
          <w:b/>
          <w:sz w:val="21"/>
        </w:rPr>
        <w:t>7.8-3</w:t>
        <w:tab/>
      </w:r>
      <w:r>
        <w:rPr>
          <w:sz w:val="21"/>
        </w:rPr>
        <w:t>企业风险防范</w:t>
      </w:r>
      <w:r>
        <w:rPr>
          <w:spacing w:val="-3"/>
          <w:sz w:val="21"/>
        </w:rPr>
        <w:t>措</w:t>
      </w:r>
      <w:r>
        <w:rPr>
          <w:sz w:val="21"/>
        </w:rPr>
        <w:t>施一览表</w:t>
      </w: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9"/>
        <w:gridCol w:w="7009"/>
      </w:tblGrid>
      <w:tr>
        <w:trPr>
          <w:trHeight w:val="380" w:hRule="atLeast"/>
        </w:trPr>
        <w:tc>
          <w:tcPr>
            <w:tcW w:w="1519" w:type="dxa"/>
            <w:tcBorders>
              <w:bottom w:val="single" w:sz="6" w:space="0" w:color="000000"/>
              <w:right w:val="single" w:sz="6" w:space="0" w:color="000000"/>
            </w:tcBorders>
          </w:tcPr>
          <w:p>
            <w:pPr>
              <w:pStyle w:val="TableParagraph"/>
              <w:spacing w:line="361" w:lineRule="exact"/>
              <w:ind w:left="102" w:right="81"/>
              <w:rPr>
                <w:sz w:val="21"/>
              </w:rPr>
            </w:pPr>
            <w:r>
              <w:rPr>
                <w:sz w:val="21"/>
              </w:rPr>
              <w:t>风险单元</w:t>
            </w:r>
          </w:p>
        </w:tc>
        <w:tc>
          <w:tcPr>
            <w:tcW w:w="7009" w:type="dxa"/>
            <w:tcBorders>
              <w:left w:val="single" w:sz="6" w:space="0" w:color="000000"/>
              <w:bottom w:val="single" w:sz="6" w:space="0" w:color="000000"/>
            </w:tcBorders>
          </w:tcPr>
          <w:p>
            <w:pPr>
              <w:pStyle w:val="TableParagraph"/>
              <w:spacing w:line="361" w:lineRule="exact"/>
              <w:ind w:left="106" w:right="72"/>
              <w:rPr>
                <w:sz w:val="21"/>
              </w:rPr>
            </w:pPr>
            <w:r>
              <w:rPr>
                <w:sz w:val="21"/>
              </w:rPr>
              <w:t>采取的风险控制（防治）措施</w:t>
            </w:r>
          </w:p>
        </w:tc>
      </w:tr>
      <w:tr>
        <w:trPr>
          <w:trHeight w:val="378" w:hRule="atLeast"/>
        </w:trPr>
        <w:tc>
          <w:tcPr>
            <w:tcW w:w="1519" w:type="dxa"/>
            <w:tcBorders>
              <w:top w:val="single" w:sz="6" w:space="0" w:color="000000"/>
              <w:right w:val="single" w:sz="6" w:space="0" w:color="000000"/>
            </w:tcBorders>
          </w:tcPr>
          <w:p>
            <w:pPr>
              <w:pStyle w:val="TableParagraph"/>
              <w:spacing w:line="359" w:lineRule="exact"/>
              <w:ind w:left="99" w:right="81"/>
              <w:rPr>
                <w:sz w:val="21"/>
              </w:rPr>
            </w:pPr>
            <w:r>
              <w:rPr>
                <w:sz w:val="21"/>
              </w:rPr>
              <w:t>储罐储罐</w:t>
            </w:r>
          </w:p>
        </w:tc>
        <w:tc>
          <w:tcPr>
            <w:tcW w:w="7009" w:type="dxa"/>
            <w:tcBorders>
              <w:top w:val="single" w:sz="6" w:space="0" w:color="000000"/>
              <w:left w:val="single" w:sz="6" w:space="0" w:color="000000"/>
            </w:tcBorders>
          </w:tcPr>
          <w:p>
            <w:pPr>
              <w:pStyle w:val="TableParagraph"/>
              <w:spacing w:line="359" w:lineRule="exact"/>
              <w:ind w:left="109" w:right="72"/>
              <w:rPr>
                <w:sz w:val="21"/>
              </w:rPr>
            </w:pPr>
            <w:r>
              <w:rPr>
                <w:spacing w:val="-4"/>
                <w:w w:val="100"/>
                <w:sz w:val="21"/>
              </w:rPr>
              <w:t>设置围堰防护堤</w:t>
            </w:r>
            <w:r>
              <w:rPr>
                <w:w w:val="100"/>
                <w:sz w:val="21"/>
              </w:rPr>
              <w:t>（</w:t>
            </w:r>
            <w:r>
              <w:rPr>
                <w:spacing w:val="-4"/>
                <w:w w:val="100"/>
                <w:sz w:val="21"/>
              </w:rPr>
              <w:t>盐酸储罐：</w:t>
            </w:r>
            <w:r>
              <w:rPr>
                <w:rFonts w:ascii="Times New Roman" w:eastAsia="Times New Roman"/>
                <w:w w:val="100"/>
                <w:sz w:val="21"/>
              </w:rPr>
              <w:t>9.5</w:t>
            </w:r>
            <w:r>
              <w:rPr>
                <w:rFonts w:ascii="Times New Roman" w:eastAsia="Times New Roman"/>
                <w:spacing w:val="-5"/>
                <w:w w:val="100"/>
                <w:sz w:val="21"/>
              </w:rPr>
              <w:t>*</w:t>
            </w:r>
            <w:r>
              <w:rPr>
                <w:rFonts w:ascii="Times New Roman" w:eastAsia="Times New Roman"/>
                <w:spacing w:val="2"/>
                <w:w w:val="100"/>
                <w:sz w:val="21"/>
              </w:rPr>
              <w:t>5</w:t>
            </w:r>
            <w:r>
              <w:rPr>
                <w:rFonts w:ascii="Times New Roman" w:eastAsia="Times New Roman"/>
                <w:spacing w:val="-5"/>
                <w:w w:val="100"/>
                <w:sz w:val="21"/>
              </w:rPr>
              <w:t>*</w:t>
            </w:r>
            <w:r>
              <w:rPr>
                <w:rFonts w:ascii="Times New Roman" w:eastAsia="Times New Roman"/>
                <w:w w:val="100"/>
                <w:sz w:val="21"/>
              </w:rPr>
              <w:t>0.53</w:t>
            </w:r>
            <w:r>
              <w:rPr>
                <w:spacing w:val="-4"/>
                <w:w w:val="100"/>
                <w:sz w:val="21"/>
              </w:rPr>
              <w:t>、液碱储罐：</w:t>
            </w:r>
            <w:r>
              <w:rPr>
                <w:rFonts w:ascii="Times New Roman" w:eastAsia="Times New Roman"/>
                <w:w w:val="100"/>
                <w:sz w:val="21"/>
              </w:rPr>
              <w:t>5</w:t>
            </w:r>
            <w:r>
              <w:rPr>
                <w:rFonts w:ascii="Times New Roman" w:eastAsia="Times New Roman"/>
                <w:spacing w:val="-5"/>
                <w:w w:val="100"/>
                <w:sz w:val="21"/>
              </w:rPr>
              <w:t>*</w:t>
            </w:r>
            <w:r>
              <w:rPr>
                <w:rFonts w:ascii="Times New Roman" w:eastAsia="Times New Roman"/>
                <w:w w:val="100"/>
                <w:sz w:val="21"/>
              </w:rPr>
              <w:t>3.</w:t>
            </w:r>
            <w:r>
              <w:rPr>
                <w:rFonts w:ascii="Times New Roman" w:eastAsia="Times New Roman"/>
                <w:spacing w:val="2"/>
                <w:w w:val="100"/>
                <w:sz w:val="21"/>
              </w:rPr>
              <w:t>2</w:t>
            </w:r>
            <w:r>
              <w:rPr>
                <w:rFonts w:ascii="Times New Roman" w:eastAsia="Times New Roman"/>
                <w:spacing w:val="-5"/>
                <w:w w:val="100"/>
                <w:sz w:val="21"/>
              </w:rPr>
              <w:t>*</w:t>
            </w:r>
            <w:r>
              <w:rPr>
                <w:rFonts w:ascii="Times New Roman" w:eastAsia="Times New Roman"/>
                <w:w w:val="100"/>
                <w:sz w:val="21"/>
              </w:rPr>
              <w:t>0.5</w:t>
            </w:r>
            <w:r>
              <w:rPr>
                <w:rFonts w:ascii="Times New Roman" w:eastAsia="Times New Roman"/>
                <w:spacing w:val="1"/>
                <w:w w:val="100"/>
                <w:sz w:val="21"/>
              </w:rPr>
              <w:t>3</w:t>
            </w:r>
            <w:r>
              <w:rPr>
                <w:spacing w:val="-106"/>
                <w:w w:val="100"/>
                <w:sz w:val="21"/>
              </w:rPr>
              <w:t>）</w:t>
            </w:r>
            <w:r>
              <w:rPr>
                <w:spacing w:val="-3"/>
                <w:w w:val="100"/>
                <w:sz w:val="21"/>
              </w:rPr>
              <w:t>，以确保</w:t>
            </w:r>
          </w:p>
        </w:tc>
      </w:tr>
    </w:tbl>
    <w:p>
      <w:pPr>
        <w:spacing w:after="0" w:line="359" w:lineRule="exact"/>
        <w:rPr>
          <w:sz w:val="21"/>
        </w:rPr>
        <w:sectPr>
          <w:pgSz w:w="11910" w:h="16840"/>
          <w:pgMar w:header="877" w:footer="973" w:top="1340" w:bottom="1160" w:left="1220" w:right="1040"/>
        </w:sectPr>
      </w:pPr>
    </w:p>
    <w:p>
      <w:pPr>
        <w:pStyle w:val="BodyText"/>
        <w:spacing w:before="20"/>
        <w:rPr>
          <w:sz w:val="3"/>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9"/>
        <w:gridCol w:w="7009"/>
      </w:tblGrid>
      <w:tr>
        <w:trPr>
          <w:trHeight w:val="381" w:hRule="atLeast"/>
        </w:trPr>
        <w:tc>
          <w:tcPr>
            <w:tcW w:w="1519" w:type="dxa"/>
            <w:vMerge w:val="restart"/>
            <w:tcBorders>
              <w:bottom w:val="single" w:sz="6" w:space="0" w:color="000000"/>
              <w:right w:val="single" w:sz="6" w:space="0" w:color="000000"/>
            </w:tcBorders>
          </w:tcPr>
          <w:p>
            <w:pPr>
              <w:pStyle w:val="TableParagraph"/>
              <w:jc w:val="left"/>
              <w:rPr>
                <w:rFonts w:ascii="Times New Roman"/>
                <w:sz w:val="22"/>
              </w:rPr>
            </w:pPr>
          </w:p>
        </w:tc>
        <w:tc>
          <w:tcPr>
            <w:tcW w:w="7009" w:type="dxa"/>
            <w:tcBorders>
              <w:left w:val="single" w:sz="6" w:space="0" w:color="000000"/>
              <w:bottom w:val="single" w:sz="6" w:space="0" w:color="000000"/>
            </w:tcBorders>
          </w:tcPr>
          <w:p>
            <w:pPr>
              <w:pStyle w:val="TableParagraph"/>
              <w:spacing w:line="361" w:lineRule="exact"/>
              <w:ind w:left="112"/>
              <w:jc w:val="left"/>
              <w:rPr>
                <w:sz w:val="21"/>
              </w:rPr>
            </w:pPr>
            <w:r>
              <w:rPr>
                <w:sz w:val="21"/>
              </w:rPr>
              <w:t>泄漏事故发生对泄漏物料的收集</w:t>
            </w:r>
          </w:p>
        </w:tc>
      </w:tr>
      <w:tr>
        <w:trPr>
          <w:trHeight w:val="378" w:hRule="atLeast"/>
        </w:trPr>
        <w:tc>
          <w:tcPr>
            <w:tcW w:w="1519" w:type="dxa"/>
            <w:vMerge/>
            <w:tcBorders>
              <w:top w:val="nil"/>
              <w:bottom w:val="single" w:sz="6" w:space="0" w:color="000000"/>
              <w:right w:val="single" w:sz="6" w:space="0" w:color="000000"/>
            </w:tcBorders>
          </w:tcPr>
          <w:p>
            <w:pPr>
              <w:rPr>
                <w:sz w:val="2"/>
                <w:szCs w:val="2"/>
              </w:rPr>
            </w:pPr>
          </w:p>
        </w:tc>
        <w:tc>
          <w:tcPr>
            <w:tcW w:w="7009" w:type="dxa"/>
            <w:tcBorders>
              <w:top w:val="single" w:sz="6" w:space="0" w:color="000000"/>
              <w:left w:val="single" w:sz="6" w:space="0" w:color="000000"/>
              <w:bottom w:val="single" w:sz="6" w:space="0" w:color="000000"/>
            </w:tcBorders>
          </w:tcPr>
          <w:p>
            <w:pPr>
              <w:pStyle w:val="TableParagraph"/>
              <w:spacing w:line="359" w:lineRule="exact"/>
              <w:ind w:left="112"/>
              <w:jc w:val="left"/>
              <w:rPr>
                <w:sz w:val="21"/>
              </w:rPr>
            </w:pPr>
            <w:r>
              <w:rPr>
                <w:sz w:val="21"/>
              </w:rPr>
              <w:t>原料储罐在进、出料时，严格按照操作规程执行，杜绝违规操作。</w:t>
            </w:r>
          </w:p>
        </w:tc>
      </w:tr>
      <w:tr>
        <w:trPr>
          <w:trHeight w:val="760" w:hRule="atLeast"/>
        </w:trPr>
        <w:tc>
          <w:tcPr>
            <w:tcW w:w="1519" w:type="dxa"/>
            <w:tcBorders>
              <w:top w:val="single" w:sz="6" w:space="0" w:color="000000"/>
              <w:bottom w:val="single" w:sz="6" w:space="0" w:color="000000"/>
              <w:right w:val="single" w:sz="6" w:space="0" w:color="000000"/>
            </w:tcBorders>
          </w:tcPr>
          <w:p>
            <w:pPr>
              <w:pStyle w:val="TableParagraph"/>
              <w:spacing w:line="380" w:lineRule="exact" w:before="3"/>
              <w:ind w:left="107" w:right="82"/>
              <w:jc w:val="left"/>
              <w:rPr>
                <w:sz w:val="21"/>
              </w:rPr>
            </w:pPr>
            <w:r>
              <w:rPr>
                <w:sz w:val="21"/>
              </w:rPr>
              <w:t>生产车间、仓库、罐区</w:t>
            </w:r>
          </w:p>
        </w:tc>
        <w:tc>
          <w:tcPr>
            <w:tcW w:w="7009" w:type="dxa"/>
            <w:tcBorders>
              <w:top w:val="single" w:sz="6" w:space="0" w:color="000000"/>
              <w:left w:val="single" w:sz="6" w:space="0" w:color="000000"/>
              <w:bottom w:val="single" w:sz="6" w:space="0" w:color="000000"/>
            </w:tcBorders>
          </w:tcPr>
          <w:p>
            <w:pPr>
              <w:pStyle w:val="TableParagraph"/>
              <w:spacing w:line="380" w:lineRule="exact" w:before="3"/>
              <w:ind w:left="112" w:right="72"/>
              <w:jc w:val="left"/>
              <w:rPr>
                <w:sz w:val="21"/>
              </w:rPr>
            </w:pPr>
            <w:r>
              <w:rPr>
                <w:sz w:val="21"/>
              </w:rPr>
              <w:t>安装了有毒、有害物质泄漏报警控制器、火灾报警仪、有毒气体检测仪、监控摄像头等</w:t>
            </w:r>
          </w:p>
        </w:tc>
      </w:tr>
      <w:tr>
        <w:trPr>
          <w:trHeight w:val="397" w:hRule="atLeast"/>
        </w:trPr>
        <w:tc>
          <w:tcPr>
            <w:tcW w:w="1519" w:type="dxa"/>
            <w:tcBorders>
              <w:top w:val="single" w:sz="6" w:space="0" w:color="000000"/>
              <w:bottom w:val="single" w:sz="6" w:space="0" w:color="000000"/>
              <w:right w:val="single" w:sz="6" w:space="0" w:color="000000"/>
            </w:tcBorders>
          </w:tcPr>
          <w:p>
            <w:pPr>
              <w:pStyle w:val="TableParagraph"/>
              <w:spacing w:line="370" w:lineRule="exact" w:before="7"/>
              <w:ind w:left="102" w:right="81"/>
              <w:rPr>
                <w:sz w:val="21"/>
              </w:rPr>
            </w:pPr>
            <w:r>
              <w:rPr>
                <w:sz w:val="21"/>
              </w:rPr>
              <w:t>厂区防渗</w:t>
            </w:r>
          </w:p>
        </w:tc>
        <w:tc>
          <w:tcPr>
            <w:tcW w:w="7009" w:type="dxa"/>
            <w:tcBorders>
              <w:top w:val="single" w:sz="6" w:space="0" w:color="000000"/>
              <w:left w:val="single" w:sz="6" w:space="0" w:color="000000"/>
              <w:bottom w:val="single" w:sz="6" w:space="0" w:color="000000"/>
            </w:tcBorders>
          </w:tcPr>
          <w:p>
            <w:pPr>
              <w:pStyle w:val="TableParagraph"/>
              <w:spacing w:line="370" w:lineRule="exact" w:before="7"/>
              <w:ind w:left="112"/>
              <w:jc w:val="left"/>
              <w:rPr>
                <w:sz w:val="21"/>
              </w:rPr>
            </w:pPr>
            <w:r>
              <w:rPr>
                <w:sz w:val="21"/>
              </w:rPr>
              <w:t>罐区、甲类仓库、易制毒库、液体仓库、废水处理设施等处严格防渗措施</w:t>
            </w:r>
          </w:p>
        </w:tc>
      </w:tr>
      <w:tr>
        <w:trPr>
          <w:trHeight w:val="400" w:hRule="atLeast"/>
        </w:trPr>
        <w:tc>
          <w:tcPr>
            <w:tcW w:w="1519" w:type="dxa"/>
            <w:tcBorders>
              <w:top w:val="single" w:sz="6" w:space="0" w:color="000000"/>
              <w:bottom w:val="single" w:sz="6" w:space="0" w:color="000000"/>
              <w:right w:val="single" w:sz="6" w:space="0" w:color="000000"/>
            </w:tcBorders>
          </w:tcPr>
          <w:p>
            <w:pPr>
              <w:pStyle w:val="TableParagraph"/>
              <w:spacing w:line="370" w:lineRule="exact" w:before="10"/>
              <w:ind w:left="105" w:right="81"/>
              <w:rPr>
                <w:sz w:val="21"/>
              </w:rPr>
            </w:pPr>
            <w:r>
              <w:rPr>
                <w:sz w:val="21"/>
              </w:rPr>
              <w:t>预警监测体系</w:t>
            </w:r>
          </w:p>
        </w:tc>
        <w:tc>
          <w:tcPr>
            <w:tcW w:w="7009" w:type="dxa"/>
            <w:tcBorders>
              <w:top w:val="single" w:sz="6" w:space="0" w:color="000000"/>
              <w:left w:val="single" w:sz="6" w:space="0" w:color="000000"/>
              <w:bottom w:val="single" w:sz="6" w:space="0" w:color="000000"/>
            </w:tcBorders>
          </w:tcPr>
          <w:p>
            <w:pPr>
              <w:pStyle w:val="TableParagraph"/>
              <w:spacing w:line="370" w:lineRule="exact" w:before="10"/>
              <w:ind w:left="112"/>
              <w:jc w:val="left"/>
              <w:rPr>
                <w:sz w:val="21"/>
              </w:rPr>
            </w:pPr>
            <w:r>
              <w:rPr>
                <w:sz w:val="21"/>
              </w:rPr>
              <w:t>按照省厅鲁环发</w:t>
            </w:r>
            <w:r>
              <w:rPr>
                <w:rFonts w:ascii="Times New Roman" w:eastAsia="Times New Roman"/>
                <w:sz w:val="21"/>
              </w:rPr>
              <w:t>[2008]80 </w:t>
            </w:r>
            <w:r>
              <w:rPr>
                <w:sz w:val="21"/>
              </w:rPr>
              <w:t>号要求，在项目厂区排水口设置预警监测点</w:t>
            </w:r>
          </w:p>
        </w:tc>
      </w:tr>
      <w:tr>
        <w:trPr>
          <w:trHeight w:val="801" w:hRule="atLeast"/>
        </w:trPr>
        <w:tc>
          <w:tcPr>
            <w:tcW w:w="1519" w:type="dxa"/>
            <w:tcBorders>
              <w:top w:val="single" w:sz="6" w:space="0" w:color="000000"/>
              <w:bottom w:val="single" w:sz="6" w:space="0" w:color="000000"/>
              <w:right w:val="single" w:sz="6" w:space="0" w:color="000000"/>
            </w:tcBorders>
          </w:tcPr>
          <w:p>
            <w:pPr>
              <w:pStyle w:val="TableParagraph"/>
              <w:spacing w:before="18"/>
              <w:jc w:val="left"/>
              <w:rPr>
                <w:sz w:val="9"/>
              </w:rPr>
            </w:pPr>
          </w:p>
          <w:p>
            <w:pPr>
              <w:pStyle w:val="TableParagraph"/>
              <w:spacing w:before="1"/>
              <w:ind w:left="102" w:right="81"/>
              <w:rPr>
                <w:sz w:val="21"/>
              </w:rPr>
            </w:pPr>
            <w:r>
              <w:rPr>
                <w:sz w:val="21"/>
              </w:rPr>
              <w:t>消防保障</w:t>
            </w:r>
          </w:p>
        </w:tc>
        <w:tc>
          <w:tcPr>
            <w:tcW w:w="7009" w:type="dxa"/>
            <w:tcBorders>
              <w:top w:val="single" w:sz="6" w:space="0" w:color="000000"/>
              <w:left w:val="single" w:sz="6" w:space="0" w:color="000000"/>
              <w:bottom w:val="single" w:sz="6" w:space="0" w:color="000000"/>
            </w:tcBorders>
          </w:tcPr>
          <w:p>
            <w:pPr>
              <w:pStyle w:val="TableParagraph"/>
              <w:spacing w:line="423" w:lineRule="exact" w:before="8"/>
              <w:ind w:left="112"/>
              <w:jc w:val="left"/>
              <w:rPr>
                <w:sz w:val="21"/>
              </w:rPr>
            </w:pPr>
            <w:r>
              <w:rPr>
                <w:sz w:val="21"/>
              </w:rPr>
              <w:t>配备必要的应急救援器材、设备和现场作业人员安全防护物品支出，消防</w:t>
            </w:r>
          </w:p>
          <w:p>
            <w:pPr>
              <w:pStyle w:val="TableParagraph"/>
              <w:spacing w:line="350" w:lineRule="exact"/>
              <w:ind w:left="112"/>
              <w:jc w:val="left"/>
              <w:rPr>
                <w:sz w:val="21"/>
              </w:rPr>
            </w:pPr>
            <w:r>
              <w:rPr>
                <w:sz w:val="21"/>
              </w:rPr>
              <w:t>设备，器材等</w:t>
            </w:r>
          </w:p>
        </w:tc>
      </w:tr>
      <w:tr>
        <w:trPr>
          <w:trHeight w:val="799" w:hRule="atLeast"/>
        </w:trPr>
        <w:tc>
          <w:tcPr>
            <w:tcW w:w="1519" w:type="dxa"/>
            <w:tcBorders>
              <w:top w:val="single" w:sz="6" w:space="0" w:color="000000"/>
              <w:bottom w:val="single" w:sz="6" w:space="0" w:color="000000"/>
              <w:right w:val="single" w:sz="6" w:space="0" w:color="000000"/>
            </w:tcBorders>
          </w:tcPr>
          <w:p>
            <w:pPr>
              <w:pStyle w:val="TableParagraph"/>
              <w:spacing w:before="17"/>
              <w:jc w:val="left"/>
              <w:rPr>
                <w:sz w:val="9"/>
              </w:rPr>
            </w:pPr>
          </w:p>
          <w:p>
            <w:pPr>
              <w:pStyle w:val="TableParagraph"/>
              <w:ind w:left="105" w:right="81"/>
              <w:rPr>
                <w:sz w:val="21"/>
              </w:rPr>
            </w:pPr>
            <w:r>
              <w:rPr>
                <w:sz w:val="21"/>
              </w:rPr>
              <w:t>应急监测方案</w:t>
            </w:r>
          </w:p>
        </w:tc>
        <w:tc>
          <w:tcPr>
            <w:tcW w:w="7009" w:type="dxa"/>
            <w:tcBorders>
              <w:top w:val="single" w:sz="6" w:space="0" w:color="000000"/>
              <w:left w:val="single" w:sz="6" w:space="0" w:color="000000"/>
              <w:bottom w:val="single" w:sz="6" w:space="0" w:color="000000"/>
            </w:tcBorders>
          </w:tcPr>
          <w:p>
            <w:pPr>
              <w:pStyle w:val="TableParagraph"/>
              <w:spacing w:line="423" w:lineRule="exact" w:before="8"/>
              <w:ind w:left="112"/>
              <w:jc w:val="left"/>
              <w:rPr>
                <w:sz w:val="21"/>
              </w:rPr>
            </w:pPr>
            <w:r>
              <w:rPr>
                <w:sz w:val="21"/>
              </w:rPr>
              <w:t>根据泄漏物料确定监测因子；根据事故严重性决定监测频次；事故废水不</w:t>
            </w:r>
          </w:p>
          <w:p>
            <w:pPr>
              <w:pStyle w:val="TableParagraph"/>
              <w:spacing w:line="347" w:lineRule="exact"/>
              <w:ind w:left="112"/>
              <w:jc w:val="left"/>
              <w:rPr>
                <w:sz w:val="21"/>
              </w:rPr>
            </w:pPr>
            <w:r>
              <w:rPr>
                <w:sz w:val="21"/>
              </w:rPr>
              <w:t>外排</w:t>
            </w:r>
          </w:p>
        </w:tc>
      </w:tr>
      <w:tr>
        <w:trPr>
          <w:trHeight w:val="400" w:hRule="atLeast"/>
        </w:trPr>
        <w:tc>
          <w:tcPr>
            <w:tcW w:w="1519" w:type="dxa"/>
            <w:tcBorders>
              <w:top w:val="single" w:sz="6" w:space="0" w:color="000000"/>
              <w:bottom w:val="single" w:sz="6" w:space="0" w:color="000000"/>
              <w:right w:val="single" w:sz="6" w:space="0" w:color="000000"/>
            </w:tcBorders>
          </w:tcPr>
          <w:p>
            <w:pPr>
              <w:pStyle w:val="TableParagraph"/>
              <w:spacing w:line="370" w:lineRule="exact" w:before="10"/>
              <w:ind w:left="102" w:right="81"/>
              <w:rPr>
                <w:sz w:val="21"/>
              </w:rPr>
            </w:pPr>
            <w:r>
              <w:rPr>
                <w:sz w:val="21"/>
              </w:rPr>
              <w:t>事故废水</w:t>
            </w:r>
          </w:p>
        </w:tc>
        <w:tc>
          <w:tcPr>
            <w:tcW w:w="7009" w:type="dxa"/>
            <w:tcBorders>
              <w:top w:val="single" w:sz="6" w:space="0" w:color="000000"/>
              <w:left w:val="single" w:sz="6" w:space="0" w:color="000000"/>
              <w:bottom w:val="single" w:sz="6" w:space="0" w:color="000000"/>
            </w:tcBorders>
          </w:tcPr>
          <w:p>
            <w:pPr>
              <w:pStyle w:val="TableParagraph"/>
              <w:spacing w:line="370" w:lineRule="exact" w:before="10"/>
              <w:ind w:left="112"/>
              <w:jc w:val="left"/>
              <w:rPr>
                <w:sz w:val="21"/>
              </w:rPr>
            </w:pPr>
            <w:r>
              <w:rPr>
                <w:sz w:val="21"/>
              </w:rPr>
              <w:t>建设 </w:t>
            </w:r>
            <w:r>
              <w:rPr>
                <w:rFonts w:ascii="Times New Roman" w:eastAsia="Times New Roman"/>
                <w:sz w:val="21"/>
              </w:rPr>
              <w:t>1 </w:t>
            </w:r>
            <w:r>
              <w:rPr>
                <w:sz w:val="21"/>
              </w:rPr>
              <w:t>座 </w:t>
            </w:r>
            <w:r>
              <w:rPr>
                <w:rFonts w:ascii="Times New Roman" w:eastAsia="Times New Roman"/>
                <w:sz w:val="21"/>
              </w:rPr>
              <w:t>2000m</w:t>
            </w:r>
            <w:r>
              <w:rPr>
                <w:rFonts w:ascii="Times New Roman" w:eastAsia="Times New Roman"/>
                <w:position w:val="7"/>
                <w:sz w:val="14"/>
              </w:rPr>
              <w:t>3 </w:t>
            </w:r>
            <w:r>
              <w:rPr>
                <w:sz w:val="21"/>
              </w:rPr>
              <w:t>事故水池，导排系统</w:t>
            </w:r>
          </w:p>
        </w:tc>
      </w:tr>
      <w:tr>
        <w:trPr>
          <w:trHeight w:val="399" w:hRule="atLeast"/>
        </w:trPr>
        <w:tc>
          <w:tcPr>
            <w:tcW w:w="1519" w:type="dxa"/>
            <w:tcBorders>
              <w:top w:val="single" w:sz="6" w:space="0" w:color="000000"/>
              <w:right w:val="single" w:sz="6" w:space="0" w:color="000000"/>
            </w:tcBorders>
          </w:tcPr>
          <w:p>
            <w:pPr>
              <w:pStyle w:val="TableParagraph"/>
              <w:spacing w:line="369" w:lineRule="exact" w:before="10"/>
              <w:ind w:left="105" w:right="81"/>
              <w:rPr>
                <w:sz w:val="21"/>
              </w:rPr>
            </w:pPr>
            <w:r>
              <w:rPr>
                <w:sz w:val="21"/>
              </w:rPr>
              <w:t>环境风险管理</w:t>
            </w:r>
          </w:p>
        </w:tc>
        <w:tc>
          <w:tcPr>
            <w:tcW w:w="7009" w:type="dxa"/>
            <w:tcBorders>
              <w:top w:val="single" w:sz="6" w:space="0" w:color="000000"/>
              <w:left w:val="single" w:sz="6" w:space="0" w:color="000000"/>
            </w:tcBorders>
          </w:tcPr>
          <w:p>
            <w:pPr>
              <w:pStyle w:val="TableParagraph"/>
              <w:spacing w:line="369" w:lineRule="exact" w:before="10"/>
              <w:ind w:left="112"/>
              <w:jc w:val="left"/>
              <w:rPr>
                <w:sz w:val="21"/>
              </w:rPr>
            </w:pPr>
            <w:r>
              <w:rPr>
                <w:sz w:val="21"/>
              </w:rPr>
              <w:t>制定严格生产管理制度和环境应急预案</w:t>
            </w:r>
          </w:p>
        </w:tc>
      </w:tr>
    </w:tbl>
    <w:p>
      <w:pPr>
        <w:pStyle w:val="BodyText"/>
        <w:spacing w:before="10"/>
        <w:rPr>
          <w:sz w:val="8"/>
        </w:rPr>
      </w:pPr>
    </w:p>
    <w:p>
      <w:pPr>
        <w:spacing w:line="612" w:lineRule="exact" w:before="0"/>
        <w:ind w:left="578" w:right="0" w:firstLine="0"/>
        <w:jc w:val="left"/>
        <w:rPr>
          <w:rFonts w:ascii="Droid Sans Fallback" w:eastAsia="Droid Sans Fallback" w:hint="eastAsia"/>
          <w:sz w:val="36"/>
        </w:rPr>
      </w:pPr>
      <w:r>
        <w:rPr>
          <w:rFonts w:ascii="Times New Roman" w:eastAsia="Times New Roman"/>
          <w:b/>
          <w:sz w:val="36"/>
        </w:rPr>
        <w:t>7.9 </w:t>
      </w:r>
      <w:r>
        <w:rPr>
          <w:rFonts w:ascii="Droid Sans Fallback" w:eastAsia="Droid Sans Fallback" w:hint="eastAsia"/>
          <w:sz w:val="36"/>
        </w:rPr>
        <w:t>环境风险评价小结</w:t>
      </w:r>
    </w:p>
    <w:p>
      <w:pPr>
        <w:pStyle w:val="BodyText"/>
        <w:spacing w:line="488" w:lineRule="exact" w:before="111"/>
        <w:ind w:left="1058"/>
      </w:pPr>
      <w:r>
        <w:rPr>
          <w:rFonts w:ascii="Times New Roman" w:eastAsia="Times New Roman"/>
        </w:rPr>
        <w:t>1</w:t>
      </w:r>
      <w:r>
        <w:rPr/>
        <w:t>、项目危险因素</w:t>
      </w:r>
    </w:p>
    <w:p>
      <w:pPr>
        <w:pStyle w:val="BodyText"/>
        <w:spacing w:line="220" w:lineRule="auto" w:before="8"/>
        <w:ind w:left="578" w:right="632" w:firstLine="479"/>
        <w:jc w:val="both"/>
      </w:pPr>
      <w:r>
        <w:rPr>
          <w:spacing w:val="-5"/>
        </w:rPr>
        <w:t>本项目涉及的主要危险物质包括吡啶、哌啶、溴乙烷、呋喃、氯化亚砜、醋酸、甲醇钠、苯甲醛、乙醇胺、环氧氯丙烷、正丙胺、正丁醇、溴丙烷、氯苯、</w:t>
      </w:r>
      <w:r>
        <w:rPr>
          <w:spacing w:val="-16"/>
        </w:rPr>
        <w:t>甲醛、甲酸、氯化铵、顺丁烯二酸酐、氢氧化钾、氯甲酸乙酯、硼氢化钾、甲醇、</w:t>
      </w:r>
      <w:r>
        <w:rPr>
          <w:spacing w:val="-12"/>
        </w:rPr>
        <w:t>氢气、乙醇、乙酸乙酯、四氢呋喃、镁粉、硝酸、甲苯、浓硫酸、丙酮等危险化</w:t>
      </w:r>
      <w:r>
        <w:rPr>
          <w:spacing w:val="-14"/>
        </w:rPr>
        <w:t>学品的数量较多；主要涉及危险单元包括生产装置区、甲类仓库、液体仓库、罐</w:t>
      </w:r>
      <w:r>
        <w:rPr>
          <w:spacing w:val="-11"/>
        </w:rPr>
        <w:t>区、易制毒库、硝酸库、镁粉库、污水管线等。项目潜在危险因素主要是泄漏中毒、火灾或爆炸事故，项目在企业现有厂区内建设，总平面布置和设计已充分考虑环境风险，符合环境风险的要求。</w:t>
      </w:r>
    </w:p>
    <w:p>
      <w:pPr>
        <w:pStyle w:val="BodyText"/>
        <w:spacing w:line="460" w:lineRule="exact"/>
        <w:ind w:left="1058"/>
      </w:pPr>
      <w:r>
        <w:rPr>
          <w:rFonts w:ascii="Times New Roman" w:eastAsia="Times New Roman"/>
        </w:rPr>
        <w:t>2</w:t>
      </w:r>
      <w:r>
        <w:rPr/>
        <w:t>、环境敏感性及事故环境影响</w:t>
      </w:r>
    </w:p>
    <w:p>
      <w:pPr>
        <w:pStyle w:val="BodyText"/>
        <w:spacing w:line="468" w:lineRule="exact"/>
        <w:ind w:left="1058"/>
      </w:pPr>
      <w:r>
        <w:rPr/>
        <w:t>项目位于临沂市莒南县板泉镇，距离项目最近的敏感目标为项目西南侧约</w:t>
      </w:r>
    </w:p>
    <w:p>
      <w:pPr>
        <w:pStyle w:val="BodyText"/>
        <w:spacing w:line="220" w:lineRule="auto" w:before="8"/>
        <w:ind w:left="578" w:right="753"/>
      </w:pPr>
      <w:r>
        <w:rPr>
          <w:rFonts w:ascii="Times New Roman" w:eastAsia="Times New Roman"/>
        </w:rPr>
        <w:t>300m </w:t>
      </w:r>
      <w:r>
        <w:rPr/>
        <w:t>的中柴沟村；项目周边无地表水和地下水环境敏感目标，项目用水为市莒南县自来水公司。</w:t>
      </w:r>
    </w:p>
    <w:p>
      <w:pPr>
        <w:pStyle w:val="BodyText"/>
        <w:spacing w:line="220" w:lineRule="auto"/>
        <w:ind w:left="578" w:right="752" w:firstLine="479"/>
        <w:jc w:val="both"/>
      </w:pPr>
      <w:r>
        <w:rPr>
          <w:spacing w:val="-7"/>
        </w:rPr>
        <w:t>根据本项目环境风险影响评价，项目发生突发环境事故情况下可能受影响的</w:t>
      </w:r>
      <w:r>
        <w:rPr>
          <w:spacing w:val="-13"/>
        </w:rPr>
        <w:t>区域主要为事故源下风向敏感点、经济开发区污水处理厂排水口下游以及厂区及</w:t>
      </w:r>
      <w:r>
        <w:rPr>
          <w:spacing w:val="-14"/>
        </w:rPr>
        <w:t>下游地下水环境。发生事故情况下，企业应及时组织下风向敏感保护目标群众进行有序疏散，并对周边交通实施交通管制，确保事故下风向群众安全。</w:t>
      </w:r>
    </w:p>
    <w:p>
      <w:pPr>
        <w:spacing w:after="0" w:line="220" w:lineRule="auto"/>
        <w:jc w:val="both"/>
        <w:sectPr>
          <w:pgSz w:w="11910" w:h="16840"/>
          <w:pgMar w:header="877" w:footer="973" w:top="1340" w:bottom="1160" w:left="1220" w:right="1040"/>
        </w:sectPr>
      </w:pPr>
    </w:p>
    <w:p>
      <w:pPr>
        <w:pStyle w:val="BodyText"/>
        <w:spacing w:line="488" w:lineRule="exact" w:before="48"/>
        <w:ind w:left="1058"/>
      </w:pPr>
      <w:r>
        <w:rPr>
          <w:rFonts w:ascii="Times New Roman" w:eastAsia="Times New Roman"/>
        </w:rPr>
        <w:t>3</w:t>
      </w:r>
      <w:r>
        <w:rPr/>
        <w:t>、环境风险防范措施和应急预案</w:t>
      </w:r>
    </w:p>
    <w:p>
      <w:pPr>
        <w:pStyle w:val="BodyText"/>
        <w:spacing w:line="220" w:lineRule="auto" w:before="8"/>
        <w:ind w:left="578" w:right="665" w:firstLine="479"/>
        <w:jc w:val="both"/>
      </w:pPr>
      <w:r>
        <w:rPr/>
        <w:t>本项目针对危险单元建立有效的监控和预警机制，能够确保及时发现事故， </w:t>
      </w:r>
      <w:r>
        <w:rPr>
          <w:spacing w:val="-6"/>
        </w:rPr>
        <w:t>并快速做出应急救援措施，厂区建立完善的三级防控体系，本项目在厂区南侧污水处理站西侧设置应急事故水池，应急事故废水池容量设计为 </w:t>
      </w:r>
      <w:r>
        <w:rPr>
          <w:rFonts w:ascii="Times New Roman" w:eastAsia="Times New Roman"/>
        </w:rPr>
        <w:t>2000m</w:t>
      </w:r>
      <w:r>
        <w:rPr>
          <w:rFonts w:ascii="Times New Roman" w:eastAsia="Times New Roman"/>
          <w:position w:val="9"/>
          <w:sz w:val="16"/>
        </w:rPr>
        <w:t>3</w:t>
      </w:r>
      <w:r>
        <w:rPr/>
        <w:t>，可满足事故状态下污水贮存、消防废水贮存需要，同时，配套建设相应的事故水收集、导排系统，确保事故状况下废水得到有效的收集、处理。</w:t>
      </w:r>
    </w:p>
    <w:p>
      <w:pPr>
        <w:pStyle w:val="BodyText"/>
        <w:spacing w:line="220" w:lineRule="auto"/>
        <w:ind w:left="578" w:right="755" w:firstLine="479"/>
        <w:jc w:val="both"/>
      </w:pPr>
      <w:r>
        <w:rPr>
          <w:spacing w:val="-6"/>
        </w:rPr>
        <w:t>企业已制定应急预案并进行了备案，企业还应按照本次评价提出的整改措施完善厂区现有防控措施和应急预案内容。</w:t>
      </w:r>
    </w:p>
    <w:p>
      <w:pPr>
        <w:pStyle w:val="BodyText"/>
        <w:spacing w:line="220" w:lineRule="auto"/>
        <w:ind w:left="578" w:right="665" w:firstLine="479"/>
        <w:jc w:val="right"/>
      </w:pPr>
      <w:r>
        <w:rPr>
          <w:spacing w:val="-5"/>
        </w:rPr>
        <w:t>本项目生产装置具有潜在的事故风险，尽管最大可信事故概率较小，但还应</w:t>
      </w:r>
      <w:r>
        <w:rPr>
          <w:spacing w:val="-11"/>
        </w:rPr>
        <w:t>从建设、生产、贮运、消防等各方面积极采取措施，杜绝环境风险事故发生。当</w:t>
      </w:r>
      <w:r>
        <w:rPr>
          <w:spacing w:val="-12"/>
        </w:rPr>
        <w:t>出现事故时，要采取紧急的应对措施，如有必要，要采取社会应急措施，并根据实时情况和事故种类确定人群疏散范围，以控制事故和减少对环境造成的危害。</w:t>
      </w:r>
      <w:r>
        <w:rPr>
          <w:spacing w:val="-15"/>
        </w:rPr>
        <w:t>事故发生后要积极开展灾后危险化学品及消防废水的处理，防止二次污染发</w:t>
      </w:r>
    </w:p>
    <w:p>
      <w:pPr>
        <w:pStyle w:val="BodyText"/>
        <w:spacing w:line="460" w:lineRule="exact"/>
        <w:ind w:left="578"/>
      </w:pPr>
      <w:r>
        <w:rPr/>
        <w:t>生。</w:t>
      </w:r>
    </w:p>
    <w:p>
      <w:pPr>
        <w:pStyle w:val="BodyText"/>
        <w:spacing w:line="468" w:lineRule="exact"/>
        <w:ind w:left="1058"/>
      </w:pPr>
      <w:r>
        <w:rPr>
          <w:rFonts w:ascii="Times New Roman" w:eastAsia="Times New Roman"/>
        </w:rPr>
        <w:t>4</w:t>
      </w:r>
      <w:r>
        <w:rPr/>
        <w:t>、环境风险评价结论与建议</w:t>
      </w:r>
    </w:p>
    <w:p>
      <w:pPr>
        <w:pStyle w:val="BodyText"/>
        <w:spacing w:line="220" w:lineRule="auto" w:before="8"/>
        <w:ind w:left="578" w:right="752" w:firstLine="479"/>
        <w:jc w:val="both"/>
      </w:pPr>
      <w:r>
        <w:rPr>
          <w:spacing w:val="2"/>
        </w:rPr>
        <w:t>综上所述，企业在严格落实本次评价提出的各项环境风险防控措施的情况</w:t>
      </w:r>
      <w:r>
        <w:rPr>
          <w:spacing w:val="-9"/>
        </w:rPr>
        <w:t>下，发生风险事故概率较小，项目环境风险可防可控。本次评价建议项目运营过</w:t>
      </w:r>
      <w:r>
        <w:rPr>
          <w:spacing w:val="-13"/>
        </w:rPr>
        <w:t>程应根据生产运行工况以及各类危险物质的实际消耗量，尽可能减少危险物质在</w:t>
      </w:r>
      <w:r>
        <w:rPr>
          <w:spacing w:val="-14"/>
        </w:rPr>
        <w:t>厂区内的存在量，减轻环境风险隐患；针对厂区存在的环境风险防控问题，尽快</w:t>
      </w:r>
      <w:r>
        <w:rPr>
          <w:spacing w:val="-13"/>
        </w:rPr>
        <w:t>进行整改，同时应加强日常风险管理，加强员工安全培训，杜绝人为造成的环境风险隐患。</w:t>
      </w:r>
    </w:p>
    <w:p>
      <w:pPr>
        <w:spacing w:after="0" w:line="220" w:lineRule="auto"/>
        <w:jc w:val="both"/>
        <w:sectPr>
          <w:pgSz w:w="11910" w:h="16840"/>
          <w:pgMar w:header="877" w:footer="973" w:top="1340" w:bottom="1160" w:left="1220" w:right="1040"/>
        </w:sectPr>
      </w:pPr>
    </w:p>
    <w:p>
      <w:pPr>
        <w:pStyle w:val="BodyText"/>
        <w:spacing w:line="478" w:lineRule="exact"/>
        <w:ind w:right="179"/>
        <w:jc w:val="center"/>
      </w:pPr>
      <w:r>
        <w:rPr/>
        <w:pict>
          <v:shape style="position:absolute;margin-left:83.783997pt;margin-top:87.61998pt;width:453.8pt;height:679.2pt;mso-position-horizontal-relative:page;mso-position-vertical-relative:page;z-index:188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8"/>
                    <w:gridCol w:w="1184"/>
                    <w:gridCol w:w="823"/>
                    <w:gridCol w:w="511"/>
                    <w:gridCol w:w="216"/>
                    <w:gridCol w:w="329"/>
                    <w:gridCol w:w="545"/>
                    <w:gridCol w:w="116"/>
                    <w:gridCol w:w="308"/>
                    <w:gridCol w:w="267"/>
                    <w:gridCol w:w="413"/>
                    <w:gridCol w:w="140"/>
                    <w:gridCol w:w="341"/>
                    <w:gridCol w:w="142"/>
                    <w:gridCol w:w="406"/>
                    <w:gridCol w:w="157"/>
                    <w:gridCol w:w="404"/>
                    <w:gridCol w:w="210"/>
                    <w:gridCol w:w="284"/>
                    <w:gridCol w:w="368"/>
                    <w:gridCol w:w="985"/>
                  </w:tblGrid>
                  <w:tr>
                    <w:trPr>
                      <w:trHeight w:val="311" w:hRule="atLeast"/>
                    </w:trPr>
                    <w:tc>
                      <w:tcPr>
                        <w:tcW w:w="2072" w:type="dxa"/>
                        <w:gridSpan w:val="2"/>
                        <w:tcBorders>
                          <w:bottom w:val="single" w:sz="6" w:space="0" w:color="000000"/>
                          <w:right w:val="single" w:sz="6" w:space="0" w:color="000000"/>
                        </w:tcBorders>
                      </w:tcPr>
                      <w:p>
                        <w:pPr>
                          <w:pStyle w:val="TableParagraph"/>
                          <w:spacing w:line="291" w:lineRule="exact"/>
                          <w:ind w:left="611"/>
                          <w:jc w:val="left"/>
                          <w:rPr>
                            <w:sz w:val="21"/>
                          </w:rPr>
                        </w:pPr>
                        <w:r>
                          <w:rPr>
                            <w:sz w:val="21"/>
                          </w:rPr>
                          <w:t>工作内容</w:t>
                        </w:r>
                      </w:p>
                    </w:tc>
                    <w:tc>
                      <w:tcPr>
                        <w:tcW w:w="6965" w:type="dxa"/>
                        <w:gridSpan w:val="19"/>
                        <w:tcBorders>
                          <w:left w:val="single" w:sz="6" w:space="0" w:color="000000"/>
                          <w:bottom w:val="single" w:sz="6" w:space="0" w:color="000000"/>
                        </w:tcBorders>
                      </w:tcPr>
                      <w:p>
                        <w:pPr>
                          <w:pStyle w:val="TableParagraph"/>
                          <w:spacing w:line="291" w:lineRule="exact"/>
                          <w:ind w:left="3044" w:right="3018"/>
                          <w:rPr>
                            <w:sz w:val="21"/>
                          </w:rPr>
                        </w:pPr>
                        <w:r>
                          <w:rPr>
                            <w:sz w:val="21"/>
                          </w:rPr>
                          <w:t>完成情况</w:t>
                        </w:r>
                      </w:p>
                    </w:tc>
                  </w:tr>
                  <w:tr>
                    <w:trPr>
                      <w:trHeight w:val="625" w:hRule="atLeast"/>
                    </w:trPr>
                    <w:tc>
                      <w:tcPr>
                        <w:tcW w:w="88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7"/>
                          </w:rPr>
                        </w:pPr>
                      </w:p>
                      <w:p>
                        <w:pPr>
                          <w:pStyle w:val="TableParagraph"/>
                          <w:spacing w:line="168" w:lineRule="auto"/>
                          <w:ind w:left="337" w:right="314"/>
                          <w:jc w:val="both"/>
                          <w:rPr>
                            <w:sz w:val="21"/>
                          </w:rPr>
                        </w:pPr>
                        <w:r>
                          <w:rPr>
                            <w:sz w:val="21"/>
                          </w:rPr>
                          <w:t>风险调查</w:t>
                        </w:r>
                      </w:p>
                    </w:tc>
                    <w:tc>
                      <w:tcPr>
                        <w:tcW w:w="11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20"/>
                          <w:jc w:val="left"/>
                          <w:rPr>
                            <w:sz w:val="28"/>
                          </w:rPr>
                        </w:pPr>
                      </w:p>
                      <w:p>
                        <w:pPr>
                          <w:pStyle w:val="TableParagraph"/>
                          <w:ind w:left="177"/>
                          <w:jc w:val="left"/>
                          <w:rPr>
                            <w:sz w:val="21"/>
                          </w:rPr>
                        </w:pPr>
                        <w:r>
                          <w:rPr>
                            <w:sz w:val="21"/>
                          </w:rPr>
                          <w:t>危险物质</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80"/>
                          <w:ind w:left="172" w:right="146"/>
                          <w:rPr>
                            <w:sz w:val="21"/>
                          </w:rPr>
                        </w:pPr>
                        <w:r>
                          <w:rPr>
                            <w:sz w:val="21"/>
                          </w:rPr>
                          <w:t>名称</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55"/>
                          <w:jc w:val="left"/>
                          <w:rPr>
                            <w:sz w:val="21"/>
                          </w:rPr>
                        </w:pPr>
                        <w:r>
                          <w:rPr>
                            <w:w w:val="100"/>
                            <w:sz w:val="21"/>
                          </w:rPr>
                          <w:t>甲</w:t>
                        </w:r>
                      </w:p>
                      <w:p>
                        <w:pPr>
                          <w:pStyle w:val="TableParagraph"/>
                          <w:spacing w:line="303" w:lineRule="exact"/>
                          <w:ind w:left="155"/>
                          <w:jc w:val="left"/>
                          <w:rPr>
                            <w:sz w:val="21"/>
                          </w:rPr>
                        </w:pPr>
                        <w:r>
                          <w:rPr>
                            <w:w w:val="100"/>
                            <w:sz w:val="21"/>
                          </w:rPr>
                          <w:t>醇</w:t>
                        </w:r>
                      </w:p>
                    </w:tc>
                    <w:tc>
                      <w:tcPr>
                        <w:tcW w:w="54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72"/>
                          <w:jc w:val="left"/>
                          <w:rPr>
                            <w:sz w:val="21"/>
                          </w:rPr>
                        </w:pPr>
                        <w:r>
                          <w:rPr>
                            <w:w w:val="100"/>
                            <w:sz w:val="21"/>
                          </w:rPr>
                          <w:t>甲</w:t>
                        </w:r>
                      </w:p>
                      <w:p>
                        <w:pPr>
                          <w:pStyle w:val="TableParagraph"/>
                          <w:spacing w:line="303" w:lineRule="exact"/>
                          <w:ind w:left="172"/>
                          <w:jc w:val="left"/>
                          <w:rPr>
                            <w:sz w:val="21"/>
                          </w:rPr>
                        </w:pPr>
                        <w:r>
                          <w:rPr>
                            <w:w w:val="100"/>
                            <w:sz w:val="21"/>
                          </w:rPr>
                          <w:t>苯</w:t>
                        </w:r>
                      </w:p>
                    </w:tc>
                    <w:tc>
                      <w:tcPr>
                        <w:tcW w:w="661" w:type="dxa"/>
                        <w:gridSpan w:val="2"/>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43"/>
                          <w:jc w:val="left"/>
                          <w:rPr>
                            <w:sz w:val="21"/>
                          </w:rPr>
                        </w:pPr>
                        <w:r>
                          <w:rPr>
                            <w:sz w:val="21"/>
                          </w:rPr>
                          <w:t>溴氯</w:t>
                        </w:r>
                      </w:p>
                      <w:p>
                        <w:pPr>
                          <w:pStyle w:val="TableParagraph"/>
                          <w:spacing w:line="303" w:lineRule="exact"/>
                          <w:ind w:left="143"/>
                          <w:jc w:val="left"/>
                          <w:rPr>
                            <w:sz w:val="21"/>
                          </w:rPr>
                        </w:pPr>
                        <w:r>
                          <w:rPr>
                            <w:sz w:val="21"/>
                          </w:rPr>
                          <w:t>丙烷</w:t>
                        </w:r>
                      </w:p>
                    </w:tc>
                    <w:tc>
                      <w:tcPr>
                        <w:tcW w:w="57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22"/>
                          <w:jc w:val="left"/>
                          <w:rPr>
                            <w:sz w:val="21"/>
                          </w:rPr>
                        </w:pPr>
                        <w:r>
                          <w:rPr>
                            <w:w w:val="100"/>
                            <w:sz w:val="21"/>
                          </w:rPr>
                          <w:t>乙</w:t>
                        </w:r>
                      </w:p>
                      <w:p>
                        <w:pPr>
                          <w:pStyle w:val="TableParagraph"/>
                          <w:spacing w:line="303" w:lineRule="exact"/>
                          <w:ind w:left="222"/>
                          <w:jc w:val="left"/>
                          <w:rPr>
                            <w:sz w:val="21"/>
                          </w:rPr>
                        </w:pPr>
                        <w:r>
                          <w:rPr>
                            <w:w w:val="100"/>
                            <w:sz w:val="21"/>
                          </w:rPr>
                          <w:t>酸</w:t>
                        </w:r>
                      </w:p>
                    </w:tc>
                    <w:tc>
                      <w:tcPr>
                        <w:tcW w:w="553" w:type="dxa"/>
                        <w:gridSpan w:val="2"/>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94"/>
                          <w:jc w:val="left"/>
                          <w:rPr>
                            <w:sz w:val="21"/>
                          </w:rPr>
                        </w:pPr>
                        <w:r>
                          <w:rPr>
                            <w:w w:val="100"/>
                            <w:sz w:val="21"/>
                          </w:rPr>
                          <w:t>氯</w:t>
                        </w:r>
                      </w:p>
                      <w:p>
                        <w:pPr>
                          <w:pStyle w:val="TableParagraph"/>
                          <w:spacing w:line="303" w:lineRule="exact"/>
                          <w:ind w:left="194"/>
                          <w:jc w:val="left"/>
                          <w:rPr>
                            <w:sz w:val="21"/>
                          </w:rPr>
                        </w:pPr>
                        <w:r>
                          <w:rPr>
                            <w:w w:val="100"/>
                            <w:sz w:val="21"/>
                          </w:rPr>
                          <w:t>苯</w:t>
                        </w:r>
                      </w:p>
                    </w:tc>
                    <w:tc>
                      <w:tcPr>
                        <w:tcW w:w="889" w:type="dxa"/>
                        <w:gridSpan w:val="3"/>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15" w:right="89"/>
                          <w:rPr>
                            <w:sz w:val="21"/>
                          </w:rPr>
                        </w:pPr>
                        <w:r>
                          <w:rPr>
                            <w:sz w:val="21"/>
                          </w:rPr>
                          <w:t>环氧氯</w:t>
                        </w:r>
                      </w:p>
                      <w:p>
                        <w:pPr>
                          <w:pStyle w:val="TableParagraph"/>
                          <w:spacing w:line="303" w:lineRule="exact"/>
                          <w:ind w:left="115" w:right="89"/>
                          <w:rPr>
                            <w:sz w:val="21"/>
                          </w:rPr>
                        </w:pPr>
                        <w:r>
                          <w:rPr>
                            <w:sz w:val="21"/>
                          </w:rPr>
                          <w:t>丙烷</w:t>
                        </w:r>
                      </w:p>
                    </w:tc>
                    <w:tc>
                      <w:tcPr>
                        <w:tcW w:w="561" w:type="dxa"/>
                        <w:gridSpan w:val="2"/>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85"/>
                          <w:jc w:val="left"/>
                          <w:rPr>
                            <w:sz w:val="21"/>
                          </w:rPr>
                        </w:pPr>
                        <w:r>
                          <w:rPr>
                            <w:w w:val="100"/>
                            <w:sz w:val="21"/>
                          </w:rPr>
                          <w:t>甲</w:t>
                        </w:r>
                      </w:p>
                      <w:p>
                        <w:pPr>
                          <w:pStyle w:val="TableParagraph"/>
                          <w:spacing w:line="303" w:lineRule="exact"/>
                          <w:ind w:left="185"/>
                          <w:jc w:val="left"/>
                          <w:rPr>
                            <w:sz w:val="21"/>
                          </w:rPr>
                        </w:pPr>
                        <w:r>
                          <w:rPr>
                            <w:w w:val="100"/>
                            <w:sz w:val="21"/>
                          </w:rPr>
                          <w:t>酸</w:t>
                        </w:r>
                      </w:p>
                    </w:tc>
                    <w:tc>
                      <w:tcPr>
                        <w:tcW w:w="862" w:type="dxa"/>
                        <w:gridSpan w:val="3"/>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03" w:right="74"/>
                          <w:rPr>
                            <w:sz w:val="21"/>
                          </w:rPr>
                        </w:pPr>
                        <w:r>
                          <w:rPr>
                            <w:sz w:val="21"/>
                          </w:rPr>
                          <w:t>乙酸乙</w:t>
                        </w:r>
                      </w:p>
                      <w:p>
                        <w:pPr>
                          <w:pStyle w:val="TableParagraph"/>
                          <w:spacing w:line="303" w:lineRule="exact"/>
                          <w:ind w:left="29"/>
                          <w:rPr>
                            <w:sz w:val="21"/>
                          </w:rPr>
                        </w:pPr>
                        <w:r>
                          <w:rPr>
                            <w:w w:val="100"/>
                            <w:sz w:val="21"/>
                          </w:rPr>
                          <w:t>酯</w:t>
                        </w:r>
                      </w:p>
                    </w:tc>
                    <w:tc>
                      <w:tcPr>
                        <w:tcW w:w="985" w:type="dxa"/>
                        <w:tcBorders>
                          <w:top w:val="single" w:sz="6" w:space="0" w:color="000000"/>
                          <w:left w:val="single" w:sz="6" w:space="0" w:color="000000"/>
                          <w:bottom w:val="single" w:sz="6" w:space="0" w:color="000000"/>
                        </w:tcBorders>
                      </w:tcPr>
                      <w:p>
                        <w:pPr>
                          <w:pStyle w:val="TableParagraph"/>
                          <w:spacing w:before="80"/>
                          <w:ind w:right="256"/>
                          <w:jc w:val="right"/>
                          <w:rPr>
                            <w:sz w:val="21"/>
                          </w:rPr>
                        </w:pPr>
                        <w:r>
                          <w:rPr>
                            <w:sz w:val="21"/>
                          </w:rPr>
                          <w:t>丙酮</w:t>
                        </w:r>
                      </w:p>
                    </w:tc>
                  </w:tr>
                  <w:tr>
                    <w:trPr>
                      <w:trHeight w:val="623"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205"/>
                          <w:jc w:val="left"/>
                          <w:rPr>
                            <w:sz w:val="21"/>
                          </w:rPr>
                        </w:pPr>
                        <w:r>
                          <w:rPr>
                            <w:sz w:val="21"/>
                          </w:rPr>
                          <w:t>存在</w:t>
                        </w:r>
                      </w:p>
                      <w:p>
                        <w:pPr>
                          <w:pStyle w:val="TableParagraph"/>
                          <w:spacing w:line="303" w:lineRule="exact"/>
                          <w:ind w:left="148"/>
                          <w:jc w:val="left"/>
                          <w:rPr>
                            <w:rFonts w:ascii="Times New Roman" w:eastAsia="Times New Roman"/>
                            <w:sz w:val="21"/>
                          </w:rPr>
                        </w:pPr>
                        <w:r>
                          <w:rPr>
                            <w:spacing w:val="-1"/>
                            <w:sz w:val="21"/>
                          </w:rPr>
                          <w:t>总量</w:t>
                        </w:r>
                        <w:r>
                          <w:rPr>
                            <w:rFonts w:ascii="Times New Roman" w:eastAsia="Times New Roman"/>
                            <w:spacing w:val="-1"/>
                            <w:sz w:val="21"/>
                          </w:rPr>
                          <w:t>/t</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before="190"/>
                          <w:ind w:left="112" w:right="81"/>
                          <w:rPr>
                            <w:rFonts w:ascii="Times New Roman"/>
                            <w:sz w:val="21"/>
                          </w:rPr>
                        </w:pPr>
                        <w:r>
                          <w:rPr>
                            <w:rFonts w:ascii="Times New Roman"/>
                            <w:sz w:val="21"/>
                          </w:rPr>
                          <w:t>3.5</w:t>
                        </w:r>
                      </w:p>
                    </w:tc>
                    <w:tc>
                      <w:tcPr>
                        <w:tcW w:w="5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26"/>
                          <w:rPr>
                            <w:rFonts w:ascii="Times New Roman"/>
                            <w:sz w:val="21"/>
                          </w:rPr>
                        </w:pPr>
                        <w:r>
                          <w:rPr>
                            <w:rFonts w:ascii="Times New Roman"/>
                            <w:w w:val="100"/>
                            <w:sz w:val="21"/>
                          </w:rPr>
                          <w:t>6</w:t>
                        </w:r>
                      </w:p>
                    </w:tc>
                    <w:tc>
                      <w:tcPr>
                        <w:tcW w:w="66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222"/>
                          <w:jc w:val="left"/>
                          <w:rPr>
                            <w:rFonts w:ascii="Times New Roman"/>
                            <w:sz w:val="21"/>
                          </w:rPr>
                        </w:pPr>
                        <w:r>
                          <w:rPr>
                            <w:rFonts w:ascii="Times New Roman"/>
                            <w:sz w:val="21"/>
                          </w:rPr>
                          <w:t>6.0</w:t>
                        </w:r>
                      </w:p>
                    </w:tc>
                    <w:tc>
                      <w:tcPr>
                        <w:tcW w:w="5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195"/>
                          <w:jc w:val="left"/>
                          <w:rPr>
                            <w:rFonts w:ascii="Times New Roman"/>
                            <w:sz w:val="21"/>
                          </w:rPr>
                        </w:pPr>
                        <w:r>
                          <w:rPr>
                            <w:rFonts w:ascii="Times New Roman"/>
                            <w:sz w:val="21"/>
                          </w:rPr>
                          <w:t>4.8</w:t>
                        </w:r>
                      </w:p>
                    </w:tc>
                    <w:tc>
                      <w:tcPr>
                        <w:tcW w:w="55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168"/>
                          <w:jc w:val="left"/>
                          <w:rPr>
                            <w:rFonts w:ascii="Times New Roman"/>
                            <w:sz w:val="21"/>
                          </w:rPr>
                        </w:pPr>
                        <w:r>
                          <w:rPr>
                            <w:rFonts w:ascii="Times New Roman"/>
                            <w:sz w:val="21"/>
                          </w:rPr>
                          <w:t>4.0</w:t>
                        </w:r>
                      </w:p>
                    </w:tc>
                    <w:tc>
                      <w:tcPr>
                        <w:tcW w:w="88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90"/>
                          <w:ind w:left="115" w:right="89"/>
                          <w:rPr>
                            <w:rFonts w:ascii="Times New Roman"/>
                            <w:sz w:val="21"/>
                          </w:rPr>
                        </w:pPr>
                        <w:r>
                          <w:rPr>
                            <w:rFonts w:ascii="Times New Roman"/>
                            <w:sz w:val="21"/>
                          </w:rPr>
                          <w:t>3.0</w:t>
                        </w:r>
                      </w:p>
                    </w:tc>
                    <w:tc>
                      <w:tcPr>
                        <w:tcW w:w="56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159"/>
                          <w:jc w:val="left"/>
                          <w:rPr>
                            <w:rFonts w:ascii="Times New Roman"/>
                            <w:sz w:val="21"/>
                          </w:rPr>
                        </w:pPr>
                        <w:r>
                          <w:rPr>
                            <w:rFonts w:ascii="Times New Roman"/>
                            <w:sz w:val="21"/>
                          </w:rPr>
                          <w:t>0.5</w:t>
                        </w:r>
                      </w:p>
                    </w:tc>
                    <w:tc>
                      <w:tcPr>
                        <w:tcW w:w="86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90"/>
                          <w:ind w:left="306"/>
                          <w:jc w:val="left"/>
                          <w:rPr>
                            <w:rFonts w:ascii="Times New Roman"/>
                            <w:sz w:val="21"/>
                          </w:rPr>
                        </w:pPr>
                        <w:r>
                          <w:rPr>
                            <w:rFonts w:ascii="Times New Roman"/>
                            <w:sz w:val="21"/>
                          </w:rPr>
                          <w:t>9.0</w:t>
                        </w:r>
                      </w:p>
                    </w:tc>
                    <w:tc>
                      <w:tcPr>
                        <w:tcW w:w="985" w:type="dxa"/>
                        <w:tcBorders>
                          <w:top w:val="single" w:sz="6" w:space="0" w:color="000000"/>
                          <w:left w:val="single" w:sz="6" w:space="0" w:color="000000"/>
                          <w:bottom w:val="single" w:sz="6" w:space="0" w:color="000000"/>
                        </w:tcBorders>
                      </w:tcPr>
                      <w:p>
                        <w:pPr>
                          <w:pStyle w:val="TableParagraph"/>
                          <w:spacing w:before="190"/>
                          <w:ind w:right="335"/>
                          <w:jc w:val="right"/>
                          <w:rPr>
                            <w:rFonts w:ascii="Times New Roman"/>
                            <w:sz w:val="21"/>
                          </w:rPr>
                        </w:pPr>
                        <w:r>
                          <w:rPr>
                            <w:rFonts w:ascii="Times New Roman"/>
                            <w:sz w:val="21"/>
                          </w:rPr>
                          <w:t>5.0</w:t>
                        </w:r>
                      </w:p>
                    </w:tc>
                  </w:tr>
                  <w:tr>
                    <w:trPr>
                      <w:trHeight w:val="623"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77"/>
                          <w:ind w:left="172" w:right="146"/>
                          <w:rPr>
                            <w:sz w:val="21"/>
                          </w:rPr>
                        </w:pPr>
                        <w:r>
                          <w:rPr>
                            <w:sz w:val="21"/>
                          </w:rPr>
                          <w:t>名称</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5"/>
                          <w:jc w:val="left"/>
                          <w:rPr>
                            <w:sz w:val="21"/>
                          </w:rPr>
                        </w:pPr>
                        <w:r>
                          <w:rPr>
                            <w:w w:val="100"/>
                            <w:sz w:val="21"/>
                          </w:rPr>
                          <w:t>硝</w:t>
                        </w:r>
                      </w:p>
                      <w:p>
                        <w:pPr>
                          <w:pStyle w:val="TableParagraph"/>
                          <w:spacing w:line="303" w:lineRule="exact"/>
                          <w:ind w:left="155"/>
                          <w:jc w:val="left"/>
                          <w:rPr>
                            <w:sz w:val="21"/>
                          </w:rPr>
                        </w:pPr>
                        <w:r>
                          <w:rPr>
                            <w:w w:val="100"/>
                            <w:sz w:val="21"/>
                          </w:rPr>
                          <w:t>酸</w:t>
                        </w:r>
                      </w:p>
                    </w:tc>
                    <w:tc>
                      <w:tcPr>
                        <w:tcW w:w="545" w:type="dxa"/>
                        <w:gridSpan w:val="2"/>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72"/>
                          <w:jc w:val="left"/>
                          <w:rPr>
                            <w:sz w:val="21"/>
                          </w:rPr>
                        </w:pPr>
                        <w:r>
                          <w:rPr>
                            <w:w w:val="100"/>
                            <w:sz w:val="21"/>
                          </w:rPr>
                          <w:t>盐</w:t>
                        </w:r>
                      </w:p>
                      <w:p>
                        <w:pPr>
                          <w:pStyle w:val="TableParagraph"/>
                          <w:spacing w:line="303" w:lineRule="exact"/>
                          <w:ind w:left="172"/>
                          <w:jc w:val="left"/>
                          <w:rPr>
                            <w:sz w:val="21"/>
                          </w:rPr>
                        </w:pPr>
                        <w:r>
                          <w:rPr>
                            <w:w w:val="100"/>
                            <w:sz w:val="21"/>
                          </w:rPr>
                          <w:t>酸</w:t>
                        </w:r>
                      </w:p>
                    </w:tc>
                    <w:tc>
                      <w:tcPr>
                        <w:tcW w:w="661" w:type="dxa"/>
                        <w:gridSpan w:val="2"/>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24" w:right="61"/>
                          <w:rPr>
                            <w:sz w:val="21"/>
                          </w:rPr>
                        </w:pPr>
                        <w:r>
                          <w:rPr>
                            <w:sz w:val="21"/>
                          </w:rPr>
                          <w:t>苯甲</w:t>
                        </w:r>
                      </w:p>
                      <w:p>
                        <w:pPr>
                          <w:pStyle w:val="TableParagraph"/>
                          <w:spacing w:line="303" w:lineRule="exact"/>
                          <w:ind w:left="58"/>
                          <w:rPr>
                            <w:sz w:val="21"/>
                          </w:rPr>
                        </w:pPr>
                        <w:r>
                          <w:rPr>
                            <w:w w:val="100"/>
                            <w:sz w:val="21"/>
                          </w:rPr>
                          <w:t>醛</w:t>
                        </w:r>
                      </w:p>
                    </w:tc>
                    <w:tc>
                      <w:tcPr>
                        <w:tcW w:w="112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77"/>
                          <w:ind w:left="378"/>
                          <w:jc w:val="left"/>
                          <w:rPr>
                            <w:sz w:val="21"/>
                          </w:rPr>
                        </w:pPr>
                        <w:r>
                          <w:rPr>
                            <w:sz w:val="21"/>
                          </w:rPr>
                          <w:t>甲醛</w:t>
                        </w:r>
                      </w:p>
                    </w:tc>
                    <w:tc>
                      <w:tcPr>
                        <w:tcW w:w="889" w:type="dxa"/>
                        <w:gridSpan w:val="3"/>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15" w:right="89"/>
                          <w:rPr>
                            <w:sz w:val="21"/>
                          </w:rPr>
                        </w:pPr>
                        <w:r>
                          <w:rPr>
                            <w:sz w:val="21"/>
                          </w:rPr>
                          <w:t>氯甲酸</w:t>
                        </w:r>
                      </w:p>
                      <w:p>
                        <w:pPr>
                          <w:pStyle w:val="TableParagraph"/>
                          <w:spacing w:line="303" w:lineRule="exact"/>
                          <w:ind w:left="115" w:right="89"/>
                          <w:rPr>
                            <w:sz w:val="21"/>
                          </w:rPr>
                        </w:pPr>
                        <w:r>
                          <w:rPr>
                            <w:sz w:val="21"/>
                          </w:rPr>
                          <w:t>乙酯</w:t>
                        </w:r>
                      </w:p>
                    </w:tc>
                    <w:tc>
                      <w:tcPr>
                        <w:tcW w:w="561" w:type="dxa"/>
                        <w:gridSpan w:val="2"/>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85"/>
                          <w:jc w:val="left"/>
                          <w:rPr>
                            <w:sz w:val="21"/>
                          </w:rPr>
                        </w:pPr>
                        <w:r>
                          <w:rPr>
                            <w:w w:val="100"/>
                            <w:sz w:val="21"/>
                          </w:rPr>
                          <w:t>硫</w:t>
                        </w:r>
                      </w:p>
                      <w:p>
                        <w:pPr>
                          <w:pStyle w:val="TableParagraph"/>
                          <w:spacing w:line="303" w:lineRule="exact"/>
                          <w:ind w:left="185"/>
                          <w:jc w:val="left"/>
                          <w:rPr>
                            <w:sz w:val="21"/>
                          </w:rPr>
                        </w:pPr>
                        <w:r>
                          <w:rPr>
                            <w:w w:val="100"/>
                            <w:sz w:val="21"/>
                          </w:rPr>
                          <w:t>酸</w:t>
                        </w:r>
                      </w:p>
                    </w:tc>
                    <w:tc>
                      <w:tcPr>
                        <w:tcW w:w="862" w:type="dxa"/>
                        <w:gridSpan w:val="3"/>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03" w:right="74"/>
                          <w:rPr>
                            <w:sz w:val="21"/>
                          </w:rPr>
                        </w:pPr>
                        <w:r>
                          <w:rPr>
                            <w:sz w:val="21"/>
                          </w:rPr>
                          <w:t>氯化亚</w:t>
                        </w:r>
                      </w:p>
                      <w:p>
                        <w:pPr>
                          <w:pStyle w:val="TableParagraph"/>
                          <w:spacing w:line="303" w:lineRule="exact"/>
                          <w:ind w:left="29"/>
                          <w:rPr>
                            <w:sz w:val="21"/>
                          </w:rPr>
                        </w:pPr>
                        <w:r>
                          <w:rPr>
                            <w:w w:val="100"/>
                            <w:sz w:val="21"/>
                          </w:rPr>
                          <w:t>砜</w:t>
                        </w:r>
                      </w:p>
                    </w:tc>
                    <w:tc>
                      <w:tcPr>
                        <w:tcW w:w="985" w:type="dxa"/>
                        <w:tcBorders>
                          <w:top w:val="single" w:sz="6" w:space="0" w:color="000000"/>
                          <w:left w:val="single" w:sz="6" w:space="0" w:color="000000"/>
                          <w:bottom w:val="single" w:sz="6" w:space="0" w:color="000000"/>
                        </w:tcBorders>
                      </w:tcPr>
                      <w:p>
                        <w:pPr>
                          <w:pStyle w:val="TableParagraph"/>
                          <w:spacing w:before="77"/>
                          <w:ind w:right="256"/>
                          <w:jc w:val="right"/>
                          <w:rPr>
                            <w:sz w:val="21"/>
                          </w:rPr>
                        </w:pPr>
                        <w:r>
                          <w:rPr>
                            <w:sz w:val="21"/>
                          </w:rPr>
                          <w:t>呋喃</w:t>
                        </w:r>
                      </w:p>
                    </w:tc>
                  </w:tr>
                  <w:tr>
                    <w:trPr>
                      <w:trHeight w:val="623"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205"/>
                          <w:jc w:val="left"/>
                          <w:rPr>
                            <w:sz w:val="21"/>
                          </w:rPr>
                        </w:pPr>
                        <w:r>
                          <w:rPr>
                            <w:sz w:val="21"/>
                          </w:rPr>
                          <w:t>存在</w:t>
                        </w:r>
                      </w:p>
                      <w:p>
                        <w:pPr>
                          <w:pStyle w:val="TableParagraph"/>
                          <w:spacing w:line="303" w:lineRule="exact"/>
                          <w:ind w:left="148"/>
                          <w:jc w:val="left"/>
                          <w:rPr>
                            <w:rFonts w:ascii="Times New Roman" w:eastAsia="Times New Roman"/>
                            <w:sz w:val="21"/>
                          </w:rPr>
                        </w:pPr>
                        <w:r>
                          <w:rPr>
                            <w:spacing w:val="-1"/>
                            <w:sz w:val="21"/>
                          </w:rPr>
                          <w:t>总量</w:t>
                        </w:r>
                        <w:r>
                          <w:rPr>
                            <w:rFonts w:ascii="Times New Roman" w:eastAsia="Times New Roman"/>
                            <w:spacing w:val="-1"/>
                            <w:sz w:val="21"/>
                          </w:rPr>
                          <w:t>/t</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before="190"/>
                          <w:ind w:left="112" w:right="81"/>
                          <w:rPr>
                            <w:rFonts w:ascii="Times New Roman"/>
                            <w:sz w:val="21"/>
                          </w:rPr>
                        </w:pPr>
                        <w:r>
                          <w:rPr>
                            <w:rFonts w:ascii="Times New Roman"/>
                            <w:sz w:val="21"/>
                          </w:rPr>
                          <w:t>2.0</w:t>
                        </w:r>
                      </w:p>
                    </w:tc>
                    <w:tc>
                      <w:tcPr>
                        <w:tcW w:w="5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148"/>
                          <w:jc w:val="left"/>
                          <w:rPr>
                            <w:rFonts w:ascii="Times New Roman"/>
                            <w:sz w:val="21"/>
                          </w:rPr>
                        </w:pPr>
                        <w:r>
                          <w:rPr>
                            <w:rFonts w:ascii="Times New Roman"/>
                            <w:sz w:val="21"/>
                          </w:rPr>
                          <w:t>3.9</w:t>
                        </w:r>
                      </w:p>
                    </w:tc>
                    <w:tc>
                      <w:tcPr>
                        <w:tcW w:w="66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170"/>
                          <w:jc w:val="left"/>
                          <w:rPr>
                            <w:rFonts w:ascii="Times New Roman"/>
                            <w:sz w:val="21"/>
                          </w:rPr>
                        </w:pPr>
                        <w:r>
                          <w:rPr>
                            <w:rFonts w:ascii="Times New Roman"/>
                            <w:sz w:val="21"/>
                          </w:rPr>
                          <w:t>0.42</w:t>
                        </w:r>
                      </w:p>
                    </w:tc>
                    <w:tc>
                      <w:tcPr>
                        <w:tcW w:w="112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190"/>
                          <w:ind w:left="404"/>
                          <w:jc w:val="left"/>
                          <w:rPr>
                            <w:rFonts w:ascii="Times New Roman"/>
                            <w:sz w:val="21"/>
                          </w:rPr>
                        </w:pPr>
                        <w:r>
                          <w:rPr>
                            <w:rFonts w:ascii="Times New Roman"/>
                            <w:sz w:val="21"/>
                          </w:rPr>
                          <w:t>1.55</w:t>
                        </w:r>
                      </w:p>
                    </w:tc>
                    <w:tc>
                      <w:tcPr>
                        <w:tcW w:w="88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90"/>
                          <w:ind w:left="115" w:right="89"/>
                          <w:rPr>
                            <w:rFonts w:ascii="Times New Roman"/>
                            <w:sz w:val="21"/>
                          </w:rPr>
                        </w:pPr>
                        <w:r>
                          <w:rPr>
                            <w:rFonts w:ascii="Times New Roman"/>
                            <w:sz w:val="21"/>
                          </w:rPr>
                          <w:t>0.2</w:t>
                        </w:r>
                      </w:p>
                    </w:tc>
                    <w:tc>
                      <w:tcPr>
                        <w:tcW w:w="56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0"/>
                          <w:ind w:left="159"/>
                          <w:jc w:val="left"/>
                          <w:rPr>
                            <w:rFonts w:ascii="Times New Roman"/>
                            <w:sz w:val="21"/>
                          </w:rPr>
                        </w:pPr>
                        <w:r>
                          <w:rPr>
                            <w:rFonts w:ascii="Times New Roman"/>
                            <w:sz w:val="21"/>
                          </w:rPr>
                          <w:t>1.0</w:t>
                        </w:r>
                      </w:p>
                    </w:tc>
                    <w:tc>
                      <w:tcPr>
                        <w:tcW w:w="86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90"/>
                          <w:ind w:left="306"/>
                          <w:jc w:val="left"/>
                          <w:rPr>
                            <w:rFonts w:ascii="Times New Roman"/>
                            <w:sz w:val="21"/>
                          </w:rPr>
                        </w:pPr>
                        <w:r>
                          <w:rPr>
                            <w:rFonts w:ascii="Times New Roman"/>
                            <w:sz w:val="21"/>
                          </w:rPr>
                          <w:t>0.3</w:t>
                        </w:r>
                      </w:p>
                    </w:tc>
                    <w:tc>
                      <w:tcPr>
                        <w:tcW w:w="985" w:type="dxa"/>
                        <w:tcBorders>
                          <w:top w:val="single" w:sz="6" w:space="0" w:color="000000"/>
                          <w:left w:val="single" w:sz="6" w:space="0" w:color="000000"/>
                          <w:bottom w:val="single" w:sz="6" w:space="0" w:color="000000"/>
                        </w:tcBorders>
                      </w:tcPr>
                      <w:p>
                        <w:pPr>
                          <w:pStyle w:val="TableParagraph"/>
                          <w:spacing w:before="190"/>
                          <w:ind w:right="229"/>
                          <w:jc w:val="right"/>
                          <w:rPr>
                            <w:rFonts w:ascii="Times New Roman"/>
                            <w:sz w:val="21"/>
                          </w:rPr>
                        </w:pPr>
                        <w:r>
                          <w:rPr>
                            <w:rFonts w:ascii="Times New Roman"/>
                            <w:sz w:val="21"/>
                          </w:rPr>
                          <w:t>0.144</w:t>
                        </w:r>
                      </w:p>
                    </w:tc>
                  </w:tr>
                  <w:tr>
                    <w:trPr>
                      <w:trHeight w:val="314"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8"/>
                          <w:jc w:val="left"/>
                          <w:rPr>
                            <w:sz w:val="21"/>
                          </w:rPr>
                        </w:pPr>
                      </w:p>
                      <w:p>
                        <w:pPr>
                          <w:pStyle w:val="TableParagraph"/>
                          <w:spacing w:line="168" w:lineRule="auto"/>
                          <w:ind w:left="280" w:right="252" w:firstLine="105"/>
                          <w:jc w:val="left"/>
                          <w:rPr>
                            <w:sz w:val="21"/>
                          </w:rPr>
                        </w:pPr>
                        <w:r>
                          <w:rPr>
                            <w:sz w:val="21"/>
                          </w:rPr>
                          <w:t>环境敏感性</w:t>
                        </w:r>
                      </w:p>
                    </w:tc>
                    <w:tc>
                      <w:tcPr>
                        <w:tcW w:w="8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8"/>
                          <w:ind w:left="205"/>
                          <w:jc w:val="left"/>
                          <w:rPr>
                            <w:sz w:val="21"/>
                          </w:rPr>
                        </w:pPr>
                        <w:r>
                          <w:rPr>
                            <w:sz w:val="21"/>
                          </w:rPr>
                          <w:t>大气</w:t>
                        </w:r>
                      </w:p>
                    </w:tc>
                    <w:tc>
                      <w:tcPr>
                        <w:tcW w:w="2705" w:type="dxa"/>
                        <w:gridSpan w:val="8"/>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67"/>
                          <w:jc w:val="left"/>
                          <w:rPr>
                            <w:sz w:val="21"/>
                          </w:rPr>
                        </w:pPr>
                        <w:r>
                          <w:rPr>
                            <w:rFonts w:ascii="Times New Roman" w:eastAsia="Times New Roman"/>
                            <w:sz w:val="21"/>
                          </w:rPr>
                          <w:t>500m </w:t>
                        </w:r>
                        <w:r>
                          <w:rPr>
                            <w:sz w:val="21"/>
                          </w:rPr>
                          <w:t>范围内人口数 </w:t>
                        </w:r>
                        <w:r>
                          <w:rPr>
                            <w:rFonts w:ascii="Times New Roman" w:eastAsia="Times New Roman"/>
                            <w:sz w:val="21"/>
                            <w:u w:val="single"/>
                          </w:rPr>
                          <w:t>940 </w:t>
                        </w:r>
                        <w:r>
                          <w:rPr>
                            <w:sz w:val="21"/>
                          </w:rPr>
                          <w:t>人</w:t>
                        </w:r>
                      </w:p>
                    </w:tc>
                    <w:tc>
                      <w:tcPr>
                        <w:tcW w:w="3437" w:type="dxa"/>
                        <w:gridSpan w:val="10"/>
                        <w:tcBorders>
                          <w:top w:val="single" w:sz="6" w:space="0" w:color="000000"/>
                          <w:left w:val="single" w:sz="6" w:space="0" w:color="000000"/>
                          <w:bottom w:val="single" w:sz="6" w:space="0" w:color="000000"/>
                        </w:tcBorders>
                      </w:tcPr>
                      <w:p>
                        <w:pPr>
                          <w:pStyle w:val="TableParagraph"/>
                          <w:spacing w:line="294" w:lineRule="exact"/>
                          <w:ind w:left="477"/>
                          <w:jc w:val="left"/>
                          <w:rPr>
                            <w:sz w:val="21"/>
                          </w:rPr>
                        </w:pPr>
                        <w:r>
                          <w:rPr>
                            <w:rFonts w:ascii="Times New Roman" w:eastAsia="Times New Roman"/>
                            <w:sz w:val="21"/>
                          </w:rPr>
                          <w:t>5km </w:t>
                        </w:r>
                        <w:r>
                          <w:rPr>
                            <w:sz w:val="21"/>
                          </w:rPr>
                          <w:t>范围内人口数 </w:t>
                        </w:r>
                        <w:r>
                          <w:rPr>
                            <w:rFonts w:ascii="Times New Roman" w:eastAsia="Times New Roman"/>
                            <w:sz w:val="21"/>
                            <w:u w:val="single"/>
                          </w:rPr>
                          <w:t>56778</w:t>
                        </w:r>
                        <w:r>
                          <w:rPr>
                            <w:rFonts w:ascii="Times New Roman" w:eastAsia="Times New Roman"/>
                            <w:sz w:val="21"/>
                          </w:rPr>
                          <w:t> </w:t>
                        </w:r>
                        <w:r>
                          <w:rPr>
                            <w:sz w:val="21"/>
                          </w:rPr>
                          <w:t>人</w:t>
                        </w:r>
                      </w:p>
                    </w:tc>
                  </w:tr>
                  <w:tr>
                    <w:trPr>
                      <w:trHeight w:val="311"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vMerge/>
                        <w:tcBorders>
                          <w:top w:val="nil"/>
                          <w:left w:val="single" w:sz="6" w:space="0" w:color="000000"/>
                          <w:bottom w:val="single" w:sz="6" w:space="0" w:color="000000"/>
                          <w:right w:val="single" w:sz="6" w:space="0" w:color="000000"/>
                        </w:tcBorders>
                      </w:tcPr>
                      <w:p>
                        <w:pPr>
                          <w:rPr>
                            <w:sz w:val="2"/>
                            <w:szCs w:val="2"/>
                          </w:rPr>
                        </w:pPr>
                      </w:p>
                    </w:tc>
                    <w:tc>
                      <w:tcPr>
                        <w:tcW w:w="4789" w:type="dxa"/>
                        <w:gridSpan w:val="16"/>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09"/>
                          <w:jc w:val="left"/>
                          <w:rPr>
                            <w:sz w:val="21"/>
                          </w:rPr>
                        </w:pPr>
                        <w:r>
                          <w:rPr>
                            <w:sz w:val="21"/>
                          </w:rPr>
                          <w:t>每公里管段周边 </w:t>
                        </w:r>
                        <w:r>
                          <w:rPr>
                            <w:rFonts w:ascii="Times New Roman" w:eastAsia="Times New Roman"/>
                            <w:sz w:val="21"/>
                          </w:rPr>
                          <w:t>200m </w:t>
                        </w:r>
                        <w:r>
                          <w:rPr>
                            <w:sz w:val="21"/>
                          </w:rPr>
                          <w:t>范围内人口数（最大）</w:t>
                        </w:r>
                      </w:p>
                    </w:tc>
                    <w:tc>
                      <w:tcPr>
                        <w:tcW w:w="1353" w:type="dxa"/>
                        <w:gridSpan w:val="2"/>
                        <w:tcBorders>
                          <w:top w:val="single" w:sz="6" w:space="0" w:color="000000"/>
                          <w:left w:val="single" w:sz="6" w:space="0" w:color="000000"/>
                          <w:bottom w:val="single" w:sz="6" w:space="0" w:color="000000"/>
                        </w:tcBorders>
                      </w:tcPr>
                      <w:p>
                        <w:pPr>
                          <w:pStyle w:val="TableParagraph"/>
                          <w:spacing w:line="291" w:lineRule="exact"/>
                          <w:ind w:left="386"/>
                          <w:jc w:val="left"/>
                          <w:rPr>
                            <w:sz w:val="21"/>
                          </w:rPr>
                        </w:pPr>
                        <w:r>
                          <w:rPr>
                            <w:rFonts w:ascii="Times New Roman" w:eastAsia="Times New Roman"/>
                            <w:w w:val="100"/>
                            <w:sz w:val="21"/>
                            <w:u w:val="single"/>
                          </w:rPr>
                          <w:t> </w:t>
                        </w:r>
                        <w:r>
                          <w:rPr>
                            <w:rFonts w:ascii="Times New Roman" w:eastAsia="Times New Roman"/>
                            <w:sz w:val="21"/>
                            <w:u w:val="single"/>
                          </w:rPr>
                          <w:t> -- </w:t>
                        </w:r>
                        <w:r>
                          <w:rPr>
                            <w:sz w:val="21"/>
                          </w:rPr>
                          <w:t>人</w:t>
                        </w:r>
                      </w:p>
                    </w:tc>
                  </w:tr>
                  <w:tr>
                    <w:trPr>
                      <w:trHeight w:val="623"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15"/>
                          </w:rPr>
                        </w:pPr>
                      </w:p>
                      <w:p>
                        <w:pPr>
                          <w:pStyle w:val="TableParagraph"/>
                          <w:spacing w:line="168" w:lineRule="auto"/>
                          <w:ind w:left="311" w:right="177" w:hanging="106"/>
                          <w:jc w:val="left"/>
                          <w:rPr>
                            <w:sz w:val="21"/>
                          </w:rPr>
                        </w:pPr>
                        <w:r>
                          <w:rPr>
                            <w:sz w:val="21"/>
                          </w:rPr>
                          <w:t>地表水</w:t>
                        </w:r>
                      </w:p>
                    </w:tc>
                    <w:tc>
                      <w:tcPr>
                        <w:tcW w:w="1717" w:type="dxa"/>
                        <w:gridSpan w:val="5"/>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98" w:right="201"/>
                          <w:rPr>
                            <w:sz w:val="21"/>
                          </w:rPr>
                        </w:pPr>
                        <w:r>
                          <w:rPr>
                            <w:sz w:val="21"/>
                          </w:rPr>
                          <w:t>地表水功能</w:t>
                        </w:r>
                      </w:p>
                      <w:p>
                        <w:pPr>
                          <w:pStyle w:val="TableParagraph"/>
                          <w:spacing w:line="303" w:lineRule="exact"/>
                          <w:ind w:left="200" w:right="201"/>
                          <w:rPr>
                            <w:sz w:val="21"/>
                          </w:rPr>
                        </w:pPr>
                        <w:r>
                          <w:rPr>
                            <w:sz w:val="21"/>
                          </w:rPr>
                          <w:t>敏感性</w:t>
                        </w:r>
                      </w:p>
                    </w:tc>
                    <w:tc>
                      <w:tcPr>
                        <w:tcW w:w="146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90"/>
                          <w:ind w:left="455" w:right="463"/>
                          <w:rPr>
                            <w:rFonts w:ascii="Times New Roman" w:hAnsi="Times New Roman"/>
                            <w:sz w:val="21"/>
                          </w:rPr>
                        </w:pPr>
                        <w:r>
                          <w:rPr>
                            <w:rFonts w:ascii="Times New Roman" w:hAnsi="Times New Roman"/>
                            <w:sz w:val="21"/>
                          </w:rPr>
                          <w:t>F1 □</w:t>
                        </w:r>
                      </w:p>
                    </w:tc>
                    <w:tc>
                      <w:tcPr>
                        <w:tcW w:w="1603"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90"/>
                          <w:ind w:left="530" w:right="538"/>
                          <w:rPr>
                            <w:rFonts w:ascii="Times New Roman" w:hAnsi="Times New Roman"/>
                            <w:sz w:val="21"/>
                          </w:rPr>
                        </w:pPr>
                        <w:r>
                          <w:rPr>
                            <w:rFonts w:ascii="Times New Roman" w:hAnsi="Times New Roman"/>
                            <w:sz w:val="21"/>
                          </w:rPr>
                          <w:t>F2 □</w:t>
                        </w:r>
                      </w:p>
                    </w:tc>
                    <w:tc>
                      <w:tcPr>
                        <w:tcW w:w="1353" w:type="dxa"/>
                        <w:gridSpan w:val="2"/>
                        <w:tcBorders>
                          <w:top w:val="single" w:sz="6" w:space="0" w:color="000000"/>
                          <w:left w:val="single" w:sz="6" w:space="0" w:color="000000"/>
                          <w:bottom w:val="single" w:sz="6" w:space="0" w:color="000000"/>
                        </w:tcBorders>
                      </w:tcPr>
                      <w:p>
                        <w:pPr>
                          <w:pStyle w:val="TableParagraph"/>
                          <w:spacing w:before="189"/>
                          <w:ind w:left="431"/>
                          <w:jc w:val="left"/>
                          <w:rPr>
                            <w:rFonts w:ascii="Arial" w:hAnsi="Arial"/>
                            <w:sz w:val="21"/>
                          </w:rPr>
                        </w:pPr>
                        <w:r>
                          <w:rPr>
                            <w:rFonts w:ascii="Times New Roman" w:hAnsi="Times New Roman"/>
                            <w:w w:val="110"/>
                            <w:sz w:val="21"/>
                          </w:rPr>
                          <w:t>F3 </w:t>
                        </w:r>
                        <w:r>
                          <w:rPr>
                            <w:rFonts w:ascii="Arial" w:hAnsi="Arial"/>
                            <w:color w:val="333333"/>
                            <w:w w:val="110"/>
                            <w:sz w:val="21"/>
                          </w:rPr>
                          <w:t></w:t>
                        </w:r>
                      </w:p>
                    </w:tc>
                  </w:tr>
                  <w:tr>
                    <w:trPr>
                      <w:trHeight w:val="623"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vMerge/>
                        <w:tcBorders>
                          <w:top w:val="nil"/>
                          <w:left w:val="single" w:sz="6" w:space="0" w:color="000000"/>
                          <w:bottom w:val="single" w:sz="6" w:space="0" w:color="000000"/>
                          <w:right w:val="single" w:sz="6" w:space="0" w:color="000000"/>
                        </w:tcBorders>
                      </w:tcPr>
                      <w:p>
                        <w:pPr>
                          <w:rPr>
                            <w:sz w:val="2"/>
                            <w:szCs w:val="2"/>
                          </w:rPr>
                        </w:pPr>
                      </w:p>
                    </w:tc>
                    <w:tc>
                      <w:tcPr>
                        <w:tcW w:w="1717" w:type="dxa"/>
                        <w:gridSpan w:val="5"/>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200" w:right="201"/>
                          <w:rPr>
                            <w:sz w:val="21"/>
                          </w:rPr>
                        </w:pPr>
                        <w:r>
                          <w:rPr>
                            <w:sz w:val="21"/>
                          </w:rPr>
                          <w:t>环境敏感目标</w:t>
                        </w:r>
                      </w:p>
                      <w:p>
                        <w:pPr>
                          <w:pStyle w:val="TableParagraph"/>
                          <w:spacing w:line="303" w:lineRule="exact"/>
                          <w:ind w:left="200" w:right="201"/>
                          <w:rPr>
                            <w:sz w:val="21"/>
                          </w:rPr>
                        </w:pPr>
                        <w:r>
                          <w:rPr>
                            <w:sz w:val="21"/>
                          </w:rPr>
                          <w:t>分级</w:t>
                        </w:r>
                      </w:p>
                    </w:tc>
                    <w:tc>
                      <w:tcPr>
                        <w:tcW w:w="146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90"/>
                          <w:ind w:left="460" w:right="463"/>
                          <w:rPr>
                            <w:rFonts w:ascii="Times New Roman" w:hAnsi="Times New Roman"/>
                            <w:sz w:val="21"/>
                          </w:rPr>
                        </w:pPr>
                        <w:r>
                          <w:rPr>
                            <w:rFonts w:ascii="Times New Roman" w:hAnsi="Times New Roman"/>
                            <w:sz w:val="21"/>
                          </w:rPr>
                          <w:t>S1 □</w:t>
                        </w:r>
                      </w:p>
                    </w:tc>
                    <w:tc>
                      <w:tcPr>
                        <w:tcW w:w="1603"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90"/>
                          <w:ind w:left="535" w:right="538"/>
                          <w:rPr>
                            <w:rFonts w:ascii="Times New Roman" w:hAnsi="Times New Roman"/>
                            <w:sz w:val="21"/>
                          </w:rPr>
                        </w:pPr>
                        <w:r>
                          <w:rPr>
                            <w:rFonts w:ascii="Times New Roman" w:hAnsi="Times New Roman"/>
                            <w:sz w:val="21"/>
                          </w:rPr>
                          <w:t>S2 □</w:t>
                        </w:r>
                      </w:p>
                    </w:tc>
                    <w:tc>
                      <w:tcPr>
                        <w:tcW w:w="1353" w:type="dxa"/>
                        <w:gridSpan w:val="2"/>
                        <w:tcBorders>
                          <w:top w:val="single" w:sz="6" w:space="0" w:color="000000"/>
                          <w:left w:val="single" w:sz="6" w:space="0" w:color="000000"/>
                          <w:bottom w:val="single" w:sz="6" w:space="0" w:color="000000"/>
                        </w:tcBorders>
                      </w:tcPr>
                      <w:p>
                        <w:pPr>
                          <w:pStyle w:val="TableParagraph"/>
                          <w:spacing w:before="189"/>
                          <w:ind w:left="431"/>
                          <w:jc w:val="left"/>
                          <w:rPr>
                            <w:rFonts w:ascii="Arial" w:hAnsi="Arial"/>
                            <w:sz w:val="21"/>
                          </w:rPr>
                        </w:pPr>
                        <w:r>
                          <w:rPr>
                            <w:rFonts w:ascii="Times New Roman" w:hAnsi="Times New Roman"/>
                            <w:w w:val="110"/>
                            <w:sz w:val="21"/>
                          </w:rPr>
                          <w:t>S3 </w:t>
                        </w:r>
                        <w:r>
                          <w:rPr>
                            <w:rFonts w:ascii="Arial" w:hAnsi="Arial"/>
                            <w:color w:val="333333"/>
                            <w:w w:val="110"/>
                            <w:sz w:val="21"/>
                          </w:rPr>
                          <w:t></w:t>
                        </w:r>
                      </w:p>
                    </w:tc>
                  </w:tr>
                  <w:tr>
                    <w:trPr>
                      <w:trHeight w:val="625"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
                          <w:jc w:val="left"/>
                          <w:rPr>
                            <w:sz w:val="15"/>
                          </w:rPr>
                        </w:pPr>
                      </w:p>
                      <w:p>
                        <w:pPr>
                          <w:pStyle w:val="TableParagraph"/>
                          <w:spacing w:line="168" w:lineRule="auto"/>
                          <w:ind w:left="311" w:right="177" w:hanging="106"/>
                          <w:jc w:val="left"/>
                          <w:rPr>
                            <w:sz w:val="21"/>
                          </w:rPr>
                        </w:pPr>
                        <w:r>
                          <w:rPr>
                            <w:sz w:val="21"/>
                          </w:rPr>
                          <w:t>地下水</w:t>
                        </w:r>
                      </w:p>
                    </w:tc>
                    <w:tc>
                      <w:tcPr>
                        <w:tcW w:w="1717" w:type="dxa"/>
                        <w:gridSpan w:val="5"/>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98" w:right="201"/>
                          <w:rPr>
                            <w:sz w:val="21"/>
                          </w:rPr>
                        </w:pPr>
                        <w:r>
                          <w:rPr>
                            <w:sz w:val="21"/>
                          </w:rPr>
                          <w:t>地下水功能</w:t>
                        </w:r>
                      </w:p>
                      <w:p>
                        <w:pPr>
                          <w:pStyle w:val="TableParagraph"/>
                          <w:spacing w:line="303" w:lineRule="exact"/>
                          <w:ind w:left="200" w:right="201"/>
                          <w:rPr>
                            <w:sz w:val="21"/>
                          </w:rPr>
                        </w:pPr>
                        <w:r>
                          <w:rPr>
                            <w:sz w:val="21"/>
                          </w:rPr>
                          <w:t>敏感性</w:t>
                        </w:r>
                      </w:p>
                    </w:tc>
                    <w:tc>
                      <w:tcPr>
                        <w:tcW w:w="146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92"/>
                          <w:ind w:left="460" w:right="461"/>
                          <w:rPr>
                            <w:rFonts w:ascii="Times New Roman" w:hAnsi="Times New Roman"/>
                            <w:sz w:val="21"/>
                          </w:rPr>
                        </w:pPr>
                        <w:r>
                          <w:rPr>
                            <w:rFonts w:ascii="Times New Roman" w:hAnsi="Times New Roman"/>
                            <w:sz w:val="21"/>
                          </w:rPr>
                          <w:t>G1 □</w:t>
                        </w:r>
                      </w:p>
                    </w:tc>
                    <w:tc>
                      <w:tcPr>
                        <w:tcW w:w="1603"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92"/>
                          <w:ind w:left="537" w:right="538"/>
                          <w:rPr>
                            <w:rFonts w:ascii="Times New Roman" w:hAnsi="Times New Roman"/>
                            <w:sz w:val="21"/>
                          </w:rPr>
                        </w:pPr>
                        <w:r>
                          <w:rPr>
                            <w:rFonts w:ascii="Times New Roman" w:hAnsi="Times New Roman"/>
                            <w:sz w:val="21"/>
                          </w:rPr>
                          <w:t>G2 □</w:t>
                        </w:r>
                      </w:p>
                    </w:tc>
                    <w:tc>
                      <w:tcPr>
                        <w:tcW w:w="1353" w:type="dxa"/>
                        <w:gridSpan w:val="2"/>
                        <w:tcBorders>
                          <w:top w:val="single" w:sz="6" w:space="0" w:color="000000"/>
                          <w:left w:val="single" w:sz="6" w:space="0" w:color="000000"/>
                          <w:bottom w:val="single" w:sz="6" w:space="0" w:color="000000"/>
                        </w:tcBorders>
                      </w:tcPr>
                      <w:p>
                        <w:pPr>
                          <w:pStyle w:val="TableParagraph"/>
                          <w:spacing w:before="191"/>
                          <w:ind w:left="414"/>
                          <w:jc w:val="left"/>
                          <w:rPr>
                            <w:rFonts w:ascii="Arial" w:hAnsi="Arial"/>
                            <w:sz w:val="21"/>
                          </w:rPr>
                        </w:pPr>
                        <w:r>
                          <w:rPr>
                            <w:rFonts w:ascii="Times New Roman" w:hAnsi="Times New Roman"/>
                            <w:w w:val="110"/>
                            <w:sz w:val="21"/>
                          </w:rPr>
                          <w:t>G3 </w:t>
                        </w:r>
                        <w:r>
                          <w:rPr>
                            <w:rFonts w:ascii="Arial" w:hAnsi="Arial"/>
                            <w:color w:val="333333"/>
                            <w:w w:val="110"/>
                            <w:sz w:val="21"/>
                          </w:rPr>
                          <w:t></w:t>
                        </w:r>
                      </w:p>
                    </w:tc>
                  </w:tr>
                  <w:tr>
                    <w:trPr>
                      <w:trHeight w:val="623" w:hRule="atLeast"/>
                    </w:trPr>
                    <w:tc>
                      <w:tcPr>
                        <w:tcW w:w="888" w:type="dxa"/>
                        <w:vMerge/>
                        <w:tcBorders>
                          <w:top w:val="nil"/>
                          <w:bottom w:val="single" w:sz="6" w:space="0" w:color="000000"/>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823" w:type="dxa"/>
                        <w:vMerge/>
                        <w:tcBorders>
                          <w:top w:val="nil"/>
                          <w:left w:val="single" w:sz="6" w:space="0" w:color="000000"/>
                          <w:bottom w:val="single" w:sz="6" w:space="0" w:color="000000"/>
                          <w:right w:val="single" w:sz="6" w:space="0" w:color="000000"/>
                        </w:tcBorders>
                      </w:tcPr>
                      <w:p>
                        <w:pPr>
                          <w:rPr>
                            <w:sz w:val="2"/>
                            <w:szCs w:val="2"/>
                          </w:rPr>
                        </w:pPr>
                      </w:p>
                    </w:tc>
                    <w:tc>
                      <w:tcPr>
                        <w:tcW w:w="1717" w:type="dxa"/>
                        <w:gridSpan w:val="5"/>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200" w:right="201"/>
                          <w:rPr>
                            <w:sz w:val="21"/>
                          </w:rPr>
                        </w:pPr>
                        <w:r>
                          <w:rPr>
                            <w:sz w:val="21"/>
                          </w:rPr>
                          <w:t>包气带防污性</w:t>
                        </w:r>
                      </w:p>
                      <w:p>
                        <w:pPr>
                          <w:pStyle w:val="TableParagraph"/>
                          <w:spacing w:line="303" w:lineRule="exact"/>
                          <w:ind w:right="6"/>
                          <w:rPr>
                            <w:sz w:val="21"/>
                          </w:rPr>
                        </w:pPr>
                        <w:r>
                          <w:rPr>
                            <w:w w:val="100"/>
                            <w:sz w:val="21"/>
                          </w:rPr>
                          <w:t>能</w:t>
                        </w:r>
                      </w:p>
                    </w:tc>
                    <w:tc>
                      <w:tcPr>
                        <w:tcW w:w="146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89"/>
                          <w:ind w:left="460" w:right="463"/>
                          <w:rPr>
                            <w:rFonts w:ascii="Arial" w:hAnsi="Arial"/>
                            <w:sz w:val="21"/>
                          </w:rPr>
                        </w:pPr>
                        <w:r>
                          <w:rPr>
                            <w:rFonts w:ascii="Times New Roman" w:hAnsi="Times New Roman"/>
                            <w:w w:val="105"/>
                            <w:sz w:val="21"/>
                          </w:rPr>
                          <w:t>D1</w:t>
                        </w:r>
                        <w:r>
                          <w:rPr>
                            <w:rFonts w:ascii="Arial" w:hAnsi="Arial"/>
                            <w:color w:val="333333"/>
                            <w:w w:val="105"/>
                            <w:sz w:val="21"/>
                          </w:rPr>
                          <w:t></w:t>
                        </w:r>
                      </w:p>
                    </w:tc>
                    <w:tc>
                      <w:tcPr>
                        <w:tcW w:w="1603"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90"/>
                          <w:ind w:left="537" w:right="538"/>
                          <w:rPr>
                            <w:rFonts w:ascii="Times New Roman" w:hAnsi="Times New Roman"/>
                            <w:sz w:val="21"/>
                          </w:rPr>
                        </w:pPr>
                        <w:r>
                          <w:rPr>
                            <w:rFonts w:ascii="Times New Roman" w:hAnsi="Times New Roman"/>
                            <w:sz w:val="21"/>
                          </w:rPr>
                          <w:t>D2 □</w:t>
                        </w:r>
                      </w:p>
                    </w:tc>
                    <w:tc>
                      <w:tcPr>
                        <w:tcW w:w="1353" w:type="dxa"/>
                        <w:gridSpan w:val="2"/>
                        <w:tcBorders>
                          <w:top w:val="single" w:sz="6" w:space="0" w:color="000000"/>
                          <w:left w:val="single" w:sz="6" w:space="0" w:color="000000"/>
                          <w:bottom w:val="single" w:sz="6" w:space="0" w:color="000000"/>
                        </w:tcBorders>
                      </w:tcPr>
                      <w:p>
                        <w:pPr>
                          <w:pStyle w:val="TableParagraph"/>
                          <w:spacing w:before="190"/>
                          <w:ind w:left="453" w:right="454"/>
                          <w:rPr>
                            <w:rFonts w:ascii="Times New Roman" w:hAnsi="Times New Roman"/>
                            <w:sz w:val="21"/>
                          </w:rPr>
                        </w:pPr>
                        <w:r>
                          <w:rPr>
                            <w:rFonts w:ascii="Times New Roman" w:hAnsi="Times New Roman"/>
                            <w:sz w:val="21"/>
                          </w:rPr>
                          <w:t>D3□</w:t>
                        </w:r>
                      </w:p>
                    </w:tc>
                  </w:tr>
                  <w:tr>
                    <w:trPr>
                      <w:trHeight w:val="311" w:hRule="atLeast"/>
                    </w:trPr>
                    <w:tc>
                      <w:tcPr>
                        <w:tcW w:w="2072" w:type="dxa"/>
                        <w:gridSpan w:val="2"/>
                        <w:vMerge w:val="restart"/>
                        <w:tcBorders>
                          <w:top w:val="single" w:sz="6" w:space="0" w:color="000000"/>
                          <w:bottom w:val="single" w:sz="6" w:space="0" w:color="000000"/>
                          <w:right w:val="single" w:sz="6" w:space="0" w:color="000000"/>
                        </w:tcBorders>
                      </w:tcPr>
                      <w:p>
                        <w:pPr>
                          <w:pStyle w:val="TableParagraph"/>
                          <w:spacing w:before="16"/>
                          <w:jc w:val="left"/>
                          <w:rPr>
                            <w:sz w:val="8"/>
                          </w:rPr>
                        </w:pPr>
                      </w:p>
                      <w:p>
                        <w:pPr>
                          <w:pStyle w:val="TableParagraph"/>
                          <w:spacing w:line="168" w:lineRule="auto"/>
                          <w:ind w:left="716" w:right="276" w:hanging="420"/>
                          <w:jc w:val="left"/>
                          <w:rPr>
                            <w:sz w:val="21"/>
                          </w:rPr>
                        </w:pPr>
                        <w:r>
                          <w:rPr>
                            <w:sz w:val="21"/>
                          </w:rPr>
                          <w:t>物质及工艺系统危险性</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172" w:right="146"/>
                          <w:rPr>
                            <w:sz w:val="21"/>
                          </w:rPr>
                        </w:pPr>
                        <w:r>
                          <w:rPr>
                            <w:rFonts w:ascii="Times New Roman" w:eastAsia="Times New Roman"/>
                            <w:sz w:val="21"/>
                          </w:rPr>
                          <w:t>Q </w:t>
                        </w:r>
                        <w:r>
                          <w:rPr>
                            <w:sz w:val="21"/>
                          </w:rPr>
                          <w:t>值</w:t>
                        </w:r>
                      </w:p>
                    </w:tc>
                    <w:tc>
                      <w:tcPr>
                        <w:tcW w:w="1717" w:type="dxa"/>
                        <w:gridSpan w:val="5"/>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525"/>
                          <w:jc w:val="left"/>
                          <w:rPr>
                            <w:rFonts w:ascii="Times New Roman" w:hAnsi="Times New Roman" w:eastAsia="Times New Roman"/>
                            <w:sz w:val="21"/>
                          </w:rPr>
                        </w:pPr>
                        <w:r>
                          <w:rPr>
                            <w:rFonts w:ascii="Times New Roman" w:hAnsi="Times New Roman" w:eastAsia="Times New Roman"/>
                            <w:sz w:val="21"/>
                          </w:rPr>
                          <w:t>Q</w:t>
                        </w:r>
                        <w:r>
                          <w:rPr>
                            <w:sz w:val="21"/>
                          </w:rPr>
                          <w:t>＜</w:t>
                        </w:r>
                        <w:r>
                          <w:rPr>
                            <w:rFonts w:ascii="Times New Roman" w:hAnsi="Times New Roman" w:eastAsia="Times New Roman"/>
                            <w:sz w:val="21"/>
                          </w:rPr>
                          <w:t>1 □</w:t>
                        </w:r>
                      </w:p>
                    </w:tc>
                    <w:tc>
                      <w:tcPr>
                        <w:tcW w:w="1469" w:type="dxa"/>
                        <w:gridSpan w:val="5"/>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34"/>
                          <w:jc w:val="left"/>
                          <w:rPr>
                            <w:rFonts w:ascii="Arial" w:hAnsi="Arial" w:eastAsia="Arial"/>
                            <w:sz w:val="21"/>
                          </w:rPr>
                        </w:pPr>
                        <w:r>
                          <w:rPr>
                            <w:rFonts w:ascii="Times New Roman" w:hAnsi="Times New Roman" w:eastAsia="Times New Roman"/>
                            <w:w w:val="105"/>
                            <w:sz w:val="21"/>
                          </w:rPr>
                          <w:t>1≤Q</w:t>
                        </w:r>
                        <w:r>
                          <w:rPr>
                            <w:w w:val="105"/>
                            <w:sz w:val="21"/>
                          </w:rPr>
                          <w:t>＜</w:t>
                        </w:r>
                        <w:r>
                          <w:rPr>
                            <w:rFonts w:ascii="Times New Roman" w:hAnsi="Times New Roman" w:eastAsia="Times New Roman"/>
                            <w:w w:val="105"/>
                            <w:sz w:val="21"/>
                          </w:rPr>
                          <w:t>10</w:t>
                        </w:r>
                        <w:r>
                          <w:rPr>
                            <w:rFonts w:ascii="Arial" w:hAnsi="Arial" w:eastAsia="Arial"/>
                            <w:color w:val="333333"/>
                            <w:w w:val="105"/>
                            <w:sz w:val="21"/>
                          </w:rPr>
                          <w:t></w:t>
                        </w:r>
                      </w:p>
                    </w:tc>
                    <w:tc>
                      <w:tcPr>
                        <w:tcW w:w="1603" w:type="dxa"/>
                        <w:gridSpan w:val="6"/>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00"/>
                          <w:jc w:val="left"/>
                          <w:rPr>
                            <w:rFonts w:ascii="Times New Roman" w:hAnsi="Times New Roman" w:eastAsia="Times New Roman"/>
                            <w:sz w:val="21"/>
                          </w:rPr>
                        </w:pPr>
                        <w:r>
                          <w:rPr>
                            <w:rFonts w:ascii="Times New Roman" w:hAnsi="Times New Roman" w:eastAsia="Times New Roman"/>
                            <w:sz w:val="21"/>
                          </w:rPr>
                          <w:t>10≤Q</w:t>
                        </w:r>
                        <w:r>
                          <w:rPr>
                            <w:sz w:val="21"/>
                          </w:rPr>
                          <w:t>＜</w:t>
                        </w:r>
                        <w:r>
                          <w:rPr>
                            <w:rFonts w:ascii="Times New Roman" w:hAnsi="Times New Roman" w:eastAsia="Times New Roman"/>
                            <w:sz w:val="21"/>
                          </w:rPr>
                          <w:t>100 □</w:t>
                        </w:r>
                      </w:p>
                    </w:tc>
                    <w:tc>
                      <w:tcPr>
                        <w:tcW w:w="1353" w:type="dxa"/>
                        <w:gridSpan w:val="2"/>
                        <w:tcBorders>
                          <w:top w:val="single" w:sz="6" w:space="0" w:color="000000"/>
                          <w:left w:val="single" w:sz="6" w:space="0" w:color="000000"/>
                          <w:bottom w:val="single" w:sz="6" w:space="0" w:color="000000"/>
                        </w:tcBorders>
                      </w:tcPr>
                      <w:p>
                        <w:pPr>
                          <w:pStyle w:val="TableParagraph"/>
                          <w:spacing w:line="292" w:lineRule="exact"/>
                          <w:ind w:left="234"/>
                          <w:jc w:val="left"/>
                          <w:rPr>
                            <w:rFonts w:ascii="Times New Roman" w:hAnsi="Times New Roman" w:eastAsia="Times New Roman"/>
                            <w:sz w:val="21"/>
                          </w:rPr>
                        </w:pPr>
                        <w:r>
                          <w:rPr>
                            <w:rFonts w:ascii="Times New Roman" w:hAnsi="Times New Roman" w:eastAsia="Times New Roman"/>
                            <w:sz w:val="21"/>
                          </w:rPr>
                          <w:t>Q</w:t>
                        </w:r>
                        <w:r>
                          <w:rPr>
                            <w:sz w:val="21"/>
                          </w:rPr>
                          <w:t>＞</w:t>
                        </w:r>
                        <w:r>
                          <w:rPr>
                            <w:rFonts w:ascii="Times New Roman" w:hAnsi="Times New Roman" w:eastAsia="Times New Roman"/>
                            <w:sz w:val="21"/>
                          </w:rPr>
                          <w:t>100 □</w:t>
                        </w:r>
                      </w:p>
                    </w:tc>
                  </w:tr>
                  <w:tr>
                    <w:trPr>
                      <w:trHeight w:val="311" w:hRule="atLeast"/>
                    </w:trPr>
                    <w:tc>
                      <w:tcPr>
                        <w:tcW w:w="2072" w:type="dxa"/>
                        <w:gridSpan w:val="2"/>
                        <w:vMerge/>
                        <w:tcBorders>
                          <w:top w:val="nil"/>
                          <w:bottom w:val="single" w:sz="6" w:space="0" w:color="000000"/>
                          <w:right w:val="single" w:sz="6" w:space="0" w:color="000000"/>
                        </w:tcBorders>
                      </w:tcPr>
                      <w:p>
                        <w:pPr>
                          <w:rPr>
                            <w:sz w:val="2"/>
                            <w:szCs w:val="2"/>
                          </w:rPr>
                        </w:pP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72" w:right="146"/>
                          <w:rPr>
                            <w:sz w:val="21"/>
                          </w:rPr>
                        </w:pPr>
                        <w:r>
                          <w:rPr>
                            <w:rFonts w:ascii="Times New Roman" w:eastAsia="Times New Roman"/>
                            <w:sz w:val="21"/>
                          </w:rPr>
                          <w:t>M </w:t>
                        </w:r>
                        <w:r>
                          <w:rPr>
                            <w:sz w:val="21"/>
                          </w:rPr>
                          <w:t>值</w:t>
                        </w:r>
                      </w:p>
                    </w:tc>
                    <w:tc>
                      <w:tcPr>
                        <w:tcW w:w="1717" w:type="dxa"/>
                        <w:gridSpan w:val="5"/>
                        <w:tcBorders>
                          <w:top w:val="single" w:sz="6" w:space="0" w:color="000000"/>
                          <w:left w:val="single" w:sz="6" w:space="0" w:color="000000"/>
                          <w:bottom w:val="single" w:sz="6" w:space="0" w:color="000000"/>
                          <w:right w:val="single" w:sz="6" w:space="0" w:color="000000"/>
                        </w:tcBorders>
                      </w:tcPr>
                      <w:p>
                        <w:pPr>
                          <w:pStyle w:val="TableParagraph"/>
                          <w:spacing w:before="33"/>
                          <w:ind w:left="196" w:right="201"/>
                          <w:rPr>
                            <w:rFonts w:ascii="Arial" w:hAnsi="Arial"/>
                            <w:sz w:val="21"/>
                          </w:rPr>
                        </w:pPr>
                        <w:r>
                          <w:rPr>
                            <w:rFonts w:ascii="Times New Roman" w:hAnsi="Times New Roman"/>
                            <w:w w:val="105"/>
                            <w:sz w:val="21"/>
                          </w:rPr>
                          <w:t>M1</w:t>
                        </w:r>
                        <w:r>
                          <w:rPr>
                            <w:rFonts w:ascii="Arial" w:hAnsi="Arial"/>
                            <w:color w:val="333333"/>
                            <w:w w:val="105"/>
                            <w:sz w:val="21"/>
                          </w:rPr>
                          <w:t></w:t>
                        </w:r>
                      </w:p>
                    </w:tc>
                    <w:tc>
                      <w:tcPr>
                        <w:tcW w:w="146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34"/>
                          <w:ind w:left="460" w:right="461"/>
                          <w:rPr>
                            <w:rFonts w:ascii="Times New Roman" w:hAnsi="Times New Roman"/>
                            <w:sz w:val="21"/>
                          </w:rPr>
                        </w:pPr>
                        <w:r>
                          <w:rPr>
                            <w:rFonts w:ascii="Times New Roman" w:hAnsi="Times New Roman"/>
                            <w:sz w:val="21"/>
                          </w:rPr>
                          <w:t>M2 □</w:t>
                        </w:r>
                      </w:p>
                    </w:tc>
                    <w:tc>
                      <w:tcPr>
                        <w:tcW w:w="1603" w:type="dxa"/>
                        <w:gridSpan w:val="6"/>
                        <w:tcBorders>
                          <w:top w:val="single" w:sz="6" w:space="0" w:color="000000"/>
                          <w:left w:val="single" w:sz="6" w:space="0" w:color="000000"/>
                          <w:bottom w:val="single" w:sz="6" w:space="0" w:color="000000"/>
                          <w:right w:val="single" w:sz="6" w:space="0" w:color="000000"/>
                        </w:tcBorders>
                      </w:tcPr>
                      <w:p>
                        <w:pPr>
                          <w:pStyle w:val="TableParagraph"/>
                          <w:spacing w:before="34"/>
                          <w:ind w:left="537" w:right="538"/>
                          <w:rPr>
                            <w:rFonts w:ascii="Times New Roman" w:hAnsi="Times New Roman"/>
                            <w:sz w:val="21"/>
                          </w:rPr>
                        </w:pPr>
                        <w:r>
                          <w:rPr>
                            <w:rFonts w:ascii="Times New Roman" w:hAnsi="Times New Roman"/>
                            <w:sz w:val="21"/>
                          </w:rPr>
                          <w:t>M3 □</w:t>
                        </w:r>
                      </w:p>
                    </w:tc>
                    <w:tc>
                      <w:tcPr>
                        <w:tcW w:w="1353" w:type="dxa"/>
                        <w:gridSpan w:val="2"/>
                        <w:tcBorders>
                          <w:top w:val="single" w:sz="6" w:space="0" w:color="000000"/>
                          <w:left w:val="single" w:sz="6" w:space="0" w:color="000000"/>
                          <w:bottom w:val="single" w:sz="6" w:space="0" w:color="000000"/>
                        </w:tcBorders>
                      </w:tcPr>
                      <w:p>
                        <w:pPr>
                          <w:pStyle w:val="TableParagraph"/>
                          <w:tabs>
                            <w:tab w:pos="851" w:val="left" w:leader="none"/>
                          </w:tabs>
                          <w:spacing w:before="34"/>
                          <w:ind w:left="347"/>
                          <w:jc w:val="left"/>
                          <w:rPr>
                            <w:rFonts w:ascii="Times New Roman" w:hAnsi="Times New Roman"/>
                            <w:sz w:val="21"/>
                          </w:rPr>
                        </w:pPr>
                        <w:r>
                          <w:rPr>
                            <w:rFonts w:ascii="Times New Roman" w:hAnsi="Times New Roman"/>
                            <w:sz w:val="21"/>
                          </w:rPr>
                          <w:t>M4</w:t>
                          <w:tab/>
                          <w:t>□</w:t>
                        </w:r>
                      </w:p>
                    </w:tc>
                  </w:tr>
                  <w:tr>
                    <w:trPr>
                      <w:trHeight w:val="313" w:hRule="atLeast"/>
                    </w:trPr>
                    <w:tc>
                      <w:tcPr>
                        <w:tcW w:w="2072" w:type="dxa"/>
                        <w:gridSpan w:val="2"/>
                        <w:vMerge/>
                        <w:tcBorders>
                          <w:top w:val="nil"/>
                          <w:bottom w:val="single" w:sz="6" w:space="0" w:color="000000"/>
                          <w:right w:val="single" w:sz="6" w:space="0" w:color="000000"/>
                        </w:tcBorders>
                      </w:tcPr>
                      <w:p>
                        <w:pPr>
                          <w:rPr>
                            <w:sz w:val="2"/>
                            <w:szCs w:val="2"/>
                          </w:rPr>
                        </w:pP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72" w:right="144"/>
                          <w:rPr>
                            <w:sz w:val="21"/>
                          </w:rPr>
                        </w:pPr>
                        <w:r>
                          <w:rPr>
                            <w:rFonts w:ascii="Times New Roman" w:eastAsia="Times New Roman"/>
                            <w:sz w:val="21"/>
                          </w:rPr>
                          <w:t>P </w:t>
                        </w:r>
                        <w:r>
                          <w:rPr>
                            <w:sz w:val="21"/>
                          </w:rPr>
                          <w:t>值</w:t>
                        </w:r>
                      </w:p>
                    </w:tc>
                    <w:tc>
                      <w:tcPr>
                        <w:tcW w:w="1717" w:type="dxa"/>
                        <w:gridSpan w:val="5"/>
                        <w:tcBorders>
                          <w:top w:val="single" w:sz="6" w:space="0" w:color="000000"/>
                          <w:left w:val="single" w:sz="6" w:space="0" w:color="000000"/>
                          <w:bottom w:val="single" w:sz="6" w:space="0" w:color="000000"/>
                          <w:right w:val="single" w:sz="6" w:space="0" w:color="000000"/>
                        </w:tcBorders>
                      </w:tcPr>
                      <w:p>
                        <w:pPr>
                          <w:pStyle w:val="TableParagraph"/>
                          <w:spacing w:before="36"/>
                          <w:ind w:left="200" w:right="200"/>
                          <w:rPr>
                            <w:rFonts w:ascii="Times New Roman" w:hAnsi="Times New Roman"/>
                            <w:sz w:val="21"/>
                          </w:rPr>
                        </w:pPr>
                        <w:r>
                          <w:rPr>
                            <w:rFonts w:ascii="Times New Roman" w:hAnsi="Times New Roman"/>
                            <w:sz w:val="21"/>
                          </w:rPr>
                          <w:t>P1 □</w:t>
                        </w:r>
                      </w:p>
                    </w:tc>
                    <w:tc>
                      <w:tcPr>
                        <w:tcW w:w="146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35"/>
                          <w:ind w:left="460" w:right="460"/>
                          <w:rPr>
                            <w:rFonts w:ascii="Arial" w:hAnsi="Arial"/>
                            <w:sz w:val="21"/>
                          </w:rPr>
                        </w:pPr>
                        <w:r>
                          <w:rPr>
                            <w:rFonts w:ascii="Times New Roman" w:hAnsi="Times New Roman"/>
                            <w:w w:val="105"/>
                            <w:sz w:val="21"/>
                          </w:rPr>
                          <w:t>P2</w:t>
                        </w:r>
                        <w:r>
                          <w:rPr>
                            <w:rFonts w:ascii="Arial" w:hAnsi="Arial"/>
                            <w:color w:val="333333"/>
                            <w:w w:val="105"/>
                            <w:sz w:val="21"/>
                          </w:rPr>
                          <w:t></w:t>
                        </w:r>
                      </w:p>
                    </w:tc>
                    <w:tc>
                      <w:tcPr>
                        <w:tcW w:w="1603" w:type="dxa"/>
                        <w:gridSpan w:val="6"/>
                        <w:tcBorders>
                          <w:top w:val="single" w:sz="6" w:space="0" w:color="000000"/>
                          <w:left w:val="single" w:sz="6" w:space="0" w:color="000000"/>
                          <w:bottom w:val="single" w:sz="6" w:space="0" w:color="000000"/>
                          <w:right w:val="single" w:sz="6" w:space="0" w:color="000000"/>
                        </w:tcBorders>
                      </w:tcPr>
                      <w:p>
                        <w:pPr>
                          <w:pStyle w:val="TableParagraph"/>
                          <w:spacing w:before="36"/>
                          <w:ind w:left="535" w:right="538"/>
                          <w:rPr>
                            <w:rFonts w:ascii="Times New Roman" w:hAnsi="Times New Roman"/>
                            <w:sz w:val="21"/>
                          </w:rPr>
                        </w:pPr>
                        <w:r>
                          <w:rPr>
                            <w:rFonts w:ascii="Times New Roman" w:hAnsi="Times New Roman"/>
                            <w:sz w:val="21"/>
                          </w:rPr>
                          <w:t>P3 □</w:t>
                        </w:r>
                      </w:p>
                    </w:tc>
                    <w:tc>
                      <w:tcPr>
                        <w:tcW w:w="1353" w:type="dxa"/>
                        <w:gridSpan w:val="2"/>
                        <w:tcBorders>
                          <w:top w:val="single" w:sz="6" w:space="0" w:color="000000"/>
                          <w:left w:val="single" w:sz="6" w:space="0" w:color="000000"/>
                          <w:bottom w:val="single" w:sz="6" w:space="0" w:color="000000"/>
                        </w:tcBorders>
                      </w:tcPr>
                      <w:p>
                        <w:pPr>
                          <w:pStyle w:val="TableParagraph"/>
                          <w:spacing w:before="36"/>
                          <w:ind w:left="450" w:right="454"/>
                          <w:rPr>
                            <w:rFonts w:ascii="Times New Roman" w:hAnsi="Times New Roman"/>
                            <w:sz w:val="21"/>
                          </w:rPr>
                        </w:pPr>
                        <w:r>
                          <w:rPr>
                            <w:rFonts w:ascii="Times New Roman" w:hAnsi="Times New Roman"/>
                            <w:sz w:val="21"/>
                          </w:rPr>
                          <w:t>P4□</w:t>
                        </w:r>
                      </w:p>
                    </w:tc>
                  </w:tr>
                  <w:tr>
                    <w:trPr>
                      <w:trHeight w:val="311" w:hRule="atLeast"/>
                    </w:trPr>
                    <w:tc>
                      <w:tcPr>
                        <w:tcW w:w="2072" w:type="dxa"/>
                        <w:gridSpan w:val="2"/>
                        <w:vMerge w:val="restart"/>
                        <w:tcBorders>
                          <w:top w:val="single" w:sz="6" w:space="0" w:color="000000"/>
                          <w:bottom w:val="single" w:sz="6" w:space="0" w:color="000000"/>
                          <w:right w:val="single" w:sz="6" w:space="0" w:color="000000"/>
                        </w:tcBorders>
                      </w:tcPr>
                      <w:p>
                        <w:pPr>
                          <w:pStyle w:val="TableParagraph"/>
                          <w:spacing w:before="9"/>
                          <w:jc w:val="left"/>
                          <w:rPr>
                            <w:sz w:val="23"/>
                          </w:rPr>
                        </w:pPr>
                      </w:p>
                      <w:p>
                        <w:pPr>
                          <w:pStyle w:val="TableParagraph"/>
                          <w:spacing w:line="168" w:lineRule="auto"/>
                          <w:ind w:left="822" w:right="591" w:hanging="209"/>
                          <w:jc w:val="left"/>
                          <w:rPr>
                            <w:sz w:val="21"/>
                          </w:rPr>
                        </w:pPr>
                        <w:r>
                          <w:rPr>
                            <w:sz w:val="21"/>
                          </w:rPr>
                          <w:t>环境敏感程度</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72" w:right="146"/>
                          <w:rPr>
                            <w:sz w:val="21"/>
                          </w:rPr>
                        </w:pPr>
                        <w:r>
                          <w:rPr>
                            <w:sz w:val="21"/>
                          </w:rPr>
                          <w:t>大气</w:t>
                        </w:r>
                      </w:p>
                    </w:tc>
                    <w:tc>
                      <w:tcPr>
                        <w:tcW w:w="2292" w:type="dxa"/>
                        <w:gridSpan w:val="7"/>
                        <w:tcBorders>
                          <w:top w:val="single" w:sz="6" w:space="0" w:color="000000"/>
                          <w:left w:val="single" w:sz="6" w:space="0" w:color="000000"/>
                          <w:bottom w:val="single" w:sz="6" w:space="0" w:color="000000"/>
                          <w:right w:val="single" w:sz="6" w:space="0" w:color="000000"/>
                        </w:tcBorders>
                      </w:tcPr>
                      <w:p>
                        <w:pPr>
                          <w:pStyle w:val="TableParagraph"/>
                          <w:spacing w:before="33"/>
                          <w:ind w:left="845" w:right="846"/>
                          <w:rPr>
                            <w:rFonts w:ascii="Arial" w:hAnsi="Arial"/>
                            <w:sz w:val="21"/>
                          </w:rPr>
                        </w:pPr>
                        <w:r>
                          <w:rPr>
                            <w:rFonts w:ascii="Times New Roman" w:hAnsi="Times New Roman"/>
                            <w:w w:val="110"/>
                            <w:sz w:val="21"/>
                          </w:rPr>
                          <w:t>E1 </w:t>
                        </w:r>
                        <w:r>
                          <w:rPr>
                            <w:rFonts w:ascii="Arial" w:hAnsi="Arial"/>
                            <w:color w:val="333333"/>
                            <w:w w:val="110"/>
                            <w:sz w:val="21"/>
                          </w:rPr>
                          <w:t></w:t>
                        </w:r>
                      </w:p>
                    </w:tc>
                    <w:tc>
                      <w:tcPr>
                        <w:tcW w:w="2003" w:type="dxa"/>
                        <w:gridSpan w:val="7"/>
                        <w:tcBorders>
                          <w:top w:val="single" w:sz="6" w:space="0" w:color="000000"/>
                          <w:left w:val="single" w:sz="6" w:space="0" w:color="000000"/>
                          <w:bottom w:val="single" w:sz="6" w:space="0" w:color="000000"/>
                          <w:right w:val="single" w:sz="6" w:space="0" w:color="000000"/>
                        </w:tcBorders>
                      </w:tcPr>
                      <w:p>
                        <w:pPr>
                          <w:pStyle w:val="TableParagraph"/>
                          <w:spacing w:before="34"/>
                          <w:ind w:left="695" w:right="705"/>
                          <w:rPr>
                            <w:rFonts w:ascii="Times New Roman" w:hAnsi="Times New Roman"/>
                            <w:sz w:val="21"/>
                          </w:rPr>
                        </w:pPr>
                        <w:r>
                          <w:rPr>
                            <w:rFonts w:ascii="Times New Roman" w:hAnsi="Times New Roman"/>
                            <w:sz w:val="21"/>
                          </w:rPr>
                          <w:t>E2 □</w:t>
                        </w:r>
                      </w:p>
                    </w:tc>
                    <w:tc>
                      <w:tcPr>
                        <w:tcW w:w="1847" w:type="dxa"/>
                        <w:gridSpan w:val="4"/>
                        <w:tcBorders>
                          <w:top w:val="single" w:sz="6" w:space="0" w:color="000000"/>
                          <w:left w:val="single" w:sz="6" w:space="0" w:color="000000"/>
                          <w:bottom w:val="single" w:sz="6" w:space="0" w:color="000000"/>
                        </w:tcBorders>
                      </w:tcPr>
                      <w:p>
                        <w:pPr>
                          <w:pStyle w:val="TableParagraph"/>
                          <w:spacing w:before="34"/>
                          <w:ind w:left="627" w:right="608"/>
                          <w:rPr>
                            <w:rFonts w:ascii="Times New Roman" w:hAnsi="Times New Roman"/>
                            <w:sz w:val="21"/>
                          </w:rPr>
                        </w:pPr>
                        <w:r>
                          <w:rPr>
                            <w:rFonts w:ascii="Times New Roman" w:hAnsi="Times New Roman"/>
                            <w:sz w:val="21"/>
                          </w:rPr>
                          <w:t>E3 □</w:t>
                        </w:r>
                      </w:p>
                    </w:tc>
                  </w:tr>
                  <w:tr>
                    <w:trPr>
                      <w:trHeight w:val="623" w:hRule="atLeast"/>
                    </w:trPr>
                    <w:tc>
                      <w:tcPr>
                        <w:tcW w:w="2072" w:type="dxa"/>
                        <w:gridSpan w:val="2"/>
                        <w:vMerge/>
                        <w:tcBorders>
                          <w:top w:val="nil"/>
                          <w:bottom w:val="single" w:sz="6" w:space="0" w:color="000000"/>
                          <w:right w:val="single" w:sz="6" w:space="0" w:color="000000"/>
                        </w:tcBorders>
                      </w:tcPr>
                      <w:p>
                        <w:pPr>
                          <w:rPr>
                            <w:sz w:val="2"/>
                            <w:szCs w:val="2"/>
                          </w:rPr>
                        </w:pP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72" w:right="146"/>
                          <w:rPr>
                            <w:sz w:val="21"/>
                          </w:rPr>
                        </w:pPr>
                        <w:r>
                          <w:rPr>
                            <w:sz w:val="21"/>
                          </w:rPr>
                          <w:t>地表</w:t>
                        </w:r>
                      </w:p>
                      <w:p>
                        <w:pPr>
                          <w:pStyle w:val="TableParagraph"/>
                          <w:spacing w:line="303" w:lineRule="exact"/>
                          <w:ind w:left="26"/>
                          <w:rPr>
                            <w:sz w:val="21"/>
                          </w:rPr>
                        </w:pPr>
                        <w:r>
                          <w:rPr>
                            <w:w w:val="100"/>
                            <w:sz w:val="21"/>
                          </w:rPr>
                          <w:t>水</w:t>
                        </w:r>
                      </w:p>
                    </w:tc>
                    <w:tc>
                      <w:tcPr>
                        <w:tcW w:w="2292"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90"/>
                          <w:ind w:left="843" w:right="846"/>
                          <w:rPr>
                            <w:rFonts w:ascii="Times New Roman" w:hAnsi="Times New Roman"/>
                            <w:sz w:val="21"/>
                          </w:rPr>
                        </w:pPr>
                        <w:r>
                          <w:rPr>
                            <w:rFonts w:ascii="Times New Roman" w:hAnsi="Times New Roman"/>
                            <w:sz w:val="21"/>
                          </w:rPr>
                          <w:t>E1 □</w:t>
                        </w:r>
                      </w:p>
                    </w:tc>
                    <w:tc>
                      <w:tcPr>
                        <w:tcW w:w="2003"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90"/>
                          <w:ind w:left="695" w:right="705"/>
                          <w:rPr>
                            <w:rFonts w:ascii="Times New Roman" w:hAnsi="Times New Roman"/>
                            <w:sz w:val="21"/>
                          </w:rPr>
                        </w:pPr>
                        <w:r>
                          <w:rPr>
                            <w:rFonts w:ascii="Times New Roman" w:hAnsi="Times New Roman"/>
                            <w:sz w:val="21"/>
                          </w:rPr>
                          <w:t>E2 □</w:t>
                        </w:r>
                      </w:p>
                    </w:tc>
                    <w:tc>
                      <w:tcPr>
                        <w:tcW w:w="1847" w:type="dxa"/>
                        <w:gridSpan w:val="4"/>
                        <w:tcBorders>
                          <w:top w:val="single" w:sz="6" w:space="0" w:color="000000"/>
                          <w:left w:val="single" w:sz="6" w:space="0" w:color="000000"/>
                          <w:bottom w:val="single" w:sz="6" w:space="0" w:color="000000"/>
                        </w:tcBorders>
                      </w:tcPr>
                      <w:p>
                        <w:pPr>
                          <w:pStyle w:val="TableParagraph"/>
                          <w:spacing w:before="189"/>
                          <w:ind w:left="631" w:right="608"/>
                          <w:rPr>
                            <w:rFonts w:ascii="Arial" w:hAnsi="Arial"/>
                            <w:sz w:val="21"/>
                          </w:rPr>
                        </w:pPr>
                        <w:r>
                          <w:rPr>
                            <w:rFonts w:ascii="Times New Roman" w:hAnsi="Times New Roman"/>
                            <w:w w:val="110"/>
                            <w:sz w:val="21"/>
                          </w:rPr>
                          <w:t>E3 </w:t>
                        </w:r>
                        <w:r>
                          <w:rPr>
                            <w:rFonts w:ascii="Arial" w:hAnsi="Arial"/>
                            <w:color w:val="333333"/>
                            <w:w w:val="110"/>
                            <w:sz w:val="21"/>
                          </w:rPr>
                          <w:t></w:t>
                        </w:r>
                      </w:p>
                    </w:tc>
                  </w:tr>
                  <w:tr>
                    <w:trPr>
                      <w:trHeight w:val="623" w:hRule="atLeast"/>
                    </w:trPr>
                    <w:tc>
                      <w:tcPr>
                        <w:tcW w:w="2072" w:type="dxa"/>
                        <w:gridSpan w:val="2"/>
                        <w:vMerge/>
                        <w:tcBorders>
                          <w:top w:val="nil"/>
                          <w:bottom w:val="single" w:sz="6" w:space="0" w:color="000000"/>
                          <w:right w:val="single" w:sz="6" w:space="0" w:color="000000"/>
                        </w:tcBorders>
                      </w:tcPr>
                      <w:p>
                        <w:pPr>
                          <w:rPr>
                            <w:sz w:val="2"/>
                            <w:szCs w:val="2"/>
                          </w:rPr>
                        </w:pP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72" w:right="146"/>
                          <w:rPr>
                            <w:sz w:val="21"/>
                          </w:rPr>
                        </w:pPr>
                        <w:r>
                          <w:rPr>
                            <w:sz w:val="21"/>
                          </w:rPr>
                          <w:t>地下</w:t>
                        </w:r>
                      </w:p>
                      <w:p>
                        <w:pPr>
                          <w:pStyle w:val="TableParagraph"/>
                          <w:spacing w:line="303" w:lineRule="exact"/>
                          <w:ind w:left="26"/>
                          <w:rPr>
                            <w:sz w:val="21"/>
                          </w:rPr>
                        </w:pPr>
                        <w:r>
                          <w:rPr>
                            <w:w w:val="100"/>
                            <w:sz w:val="21"/>
                          </w:rPr>
                          <w:t>水</w:t>
                        </w:r>
                      </w:p>
                    </w:tc>
                    <w:tc>
                      <w:tcPr>
                        <w:tcW w:w="2292"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90"/>
                          <w:ind w:left="843" w:right="846"/>
                          <w:rPr>
                            <w:rFonts w:ascii="Times New Roman" w:hAnsi="Times New Roman"/>
                            <w:sz w:val="21"/>
                          </w:rPr>
                        </w:pPr>
                        <w:r>
                          <w:rPr>
                            <w:rFonts w:ascii="Times New Roman" w:hAnsi="Times New Roman"/>
                            <w:sz w:val="21"/>
                          </w:rPr>
                          <w:t>E1 □</w:t>
                        </w:r>
                      </w:p>
                    </w:tc>
                    <w:tc>
                      <w:tcPr>
                        <w:tcW w:w="2003"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89"/>
                          <w:ind w:left="695" w:right="707"/>
                          <w:rPr>
                            <w:rFonts w:ascii="Arial" w:hAnsi="Arial"/>
                            <w:sz w:val="21"/>
                          </w:rPr>
                        </w:pPr>
                        <w:r>
                          <w:rPr>
                            <w:rFonts w:ascii="Times New Roman" w:hAnsi="Times New Roman"/>
                            <w:w w:val="110"/>
                            <w:sz w:val="21"/>
                          </w:rPr>
                          <w:t>E2 </w:t>
                        </w:r>
                        <w:r>
                          <w:rPr>
                            <w:rFonts w:ascii="Arial" w:hAnsi="Arial"/>
                            <w:color w:val="333333"/>
                            <w:w w:val="110"/>
                            <w:sz w:val="21"/>
                          </w:rPr>
                          <w:t></w:t>
                        </w:r>
                      </w:p>
                    </w:tc>
                    <w:tc>
                      <w:tcPr>
                        <w:tcW w:w="1847" w:type="dxa"/>
                        <w:gridSpan w:val="4"/>
                        <w:tcBorders>
                          <w:top w:val="single" w:sz="6" w:space="0" w:color="000000"/>
                          <w:left w:val="single" w:sz="6" w:space="0" w:color="000000"/>
                          <w:bottom w:val="single" w:sz="6" w:space="0" w:color="000000"/>
                        </w:tcBorders>
                      </w:tcPr>
                      <w:p>
                        <w:pPr>
                          <w:pStyle w:val="TableParagraph"/>
                          <w:spacing w:before="190"/>
                          <w:ind w:left="627" w:right="608"/>
                          <w:rPr>
                            <w:rFonts w:ascii="Times New Roman" w:hAnsi="Times New Roman"/>
                            <w:sz w:val="21"/>
                          </w:rPr>
                        </w:pPr>
                        <w:r>
                          <w:rPr>
                            <w:rFonts w:ascii="Times New Roman" w:hAnsi="Times New Roman"/>
                            <w:sz w:val="21"/>
                          </w:rPr>
                          <w:t>E3 □</w:t>
                        </w:r>
                      </w:p>
                    </w:tc>
                  </w:tr>
                  <w:tr>
                    <w:trPr>
                      <w:trHeight w:val="625" w:hRule="atLeast"/>
                    </w:trPr>
                    <w:tc>
                      <w:tcPr>
                        <w:tcW w:w="2072" w:type="dxa"/>
                        <w:gridSpan w:val="2"/>
                        <w:tcBorders>
                          <w:top w:val="single" w:sz="6" w:space="0" w:color="000000"/>
                          <w:bottom w:val="single" w:sz="6" w:space="0" w:color="000000"/>
                          <w:right w:val="single" w:sz="6" w:space="0" w:color="000000"/>
                        </w:tcBorders>
                      </w:tcPr>
                      <w:p>
                        <w:pPr>
                          <w:pStyle w:val="TableParagraph"/>
                          <w:spacing w:line="303" w:lineRule="exact"/>
                          <w:ind w:left="594" w:right="574"/>
                          <w:rPr>
                            <w:sz w:val="21"/>
                          </w:rPr>
                        </w:pPr>
                        <w:r>
                          <w:rPr>
                            <w:sz w:val="21"/>
                          </w:rPr>
                          <w:t>环境风险</w:t>
                        </w:r>
                      </w:p>
                      <w:p>
                        <w:pPr>
                          <w:pStyle w:val="TableParagraph"/>
                          <w:spacing w:line="303" w:lineRule="exact"/>
                          <w:ind w:left="591" w:right="574"/>
                          <w:rPr>
                            <w:sz w:val="21"/>
                          </w:rPr>
                        </w:pPr>
                        <w:r>
                          <w:rPr>
                            <w:sz w:val="21"/>
                          </w:rPr>
                          <w:t>潜势</w:t>
                        </w:r>
                      </w:p>
                    </w:tc>
                    <w:tc>
                      <w:tcPr>
                        <w:tcW w:w="155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77"/>
                          <w:ind w:left="534" w:right="510"/>
                          <w:rPr>
                            <w:rFonts w:ascii="Times New Roman" w:hAnsi="Times New Roman"/>
                            <w:sz w:val="21"/>
                          </w:rPr>
                        </w:pPr>
                        <w:r>
                          <w:rPr>
                            <w:sz w:val="21"/>
                          </w:rPr>
                          <w:t>Ⅳ</w:t>
                        </w:r>
                        <w:r>
                          <w:rPr>
                            <w:rFonts w:ascii="Times New Roman" w:hAnsi="Times New Roman"/>
                            <w:position w:val="7"/>
                            <w:sz w:val="14"/>
                          </w:rPr>
                          <w:t>+ </w:t>
                        </w:r>
                        <w:r>
                          <w:rPr>
                            <w:rFonts w:ascii="Times New Roman" w:hAnsi="Times New Roman"/>
                            <w:sz w:val="21"/>
                          </w:rPr>
                          <w:t>□</w:t>
                        </w:r>
                      </w:p>
                    </w:tc>
                    <w:tc>
                      <w:tcPr>
                        <w:tcW w:w="129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77"/>
                          <w:ind w:left="431"/>
                          <w:jc w:val="left"/>
                          <w:rPr>
                            <w:rFonts w:ascii="Arial" w:hAnsi="Arial"/>
                            <w:sz w:val="21"/>
                          </w:rPr>
                        </w:pPr>
                        <w:r>
                          <w:rPr>
                            <w:w w:val="110"/>
                            <w:sz w:val="21"/>
                          </w:rPr>
                          <w:t>Ⅳ </w:t>
                        </w:r>
                        <w:r>
                          <w:rPr>
                            <w:rFonts w:ascii="Arial" w:hAnsi="Arial"/>
                            <w:w w:val="110"/>
                            <w:sz w:val="21"/>
                          </w:rPr>
                          <w:t></w:t>
                        </w:r>
                      </w:p>
                    </w:tc>
                    <w:tc>
                      <w:tcPr>
                        <w:tcW w:w="1303" w:type="dxa"/>
                        <w:gridSpan w:val="5"/>
                        <w:tcBorders>
                          <w:top w:val="single" w:sz="6" w:space="0" w:color="000000"/>
                          <w:left w:val="single" w:sz="6" w:space="0" w:color="000000"/>
                          <w:bottom w:val="single" w:sz="6" w:space="0" w:color="000000"/>
                          <w:right w:val="single" w:sz="6" w:space="0" w:color="000000"/>
                        </w:tcBorders>
                      </w:tcPr>
                      <w:p>
                        <w:pPr>
                          <w:pStyle w:val="TableParagraph"/>
                          <w:spacing w:before="77"/>
                          <w:ind w:left="445" w:right="419"/>
                          <w:rPr>
                            <w:rFonts w:ascii="Times New Roman" w:hAnsi="Times New Roman"/>
                            <w:sz w:val="21"/>
                          </w:rPr>
                        </w:pPr>
                        <w:r>
                          <w:rPr>
                            <w:sz w:val="21"/>
                          </w:rPr>
                          <w:t>Ⅲ </w:t>
                        </w:r>
                        <w:r>
                          <w:rPr>
                            <w:rFonts w:ascii="Times New Roman" w:hAnsi="Times New Roman"/>
                            <w:sz w:val="21"/>
                          </w:rPr>
                          <w:t>□</w:t>
                        </w:r>
                      </w:p>
                    </w:tc>
                    <w:tc>
                      <w:tcPr>
                        <w:tcW w:w="1461" w:type="dxa"/>
                        <w:gridSpan w:val="5"/>
                        <w:tcBorders>
                          <w:top w:val="single" w:sz="6" w:space="0" w:color="000000"/>
                          <w:left w:val="single" w:sz="6" w:space="0" w:color="000000"/>
                          <w:bottom w:val="single" w:sz="6" w:space="0" w:color="000000"/>
                          <w:right w:val="single" w:sz="6" w:space="0" w:color="000000"/>
                        </w:tcBorders>
                      </w:tcPr>
                      <w:p>
                        <w:pPr>
                          <w:pStyle w:val="TableParagraph"/>
                          <w:spacing w:before="77"/>
                          <w:ind w:left="563" w:right="506"/>
                          <w:rPr>
                            <w:rFonts w:ascii="Times New Roman" w:hAnsi="Times New Roman"/>
                            <w:sz w:val="21"/>
                          </w:rPr>
                        </w:pPr>
                        <w:r>
                          <w:rPr>
                            <w:sz w:val="21"/>
                          </w:rPr>
                          <w:t>Ⅱ</w:t>
                        </w:r>
                        <w:r>
                          <w:rPr>
                            <w:rFonts w:ascii="Times New Roman" w:hAnsi="Times New Roman"/>
                            <w:sz w:val="21"/>
                          </w:rPr>
                          <w:t>□</w:t>
                        </w:r>
                      </w:p>
                    </w:tc>
                    <w:tc>
                      <w:tcPr>
                        <w:tcW w:w="1353" w:type="dxa"/>
                        <w:gridSpan w:val="2"/>
                        <w:tcBorders>
                          <w:top w:val="single" w:sz="6" w:space="0" w:color="000000"/>
                          <w:left w:val="single" w:sz="6" w:space="0" w:color="000000"/>
                          <w:bottom w:val="single" w:sz="6" w:space="0" w:color="000000"/>
                        </w:tcBorders>
                      </w:tcPr>
                      <w:p>
                        <w:pPr>
                          <w:pStyle w:val="TableParagraph"/>
                          <w:spacing w:before="192"/>
                          <w:ind w:left="453" w:right="398"/>
                          <w:rPr>
                            <w:rFonts w:ascii="Times New Roman" w:hAnsi="Times New Roman"/>
                            <w:sz w:val="21"/>
                          </w:rPr>
                        </w:pPr>
                        <w:r>
                          <w:rPr>
                            <w:rFonts w:ascii="Times New Roman" w:hAnsi="Times New Roman"/>
                            <w:sz w:val="21"/>
                          </w:rPr>
                          <w:t>I□</w:t>
                        </w:r>
                      </w:p>
                    </w:tc>
                  </w:tr>
                  <w:tr>
                    <w:trPr>
                      <w:trHeight w:val="311" w:hRule="atLeast"/>
                    </w:trPr>
                    <w:tc>
                      <w:tcPr>
                        <w:tcW w:w="2072" w:type="dxa"/>
                        <w:gridSpan w:val="2"/>
                        <w:tcBorders>
                          <w:top w:val="single" w:sz="6" w:space="0" w:color="000000"/>
                          <w:bottom w:val="single" w:sz="6" w:space="0" w:color="000000"/>
                          <w:right w:val="single" w:sz="6" w:space="0" w:color="000000"/>
                        </w:tcBorders>
                      </w:tcPr>
                      <w:p>
                        <w:pPr>
                          <w:pStyle w:val="TableParagraph"/>
                          <w:spacing w:line="291" w:lineRule="exact"/>
                          <w:ind w:left="613"/>
                          <w:jc w:val="left"/>
                          <w:rPr>
                            <w:sz w:val="21"/>
                          </w:rPr>
                        </w:pPr>
                        <w:r>
                          <w:rPr>
                            <w:sz w:val="21"/>
                          </w:rPr>
                          <w:t>评价等级</w:t>
                        </w:r>
                      </w:p>
                    </w:tc>
                    <w:tc>
                      <w:tcPr>
                        <w:tcW w:w="1879" w:type="dxa"/>
                        <w:gridSpan w:val="4"/>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587"/>
                          <w:jc w:val="left"/>
                          <w:rPr>
                            <w:rFonts w:ascii="Arial" w:hAnsi="Arial" w:eastAsia="Arial"/>
                            <w:sz w:val="21"/>
                          </w:rPr>
                        </w:pPr>
                        <w:r>
                          <w:rPr>
                            <w:w w:val="110"/>
                            <w:sz w:val="21"/>
                          </w:rPr>
                          <w:t>一 级 </w:t>
                        </w:r>
                        <w:r>
                          <w:rPr>
                            <w:rFonts w:ascii="Arial" w:hAnsi="Arial" w:eastAsia="Arial"/>
                            <w:w w:val="110"/>
                            <w:sz w:val="21"/>
                          </w:rPr>
                          <w:t></w:t>
                        </w:r>
                      </w:p>
                    </w:tc>
                    <w:tc>
                      <w:tcPr>
                        <w:tcW w:w="1649" w:type="dxa"/>
                        <w:gridSpan w:val="5"/>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496"/>
                          <w:jc w:val="left"/>
                          <w:rPr>
                            <w:rFonts w:ascii="Times New Roman" w:hAnsi="Times New Roman" w:eastAsia="Times New Roman"/>
                            <w:sz w:val="21"/>
                          </w:rPr>
                        </w:pPr>
                        <w:r>
                          <w:rPr>
                            <w:sz w:val="21"/>
                          </w:rPr>
                          <w:t>二 级 </w:t>
                        </w:r>
                        <w:r>
                          <w:rPr>
                            <w:rFonts w:ascii="Times New Roman" w:hAnsi="Times New Roman" w:eastAsia="Times New Roman"/>
                            <w:sz w:val="21"/>
                          </w:rPr>
                          <w:t>□</w:t>
                        </w:r>
                      </w:p>
                    </w:tc>
                    <w:tc>
                      <w:tcPr>
                        <w:tcW w:w="1800" w:type="dxa"/>
                        <w:gridSpan w:val="7"/>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568"/>
                          <w:jc w:val="left"/>
                          <w:rPr>
                            <w:rFonts w:ascii="Times New Roman" w:hAnsi="Times New Roman" w:eastAsia="Times New Roman"/>
                            <w:sz w:val="21"/>
                          </w:rPr>
                        </w:pPr>
                        <w:r>
                          <w:rPr>
                            <w:sz w:val="21"/>
                          </w:rPr>
                          <w:t>三 级 </w:t>
                        </w:r>
                        <w:r>
                          <w:rPr>
                            <w:rFonts w:ascii="Times New Roman" w:hAnsi="Times New Roman" w:eastAsia="Times New Roman"/>
                            <w:sz w:val="21"/>
                          </w:rPr>
                          <w:t>□</w:t>
                        </w:r>
                      </w:p>
                    </w:tc>
                    <w:tc>
                      <w:tcPr>
                        <w:tcW w:w="1637" w:type="dxa"/>
                        <w:gridSpan w:val="3"/>
                        <w:tcBorders>
                          <w:top w:val="single" w:sz="6" w:space="0" w:color="000000"/>
                          <w:left w:val="single" w:sz="6" w:space="0" w:color="000000"/>
                          <w:bottom w:val="single" w:sz="6" w:space="0" w:color="000000"/>
                        </w:tcBorders>
                      </w:tcPr>
                      <w:p>
                        <w:pPr>
                          <w:pStyle w:val="TableParagraph"/>
                          <w:spacing w:line="291" w:lineRule="exact"/>
                          <w:ind w:left="283"/>
                          <w:jc w:val="left"/>
                          <w:rPr>
                            <w:rFonts w:ascii="Times New Roman" w:hAnsi="Times New Roman" w:eastAsia="Times New Roman"/>
                            <w:sz w:val="21"/>
                          </w:rPr>
                        </w:pPr>
                        <w:r>
                          <w:rPr>
                            <w:sz w:val="21"/>
                          </w:rPr>
                          <w:t>简单分析 </w:t>
                        </w:r>
                        <w:r>
                          <w:rPr>
                            <w:rFonts w:ascii="Times New Roman" w:hAnsi="Times New Roman" w:eastAsia="Times New Roman"/>
                            <w:sz w:val="21"/>
                          </w:rPr>
                          <w:t>□</w:t>
                        </w:r>
                      </w:p>
                    </w:tc>
                  </w:tr>
                  <w:tr>
                    <w:trPr>
                      <w:trHeight w:val="624" w:hRule="atLeast"/>
                    </w:trPr>
                    <w:tc>
                      <w:tcPr>
                        <w:tcW w:w="888" w:type="dxa"/>
                        <w:vMerge w:val="restart"/>
                        <w:tcBorders>
                          <w:top w:val="single" w:sz="6" w:space="0" w:color="000000"/>
                          <w:bottom w:val="single" w:sz="6" w:space="0" w:color="000000"/>
                          <w:right w:val="single" w:sz="6" w:space="0" w:color="000000"/>
                        </w:tcBorders>
                      </w:tcPr>
                      <w:p>
                        <w:pPr>
                          <w:pStyle w:val="TableParagraph"/>
                          <w:spacing w:before="16"/>
                          <w:jc w:val="left"/>
                          <w:rPr>
                            <w:sz w:val="8"/>
                          </w:rPr>
                        </w:pPr>
                      </w:p>
                      <w:p>
                        <w:pPr>
                          <w:pStyle w:val="TableParagraph"/>
                          <w:spacing w:line="168" w:lineRule="auto"/>
                          <w:ind w:left="337" w:right="314"/>
                          <w:jc w:val="both"/>
                          <w:rPr>
                            <w:sz w:val="21"/>
                          </w:rPr>
                        </w:pPr>
                        <w:r>
                          <w:rPr>
                            <w:sz w:val="21"/>
                          </w:rPr>
                          <w:t>风险识别</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line="301" w:lineRule="exact"/>
                          <w:ind w:left="156" w:right="131"/>
                          <w:rPr>
                            <w:sz w:val="21"/>
                          </w:rPr>
                        </w:pPr>
                        <w:r>
                          <w:rPr>
                            <w:sz w:val="21"/>
                          </w:rPr>
                          <w:t>物质</w:t>
                        </w:r>
                      </w:p>
                      <w:p>
                        <w:pPr>
                          <w:pStyle w:val="TableParagraph"/>
                          <w:spacing w:line="303" w:lineRule="exact"/>
                          <w:ind w:left="156" w:right="131"/>
                          <w:rPr>
                            <w:sz w:val="21"/>
                          </w:rPr>
                        </w:pPr>
                        <w:r>
                          <w:rPr>
                            <w:sz w:val="21"/>
                          </w:rPr>
                          <w:t>危险性</w:t>
                        </w:r>
                      </w:p>
                    </w:tc>
                    <w:tc>
                      <w:tcPr>
                        <w:tcW w:w="3528" w:type="dxa"/>
                        <w:gridSpan w:val="9"/>
                        <w:tcBorders>
                          <w:top w:val="single" w:sz="6" w:space="0" w:color="000000"/>
                          <w:left w:val="single" w:sz="6" w:space="0" w:color="000000"/>
                          <w:bottom w:val="single" w:sz="6" w:space="0" w:color="000000"/>
                          <w:right w:val="single" w:sz="6" w:space="0" w:color="000000"/>
                        </w:tcBorders>
                      </w:tcPr>
                      <w:p>
                        <w:pPr>
                          <w:pStyle w:val="TableParagraph"/>
                          <w:spacing w:before="78"/>
                          <w:ind w:left="1166" w:right="1154"/>
                          <w:rPr>
                            <w:rFonts w:ascii="Arial" w:hAnsi="Arial" w:eastAsia="Arial"/>
                            <w:sz w:val="21"/>
                          </w:rPr>
                        </w:pPr>
                        <w:r>
                          <w:rPr>
                            <w:w w:val="105"/>
                            <w:sz w:val="21"/>
                          </w:rPr>
                          <w:t>有毒有害 </w:t>
                        </w:r>
                        <w:r>
                          <w:rPr>
                            <w:rFonts w:ascii="Arial" w:hAnsi="Arial" w:eastAsia="Arial"/>
                            <w:color w:val="333333"/>
                            <w:w w:val="105"/>
                            <w:sz w:val="21"/>
                          </w:rPr>
                          <w:t></w:t>
                        </w:r>
                      </w:p>
                    </w:tc>
                    <w:tc>
                      <w:tcPr>
                        <w:tcW w:w="3437" w:type="dxa"/>
                        <w:gridSpan w:val="10"/>
                        <w:tcBorders>
                          <w:top w:val="single" w:sz="6" w:space="0" w:color="000000"/>
                          <w:left w:val="single" w:sz="6" w:space="0" w:color="000000"/>
                          <w:bottom w:val="single" w:sz="6" w:space="0" w:color="000000"/>
                        </w:tcBorders>
                      </w:tcPr>
                      <w:p>
                        <w:pPr>
                          <w:pStyle w:val="TableParagraph"/>
                          <w:spacing w:before="78"/>
                          <w:ind w:left="1147"/>
                          <w:jc w:val="left"/>
                          <w:rPr>
                            <w:rFonts w:ascii="Arial" w:hAnsi="Arial" w:eastAsia="Arial"/>
                            <w:sz w:val="21"/>
                          </w:rPr>
                        </w:pPr>
                        <w:r>
                          <w:rPr>
                            <w:w w:val="105"/>
                            <w:sz w:val="21"/>
                          </w:rPr>
                          <w:t>易燃易爆 </w:t>
                        </w:r>
                        <w:r>
                          <w:rPr>
                            <w:rFonts w:ascii="Arial" w:hAnsi="Arial" w:eastAsia="Arial"/>
                            <w:color w:val="333333"/>
                            <w:w w:val="105"/>
                            <w:sz w:val="21"/>
                          </w:rPr>
                          <w:t></w:t>
                        </w:r>
                      </w:p>
                    </w:tc>
                  </w:tr>
                  <w:tr>
                    <w:trPr>
                      <w:trHeight w:val="623" w:hRule="atLeast"/>
                    </w:trPr>
                    <w:tc>
                      <w:tcPr>
                        <w:tcW w:w="888" w:type="dxa"/>
                        <w:vMerge/>
                        <w:tcBorders>
                          <w:top w:val="nil"/>
                          <w:bottom w:val="single" w:sz="6" w:space="0" w:color="000000"/>
                          <w:right w:val="single" w:sz="6" w:space="0" w:color="000000"/>
                        </w:tcBorders>
                      </w:tcPr>
                      <w:p>
                        <w:pPr>
                          <w:rPr>
                            <w:sz w:val="2"/>
                            <w:szCs w:val="2"/>
                          </w:rPr>
                        </w:pP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158" w:right="131"/>
                          <w:rPr>
                            <w:sz w:val="21"/>
                          </w:rPr>
                        </w:pPr>
                        <w:r>
                          <w:rPr>
                            <w:sz w:val="21"/>
                          </w:rPr>
                          <w:t>环境风险</w:t>
                        </w:r>
                      </w:p>
                      <w:p>
                        <w:pPr>
                          <w:pStyle w:val="TableParagraph"/>
                          <w:spacing w:line="303" w:lineRule="exact"/>
                          <w:ind w:left="156" w:right="131"/>
                          <w:rPr>
                            <w:sz w:val="21"/>
                          </w:rPr>
                        </w:pPr>
                        <w:r>
                          <w:rPr>
                            <w:sz w:val="21"/>
                          </w:rPr>
                          <w:t>类型</w:t>
                        </w:r>
                      </w:p>
                    </w:tc>
                    <w:tc>
                      <w:tcPr>
                        <w:tcW w:w="3528" w:type="dxa"/>
                        <w:gridSpan w:val="9"/>
                        <w:tcBorders>
                          <w:top w:val="single" w:sz="6" w:space="0" w:color="000000"/>
                          <w:left w:val="single" w:sz="6" w:space="0" w:color="000000"/>
                          <w:bottom w:val="single" w:sz="6" w:space="0" w:color="000000"/>
                          <w:right w:val="single" w:sz="6" w:space="0" w:color="000000"/>
                        </w:tcBorders>
                      </w:tcPr>
                      <w:p>
                        <w:pPr>
                          <w:pStyle w:val="TableParagraph"/>
                          <w:spacing w:before="77"/>
                          <w:ind w:left="1164" w:right="1154"/>
                          <w:rPr>
                            <w:rFonts w:ascii="Arial" w:hAnsi="Arial" w:eastAsia="Arial"/>
                            <w:sz w:val="21"/>
                          </w:rPr>
                        </w:pPr>
                        <w:r>
                          <w:rPr>
                            <w:w w:val="110"/>
                            <w:sz w:val="21"/>
                          </w:rPr>
                          <w:t>泄 漏 </w:t>
                        </w:r>
                        <w:r>
                          <w:rPr>
                            <w:rFonts w:ascii="Arial" w:hAnsi="Arial" w:eastAsia="Arial"/>
                            <w:color w:val="333333"/>
                            <w:w w:val="110"/>
                            <w:sz w:val="21"/>
                          </w:rPr>
                          <w:t></w:t>
                        </w:r>
                      </w:p>
                    </w:tc>
                    <w:tc>
                      <w:tcPr>
                        <w:tcW w:w="3437" w:type="dxa"/>
                        <w:gridSpan w:val="10"/>
                        <w:tcBorders>
                          <w:top w:val="single" w:sz="6" w:space="0" w:color="000000"/>
                          <w:left w:val="single" w:sz="6" w:space="0" w:color="000000"/>
                          <w:bottom w:val="single" w:sz="6" w:space="0" w:color="000000"/>
                        </w:tcBorders>
                      </w:tcPr>
                      <w:p>
                        <w:pPr>
                          <w:pStyle w:val="TableParagraph"/>
                          <w:spacing w:line="300" w:lineRule="exact"/>
                          <w:ind w:left="89" w:right="76"/>
                          <w:rPr>
                            <w:sz w:val="21"/>
                          </w:rPr>
                        </w:pPr>
                        <w:r>
                          <w:rPr>
                            <w:sz w:val="21"/>
                          </w:rPr>
                          <w:t>火灾、爆炸引发伴生</w:t>
                        </w:r>
                        <w:r>
                          <w:rPr>
                            <w:rFonts w:ascii="Times New Roman" w:eastAsia="Times New Roman"/>
                            <w:sz w:val="21"/>
                          </w:rPr>
                          <w:t>/</w:t>
                        </w:r>
                        <w:r>
                          <w:rPr>
                            <w:sz w:val="21"/>
                          </w:rPr>
                          <w:t>次生污染物排</w:t>
                        </w:r>
                      </w:p>
                      <w:p>
                        <w:pPr>
                          <w:pStyle w:val="TableParagraph"/>
                          <w:spacing w:line="303" w:lineRule="exact"/>
                          <w:ind w:left="89" w:right="75"/>
                          <w:rPr>
                            <w:rFonts w:ascii="Arial" w:hAnsi="Arial" w:eastAsia="Arial"/>
                            <w:sz w:val="21"/>
                          </w:rPr>
                        </w:pPr>
                        <w:r>
                          <w:rPr>
                            <w:w w:val="110"/>
                            <w:sz w:val="21"/>
                          </w:rPr>
                          <w:t>放  </w:t>
                        </w:r>
                        <w:r>
                          <w:rPr>
                            <w:rFonts w:ascii="Arial" w:hAnsi="Arial" w:eastAsia="Arial"/>
                            <w:color w:val="333333"/>
                            <w:w w:val="110"/>
                            <w:sz w:val="21"/>
                          </w:rPr>
                          <w:t></w:t>
                        </w:r>
                      </w:p>
                    </w:tc>
                  </w:tr>
                  <w:tr>
                    <w:trPr>
                      <w:trHeight w:val="313" w:hRule="atLeast"/>
                    </w:trPr>
                    <w:tc>
                      <w:tcPr>
                        <w:tcW w:w="888" w:type="dxa"/>
                        <w:vMerge/>
                        <w:tcBorders>
                          <w:top w:val="nil"/>
                          <w:bottom w:val="single" w:sz="6" w:space="0" w:color="000000"/>
                          <w:right w:val="single" w:sz="6" w:space="0" w:color="000000"/>
                        </w:tcBorders>
                      </w:tcPr>
                      <w:p>
                        <w:pPr>
                          <w:rPr>
                            <w:sz w:val="2"/>
                            <w:szCs w:val="2"/>
                          </w:rPr>
                        </w:pP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158" w:right="131"/>
                          <w:rPr>
                            <w:sz w:val="21"/>
                          </w:rPr>
                        </w:pPr>
                        <w:r>
                          <w:rPr>
                            <w:sz w:val="21"/>
                          </w:rPr>
                          <w:t>影响途径</w:t>
                        </w:r>
                      </w:p>
                    </w:tc>
                    <w:tc>
                      <w:tcPr>
                        <w:tcW w:w="2424" w:type="dxa"/>
                        <w:gridSpan w:val="5"/>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798" w:right="774"/>
                          <w:rPr>
                            <w:rFonts w:ascii="Arial" w:hAnsi="Arial" w:eastAsia="Arial"/>
                            <w:sz w:val="21"/>
                          </w:rPr>
                        </w:pPr>
                        <w:r>
                          <w:rPr>
                            <w:w w:val="110"/>
                            <w:sz w:val="21"/>
                          </w:rPr>
                          <w:t>大 气 </w:t>
                        </w:r>
                        <w:r>
                          <w:rPr>
                            <w:rFonts w:ascii="Arial" w:hAnsi="Arial" w:eastAsia="Arial"/>
                            <w:w w:val="110"/>
                            <w:sz w:val="21"/>
                          </w:rPr>
                          <w:t></w:t>
                        </w:r>
                      </w:p>
                    </w:tc>
                    <w:tc>
                      <w:tcPr>
                        <w:tcW w:w="2290" w:type="dxa"/>
                        <w:gridSpan w:val="9"/>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717"/>
                          <w:jc w:val="left"/>
                          <w:rPr>
                            <w:rFonts w:ascii="Arial" w:hAnsi="Arial" w:eastAsia="Arial"/>
                            <w:sz w:val="21"/>
                          </w:rPr>
                        </w:pPr>
                        <w:r>
                          <w:rPr>
                            <w:w w:val="105"/>
                            <w:sz w:val="21"/>
                          </w:rPr>
                          <w:t>地表水 </w:t>
                        </w:r>
                        <w:r>
                          <w:rPr>
                            <w:rFonts w:ascii="Arial" w:hAnsi="Arial" w:eastAsia="Arial"/>
                            <w:w w:val="105"/>
                            <w:sz w:val="21"/>
                          </w:rPr>
                          <w:t></w:t>
                        </w:r>
                      </w:p>
                    </w:tc>
                    <w:tc>
                      <w:tcPr>
                        <w:tcW w:w="2251" w:type="dxa"/>
                        <w:gridSpan w:val="5"/>
                        <w:tcBorders>
                          <w:top w:val="single" w:sz="6" w:space="0" w:color="000000"/>
                          <w:left w:val="single" w:sz="6" w:space="0" w:color="000000"/>
                          <w:bottom w:val="single" w:sz="6" w:space="0" w:color="000000"/>
                        </w:tcBorders>
                      </w:tcPr>
                      <w:p>
                        <w:pPr>
                          <w:pStyle w:val="TableParagraph"/>
                          <w:spacing w:line="294" w:lineRule="exact"/>
                          <w:ind w:left="667"/>
                          <w:jc w:val="left"/>
                          <w:rPr>
                            <w:rFonts w:ascii="Arial" w:hAnsi="Arial" w:eastAsia="Arial"/>
                            <w:sz w:val="21"/>
                          </w:rPr>
                        </w:pPr>
                        <w:r>
                          <w:rPr>
                            <w:w w:val="105"/>
                            <w:sz w:val="21"/>
                          </w:rPr>
                          <w:t>地下水 </w:t>
                        </w:r>
                        <w:r>
                          <w:rPr>
                            <w:rFonts w:ascii="Arial" w:hAnsi="Arial" w:eastAsia="Arial"/>
                            <w:w w:val="105"/>
                            <w:sz w:val="21"/>
                          </w:rPr>
                          <w:t></w:t>
                        </w:r>
                      </w:p>
                    </w:tc>
                  </w:tr>
                  <w:tr>
                    <w:trPr>
                      <w:trHeight w:val="311" w:hRule="atLeast"/>
                    </w:trPr>
                    <w:tc>
                      <w:tcPr>
                        <w:tcW w:w="2072" w:type="dxa"/>
                        <w:gridSpan w:val="2"/>
                        <w:tcBorders>
                          <w:top w:val="single" w:sz="6" w:space="0" w:color="000000"/>
                          <w:bottom w:val="single" w:sz="6" w:space="0" w:color="000000"/>
                          <w:right w:val="single" w:sz="6" w:space="0" w:color="000000"/>
                        </w:tcBorders>
                      </w:tcPr>
                      <w:p>
                        <w:pPr>
                          <w:pStyle w:val="TableParagraph"/>
                          <w:spacing w:line="291" w:lineRule="exact"/>
                          <w:ind w:left="402"/>
                          <w:jc w:val="left"/>
                          <w:rPr>
                            <w:sz w:val="21"/>
                          </w:rPr>
                        </w:pPr>
                        <w:r>
                          <w:rPr>
                            <w:sz w:val="21"/>
                          </w:rPr>
                          <w:t>事故情形分析</w:t>
                        </w:r>
                      </w:p>
                    </w:tc>
                    <w:tc>
                      <w:tcPr>
                        <w:tcW w:w="1879" w:type="dxa"/>
                        <w:gridSpan w:val="4"/>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13"/>
                          <w:jc w:val="left"/>
                          <w:rPr>
                            <w:sz w:val="21"/>
                          </w:rPr>
                        </w:pPr>
                        <w:r>
                          <w:rPr>
                            <w:sz w:val="21"/>
                          </w:rPr>
                          <w:t>源强设定方法</w:t>
                        </w:r>
                      </w:p>
                    </w:tc>
                    <w:tc>
                      <w:tcPr>
                        <w:tcW w:w="1649" w:type="dxa"/>
                        <w:gridSpan w:val="5"/>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91"/>
                          <w:jc w:val="left"/>
                          <w:rPr>
                            <w:rFonts w:ascii="Times New Roman" w:hAnsi="Times New Roman" w:eastAsia="Times New Roman"/>
                            <w:sz w:val="21"/>
                          </w:rPr>
                        </w:pPr>
                        <w:r>
                          <w:rPr>
                            <w:sz w:val="21"/>
                          </w:rPr>
                          <w:t>计算法 </w:t>
                        </w:r>
                        <w:r>
                          <w:rPr>
                            <w:rFonts w:ascii="Times New Roman" w:hAnsi="Times New Roman" w:eastAsia="Times New Roman"/>
                            <w:sz w:val="21"/>
                          </w:rPr>
                          <w:t>□</w:t>
                        </w:r>
                      </w:p>
                    </w:tc>
                    <w:tc>
                      <w:tcPr>
                        <w:tcW w:w="1800" w:type="dxa"/>
                        <w:gridSpan w:val="7"/>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4"/>
                          <w:jc w:val="left"/>
                          <w:rPr>
                            <w:rFonts w:ascii="Times New Roman" w:hAnsi="Times New Roman" w:eastAsia="Times New Roman"/>
                            <w:sz w:val="21"/>
                          </w:rPr>
                        </w:pPr>
                        <w:r>
                          <w:rPr>
                            <w:sz w:val="21"/>
                          </w:rPr>
                          <w:t>经验估算法 </w:t>
                        </w:r>
                        <w:r>
                          <w:rPr>
                            <w:rFonts w:ascii="Times New Roman" w:hAnsi="Times New Roman" w:eastAsia="Times New Roman"/>
                            <w:sz w:val="21"/>
                          </w:rPr>
                          <w:t>□</w:t>
                        </w:r>
                      </w:p>
                    </w:tc>
                    <w:tc>
                      <w:tcPr>
                        <w:tcW w:w="1637" w:type="dxa"/>
                        <w:gridSpan w:val="3"/>
                        <w:tcBorders>
                          <w:top w:val="single" w:sz="6" w:space="0" w:color="000000"/>
                          <w:left w:val="single" w:sz="6" w:space="0" w:color="000000"/>
                          <w:bottom w:val="single" w:sz="6" w:space="0" w:color="000000"/>
                        </w:tcBorders>
                      </w:tcPr>
                      <w:p>
                        <w:pPr>
                          <w:pStyle w:val="TableParagraph"/>
                          <w:spacing w:line="291" w:lineRule="exact"/>
                          <w:ind w:left="178"/>
                          <w:jc w:val="left"/>
                          <w:rPr>
                            <w:rFonts w:ascii="Times New Roman" w:hAnsi="Times New Roman" w:eastAsia="Times New Roman"/>
                            <w:sz w:val="21"/>
                          </w:rPr>
                        </w:pPr>
                        <w:r>
                          <w:rPr>
                            <w:sz w:val="21"/>
                          </w:rPr>
                          <w:t>其他估算法 </w:t>
                        </w:r>
                        <w:r>
                          <w:rPr>
                            <w:rFonts w:ascii="Times New Roman" w:hAnsi="Times New Roman" w:eastAsia="Times New Roman"/>
                            <w:sz w:val="21"/>
                          </w:rPr>
                          <w:t>□</w:t>
                        </w:r>
                      </w:p>
                    </w:tc>
                  </w:tr>
                  <w:tr>
                    <w:trPr>
                      <w:trHeight w:val="303" w:hRule="atLeast"/>
                    </w:trPr>
                    <w:tc>
                      <w:tcPr>
                        <w:tcW w:w="888" w:type="dxa"/>
                        <w:vMerge w:val="restart"/>
                        <w:tcBorders>
                          <w:top w:val="single" w:sz="6" w:space="0" w:color="000000"/>
                          <w:right w:val="single" w:sz="6" w:space="0" w:color="000000"/>
                        </w:tcBorders>
                      </w:tcPr>
                      <w:p>
                        <w:pPr>
                          <w:pStyle w:val="TableParagraph"/>
                          <w:spacing w:before="4"/>
                          <w:jc w:val="left"/>
                          <w:rPr>
                            <w:sz w:val="17"/>
                          </w:rPr>
                        </w:pPr>
                      </w:p>
                      <w:p>
                        <w:pPr>
                          <w:pStyle w:val="TableParagraph"/>
                          <w:spacing w:line="168" w:lineRule="auto" w:before="1"/>
                          <w:ind w:left="232" w:right="208"/>
                          <w:jc w:val="both"/>
                          <w:rPr>
                            <w:sz w:val="21"/>
                          </w:rPr>
                        </w:pPr>
                        <w:r>
                          <w:rPr>
                            <w:sz w:val="21"/>
                          </w:rPr>
                          <w:t>风险预测与 评价</w:t>
                        </w:r>
                      </w:p>
                    </w:tc>
                    <w:tc>
                      <w:tcPr>
                        <w:tcW w:w="11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11"/>
                          </w:rPr>
                        </w:pPr>
                      </w:p>
                      <w:p>
                        <w:pPr>
                          <w:pStyle w:val="TableParagraph"/>
                          <w:spacing w:before="1"/>
                          <w:ind w:left="386"/>
                          <w:jc w:val="left"/>
                          <w:rPr>
                            <w:sz w:val="21"/>
                          </w:rPr>
                        </w:pPr>
                        <w:r>
                          <w:rPr>
                            <w:sz w:val="21"/>
                          </w:rPr>
                          <w:t>大气</w:t>
                        </w:r>
                      </w:p>
                    </w:tc>
                    <w:tc>
                      <w:tcPr>
                        <w:tcW w:w="1879" w:type="dxa"/>
                        <w:gridSpan w:val="4"/>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522"/>
                          <w:jc w:val="left"/>
                          <w:rPr>
                            <w:sz w:val="21"/>
                          </w:rPr>
                        </w:pPr>
                        <w:r>
                          <w:rPr>
                            <w:sz w:val="21"/>
                          </w:rPr>
                          <w:t>预测模型</w:t>
                        </w:r>
                      </w:p>
                    </w:tc>
                    <w:tc>
                      <w:tcPr>
                        <w:tcW w:w="164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33"/>
                          <w:ind w:left="434"/>
                          <w:jc w:val="left"/>
                          <w:rPr>
                            <w:rFonts w:ascii="Arial" w:hAnsi="Arial"/>
                            <w:sz w:val="21"/>
                          </w:rPr>
                        </w:pPr>
                        <w:r>
                          <w:rPr>
                            <w:rFonts w:ascii="Times New Roman" w:hAnsi="Times New Roman"/>
                            <w:w w:val="110"/>
                            <w:sz w:val="21"/>
                          </w:rPr>
                          <w:t>SLAB </w:t>
                        </w:r>
                        <w:r>
                          <w:rPr>
                            <w:rFonts w:ascii="Arial" w:hAnsi="Arial"/>
                            <w:color w:val="333333"/>
                            <w:w w:val="110"/>
                            <w:sz w:val="21"/>
                          </w:rPr>
                          <w:t></w:t>
                        </w:r>
                      </w:p>
                    </w:tc>
                    <w:tc>
                      <w:tcPr>
                        <w:tcW w:w="1800" w:type="dxa"/>
                        <w:gridSpan w:val="7"/>
                        <w:tcBorders>
                          <w:top w:val="single" w:sz="6" w:space="0" w:color="000000"/>
                          <w:left w:val="single" w:sz="6" w:space="0" w:color="000000"/>
                          <w:bottom w:val="single" w:sz="6" w:space="0" w:color="000000"/>
                          <w:right w:val="single" w:sz="6" w:space="0" w:color="000000"/>
                        </w:tcBorders>
                      </w:tcPr>
                      <w:p>
                        <w:pPr>
                          <w:pStyle w:val="TableParagraph"/>
                          <w:spacing w:before="33"/>
                          <w:ind w:left="427"/>
                          <w:jc w:val="left"/>
                          <w:rPr>
                            <w:rFonts w:ascii="Arial" w:hAnsi="Arial"/>
                            <w:sz w:val="21"/>
                          </w:rPr>
                        </w:pPr>
                        <w:r>
                          <w:rPr>
                            <w:rFonts w:ascii="Times New Roman" w:hAnsi="Times New Roman"/>
                            <w:w w:val="110"/>
                            <w:sz w:val="21"/>
                          </w:rPr>
                          <w:t>AFTOX </w:t>
                        </w:r>
                        <w:r>
                          <w:rPr>
                            <w:rFonts w:ascii="Arial" w:hAnsi="Arial"/>
                            <w:color w:val="333333"/>
                            <w:w w:val="110"/>
                            <w:sz w:val="21"/>
                          </w:rPr>
                          <w:t></w:t>
                        </w:r>
                      </w:p>
                    </w:tc>
                    <w:tc>
                      <w:tcPr>
                        <w:tcW w:w="1637" w:type="dxa"/>
                        <w:gridSpan w:val="3"/>
                        <w:tcBorders>
                          <w:top w:val="single" w:sz="6" w:space="0" w:color="000000"/>
                          <w:left w:val="single" w:sz="6" w:space="0" w:color="000000"/>
                          <w:bottom w:val="single" w:sz="6" w:space="0" w:color="000000"/>
                        </w:tcBorders>
                      </w:tcPr>
                      <w:p>
                        <w:pPr>
                          <w:pStyle w:val="TableParagraph"/>
                          <w:spacing w:line="284" w:lineRule="exact"/>
                          <w:ind w:left="492"/>
                          <w:jc w:val="left"/>
                          <w:rPr>
                            <w:rFonts w:ascii="Times New Roman" w:hAnsi="Times New Roman" w:eastAsia="Times New Roman"/>
                            <w:sz w:val="21"/>
                          </w:rPr>
                        </w:pPr>
                        <w:r>
                          <w:rPr>
                            <w:sz w:val="21"/>
                          </w:rPr>
                          <w:t>其 他 </w:t>
                        </w:r>
                        <w:r>
                          <w:rPr>
                            <w:rFonts w:ascii="Times New Roman" w:hAnsi="Times New Roman" w:eastAsia="Times New Roman"/>
                            <w:sz w:val="21"/>
                          </w:rPr>
                          <w:t>□</w:t>
                        </w:r>
                      </w:p>
                    </w:tc>
                  </w:tr>
                  <w:tr>
                    <w:trPr>
                      <w:trHeight w:val="296" w:hRule="atLeast"/>
                    </w:trPr>
                    <w:tc>
                      <w:tcPr>
                        <w:tcW w:w="888" w:type="dxa"/>
                        <w:vMerge/>
                        <w:tcBorders>
                          <w:top w:val="nil"/>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1879"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before="79"/>
                          <w:ind w:left="522"/>
                          <w:jc w:val="left"/>
                          <w:rPr>
                            <w:sz w:val="21"/>
                          </w:rPr>
                        </w:pPr>
                        <w:r>
                          <w:rPr>
                            <w:sz w:val="21"/>
                          </w:rPr>
                          <w:t>预测结果</w:t>
                        </w:r>
                      </w:p>
                    </w:tc>
                    <w:tc>
                      <w:tcPr>
                        <w:tcW w:w="5086" w:type="dxa"/>
                        <w:gridSpan w:val="15"/>
                        <w:tcBorders>
                          <w:top w:val="single" w:sz="6" w:space="0" w:color="000000"/>
                          <w:left w:val="single" w:sz="6" w:space="0" w:color="000000"/>
                          <w:bottom w:val="single" w:sz="6" w:space="0" w:color="000000"/>
                        </w:tcBorders>
                      </w:tcPr>
                      <w:p>
                        <w:pPr>
                          <w:pStyle w:val="TableParagraph"/>
                          <w:spacing w:line="276" w:lineRule="exact"/>
                          <w:ind w:left="619"/>
                          <w:jc w:val="left"/>
                          <w:rPr>
                            <w:rFonts w:ascii="Times New Roman" w:eastAsia="Times New Roman"/>
                            <w:sz w:val="21"/>
                          </w:rPr>
                        </w:pPr>
                        <w:r>
                          <w:rPr>
                            <w:sz w:val="21"/>
                          </w:rPr>
                          <w:t>大气毒性终点浓度</w:t>
                        </w:r>
                        <w:r>
                          <w:rPr>
                            <w:rFonts w:ascii="Times New Roman" w:eastAsia="Times New Roman"/>
                            <w:sz w:val="21"/>
                          </w:rPr>
                          <w:t>-1 </w:t>
                        </w:r>
                        <w:r>
                          <w:rPr>
                            <w:sz w:val="21"/>
                          </w:rPr>
                          <w:t>最大影响范围</w:t>
                        </w:r>
                        <w:r>
                          <w:rPr>
                            <w:sz w:val="21"/>
                            <w:u w:val="single"/>
                          </w:rPr>
                          <w:t> </w:t>
                        </w:r>
                        <w:r>
                          <w:rPr>
                            <w:rFonts w:ascii="Times New Roman" w:eastAsia="Times New Roman"/>
                            <w:sz w:val="21"/>
                            <w:u w:val="single"/>
                          </w:rPr>
                          <w:t>350 </w:t>
                        </w:r>
                        <w:r>
                          <w:rPr>
                            <w:rFonts w:ascii="Times New Roman" w:eastAsia="Times New Roman"/>
                            <w:sz w:val="21"/>
                          </w:rPr>
                          <w:t>m</w:t>
                        </w:r>
                      </w:p>
                    </w:tc>
                  </w:tr>
                  <w:tr>
                    <w:trPr>
                      <w:trHeight w:val="298" w:hRule="atLeast"/>
                    </w:trPr>
                    <w:tc>
                      <w:tcPr>
                        <w:tcW w:w="888" w:type="dxa"/>
                        <w:vMerge/>
                        <w:tcBorders>
                          <w:top w:val="nil"/>
                          <w:right w:val="single" w:sz="6" w:space="0" w:color="000000"/>
                        </w:tcBorders>
                      </w:tcPr>
                      <w:p>
                        <w:pPr>
                          <w:rPr>
                            <w:sz w:val="2"/>
                            <w:szCs w:val="2"/>
                          </w:rPr>
                        </w:pPr>
                      </w:p>
                    </w:tc>
                    <w:tc>
                      <w:tcPr>
                        <w:tcW w:w="1184" w:type="dxa"/>
                        <w:vMerge/>
                        <w:tcBorders>
                          <w:top w:val="nil"/>
                          <w:left w:val="single" w:sz="6" w:space="0" w:color="000000"/>
                          <w:bottom w:val="single" w:sz="6" w:space="0" w:color="000000"/>
                          <w:right w:val="single" w:sz="6" w:space="0" w:color="000000"/>
                        </w:tcBorders>
                      </w:tcPr>
                      <w:p>
                        <w:pPr>
                          <w:rPr>
                            <w:sz w:val="2"/>
                            <w:szCs w:val="2"/>
                          </w:rPr>
                        </w:pPr>
                      </w:p>
                    </w:tc>
                    <w:tc>
                      <w:tcPr>
                        <w:tcW w:w="1879" w:type="dxa"/>
                        <w:gridSpan w:val="4"/>
                        <w:vMerge/>
                        <w:tcBorders>
                          <w:top w:val="nil"/>
                          <w:left w:val="single" w:sz="6" w:space="0" w:color="000000"/>
                          <w:bottom w:val="single" w:sz="6" w:space="0" w:color="000000"/>
                          <w:right w:val="single" w:sz="6" w:space="0" w:color="000000"/>
                        </w:tcBorders>
                      </w:tcPr>
                      <w:p>
                        <w:pPr>
                          <w:rPr>
                            <w:sz w:val="2"/>
                            <w:szCs w:val="2"/>
                          </w:rPr>
                        </w:pPr>
                      </w:p>
                    </w:tc>
                    <w:tc>
                      <w:tcPr>
                        <w:tcW w:w="5086" w:type="dxa"/>
                        <w:gridSpan w:val="15"/>
                        <w:tcBorders>
                          <w:top w:val="single" w:sz="6" w:space="0" w:color="000000"/>
                          <w:left w:val="single" w:sz="6" w:space="0" w:color="000000"/>
                          <w:bottom w:val="single" w:sz="6" w:space="0" w:color="000000"/>
                        </w:tcBorders>
                      </w:tcPr>
                      <w:p>
                        <w:pPr>
                          <w:pStyle w:val="TableParagraph"/>
                          <w:spacing w:line="279" w:lineRule="exact"/>
                          <w:ind w:left="566"/>
                          <w:jc w:val="left"/>
                          <w:rPr>
                            <w:rFonts w:ascii="Times New Roman" w:eastAsia="Times New Roman"/>
                            <w:sz w:val="21"/>
                          </w:rPr>
                        </w:pPr>
                        <w:r>
                          <w:rPr>
                            <w:sz w:val="21"/>
                          </w:rPr>
                          <w:t>大气毒性终点浓度</w:t>
                        </w:r>
                        <w:r>
                          <w:rPr>
                            <w:rFonts w:ascii="Times New Roman" w:eastAsia="Times New Roman"/>
                            <w:sz w:val="21"/>
                          </w:rPr>
                          <w:t>-2 </w:t>
                        </w:r>
                        <w:r>
                          <w:rPr>
                            <w:sz w:val="21"/>
                          </w:rPr>
                          <w:t>最大影响范围</w:t>
                        </w:r>
                        <w:r>
                          <w:rPr>
                            <w:sz w:val="21"/>
                            <w:u w:val="single"/>
                          </w:rPr>
                          <w:t> </w:t>
                        </w:r>
                        <w:r>
                          <w:rPr>
                            <w:rFonts w:ascii="Times New Roman" w:eastAsia="Times New Roman"/>
                            <w:sz w:val="21"/>
                            <w:u w:val="single"/>
                          </w:rPr>
                          <w:t>1440 </w:t>
                        </w:r>
                        <w:r>
                          <w:rPr>
                            <w:rFonts w:ascii="Times New Roman" w:eastAsia="Times New Roman"/>
                            <w:sz w:val="21"/>
                          </w:rPr>
                          <w:t>m</w:t>
                        </w:r>
                      </w:p>
                    </w:tc>
                  </w:tr>
                  <w:tr>
                    <w:trPr>
                      <w:trHeight w:val="296" w:hRule="atLeast"/>
                    </w:trPr>
                    <w:tc>
                      <w:tcPr>
                        <w:tcW w:w="888" w:type="dxa"/>
                        <w:vMerge/>
                        <w:tcBorders>
                          <w:top w:val="nil"/>
                          <w:right w:val="single" w:sz="6" w:space="0" w:color="000000"/>
                        </w:tcBorders>
                      </w:tcPr>
                      <w:p>
                        <w:pPr>
                          <w:rPr>
                            <w:sz w:val="2"/>
                            <w:szCs w:val="2"/>
                          </w:rPr>
                        </w:pP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56" w:right="131"/>
                          <w:rPr>
                            <w:sz w:val="21"/>
                          </w:rPr>
                        </w:pPr>
                        <w:r>
                          <w:rPr>
                            <w:sz w:val="21"/>
                          </w:rPr>
                          <w:t>地表水</w:t>
                        </w:r>
                      </w:p>
                    </w:tc>
                    <w:tc>
                      <w:tcPr>
                        <w:tcW w:w="6965" w:type="dxa"/>
                        <w:gridSpan w:val="19"/>
                        <w:tcBorders>
                          <w:top w:val="single" w:sz="6" w:space="0" w:color="000000"/>
                          <w:left w:val="single" w:sz="6" w:space="0" w:color="000000"/>
                          <w:bottom w:val="single" w:sz="6" w:space="0" w:color="000000"/>
                        </w:tcBorders>
                      </w:tcPr>
                      <w:p>
                        <w:pPr>
                          <w:pStyle w:val="TableParagraph"/>
                          <w:tabs>
                            <w:tab w:pos="3746" w:val="left" w:leader="none"/>
                            <w:tab w:pos="5429" w:val="left" w:leader="none"/>
                          </w:tabs>
                          <w:spacing w:line="276" w:lineRule="exact"/>
                          <w:ind w:left="1434"/>
                          <w:jc w:val="left"/>
                          <w:rPr>
                            <w:rFonts w:ascii="Times New Roman" w:eastAsia="Times New Roman"/>
                            <w:sz w:val="21"/>
                          </w:rPr>
                        </w:pPr>
                        <w:r>
                          <w:rPr>
                            <w:sz w:val="21"/>
                          </w:rPr>
                          <w:t>最近</w:t>
                        </w:r>
                        <w:r>
                          <w:rPr>
                            <w:spacing w:val="-3"/>
                            <w:sz w:val="21"/>
                          </w:rPr>
                          <w:t>环</w:t>
                        </w:r>
                        <w:r>
                          <w:rPr>
                            <w:sz w:val="21"/>
                          </w:rPr>
                          <w:t>境</w:t>
                        </w:r>
                        <w:r>
                          <w:rPr>
                            <w:spacing w:val="-3"/>
                            <w:sz w:val="21"/>
                          </w:rPr>
                          <w:t>敏</w:t>
                        </w:r>
                        <w:r>
                          <w:rPr>
                            <w:sz w:val="21"/>
                          </w:rPr>
                          <w:t>感</w:t>
                        </w:r>
                        <w:r>
                          <w:rPr>
                            <w:spacing w:val="-3"/>
                            <w:sz w:val="21"/>
                          </w:rPr>
                          <w:t>目</w:t>
                        </w:r>
                        <w:r>
                          <w:rPr>
                            <w:sz w:val="21"/>
                          </w:rPr>
                          <w:t>标</w:t>
                        </w:r>
                        <w:r>
                          <w:rPr>
                            <w:sz w:val="21"/>
                            <w:u w:val="single"/>
                          </w:rPr>
                          <w:t> </w:t>
                          <w:tab/>
                        </w:r>
                        <w:r>
                          <w:rPr>
                            <w:sz w:val="21"/>
                          </w:rPr>
                          <w:t>，到</w:t>
                        </w:r>
                        <w:r>
                          <w:rPr>
                            <w:spacing w:val="-3"/>
                            <w:sz w:val="21"/>
                          </w:rPr>
                          <w:t>达</w:t>
                        </w:r>
                        <w:r>
                          <w:rPr>
                            <w:sz w:val="21"/>
                          </w:rPr>
                          <w:t>时间</w:t>
                        </w:r>
                        <w:r>
                          <w:rPr>
                            <w:sz w:val="21"/>
                            <w:u w:val="single"/>
                          </w:rPr>
                          <w:t> </w:t>
                          <w:tab/>
                        </w:r>
                        <w:r>
                          <w:rPr>
                            <w:rFonts w:ascii="Times New Roman" w:eastAsia="Times New Roman"/>
                            <w:sz w:val="21"/>
                          </w:rPr>
                          <w:t>h</w:t>
                        </w:r>
                      </w:p>
                    </w:tc>
                  </w:tr>
                  <w:tr>
                    <w:trPr>
                      <w:trHeight w:val="296" w:hRule="atLeast"/>
                    </w:trPr>
                    <w:tc>
                      <w:tcPr>
                        <w:tcW w:w="888" w:type="dxa"/>
                        <w:vMerge/>
                        <w:tcBorders>
                          <w:top w:val="nil"/>
                          <w:right w:val="single" w:sz="6" w:space="0" w:color="000000"/>
                        </w:tcBorders>
                      </w:tcPr>
                      <w:p>
                        <w:pPr>
                          <w:rPr>
                            <w:sz w:val="2"/>
                            <w:szCs w:val="2"/>
                          </w:rPr>
                        </w:pPr>
                      </w:p>
                    </w:tc>
                    <w:tc>
                      <w:tcPr>
                        <w:tcW w:w="1184" w:type="dxa"/>
                        <w:vMerge w:val="restart"/>
                        <w:tcBorders>
                          <w:top w:val="single" w:sz="6" w:space="0" w:color="000000"/>
                          <w:left w:val="single" w:sz="6" w:space="0" w:color="000000"/>
                          <w:right w:val="single" w:sz="6" w:space="0" w:color="000000"/>
                        </w:tcBorders>
                      </w:tcPr>
                      <w:p>
                        <w:pPr>
                          <w:pStyle w:val="TableParagraph"/>
                          <w:spacing w:before="78"/>
                          <w:ind w:left="280"/>
                          <w:jc w:val="left"/>
                          <w:rPr>
                            <w:sz w:val="21"/>
                          </w:rPr>
                        </w:pPr>
                        <w:r>
                          <w:rPr>
                            <w:sz w:val="21"/>
                          </w:rPr>
                          <w:t>地下水</w:t>
                        </w:r>
                      </w:p>
                    </w:tc>
                    <w:tc>
                      <w:tcPr>
                        <w:tcW w:w="6965" w:type="dxa"/>
                        <w:gridSpan w:val="19"/>
                        <w:tcBorders>
                          <w:top w:val="single" w:sz="6" w:space="0" w:color="000000"/>
                          <w:left w:val="single" w:sz="6" w:space="0" w:color="000000"/>
                          <w:bottom w:val="single" w:sz="6" w:space="0" w:color="000000"/>
                        </w:tcBorders>
                      </w:tcPr>
                      <w:p>
                        <w:pPr>
                          <w:pStyle w:val="TableParagraph"/>
                          <w:tabs>
                            <w:tab w:pos="4797" w:val="left" w:leader="none"/>
                          </w:tabs>
                          <w:spacing w:line="277" w:lineRule="exact"/>
                          <w:ind w:left="2065"/>
                          <w:jc w:val="left"/>
                          <w:rPr>
                            <w:rFonts w:ascii="Times New Roman" w:eastAsia="Times New Roman"/>
                            <w:sz w:val="21"/>
                          </w:rPr>
                        </w:pPr>
                        <w:r>
                          <w:rPr>
                            <w:sz w:val="21"/>
                          </w:rPr>
                          <w:t>下游</w:t>
                        </w:r>
                        <w:r>
                          <w:rPr>
                            <w:spacing w:val="-3"/>
                            <w:sz w:val="21"/>
                          </w:rPr>
                          <w:t>厂</w:t>
                        </w:r>
                        <w:r>
                          <w:rPr>
                            <w:sz w:val="21"/>
                          </w:rPr>
                          <w:t>区</w:t>
                        </w:r>
                        <w:r>
                          <w:rPr>
                            <w:spacing w:val="-3"/>
                            <w:sz w:val="21"/>
                          </w:rPr>
                          <w:t>边</w:t>
                        </w:r>
                        <w:r>
                          <w:rPr>
                            <w:sz w:val="21"/>
                          </w:rPr>
                          <w:t>界</w:t>
                        </w:r>
                        <w:r>
                          <w:rPr>
                            <w:spacing w:val="-3"/>
                            <w:sz w:val="21"/>
                          </w:rPr>
                          <w:t>到</w:t>
                        </w:r>
                        <w:r>
                          <w:rPr>
                            <w:sz w:val="21"/>
                          </w:rPr>
                          <w:t>达</w:t>
                        </w:r>
                        <w:r>
                          <w:rPr>
                            <w:spacing w:val="-3"/>
                            <w:sz w:val="21"/>
                          </w:rPr>
                          <w:t>时</w:t>
                        </w:r>
                        <w:r>
                          <w:rPr>
                            <w:sz w:val="21"/>
                          </w:rPr>
                          <w:t>间</w:t>
                        </w:r>
                        <w:r>
                          <w:rPr>
                            <w:sz w:val="21"/>
                            <w:u w:val="single"/>
                          </w:rPr>
                          <w:t> </w:t>
                          <w:tab/>
                        </w:r>
                        <w:r>
                          <w:rPr>
                            <w:rFonts w:ascii="Times New Roman" w:eastAsia="Times New Roman"/>
                            <w:sz w:val="21"/>
                          </w:rPr>
                          <w:t>d</w:t>
                        </w:r>
                      </w:p>
                    </w:tc>
                  </w:tr>
                  <w:tr>
                    <w:trPr>
                      <w:trHeight w:val="303" w:hRule="atLeast"/>
                    </w:trPr>
                    <w:tc>
                      <w:tcPr>
                        <w:tcW w:w="888" w:type="dxa"/>
                        <w:vMerge/>
                        <w:tcBorders>
                          <w:top w:val="nil"/>
                          <w:right w:val="single" w:sz="6" w:space="0" w:color="000000"/>
                        </w:tcBorders>
                      </w:tcPr>
                      <w:p>
                        <w:pPr>
                          <w:rPr>
                            <w:sz w:val="2"/>
                            <w:szCs w:val="2"/>
                          </w:rPr>
                        </w:pPr>
                      </w:p>
                    </w:tc>
                    <w:tc>
                      <w:tcPr>
                        <w:tcW w:w="1184" w:type="dxa"/>
                        <w:vMerge/>
                        <w:tcBorders>
                          <w:top w:val="nil"/>
                          <w:left w:val="single" w:sz="6" w:space="0" w:color="000000"/>
                          <w:right w:val="single" w:sz="6" w:space="0" w:color="000000"/>
                        </w:tcBorders>
                      </w:tcPr>
                      <w:p>
                        <w:pPr>
                          <w:rPr>
                            <w:sz w:val="2"/>
                            <w:szCs w:val="2"/>
                          </w:rPr>
                        </w:pPr>
                      </w:p>
                    </w:tc>
                    <w:tc>
                      <w:tcPr>
                        <w:tcW w:w="6965" w:type="dxa"/>
                        <w:gridSpan w:val="19"/>
                        <w:tcBorders>
                          <w:top w:val="single" w:sz="6" w:space="0" w:color="000000"/>
                          <w:left w:val="single" w:sz="6" w:space="0" w:color="000000"/>
                        </w:tcBorders>
                      </w:tcPr>
                      <w:p>
                        <w:pPr>
                          <w:pStyle w:val="TableParagraph"/>
                          <w:tabs>
                            <w:tab w:pos="3746" w:val="left" w:leader="none"/>
                            <w:tab w:pos="5429" w:val="left" w:leader="none"/>
                          </w:tabs>
                          <w:spacing w:line="284" w:lineRule="exact"/>
                          <w:ind w:left="1434"/>
                          <w:jc w:val="left"/>
                          <w:rPr>
                            <w:rFonts w:ascii="Times New Roman" w:eastAsia="Times New Roman"/>
                            <w:sz w:val="21"/>
                          </w:rPr>
                        </w:pPr>
                        <w:r>
                          <w:rPr>
                            <w:sz w:val="21"/>
                          </w:rPr>
                          <w:t>最近</w:t>
                        </w:r>
                        <w:r>
                          <w:rPr>
                            <w:spacing w:val="-3"/>
                            <w:sz w:val="21"/>
                          </w:rPr>
                          <w:t>环</w:t>
                        </w:r>
                        <w:r>
                          <w:rPr>
                            <w:sz w:val="21"/>
                          </w:rPr>
                          <w:t>境</w:t>
                        </w:r>
                        <w:r>
                          <w:rPr>
                            <w:spacing w:val="-3"/>
                            <w:sz w:val="21"/>
                          </w:rPr>
                          <w:t>敏</w:t>
                        </w:r>
                        <w:r>
                          <w:rPr>
                            <w:sz w:val="21"/>
                          </w:rPr>
                          <w:t>感</w:t>
                        </w:r>
                        <w:r>
                          <w:rPr>
                            <w:spacing w:val="-3"/>
                            <w:sz w:val="21"/>
                          </w:rPr>
                          <w:t>目</w:t>
                        </w:r>
                        <w:r>
                          <w:rPr>
                            <w:sz w:val="21"/>
                          </w:rPr>
                          <w:t>标</w:t>
                        </w:r>
                        <w:r>
                          <w:rPr>
                            <w:sz w:val="21"/>
                            <w:u w:val="single"/>
                          </w:rPr>
                          <w:t> </w:t>
                          <w:tab/>
                        </w:r>
                        <w:r>
                          <w:rPr>
                            <w:sz w:val="21"/>
                          </w:rPr>
                          <w:t>，到</w:t>
                        </w:r>
                        <w:r>
                          <w:rPr>
                            <w:spacing w:val="-3"/>
                            <w:sz w:val="21"/>
                          </w:rPr>
                          <w:t>达</w:t>
                        </w:r>
                        <w:r>
                          <w:rPr>
                            <w:sz w:val="21"/>
                          </w:rPr>
                          <w:t>时间</w:t>
                        </w:r>
                        <w:r>
                          <w:rPr>
                            <w:sz w:val="21"/>
                            <w:u w:val="single"/>
                          </w:rPr>
                          <w:t> </w:t>
                          <w:tab/>
                        </w:r>
                        <w:r>
                          <w:rPr>
                            <w:rFonts w:ascii="Times New Roman" w:eastAsia="Times New Roman"/>
                            <w:sz w:val="21"/>
                          </w:rPr>
                          <w:t>d</w:t>
                        </w:r>
                      </w:p>
                    </w:tc>
                  </w:tr>
                </w:tbl>
                <w:p>
                  <w:pPr>
                    <w:pStyle w:val="BodyText"/>
                  </w:pPr>
                </w:p>
              </w:txbxContent>
            </v:textbox>
            <w10:wrap type="none"/>
          </v:shape>
        </w:pict>
      </w:r>
      <w:r>
        <w:rPr/>
        <w:t>环境风险评价自查表</w:t>
      </w:r>
    </w:p>
    <w:p>
      <w:pPr>
        <w:spacing w:after="0" w:line="478" w:lineRule="exact"/>
        <w:jc w:val="center"/>
        <w:sectPr>
          <w:pgSz w:w="11910" w:h="16840"/>
          <w:pgMar w:header="877" w:footer="973" w:top="1340" w:bottom="1160" w:left="1220" w:right="1040"/>
        </w:sectPr>
      </w:pPr>
    </w:p>
    <w:p>
      <w:pPr>
        <w:pStyle w:val="BodyText"/>
        <w:spacing w:before="3"/>
        <w:rPr>
          <w:rFonts w:ascii="Times New Roman"/>
          <w:sz w:val="7"/>
        </w:rPr>
      </w:pPr>
    </w:p>
    <w:tbl>
      <w:tblPr>
        <w:tblW w:w="0" w:type="auto"/>
        <w:jc w:val="left"/>
        <w:tblInd w:w="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2"/>
        <w:gridCol w:w="6961"/>
      </w:tblGrid>
      <w:tr>
        <w:trPr>
          <w:trHeight w:val="624" w:hRule="atLeast"/>
        </w:trPr>
        <w:tc>
          <w:tcPr>
            <w:tcW w:w="2072" w:type="dxa"/>
            <w:tcBorders>
              <w:bottom w:val="nil"/>
              <w:right w:val="single" w:sz="6" w:space="0" w:color="000000"/>
            </w:tcBorders>
          </w:tcPr>
          <w:p>
            <w:pPr>
              <w:pStyle w:val="TableParagraph"/>
              <w:jc w:val="left"/>
              <w:rPr>
                <w:rFonts w:ascii="Times New Roman"/>
                <w:sz w:val="20"/>
              </w:rPr>
            </w:pPr>
          </w:p>
        </w:tc>
        <w:tc>
          <w:tcPr>
            <w:tcW w:w="6961" w:type="dxa"/>
            <w:tcBorders>
              <w:left w:val="single" w:sz="6" w:space="0" w:color="000000"/>
              <w:bottom w:val="nil"/>
            </w:tcBorders>
          </w:tcPr>
          <w:p>
            <w:pPr>
              <w:pStyle w:val="TableParagraph"/>
              <w:spacing w:line="302" w:lineRule="exact"/>
              <w:ind w:left="112"/>
              <w:jc w:val="left"/>
              <w:rPr>
                <w:sz w:val="21"/>
              </w:rPr>
            </w:pPr>
            <w:r>
              <w:rPr>
                <w:sz w:val="21"/>
              </w:rPr>
              <w:t>①物料输送过程，所有可燃、有毒物料均始终密闭在各类设施和管道中，</w:t>
            </w:r>
          </w:p>
          <w:p>
            <w:pPr>
              <w:pStyle w:val="TableParagraph"/>
              <w:spacing w:line="303" w:lineRule="exact"/>
              <w:ind w:left="112"/>
              <w:jc w:val="left"/>
              <w:rPr>
                <w:sz w:val="21"/>
              </w:rPr>
            </w:pPr>
            <w:r>
              <w:rPr>
                <w:sz w:val="21"/>
              </w:rPr>
              <w:t>各连接处采用可靠的密封措施。</w:t>
            </w:r>
          </w:p>
        </w:tc>
      </w:tr>
      <w:tr>
        <w:trPr>
          <w:trHeight w:val="312" w:hRule="atLeast"/>
        </w:trPr>
        <w:tc>
          <w:tcPr>
            <w:tcW w:w="2072" w:type="dxa"/>
            <w:tcBorders>
              <w:top w:val="nil"/>
              <w:bottom w:val="nil"/>
              <w:right w:val="single" w:sz="6" w:space="0" w:color="000000"/>
            </w:tcBorders>
          </w:tcPr>
          <w:p>
            <w:pPr>
              <w:pStyle w:val="TableParagraph"/>
              <w:jc w:val="left"/>
              <w:rPr>
                <w:rFonts w:ascii="Times New Roman"/>
                <w:sz w:val="20"/>
              </w:rPr>
            </w:pPr>
          </w:p>
        </w:tc>
        <w:tc>
          <w:tcPr>
            <w:tcW w:w="6961" w:type="dxa"/>
            <w:tcBorders>
              <w:top w:val="nil"/>
              <w:left w:val="single" w:sz="6" w:space="0" w:color="000000"/>
              <w:bottom w:val="nil"/>
            </w:tcBorders>
          </w:tcPr>
          <w:p>
            <w:pPr>
              <w:pStyle w:val="TableParagraph"/>
              <w:spacing w:line="292" w:lineRule="exact"/>
              <w:ind w:left="112"/>
              <w:jc w:val="left"/>
              <w:rPr>
                <w:sz w:val="21"/>
              </w:rPr>
            </w:pPr>
            <w:r>
              <w:rPr>
                <w:sz w:val="21"/>
              </w:rPr>
              <w:t>②生产车间、罐区、原料仓库等设置可燃和有毒气体检测仪进行检测，设</w:t>
            </w:r>
          </w:p>
        </w:tc>
      </w:tr>
      <w:tr>
        <w:trPr>
          <w:trHeight w:val="312" w:hRule="atLeast"/>
        </w:trPr>
        <w:tc>
          <w:tcPr>
            <w:tcW w:w="2072" w:type="dxa"/>
            <w:tcBorders>
              <w:top w:val="nil"/>
              <w:bottom w:val="nil"/>
              <w:right w:val="single" w:sz="6" w:space="0" w:color="000000"/>
            </w:tcBorders>
          </w:tcPr>
          <w:p>
            <w:pPr>
              <w:pStyle w:val="TableParagraph"/>
              <w:jc w:val="left"/>
              <w:rPr>
                <w:rFonts w:ascii="Times New Roman"/>
                <w:sz w:val="20"/>
              </w:rPr>
            </w:pPr>
          </w:p>
        </w:tc>
        <w:tc>
          <w:tcPr>
            <w:tcW w:w="6961" w:type="dxa"/>
            <w:tcBorders>
              <w:top w:val="nil"/>
              <w:left w:val="single" w:sz="6" w:space="0" w:color="000000"/>
              <w:bottom w:val="nil"/>
            </w:tcBorders>
          </w:tcPr>
          <w:p>
            <w:pPr>
              <w:pStyle w:val="TableParagraph"/>
              <w:spacing w:line="292" w:lineRule="exact"/>
              <w:ind w:left="112"/>
              <w:jc w:val="left"/>
              <w:rPr>
                <w:sz w:val="21"/>
              </w:rPr>
            </w:pPr>
            <w:r>
              <w:rPr>
                <w:sz w:val="21"/>
              </w:rPr>
              <w:t>现场声光报警和操作室声光报警。</w:t>
            </w:r>
          </w:p>
        </w:tc>
      </w:tr>
      <w:tr>
        <w:trPr>
          <w:trHeight w:val="312" w:hRule="atLeast"/>
        </w:trPr>
        <w:tc>
          <w:tcPr>
            <w:tcW w:w="2072" w:type="dxa"/>
            <w:tcBorders>
              <w:top w:val="nil"/>
              <w:bottom w:val="nil"/>
              <w:right w:val="single" w:sz="6" w:space="0" w:color="000000"/>
            </w:tcBorders>
          </w:tcPr>
          <w:p>
            <w:pPr>
              <w:pStyle w:val="TableParagraph"/>
              <w:jc w:val="left"/>
              <w:rPr>
                <w:rFonts w:ascii="Times New Roman"/>
                <w:sz w:val="20"/>
              </w:rPr>
            </w:pPr>
          </w:p>
        </w:tc>
        <w:tc>
          <w:tcPr>
            <w:tcW w:w="6961" w:type="dxa"/>
            <w:tcBorders>
              <w:top w:val="nil"/>
              <w:left w:val="single" w:sz="6" w:space="0" w:color="000000"/>
              <w:bottom w:val="nil"/>
            </w:tcBorders>
          </w:tcPr>
          <w:p>
            <w:pPr>
              <w:pStyle w:val="TableParagraph"/>
              <w:spacing w:line="292" w:lineRule="exact"/>
              <w:ind w:left="112"/>
              <w:jc w:val="left"/>
              <w:rPr>
                <w:sz w:val="21"/>
              </w:rPr>
            </w:pPr>
            <w:r>
              <w:rPr>
                <w:sz w:val="21"/>
              </w:rPr>
              <w:t>③涉及易燃物质的设备和管道做好防雷防静电措施。</w:t>
            </w:r>
          </w:p>
        </w:tc>
      </w:tr>
      <w:tr>
        <w:trPr>
          <w:trHeight w:val="1247" w:hRule="atLeast"/>
        </w:trPr>
        <w:tc>
          <w:tcPr>
            <w:tcW w:w="2072" w:type="dxa"/>
            <w:tcBorders>
              <w:top w:val="nil"/>
              <w:bottom w:val="nil"/>
              <w:right w:val="single" w:sz="6" w:space="0" w:color="000000"/>
            </w:tcBorders>
          </w:tcPr>
          <w:p>
            <w:pPr>
              <w:pStyle w:val="TableParagraph"/>
              <w:spacing w:line="168" w:lineRule="auto" w:before="170"/>
              <w:ind w:left="822" w:right="382" w:hanging="420"/>
              <w:jc w:val="left"/>
              <w:rPr>
                <w:sz w:val="21"/>
              </w:rPr>
            </w:pPr>
            <w:r>
              <w:rPr>
                <w:sz w:val="21"/>
              </w:rPr>
              <w:t>重点风险防范措施</w:t>
            </w:r>
          </w:p>
        </w:tc>
        <w:tc>
          <w:tcPr>
            <w:tcW w:w="6961" w:type="dxa"/>
            <w:tcBorders>
              <w:top w:val="nil"/>
              <w:left w:val="single" w:sz="6" w:space="0" w:color="000000"/>
              <w:bottom w:val="nil"/>
            </w:tcBorders>
          </w:tcPr>
          <w:p>
            <w:pPr>
              <w:pStyle w:val="TableParagraph"/>
              <w:spacing w:line="168" w:lineRule="auto" w:before="14"/>
              <w:ind w:left="112" w:right="74"/>
              <w:jc w:val="both"/>
              <w:rPr>
                <w:sz w:val="21"/>
              </w:rPr>
            </w:pPr>
            <w:r>
              <w:rPr>
                <w:sz w:val="21"/>
              </w:rPr>
              <w:t>④设备、管道、阀门、法兰等经常或定期进行检查和维修，设备检修前， 应进行彻底置换，并取样分析，当有害、有毒物降至允许浓度后，方可进行工作；同时，人在容器内进行维修工作时，氧含量不得低于 </w:t>
            </w:r>
            <w:r>
              <w:rPr>
                <w:rFonts w:ascii="Times New Roman" w:hAnsi="Times New Roman" w:eastAsia="Times New Roman"/>
                <w:sz w:val="21"/>
              </w:rPr>
              <w:t>18%</w:t>
            </w:r>
            <w:r>
              <w:rPr>
                <w:sz w:val="21"/>
              </w:rPr>
              <w:t>，监护</w:t>
            </w:r>
          </w:p>
          <w:p>
            <w:pPr>
              <w:pStyle w:val="TableParagraph"/>
              <w:spacing w:line="279" w:lineRule="exact"/>
              <w:ind w:left="112"/>
              <w:jc w:val="both"/>
              <w:rPr>
                <w:sz w:val="21"/>
              </w:rPr>
            </w:pPr>
            <w:r>
              <w:rPr>
                <w:sz w:val="21"/>
              </w:rPr>
              <w:t>员不得离开。</w:t>
            </w:r>
          </w:p>
        </w:tc>
      </w:tr>
      <w:tr>
        <w:trPr>
          <w:trHeight w:val="312" w:hRule="atLeast"/>
        </w:trPr>
        <w:tc>
          <w:tcPr>
            <w:tcW w:w="2072" w:type="dxa"/>
            <w:tcBorders>
              <w:top w:val="nil"/>
              <w:bottom w:val="nil"/>
              <w:right w:val="single" w:sz="6" w:space="0" w:color="000000"/>
            </w:tcBorders>
          </w:tcPr>
          <w:p>
            <w:pPr>
              <w:pStyle w:val="TableParagraph"/>
              <w:jc w:val="left"/>
              <w:rPr>
                <w:rFonts w:ascii="Times New Roman"/>
                <w:sz w:val="20"/>
              </w:rPr>
            </w:pPr>
          </w:p>
        </w:tc>
        <w:tc>
          <w:tcPr>
            <w:tcW w:w="6961" w:type="dxa"/>
            <w:tcBorders>
              <w:top w:val="nil"/>
              <w:left w:val="single" w:sz="6" w:space="0" w:color="000000"/>
              <w:bottom w:val="nil"/>
            </w:tcBorders>
          </w:tcPr>
          <w:p>
            <w:pPr>
              <w:pStyle w:val="TableParagraph"/>
              <w:spacing w:line="292" w:lineRule="exact"/>
              <w:ind w:left="112"/>
              <w:jc w:val="left"/>
              <w:rPr>
                <w:sz w:val="21"/>
              </w:rPr>
            </w:pPr>
            <w:r>
              <w:rPr>
                <w:sz w:val="21"/>
              </w:rPr>
              <w:t>⑤罐区建有围堰，满足事故事故状态下的需求。三级防控体系，确保事故</w:t>
            </w:r>
          </w:p>
        </w:tc>
      </w:tr>
      <w:tr>
        <w:trPr>
          <w:trHeight w:val="312" w:hRule="atLeast"/>
        </w:trPr>
        <w:tc>
          <w:tcPr>
            <w:tcW w:w="2072" w:type="dxa"/>
            <w:tcBorders>
              <w:top w:val="nil"/>
              <w:bottom w:val="nil"/>
              <w:right w:val="single" w:sz="6" w:space="0" w:color="000000"/>
            </w:tcBorders>
          </w:tcPr>
          <w:p>
            <w:pPr>
              <w:pStyle w:val="TableParagraph"/>
              <w:jc w:val="left"/>
              <w:rPr>
                <w:rFonts w:ascii="Times New Roman"/>
                <w:sz w:val="20"/>
              </w:rPr>
            </w:pPr>
          </w:p>
        </w:tc>
        <w:tc>
          <w:tcPr>
            <w:tcW w:w="6961" w:type="dxa"/>
            <w:tcBorders>
              <w:top w:val="nil"/>
              <w:left w:val="single" w:sz="6" w:space="0" w:color="000000"/>
              <w:bottom w:val="nil"/>
            </w:tcBorders>
          </w:tcPr>
          <w:p>
            <w:pPr>
              <w:pStyle w:val="TableParagraph"/>
              <w:spacing w:line="292" w:lineRule="exact"/>
              <w:ind w:left="112"/>
              <w:jc w:val="left"/>
              <w:rPr>
                <w:sz w:val="21"/>
              </w:rPr>
            </w:pPr>
            <w:r>
              <w:rPr>
                <w:sz w:val="21"/>
              </w:rPr>
              <w:t>状态下废水不得未经处理排放。</w:t>
            </w:r>
          </w:p>
        </w:tc>
      </w:tr>
      <w:tr>
        <w:trPr>
          <w:trHeight w:val="312" w:hRule="atLeast"/>
        </w:trPr>
        <w:tc>
          <w:tcPr>
            <w:tcW w:w="2072" w:type="dxa"/>
            <w:tcBorders>
              <w:top w:val="nil"/>
              <w:bottom w:val="nil"/>
              <w:right w:val="single" w:sz="6" w:space="0" w:color="000000"/>
            </w:tcBorders>
          </w:tcPr>
          <w:p>
            <w:pPr>
              <w:pStyle w:val="TableParagraph"/>
              <w:jc w:val="left"/>
              <w:rPr>
                <w:rFonts w:ascii="Times New Roman"/>
                <w:sz w:val="20"/>
              </w:rPr>
            </w:pPr>
          </w:p>
        </w:tc>
        <w:tc>
          <w:tcPr>
            <w:tcW w:w="6961" w:type="dxa"/>
            <w:tcBorders>
              <w:top w:val="nil"/>
              <w:left w:val="single" w:sz="6" w:space="0" w:color="000000"/>
              <w:bottom w:val="nil"/>
            </w:tcBorders>
          </w:tcPr>
          <w:p>
            <w:pPr>
              <w:pStyle w:val="TableParagraph"/>
              <w:spacing w:line="292" w:lineRule="exact"/>
              <w:ind w:left="112"/>
              <w:jc w:val="left"/>
              <w:rPr>
                <w:sz w:val="21"/>
              </w:rPr>
            </w:pPr>
            <w:r>
              <w:rPr>
                <w:sz w:val="21"/>
              </w:rPr>
              <w:t>⑥厂区分区防渗：污水管道、罐区、液体仓库、甲类仓库、事故水池、事</w:t>
            </w:r>
          </w:p>
        </w:tc>
      </w:tr>
      <w:tr>
        <w:trPr>
          <w:trHeight w:val="310" w:hRule="atLeast"/>
        </w:trPr>
        <w:tc>
          <w:tcPr>
            <w:tcW w:w="2072" w:type="dxa"/>
            <w:tcBorders>
              <w:top w:val="nil"/>
              <w:bottom w:val="single" w:sz="6" w:space="0" w:color="000000"/>
              <w:right w:val="single" w:sz="6" w:space="0" w:color="000000"/>
            </w:tcBorders>
          </w:tcPr>
          <w:p>
            <w:pPr>
              <w:pStyle w:val="TableParagraph"/>
              <w:jc w:val="left"/>
              <w:rPr>
                <w:rFonts w:ascii="Times New Roman"/>
                <w:sz w:val="20"/>
              </w:rPr>
            </w:pPr>
          </w:p>
        </w:tc>
        <w:tc>
          <w:tcPr>
            <w:tcW w:w="6961" w:type="dxa"/>
            <w:tcBorders>
              <w:top w:val="nil"/>
              <w:left w:val="single" w:sz="6" w:space="0" w:color="000000"/>
              <w:bottom w:val="single" w:sz="6" w:space="0" w:color="000000"/>
            </w:tcBorders>
          </w:tcPr>
          <w:p>
            <w:pPr>
              <w:pStyle w:val="TableParagraph"/>
              <w:spacing w:line="291" w:lineRule="exact"/>
              <w:ind w:left="112"/>
              <w:jc w:val="left"/>
              <w:rPr>
                <w:sz w:val="21"/>
              </w:rPr>
            </w:pPr>
            <w:r>
              <w:rPr>
                <w:sz w:val="21"/>
              </w:rPr>
              <w:t>故水导排系统等采取重点防渗措施。</w:t>
            </w:r>
          </w:p>
        </w:tc>
      </w:tr>
      <w:tr>
        <w:trPr>
          <w:trHeight w:val="1873" w:hRule="atLeast"/>
        </w:trPr>
        <w:tc>
          <w:tcPr>
            <w:tcW w:w="2072" w:type="dxa"/>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21"/>
              </w:rPr>
            </w:pPr>
          </w:p>
          <w:p>
            <w:pPr>
              <w:pStyle w:val="TableParagraph"/>
              <w:ind w:left="296"/>
              <w:jc w:val="left"/>
              <w:rPr>
                <w:sz w:val="21"/>
              </w:rPr>
            </w:pPr>
            <w:r>
              <w:rPr>
                <w:sz w:val="21"/>
              </w:rPr>
              <w:t>评价结论与建议</w:t>
            </w:r>
          </w:p>
        </w:tc>
        <w:tc>
          <w:tcPr>
            <w:tcW w:w="6961" w:type="dxa"/>
            <w:tcBorders>
              <w:top w:val="single" w:sz="6" w:space="0" w:color="000000"/>
              <w:left w:val="single" w:sz="6" w:space="0" w:color="000000"/>
              <w:bottom w:val="single" w:sz="6" w:space="0" w:color="000000"/>
            </w:tcBorders>
          </w:tcPr>
          <w:p>
            <w:pPr>
              <w:pStyle w:val="TableParagraph"/>
              <w:spacing w:line="168" w:lineRule="auto" w:before="17"/>
              <w:ind w:left="112" w:right="76"/>
              <w:jc w:val="both"/>
              <w:rPr>
                <w:sz w:val="21"/>
              </w:rPr>
            </w:pPr>
            <w:r>
              <w:rPr>
                <w:sz w:val="21"/>
              </w:rPr>
              <w:t>企业在严格落实本次评价提出的各项环境风险防控措施的情况下，发生风险事故概率较小，项目环境风险可防可控。本次评价建议项目运营过程应根据生产运行工况以及各类危险物质的实际消耗量，尽可能减少危险物质在厂区内的存在量，减轻环境风险隐患；针对厂区存在的环境风险防控问题，尽快进行整改，同时应加强日常风险管理，加强员工安全培训，杜绝</w:t>
            </w:r>
          </w:p>
          <w:p>
            <w:pPr>
              <w:pStyle w:val="TableParagraph"/>
              <w:spacing w:line="278" w:lineRule="exact"/>
              <w:ind w:left="112"/>
              <w:jc w:val="both"/>
              <w:rPr>
                <w:sz w:val="21"/>
              </w:rPr>
            </w:pPr>
            <w:r>
              <w:rPr>
                <w:sz w:val="21"/>
              </w:rPr>
              <w:t>人为造成的环境风险隐患。</w:t>
            </w:r>
          </w:p>
        </w:tc>
      </w:tr>
      <w:tr>
        <w:trPr>
          <w:trHeight w:val="311" w:hRule="atLeast"/>
        </w:trPr>
        <w:tc>
          <w:tcPr>
            <w:tcW w:w="9033" w:type="dxa"/>
            <w:gridSpan w:val="2"/>
            <w:tcBorders>
              <w:top w:val="single" w:sz="6" w:space="0" w:color="000000"/>
            </w:tcBorders>
          </w:tcPr>
          <w:p>
            <w:pPr>
              <w:pStyle w:val="TableParagraph"/>
              <w:spacing w:line="291" w:lineRule="exact"/>
              <w:ind w:left="107"/>
              <w:jc w:val="left"/>
              <w:rPr>
                <w:sz w:val="21"/>
              </w:rPr>
            </w:pPr>
            <w:r>
              <w:rPr>
                <w:sz w:val="21"/>
              </w:rPr>
              <w:t>注：</w:t>
            </w:r>
            <w:r>
              <w:rPr>
                <w:rFonts w:ascii="Times New Roman" w:hAnsi="Times New Roman" w:eastAsia="Times New Roman"/>
                <w:sz w:val="21"/>
              </w:rPr>
              <w:t>“□”</w:t>
            </w:r>
            <w:r>
              <w:rPr>
                <w:sz w:val="21"/>
              </w:rPr>
              <w:t>为勾选项，</w:t>
            </w:r>
            <w:r>
              <w:rPr>
                <w:rFonts w:ascii="Times New Roman" w:hAnsi="Times New Roman" w:eastAsia="Times New Roman"/>
                <w:sz w:val="21"/>
              </w:rPr>
              <w:t>“— ”</w:t>
            </w:r>
            <w:r>
              <w:rPr>
                <w:sz w:val="21"/>
              </w:rPr>
              <w:t>为填写项。</w:t>
            </w:r>
          </w:p>
        </w:tc>
      </w:tr>
    </w:tbl>
    <w:p>
      <w:pPr>
        <w:spacing w:after="0" w:line="291" w:lineRule="exact"/>
        <w:jc w:val="left"/>
        <w:rPr>
          <w:sz w:val="21"/>
        </w:rPr>
        <w:sectPr>
          <w:pgSz w:w="11910" w:h="16840"/>
          <w:pgMar w:header="877" w:footer="973" w:top="1340" w:bottom="1160" w:left="1220" w:right="1040"/>
        </w:sectPr>
      </w:pPr>
    </w:p>
    <w:p>
      <w:pPr>
        <w:pStyle w:val="BodyText"/>
        <w:spacing w:before="10"/>
        <w:rPr>
          <w:rFonts w:ascii="Times New Roman"/>
          <w:sz w:val="18"/>
        </w:rPr>
      </w:pPr>
    </w:p>
    <w:p>
      <w:pPr>
        <w:pStyle w:val="Heading1"/>
        <w:numPr>
          <w:ilvl w:val="0"/>
          <w:numId w:val="13"/>
        </w:numPr>
        <w:tabs>
          <w:tab w:pos="1021" w:val="left" w:leader="none"/>
          <w:tab w:pos="1022" w:val="left" w:leader="none"/>
        </w:tabs>
        <w:spacing w:line="725" w:lineRule="exact" w:before="0" w:after="0"/>
        <w:ind w:left="1022" w:right="0" w:hanging="442"/>
        <w:jc w:val="left"/>
        <w:rPr>
          <w:rFonts w:ascii="Times New Roman" w:eastAsia="Times New Roman"/>
        </w:rPr>
      </w:pPr>
      <w:r>
        <w:rPr/>
        <w:t>环境保护措施及技术经济论证</w:t>
      </w:r>
    </w:p>
    <w:p>
      <w:pPr>
        <w:pStyle w:val="BodyText"/>
        <w:spacing w:line="220" w:lineRule="auto" w:before="70"/>
        <w:ind w:left="580" w:right="665" w:firstLine="479"/>
        <w:jc w:val="both"/>
      </w:pPr>
      <w:r>
        <w:rPr/>
        <w:t>本章主要针对工程所采取的环保措施，分析其先进性和稳定达标的可靠性， 并针对其存在的主要问题，结合工艺情况提出进一步改进工艺和防治污染的措施，以进一步减少污染物排放量。</w:t>
      </w:r>
    </w:p>
    <w:p>
      <w:pPr>
        <w:pStyle w:val="Heading4"/>
        <w:numPr>
          <w:ilvl w:val="1"/>
          <w:numId w:val="15"/>
        </w:numPr>
        <w:tabs>
          <w:tab w:pos="1106" w:val="left" w:leader="none"/>
        </w:tabs>
        <w:spacing w:line="606" w:lineRule="exact" w:before="0" w:after="0"/>
        <w:ind w:left="1106" w:right="0" w:hanging="526"/>
        <w:jc w:val="left"/>
        <w:rPr>
          <w:rFonts w:ascii="Times New Roman" w:eastAsia="Times New Roman"/>
        </w:rPr>
      </w:pPr>
      <w:r>
        <w:rPr/>
        <w:t>项目拟采取环境保护措施</w:t>
      </w:r>
    </w:p>
    <w:p>
      <w:pPr>
        <w:pStyle w:val="BodyText"/>
        <w:spacing w:line="498" w:lineRule="exact"/>
        <w:ind w:left="1060"/>
      </w:pPr>
      <w:r>
        <w:rPr/>
        <w:t>本项目设计采用的环境保护措施具体见表 </w:t>
      </w:r>
      <w:r>
        <w:rPr>
          <w:rFonts w:ascii="Times New Roman" w:eastAsia="Times New Roman"/>
        </w:rPr>
        <w:t>8.1-1</w:t>
      </w:r>
      <w:r>
        <w:rPr/>
        <w:t>。</w:t>
      </w:r>
    </w:p>
    <w:p>
      <w:pPr>
        <w:pStyle w:val="BodyText"/>
        <w:spacing w:before="37"/>
        <w:ind w:left="2834"/>
      </w:pPr>
      <w:r>
        <w:rPr/>
        <w:pict>
          <v:shape style="position:absolute;margin-left:80.783997pt;margin-top:23.209961pt;width:432.8pt;height:470pt;mso-position-horizontal-relative:page;mso-position-vertical-relative:paragraph;z-index:19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080"/>
                    <w:gridCol w:w="2881"/>
                    <w:gridCol w:w="4141"/>
                  </w:tblGrid>
                  <w:tr>
                    <w:trPr>
                      <w:trHeight w:val="400" w:hRule="atLeast"/>
                    </w:trPr>
                    <w:tc>
                      <w:tcPr>
                        <w:tcW w:w="540" w:type="dxa"/>
                      </w:tcPr>
                      <w:p>
                        <w:pPr>
                          <w:pStyle w:val="TableParagraph"/>
                          <w:spacing w:line="372" w:lineRule="exact" w:before="8"/>
                          <w:ind w:left="41" w:right="29"/>
                          <w:rPr>
                            <w:sz w:val="21"/>
                          </w:rPr>
                        </w:pPr>
                        <w:r>
                          <w:rPr>
                            <w:sz w:val="21"/>
                          </w:rPr>
                          <w:t>序号</w:t>
                        </w:r>
                      </w:p>
                    </w:tc>
                    <w:tc>
                      <w:tcPr>
                        <w:tcW w:w="3961" w:type="dxa"/>
                        <w:gridSpan w:val="2"/>
                      </w:tcPr>
                      <w:p>
                        <w:pPr>
                          <w:pStyle w:val="TableParagraph"/>
                          <w:spacing w:line="372" w:lineRule="exact" w:before="8"/>
                          <w:ind w:left="384" w:right="372"/>
                          <w:rPr>
                            <w:sz w:val="21"/>
                          </w:rPr>
                        </w:pPr>
                        <w:r>
                          <w:rPr>
                            <w:sz w:val="21"/>
                          </w:rPr>
                          <w:t>污染源名称</w:t>
                        </w:r>
                      </w:p>
                    </w:tc>
                    <w:tc>
                      <w:tcPr>
                        <w:tcW w:w="4141" w:type="dxa"/>
                      </w:tcPr>
                      <w:p>
                        <w:pPr>
                          <w:pStyle w:val="TableParagraph"/>
                          <w:spacing w:line="372" w:lineRule="exact" w:before="8"/>
                          <w:ind w:left="52" w:right="44"/>
                          <w:rPr>
                            <w:sz w:val="21"/>
                          </w:rPr>
                        </w:pPr>
                        <w:r>
                          <w:rPr>
                            <w:sz w:val="21"/>
                          </w:rPr>
                          <w:t>采取的环保措施及环保设施</w:t>
                        </w:r>
                      </w:p>
                    </w:tc>
                  </w:tr>
                  <w:tr>
                    <w:trPr>
                      <w:trHeight w:val="359" w:hRule="atLeast"/>
                    </w:trPr>
                    <w:tc>
                      <w:tcPr>
                        <w:tcW w:w="8642" w:type="dxa"/>
                        <w:gridSpan w:val="4"/>
                      </w:tcPr>
                      <w:p>
                        <w:pPr>
                          <w:pStyle w:val="TableParagraph"/>
                          <w:spacing w:line="340" w:lineRule="exact"/>
                          <w:ind w:left="3670" w:right="3662"/>
                          <w:rPr>
                            <w:sz w:val="21"/>
                          </w:rPr>
                        </w:pPr>
                        <w:r>
                          <w:rPr>
                            <w:sz w:val="21"/>
                          </w:rPr>
                          <w:t>大气污染治理</w:t>
                        </w:r>
                      </w:p>
                    </w:tc>
                  </w:tr>
                  <w:tr>
                    <w:trPr>
                      <w:trHeight w:val="1247" w:hRule="atLeast"/>
                    </w:trPr>
                    <w:tc>
                      <w:tcPr>
                        <w:tcW w:w="540" w:type="dxa"/>
                      </w:tcPr>
                      <w:p>
                        <w:pPr>
                          <w:pStyle w:val="TableParagraph"/>
                          <w:spacing w:before="17"/>
                          <w:jc w:val="left"/>
                          <w:rPr>
                            <w:sz w:val="25"/>
                          </w:rPr>
                        </w:pPr>
                      </w:p>
                      <w:p>
                        <w:pPr>
                          <w:pStyle w:val="TableParagraph"/>
                          <w:ind w:left="7"/>
                          <w:rPr>
                            <w:rFonts w:ascii="Times New Roman"/>
                            <w:sz w:val="21"/>
                          </w:rPr>
                        </w:pPr>
                        <w:r>
                          <w:rPr>
                            <w:rFonts w:ascii="Times New Roman"/>
                            <w:w w:val="100"/>
                            <w:sz w:val="21"/>
                          </w:rPr>
                          <w:t>1</w:t>
                        </w:r>
                      </w:p>
                    </w:tc>
                    <w:tc>
                      <w:tcPr>
                        <w:tcW w:w="3961" w:type="dxa"/>
                        <w:gridSpan w:val="2"/>
                      </w:tcPr>
                      <w:p>
                        <w:pPr>
                          <w:pStyle w:val="TableParagraph"/>
                          <w:spacing w:before="9"/>
                          <w:jc w:val="left"/>
                          <w:rPr>
                            <w:sz w:val="20"/>
                          </w:rPr>
                        </w:pPr>
                      </w:p>
                      <w:p>
                        <w:pPr>
                          <w:pStyle w:val="TableParagraph"/>
                          <w:ind w:left="384" w:right="376"/>
                          <w:rPr>
                            <w:sz w:val="21"/>
                          </w:rPr>
                        </w:pPr>
                        <w:r>
                          <w:rPr>
                            <w:sz w:val="21"/>
                          </w:rPr>
                          <w:t>工艺有机废气</w:t>
                        </w:r>
                      </w:p>
                    </w:tc>
                    <w:tc>
                      <w:tcPr>
                        <w:tcW w:w="4141" w:type="dxa"/>
                      </w:tcPr>
                      <w:p>
                        <w:pPr>
                          <w:pStyle w:val="TableParagraph"/>
                          <w:spacing w:line="168" w:lineRule="auto" w:before="15"/>
                          <w:ind w:left="74" w:right="60"/>
                          <w:jc w:val="both"/>
                          <w:rPr>
                            <w:sz w:val="21"/>
                          </w:rPr>
                        </w:pPr>
                        <w:r>
                          <w:rPr>
                            <w:sz w:val="21"/>
                          </w:rPr>
                          <w:t>两原料药车间、溶剂回收车间采取碱洗塔装置和活性炭吸附装置进行吸收处理，经吸收后的废气分别由各自车间的排气筒集中外</w:t>
                        </w:r>
                      </w:p>
                      <w:p>
                        <w:pPr>
                          <w:pStyle w:val="TableParagraph"/>
                          <w:spacing w:line="278" w:lineRule="exact"/>
                          <w:ind w:left="806"/>
                          <w:jc w:val="left"/>
                          <w:rPr>
                            <w:sz w:val="21"/>
                          </w:rPr>
                        </w:pPr>
                        <w:r>
                          <w:rPr>
                            <w:sz w:val="21"/>
                          </w:rPr>
                          <w:t>排，排气筒高度均为 </w:t>
                        </w:r>
                        <w:r>
                          <w:rPr>
                            <w:rFonts w:ascii="Times New Roman" w:eastAsia="Times New Roman"/>
                            <w:sz w:val="21"/>
                          </w:rPr>
                          <w:t>20m</w:t>
                        </w:r>
                        <w:r>
                          <w:rPr>
                            <w:sz w:val="21"/>
                          </w:rPr>
                          <w:t>。</w:t>
                        </w:r>
                      </w:p>
                    </w:tc>
                  </w:tr>
                  <w:tr>
                    <w:trPr>
                      <w:trHeight w:val="1559" w:hRule="atLeast"/>
                    </w:trPr>
                    <w:tc>
                      <w:tcPr>
                        <w:tcW w:w="540" w:type="dxa"/>
                      </w:tcPr>
                      <w:p>
                        <w:pPr>
                          <w:pStyle w:val="TableParagraph"/>
                          <w:jc w:val="left"/>
                          <w:rPr>
                            <w:sz w:val="22"/>
                          </w:rPr>
                        </w:pPr>
                      </w:p>
                      <w:p>
                        <w:pPr>
                          <w:pStyle w:val="TableParagraph"/>
                          <w:spacing w:before="4"/>
                          <w:jc w:val="left"/>
                          <w:rPr>
                            <w:sz w:val="11"/>
                          </w:rPr>
                        </w:pPr>
                      </w:p>
                      <w:p>
                        <w:pPr>
                          <w:pStyle w:val="TableParagraph"/>
                          <w:ind w:left="7"/>
                          <w:rPr>
                            <w:rFonts w:ascii="Times New Roman"/>
                            <w:sz w:val="21"/>
                          </w:rPr>
                        </w:pPr>
                        <w:r>
                          <w:rPr>
                            <w:rFonts w:ascii="Times New Roman"/>
                            <w:w w:val="100"/>
                            <w:sz w:val="21"/>
                          </w:rPr>
                          <w:t>2</w:t>
                        </w:r>
                      </w:p>
                    </w:tc>
                    <w:tc>
                      <w:tcPr>
                        <w:tcW w:w="3961" w:type="dxa"/>
                        <w:gridSpan w:val="2"/>
                      </w:tcPr>
                      <w:p>
                        <w:pPr>
                          <w:pStyle w:val="TableParagraph"/>
                          <w:spacing w:before="17"/>
                          <w:jc w:val="left"/>
                          <w:rPr>
                            <w:sz w:val="27"/>
                          </w:rPr>
                        </w:pPr>
                      </w:p>
                      <w:p>
                        <w:pPr>
                          <w:pStyle w:val="TableParagraph"/>
                          <w:ind w:left="614"/>
                          <w:jc w:val="left"/>
                          <w:rPr>
                            <w:sz w:val="21"/>
                          </w:rPr>
                        </w:pPr>
                        <w:r>
                          <w:rPr>
                            <w:sz w:val="21"/>
                          </w:rPr>
                          <w:t>各种药品粉碎过程产生的粉尘</w:t>
                        </w:r>
                      </w:p>
                    </w:tc>
                    <w:tc>
                      <w:tcPr>
                        <w:tcW w:w="4141" w:type="dxa"/>
                      </w:tcPr>
                      <w:p>
                        <w:pPr>
                          <w:pStyle w:val="TableParagraph"/>
                          <w:spacing w:line="168" w:lineRule="auto" w:before="15"/>
                          <w:ind w:left="57" w:right="43" w:firstLine="16"/>
                          <w:jc w:val="both"/>
                          <w:rPr>
                            <w:sz w:val="21"/>
                          </w:rPr>
                        </w:pPr>
                        <w:r>
                          <w:rPr>
                            <w:spacing w:val="-3"/>
                            <w:sz w:val="21"/>
                          </w:rPr>
                          <w:t>两原料药车间、发酵车间粉尘先去生产系统</w:t>
                        </w:r>
                        <w:r>
                          <w:rPr>
                            <w:spacing w:val="-7"/>
                            <w:w w:val="100"/>
                            <w:sz w:val="21"/>
                          </w:rPr>
                          <w:t>配套的布袋除尘装置处置</w:t>
                        </w:r>
                        <w:r>
                          <w:rPr>
                            <w:w w:val="100"/>
                            <w:sz w:val="21"/>
                          </w:rPr>
                          <w:t>（</w:t>
                        </w:r>
                        <w:r>
                          <w:rPr>
                            <w:spacing w:val="-2"/>
                            <w:w w:val="100"/>
                            <w:sz w:val="21"/>
                          </w:rPr>
                          <w:t>效率</w:t>
                        </w:r>
                        <w:r>
                          <w:rPr>
                            <w:spacing w:val="-2"/>
                            <w:sz w:val="21"/>
                          </w:rPr>
                          <w:t> </w:t>
                        </w:r>
                        <w:r>
                          <w:rPr>
                            <w:rFonts w:ascii="Times New Roman" w:eastAsia="Times New Roman"/>
                            <w:spacing w:val="-3"/>
                            <w:w w:val="100"/>
                            <w:sz w:val="21"/>
                          </w:rPr>
                          <w:t>9</w:t>
                        </w:r>
                        <w:r>
                          <w:rPr>
                            <w:rFonts w:ascii="Times New Roman" w:eastAsia="Times New Roman"/>
                            <w:w w:val="100"/>
                            <w:sz w:val="21"/>
                          </w:rPr>
                          <w:t>9</w:t>
                        </w:r>
                        <w:r>
                          <w:rPr>
                            <w:rFonts w:ascii="Times New Roman" w:eastAsia="Times New Roman"/>
                            <w:spacing w:val="-1"/>
                            <w:w w:val="100"/>
                            <w:sz w:val="21"/>
                          </w:rPr>
                          <w:t>%</w:t>
                        </w:r>
                        <w:r>
                          <w:rPr>
                            <w:spacing w:val="-108"/>
                            <w:w w:val="100"/>
                            <w:sz w:val="21"/>
                          </w:rPr>
                          <w:t>）</w:t>
                        </w:r>
                        <w:r>
                          <w:rPr>
                            <w:spacing w:val="-16"/>
                            <w:w w:val="100"/>
                            <w:sz w:val="21"/>
                          </w:rPr>
                          <w:t>，再去</w:t>
                        </w:r>
                        <w:r>
                          <w:rPr>
                            <w:spacing w:val="-7"/>
                            <w:sz w:val="21"/>
                          </w:rPr>
                          <w:t>配套建设的车间排风净化系统处理</w:t>
                        </w:r>
                        <w:r>
                          <w:rPr>
                            <w:spacing w:val="-3"/>
                            <w:sz w:val="21"/>
                          </w:rPr>
                          <w:t>（</w:t>
                        </w:r>
                        <w:r>
                          <w:rPr>
                            <w:spacing w:val="-2"/>
                            <w:sz w:val="21"/>
                          </w:rPr>
                          <w:t>高效过</w:t>
                        </w:r>
                        <w:r>
                          <w:rPr>
                            <w:spacing w:val="-3"/>
                            <w:w w:val="100"/>
                            <w:sz w:val="21"/>
                          </w:rPr>
                          <w:t>滤器效率</w:t>
                        </w:r>
                        <w:r>
                          <w:rPr>
                            <w:spacing w:val="-3"/>
                            <w:sz w:val="21"/>
                          </w:rPr>
                          <w:t> </w:t>
                        </w:r>
                        <w:r>
                          <w:rPr>
                            <w:rFonts w:ascii="Times New Roman" w:eastAsia="Times New Roman"/>
                            <w:spacing w:val="-3"/>
                            <w:w w:val="100"/>
                            <w:sz w:val="21"/>
                          </w:rPr>
                          <w:t>9</w:t>
                        </w:r>
                        <w:r>
                          <w:rPr>
                            <w:rFonts w:ascii="Times New Roman" w:eastAsia="Times New Roman"/>
                            <w:w w:val="100"/>
                            <w:sz w:val="21"/>
                          </w:rPr>
                          <w:t>0</w:t>
                        </w:r>
                        <w:r>
                          <w:rPr>
                            <w:rFonts w:ascii="Times New Roman" w:eastAsia="Times New Roman"/>
                            <w:spacing w:val="-1"/>
                            <w:w w:val="100"/>
                            <w:sz w:val="21"/>
                          </w:rPr>
                          <w:t>%</w:t>
                        </w:r>
                        <w:r>
                          <w:rPr>
                            <w:spacing w:val="-2"/>
                            <w:w w:val="100"/>
                            <w:sz w:val="21"/>
                          </w:rPr>
                          <w:t>以上</w:t>
                        </w:r>
                        <w:r>
                          <w:rPr>
                            <w:spacing w:val="-106"/>
                            <w:w w:val="100"/>
                            <w:sz w:val="21"/>
                          </w:rPr>
                          <w:t>）</w:t>
                        </w:r>
                        <w:r>
                          <w:rPr>
                            <w:spacing w:val="-3"/>
                            <w:w w:val="100"/>
                            <w:sz w:val="21"/>
                          </w:rPr>
                          <w:t>，尾气分别经</w:t>
                        </w:r>
                        <w:r>
                          <w:rPr>
                            <w:spacing w:val="-3"/>
                            <w:sz w:val="21"/>
                          </w:rPr>
                          <w:t> </w:t>
                        </w:r>
                        <w:r>
                          <w:rPr>
                            <w:rFonts w:ascii="Times New Roman" w:eastAsia="Times New Roman"/>
                            <w:w w:val="100"/>
                            <w:sz w:val="21"/>
                          </w:rPr>
                          <w:t>15m</w:t>
                        </w:r>
                        <w:r>
                          <w:rPr>
                            <w:rFonts w:ascii="Times New Roman" w:eastAsia="Times New Roman"/>
                            <w:sz w:val="21"/>
                          </w:rPr>
                          <w:t> </w:t>
                        </w:r>
                        <w:r>
                          <w:rPr>
                            <w:w w:val="100"/>
                            <w:sz w:val="21"/>
                          </w:rPr>
                          <w:t>高排</w:t>
                        </w:r>
                      </w:p>
                      <w:p>
                        <w:pPr>
                          <w:pStyle w:val="TableParagraph"/>
                          <w:spacing w:line="278" w:lineRule="exact"/>
                          <w:ind w:left="1334"/>
                          <w:jc w:val="left"/>
                          <w:rPr>
                            <w:sz w:val="21"/>
                          </w:rPr>
                        </w:pPr>
                        <w:r>
                          <w:rPr>
                            <w:sz w:val="21"/>
                          </w:rPr>
                          <w:t>气筒排出车间。</w:t>
                        </w:r>
                      </w:p>
                    </w:tc>
                  </w:tr>
                  <w:tr>
                    <w:trPr>
                      <w:trHeight w:val="623" w:hRule="atLeast"/>
                    </w:trPr>
                    <w:tc>
                      <w:tcPr>
                        <w:tcW w:w="540" w:type="dxa"/>
                      </w:tcPr>
                      <w:p>
                        <w:pPr>
                          <w:pStyle w:val="TableParagraph"/>
                          <w:spacing w:before="2"/>
                          <w:jc w:val="left"/>
                          <w:rPr>
                            <w:sz w:val="11"/>
                          </w:rPr>
                        </w:pPr>
                      </w:p>
                      <w:p>
                        <w:pPr>
                          <w:pStyle w:val="TableParagraph"/>
                          <w:ind w:left="7"/>
                          <w:rPr>
                            <w:rFonts w:ascii="Times New Roman"/>
                            <w:sz w:val="21"/>
                          </w:rPr>
                        </w:pPr>
                        <w:r>
                          <w:rPr>
                            <w:rFonts w:ascii="Times New Roman"/>
                            <w:w w:val="100"/>
                            <w:sz w:val="21"/>
                          </w:rPr>
                          <w:t>3</w:t>
                        </w:r>
                      </w:p>
                    </w:tc>
                    <w:tc>
                      <w:tcPr>
                        <w:tcW w:w="3961" w:type="dxa"/>
                        <w:gridSpan w:val="2"/>
                      </w:tcPr>
                      <w:p>
                        <w:pPr>
                          <w:pStyle w:val="TableParagraph"/>
                          <w:spacing w:before="121"/>
                          <w:ind w:left="384" w:right="376"/>
                          <w:rPr>
                            <w:sz w:val="21"/>
                          </w:rPr>
                        </w:pPr>
                        <w:r>
                          <w:rPr>
                            <w:sz w:val="21"/>
                          </w:rPr>
                          <w:t>燃气锅炉废气</w:t>
                        </w:r>
                      </w:p>
                    </w:tc>
                    <w:tc>
                      <w:tcPr>
                        <w:tcW w:w="4141" w:type="dxa"/>
                      </w:tcPr>
                      <w:p>
                        <w:pPr>
                          <w:pStyle w:val="TableParagraph"/>
                          <w:spacing w:line="300" w:lineRule="exact"/>
                          <w:ind w:left="56" w:right="44"/>
                          <w:rPr>
                            <w:rFonts w:ascii="Times New Roman" w:eastAsia="Times New Roman"/>
                            <w:sz w:val="21"/>
                          </w:rPr>
                        </w:pPr>
                        <w:r>
                          <w:rPr>
                            <w:sz w:val="21"/>
                          </w:rPr>
                          <w:t>燃烧天然气，为清洁能源，废气直接经 </w:t>
                        </w:r>
                        <w:r>
                          <w:rPr>
                            <w:rFonts w:ascii="Times New Roman" w:eastAsia="Times New Roman"/>
                            <w:sz w:val="21"/>
                          </w:rPr>
                          <w:t>15m</w:t>
                        </w:r>
                      </w:p>
                      <w:p>
                        <w:pPr>
                          <w:pStyle w:val="TableParagraph"/>
                          <w:spacing w:line="303" w:lineRule="exact"/>
                          <w:ind w:left="52" w:right="44"/>
                          <w:rPr>
                            <w:sz w:val="21"/>
                          </w:rPr>
                        </w:pPr>
                        <w:r>
                          <w:rPr>
                            <w:sz w:val="21"/>
                          </w:rPr>
                          <w:t>排气筒排放</w:t>
                        </w:r>
                      </w:p>
                    </w:tc>
                  </w:tr>
                  <w:tr>
                    <w:trPr>
                      <w:trHeight w:val="400" w:hRule="atLeast"/>
                    </w:trPr>
                    <w:tc>
                      <w:tcPr>
                        <w:tcW w:w="8642" w:type="dxa"/>
                        <w:gridSpan w:val="4"/>
                      </w:tcPr>
                      <w:p>
                        <w:pPr>
                          <w:pStyle w:val="TableParagraph"/>
                          <w:spacing w:line="372" w:lineRule="exact" w:before="8"/>
                          <w:ind w:left="3551" w:right="3662"/>
                          <w:rPr>
                            <w:sz w:val="21"/>
                          </w:rPr>
                        </w:pPr>
                        <w:r>
                          <w:rPr>
                            <w:sz w:val="21"/>
                          </w:rPr>
                          <w:t>水污染治理</w:t>
                        </w:r>
                      </w:p>
                    </w:tc>
                  </w:tr>
                  <w:tr>
                    <w:trPr>
                      <w:trHeight w:val="930" w:hRule="atLeast"/>
                    </w:trPr>
                    <w:tc>
                      <w:tcPr>
                        <w:tcW w:w="540" w:type="dxa"/>
                        <w:vMerge w:val="restart"/>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2"/>
                          <w:jc w:val="left"/>
                          <w:rPr>
                            <w:sz w:val="22"/>
                          </w:rPr>
                        </w:pPr>
                      </w:p>
                      <w:p>
                        <w:pPr>
                          <w:pStyle w:val="TableParagraph"/>
                          <w:ind w:left="7"/>
                          <w:rPr>
                            <w:rFonts w:ascii="Times New Roman"/>
                            <w:sz w:val="21"/>
                          </w:rPr>
                        </w:pPr>
                        <w:r>
                          <w:rPr>
                            <w:rFonts w:ascii="Times New Roman"/>
                            <w:w w:val="100"/>
                            <w:sz w:val="21"/>
                          </w:rPr>
                          <w:t>5</w:t>
                        </w:r>
                      </w:p>
                    </w:tc>
                    <w:tc>
                      <w:tcPr>
                        <w:tcW w:w="1080" w:type="dxa"/>
                        <w:vMerge w:val="restart"/>
                        <w:tcBorders>
                          <w:bottom w:val="single" w:sz="8" w:space="0" w:color="000000"/>
                        </w:tcBorders>
                      </w:tcPr>
                      <w:p>
                        <w:pPr>
                          <w:pStyle w:val="TableParagraph"/>
                          <w:jc w:val="left"/>
                          <w:rPr>
                            <w:sz w:val="20"/>
                          </w:rPr>
                        </w:pPr>
                      </w:p>
                      <w:p>
                        <w:pPr>
                          <w:pStyle w:val="TableParagraph"/>
                          <w:spacing w:before="13"/>
                          <w:jc w:val="left"/>
                          <w:rPr>
                            <w:sz w:val="24"/>
                          </w:rPr>
                        </w:pPr>
                      </w:p>
                      <w:p>
                        <w:pPr>
                          <w:pStyle w:val="TableParagraph"/>
                          <w:ind w:left="119"/>
                          <w:jc w:val="left"/>
                          <w:rPr>
                            <w:sz w:val="21"/>
                          </w:rPr>
                        </w:pPr>
                        <w:r>
                          <w:rPr>
                            <w:sz w:val="21"/>
                          </w:rPr>
                          <w:t>生产废水</w:t>
                        </w:r>
                      </w:p>
                    </w:tc>
                    <w:tc>
                      <w:tcPr>
                        <w:tcW w:w="2881" w:type="dxa"/>
                      </w:tcPr>
                      <w:p>
                        <w:pPr>
                          <w:pStyle w:val="TableParagraph"/>
                          <w:spacing w:line="168" w:lineRule="auto" w:before="15"/>
                          <w:ind w:left="74" w:right="60"/>
                          <w:rPr>
                            <w:sz w:val="21"/>
                          </w:rPr>
                        </w:pPr>
                        <w:r>
                          <w:rPr>
                            <w:sz w:val="21"/>
                          </w:rPr>
                          <w:t>各产品生产过程高浓或高盐有机废水（含分层废水、洗涤废</w:t>
                        </w:r>
                      </w:p>
                      <w:p>
                        <w:pPr>
                          <w:pStyle w:val="TableParagraph"/>
                          <w:spacing w:line="272" w:lineRule="exact"/>
                          <w:ind w:left="72" w:right="60"/>
                          <w:rPr>
                            <w:sz w:val="21"/>
                          </w:rPr>
                        </w:pPr>
                        <w:r>
                          <w:rPr>
                            <w:sz w:val="21"/>
                          </w:rPr>
                          <w:t>液、离心母液等）</w:t>
                        </w:r>
                      </w:p>
                    </w:tc>
                    <w:tc>
                      <w:tcPr>
                        <w:tcW w:w="4141" w:type="dxa"/>
                      </w:tcPr>
                      <w:p>
                        <w:pPr>
                          <w:pStyle w:val="TableParagraph"/>
                          <w:spacing w:before="1"/>
                          <w:jc w:val="left"/>
                          <w:rPr>
                            <w:sz w:val="13"/>
                          </w:rPr>
                        </w:pPr>
                      </w:p>
                      <w:p>
                        <w:pPr>
                          <w:pStyle w:val="TableParagraph"/>
                          <w:ind w:left="74" w:right="13"/>
                          <w:rPr>
                            <w:sz w:val="21"/>
                          </w:rPr>
                        </w:pPr>
                        <w:r>
                          <w:rPr>
                            <w:sz w:val="21"/>
                          </w:rPr>
                          <w:t>废水预处理后进厂区污水处理站</w:t>
                        </w:r>
                      </w:p>
                    </w:tc>
                  </w:tr>
                  <w:tr>
                    <w:trPr>
                      <w:trHeight w:val="390" w:hRule="atLeast"/>
                    </w:trPr>
                    <w:tc>
                      <w:tcPr>
                        <w:tcW w:w="540" w:type="dxa"/>
                        <w:vMerge/>
                        <w:tcBorders>
                          <w:top w:val="nil"/>
                        </w:tcBorders>
                      </w:tcPr>
                      <w:p>
                        <w:pPr>
                          <w:rPr>
                            <w:sz w:val="2"/>
                            <w:szCs w:val="2"/>
                          </w:rPr>
                        </w:pPr>
                      </w:p>
                    </w:tc>
                    <w:tc>
                      <w:tcPr>
                        <w:tcW w:w="1080" w:type="dxa"/>
                        <w:vMerge/>
                        <w:tcBorders>
                          <w:top w:val="nil"/>
                          <w:bottom w:val="single" w:sz="8" w:space="0" w:color="000000"/>
                        </w:tcBorders>
                      </w:tcPr>
                      <w:p>
                        <w:pPr>
                          <w:rPr>
                            <w:sz w:val="2"/>
                            <w:szCs w:val="2"/>
                          </w:rPr>
                        </w:pPr>
                      </w:p>
                    </w:tc>
                    <w:tc>
                      <w:tcPr>
                        <w:tcW w:w="2881" w:type="dxa"/>
                      </w:tcPr>
                      <w:p>
                        <w:pPr>
                          <w:pStyle w:val="TableParagraph"/>
                          <w:spacing w:line="367" w:lineRule="exact" w:before="3"/>
                          <w:ind w:left="53" w:right="47"/>
                          <w:rPr>
                            <w:sz w:val="21"/>
                          </w:rPr>
                        </w:pPr>
                        <w:r>
                          <w:rPr>
                            <w:sz w:val="21"/>
                          </w:rPr>
                          <w:t>生产过程个别低浓度有机废水</w:t>
                        </w:r>
                      </w:p>
                    </w:tc>
                    <w:tc>
                      <w:tcPr>
                        <w:tcW w:w="4141" w:type="dxa"/>
                        <w:vMerge w:val="restart"/>
                      </w:tcPr>
                      <w:p>
                        <w:pPr>
                          <w:pStyle w:val="TableParagraph"/>
                          <w:spacing w:before="3"/>
                          <w:jc w:val="left"/>
                          <w:rPr>
                            <w:sz w:val="22"/>
                          </w:rPr>
                        </w:pPr>
                      </w:p>
                      <w:p>
                        <w:pPr>
                          <w:pStyle w:val="TableParagraph"/>
                          <w:ind w:left="1228"/>
                          <w:jc w:val="left"/>
                          <w:rPr>
                            <w:sz w:val="21"/>
                          </w:rPr>
                        </w:pPr>
                        <w:r>
                          <w:rPr>
                            <w:sz w:val="21"/>
                          </w:rPr>
                          <w:t>进厂区污水处理站</w:t>
                        </w:r>
                      </w:p>
                    </w:tc>
                  </w:tr>
                  <w:tr>
                    <w:trPr>
                      <w:trHeight w:val="391" w:hRule="atLeast"/>
                    </w:trPr>
                    <w:tc>
                      <w:tcPr>
                        <w:tcW w:w="540" w:type="dxa"/>
                        <w:vMerge/>
                        <w:tcBorders>
                          <w:top w:val="nil"/>
                        </w:tcBorders>
                      </w:tcPr>
                      <w:p>
                        <w:pPr>
                          <w:rPr>
                            <w:sz w:val="2"/>
                            <w:szCs w:val="2"/>
                          </w:rPr>
                        </w:pPr>
                      </w:p>
                    </w:tc>
                    <w:tc>
                      <w:tcPr>
                        <w:tcW w:w="1080" w:type="dxa"/>
                        <w:vMerge/>
                        <w:tcBorders>
                          <w:top w:val="nil"/>
                          <w:bottom w:val="single" w:sz="8" w:space="0" w:color="000000"/>
                        </w:tcBorders>
                      </w:tcPr>
                      <w:p>
                        <w:pPr>
                          <w:rPr>
                            <w:sz w:val="2"/>
                            <w:szCs w:val="2"/>
                          </w:rPr>
                        </w:pPr>
                      </w:p>
                    </w:tc>
                    <w:tc>
                      <w:tcPr>
                        <w:tcW w:w="2881" w:type="dxa"/>
                      </w:tcPr>
                      <w:p>
                        <w:pPr>
                          <w:pStyle w:val="TableParagraph"/>
                          <w:spacing w:line="367" w:lineRule="exact" w:before="4"/>
                          <w:ind w:left="69" w:right="60"/>
                          <w:rPr>
                            <w:sz w:val="21"/>
                          </w:rPr>
                        </w:pPr>
                        <w:r>
                          <w:rPr>
                            <w:sz w:val="21"/>
                          </w:rPr>
                          <w:t>白葡菌生产过程发酵废水</w:t>
                        </w:r>
                      </w:p>
                    </w:tc>
                    <w:tc>
                      <w:tcPr>
                        <w:tcW w:w="4141" w:type="dxa"/>
                        <w:vMerge/>
                        <w:tcBorders>
                          <w:top w:val="nil"/>
                        </w:tcBorders>
                      </w:tcPr>
                      <w:p>
                        <w:pPr>
                          <w:rPr>
                            <w:sz w:val="2"/>
                            <w:szCs w:val="2"/>
                          </w:rPr>
                        </w:pPr>
                      </w:p>
                    </w:tc>
                  </w:tr>
                  <w:tr>
                    <w:trPr>
                      <w:trHeight w:val="505" w:hRule="atLeast"/>
                    </w:trPr>
                    <w:tc>
                      <w:tcPr>
                        <w:tcW w:w="540" w:type="dxa"/>
                        <w:vMerge/>
                        <w:tcBorders>
                          <w:top w:val="nil"/>
                        </w:tcBorders>
                      </w:tcPr>
                      <w:p>
                        <w:pPr>
                          <w:rPr>
                            <w:sz w:val="2"/>
                            <w:szCs w:val="2"/>
                          </w:rPr>
                        </w:pPr>
                      </w:p>
                    </w:tc>
                    <w:tc>
                      <w:tcPr>
                        <w:tcW w:w="1080" w:type="dxa"/>
                        <w:vMerge/>
                        <w:tcBorders>
                          <w:top w:val="nil"/>
                          <w:bottom w:val="single" w:sz="8" w:space="0" w:color="000000"/>
                        </w:tcBorders>
                      </w:tcPr>
                      <w:p>
                        <w:pPr>
                          <w:rPr>
                            <w:sz w:val="2"/>
                            <w:szCs w:val="2"/>
                          </w:rPr>
                        </w:pPr>
                      </w:p>
                    </w:tc>
                    <w:tc>
                      <w:tcPr>
                        <w:tcW w:w="2881" w:type="dxa"/>
                        <w:tcBorders>
                          <w:bottom w:val="single" w:sz="8" w:space="0" w:color="000000"/>
                        </w:tcBorders>
                      </w:tcPr>
                      <w:p>
                        <w:pPr>
                          <w:pStyle w:val="TableParagraph"/>
                          <w:spacing w:before="15"/>
                          <w:ind w:left="72" w:right="60"/>
                          <w:rPr>
                            <w:sz w:val="21"/>
                          </w:rPr>
                        </w:pPr>
                        <w:r>
                          <w:rPr>
                            <w:sz w:val="21"/>
                          </w:rPr>
                          <w:t>工艺废气碱洗塔废水</w:t>
                        </w:r>
                      </w:p>
                    </w:tc>
                    <w:tc>
                      <w:tcPr>
                        <w:tcW w:w="4141" w:type="dxa"/>
                        <w:vMerge/>
                        <w:tcBorders>
                          <w:top w:val="nil"/>
                        </w:tcBorders>
                      </w:tcPr>
                      <w:p>
                        <w:pPr>
                          <w:rPr>
                            <w:sz w:val="2"/>
                            <w:szCs w:val="2"/>
                          </w:rPr>
                        </w:pPr>
                      </w:p>
                    </w:tc>
                  </w:tr>
                  <w:tr>
                    <w:trPr>
                      <w:trHeight w:val="313" w:hRule="atLeast"/>
                    </w:trPr>
                    <w:tc>
                      <w:tcPr>
                        <w:tcW w:w="540" w:type="dxa"/>
                        <w:vMerge/>
                        <w:tcBorders>
                          <w:top w:val="nil"/>
                        </w:tcBorders>
                      </w:tcPr>
                      <w:p>
                        <w:pPr>
                          <w:rPr>
                            <w:sz w:val="2"/>
                            <w:szCs w:val="2"/>
                          </w:rPr>
                        </w:pPr>
                      </w:p>
                    </w:tc>
                    <w:tc>
                      <w:tcPr>
                        <w:tcW w:w="1080" w:type="dxa"/>
                        <w:vMerge w:val="restart"/>
                        <w:tcBorders>
                          <w:top w:val="single" w:sz="8" w:space="0" w:color="000000"/>
                          <w:right w:val="single" w:sz="8" w:space="0" w:color="000000"/>
                        </w:tcBorders>
                      </w:tcPr>
                      <w:p>
                        <w:pPr>
                          <w:pStyle w:val="TableParagraph"/>
                          <w:spacing w:before="19"/>
                          <w:jc w:val="left"/>
                          <w:rPr>
                            <w:sz w:val="28"/>
                          </w:rPr>
                        </w:pPr>
                      </w:p>
                      <w:p>
                        <w:pPr>
                          <w:pStyle w:val="TableParagraph"/>
                          <w:ind w:left="119"/>
                          <w:jc w:val="left"/>
                          <w:rPr>
                            <w:sz w:val="21"/>
                          </w:rPr>
                        </w:pPr>
                        <w:r>
                          <w:rPr>
                            <w:sz w:val="21"/>
                          </w:rPr>
                          <w:t>其他废水</w:t>
                        </w:r>
                      </w:p>
                    </w:tc>
                    <w:tc>
                      <w:tcPr>
                        <w:tcW w:w="2881" w:type="dxa"/>
                        <w:tcBorders>
                          <w:top w:val="single" w:sz="8" w:space="0" w:color="000000"/>
                          <w:left w:val="single" w:sz="8" w:space="0" w:color="000000"/>
                        </w:tcBorders>
                      </w:tcPr>
                      <w:p>
                        <w:pPr>
                          <w:pStyle w:val="TableParagraph"/>
                          <w:spacing w:line="294" w:lineRule="exact"/>
                          <w:ind w:left="785" w:right="778"/>
                          <w:rPr>
                            <w:sz w:val="21"/>
                          </w:rPr>
                        </w:pPr>
                        <w:r>
                          <w:rPr>
                            <w:sz w:val="21"/>
                          </w:rPr>
                          <w:t>真空废水</w:t>
                        </w:r>
                      </w:p>
                    </w:tc>
                    <w:tc>
                      <w:tcPr>
                        <w:tcW w:w="4141" w:type="dxa"/>
                        <w:vMerge w:val="restart"/>
                      </w:tcPr>
                      <w:p>
                        <w:pPr>
                          <w:pStyle w:val="TableParagraph"/>
                          <w:spacing w:before="19"/>
                          <w:jc w:val="left"/>
                          <w:rPr>
                            <w:sz w:val="28"/>
                          </w:rPr>
                        </w:pPr>
                      </w:p>
                      <w:p>
                        <w:pPr>
                          <w:pStyle w:val="TableParagraph"/>
                          <w:ind w:left="1228"/>
                          <w:jc w:val="left"/>
                          <w:rPr>
                            <w:sz w:val="21"/>
                          </w:rPr>
                        </w:pPr>
                        <w:r>
                          <w:rPr>
                            <w:sz w:val="21"/>
                          </w:rPr>
                          <w:t>进厂区污水处理站</w:t>
                        </w:r>
                      </w:p>
                    </w:tc>
                  </w:tr>
                  <w:tr>
                    <w:trPr>
                      <w:trHeight w:val="311" w:hRule="atLeast"/>
                    </w:trPr>
                    <w:tc>
                      <w:tcPr>
                        <w:tcW w:w="540" w:type="dxa"/>
                        <w:vMerge/>
                        <w:tcBorders>
                          <w:top w:val="nil"/>
                        </w:tcBorders>
                      </w:tcPr>
                      <w:p>
                        <w:pPr>
                          <w:rPr>
                            <w:sz w:val="2"/>
                            <w:szCs w:val="2"/>
                          </w:rPr>
                        </w:pPr>
                      </w:p>
                    </w:tc>
                    <w:tc>
                      <w:tcPr>
                        <w:tcW w:w="1080" w:type="dxa"/>
                        <w:vMerge/>
                        <w:tcBorders>
                          <w:top w:val="nil"/>
                          <w:right w:val="single" w:sz="8" w:space="0" w:color="000000"/>
                        </w:tcBorders>
                      </w:tcPr>
                      <w:p>
                        <w:pPr>
                          <w:rPr>
                            <w:sz w:val="2"/>
                            <w:szCs w:val="2"/>
                          </w:rPr>
                        </w:pPr>
                      </w:p>
                    </w:tc>
                    <w:tc>
                      <w:tcPr>
                        <w:tcW w:w="2881" w:type="dxa"/>
                        <w:tcBorders>
                          <w:left w:val="single" w:sz="8" w:space="0" w:color="000000"/>
                        </w:tcBorders>
                      </w:tcPr>
                      <w:p>
                        <w:pPr>
                          <w:pStyle w:val="TableParagraph"/>
                          <w:spacing w:line="292" w:lineRule="exact"/>
                          <w:ind w:left="785" w:right="781"/>
                          <w:rPr>
                            <w:sz w:val="21"/>
                          </w:rPr>
                        </w:pPr>
                        <w:r>
                          <w:rPr>
                            <w:sz w:val="21"/>
                          </w:rPr>
                          <w:t>设备冲洗废水</w:t>
                        </w:r>
                      </w:p>
                    </w:tc>
                    <w:tc>
                      <w:tcPr>
                        <w:tcW w:w="4141" w:type="dxa"/>
                        <w:vMerge/>
                        <w:tcBorders>
                          <w:top w:val="nil"/>
                        </w:tcBorders>
                      </w:tcPr>
                      <w:p>
                        <w:pPr>
                          <w:rPr>
                            <w:sz w:val="2"/>
                            <w:szCs w:val="2"/>
                          </w:rPr>
                        </w:pPr>
                      </w:p>
                    </w:tc>
                  </w:tr>
                  <w:tr>
                    <w:trPr>
                      <w:trHeight w:val="270" w:hRule="atLeast"/>
                    </w:trPr>
                    <w:tc>
                      <w:tcPr>
                        <w:tcW w:w="540" w:type="dxa"/>
                        <w:vMerge/>
                        <w:tcBorders>
                          <w:top w:val="nil"/>
                        </w:tcBorders>
                      </w:tcPr>
                      <w:p>
                        <w:pPr>
                          <w:rPr>
                            <w:sz w:val="2"/>
                            <w:szCs w:val="2"/>
                          </w:rPr>
                        </w:pPr>
                      </w:p>
                    </w:tc>
                    <w:tc>
                      <w:tcPr>
                        <w:tcW w:w="1080" w:type="dxa"/>
                        <w:vMerge/>
                        <w:tcBorders>
                          <w:top w:val="nil"/>
                          <w:right w:val="single" w:sz="8" w:space="0" w:color="000000"/>
                        </w:tcBorders>
                      </w:tcPr>
                      <w:p>
                        <w:pPr>
                          <w:rPr>
                            <w:sz w:val="2"/>
                            <w:szCs w:val="2"/>
                          </w:rPr>
                        </w:pPr>
                      </w:p>
                    </w:tc>
                    <w:tc>
                      <w:tcPr>
                        <w:tcW w:w="2881" w:type="dxa"/>
                        <w:tcBorders>
                          <w:left w:val="single" w:sz="8" w:space="0" w:color="000000"/>
                        </w:tcBorders>
                      </w:tcPr>
                      <w:p>
                        <w:pPr>
                          <w:pStyle w:val="TableParagraph"/>
                          <w:spacing w:line="251" w:lineRule="exact"/>
                          <w:ind w:left="785" w:right="778"/>
                          <w:rPr>
                            <w:sz w:val="21"/>
                          </w:rPr>
                        </w:pPr>
                        <w:r>
                          <w:rPr>
                            <w:sz w:val="21"/>
                          </w:rPr>
                          <w:t>生活污水</w:t>
                        </w:r>
                      </w:p>
                    </w:tc>
                    <w:tc>
                      <w:tcPr>
                        <w:tcW w:w="4141" w:type="dxa"/>
                        <w:vMerge/>
                        <w:tcBorders>
                          <w:top w:val="nil"/>
                        </w:tcBorders>
                      </w:tcPr>
                      <w:p>
                        <w:pPr>
                          <w:rPr>
                            <w:sz w:val="2"/>
                            <w:szCs w:val="2"/>
                          </w:rPr>
                        </w:pPr>
                      </w:p>
                    </w:tc>
                  </w:tr>
                  <w:tr>
                    <w:trPr>
                      <w:trHeight w:val="273" w:hRule="atLeast"/>
                    </w:trPr>
                    <w:tc>
                      <w:tcPr>
                        <w:tcW w:w="540" w:type="dxa"/>
                        <w:vMerge/>
                        <w:tcBorders>
                          <w:top w:val="nil"/>
                        </w:tcBorders>
                      </w:tcPr>
                      <w:p>
                        <w:pPr>
                          <w:rPr>
                            <w:sz w:val="2"/>
                            <w:szCs w:val="2"/>
                          </w:rPr>
                        </w:pPr>
                      </w:p>
                    </w:tc>
                    <w:tc>
                      <w:tcPr>
                        <w:tcW w:w="1080" w:type="dxa"/>
                        <w:vMerge/>
                        <w:tcBorders>
                          <w:top w:val="nil"/>
                          <w:right w:val="single" w:sz="8" w:space="0" w:color="000000"/>
                        </w:tcBorders>
                      </w:tcPr>
                      <w:p>
                        <w:pPr>
                          <w:rPr>
                            <w:sz w:val="2"/>
                            <w:szCs w:val="2"/>
                          </w:rPr>
                        </w:pPr>
                      </w:p>
                    </w:tc>
                    <w:tc>
                      <w:tcPr>
                        <w:tcW w:w="2881" w:type="dxa"/>
                        <w:tcBorders>
                          <w:left w:val="single" w:sz="8" w:space="0" w:color="000000"/>
                        </w:tcBorders>
                      </w:tcPr>
                      <w:p>
                        <w:pPr>
                          <w:pStyle w:val="TableParagraph"/>
                          <w:spacing w:line="253" w:lineRule="exact"/>
                          <w:ind w:left="785" w:right="781"/>
                          <w:rPr>
                            <w:sz w:val="21"/>
                          </w:rPr>
                        </w:pPr>
                        <w:r>
                          <w:rPr>
                            <w:sz w:val="21"/>
                          </w:rPr>
                          <w:t>地面冲洗废水</w:t>
                        </w:r>
                      </w:p>
                    </w:tc>
                    <w:tc>
                      <w:tcPr>
                        <w:tcW w:w="4141" w:type="dxa"/>
                        <w:vMerge/>
                        <w:tcBorders>
                          <w:top w:val="nil"/>
                        </w:tcBorders>
                      </w:tcPr>
                      <w:p>
                        <w:pPr>
                          <w:rPr>
                            <w:sz w:val="2"/>
                            <w:szCs w:val="2"/>
                          </w:rPr>
                        </w:pPr>
                      </w:p>
                    </w:tc>
                  </w:tr>
                  <w:tr>
                    <w:trPr>
                      <w:trHeight w:val="400" w:hRule="atLeast"/>
                    </w:trPr>
                    <w:tc>
                      <w:tcPr>
                        <w:tcW w:w="540" w:type="dxa"/>
                        <w:vMerge/>
                        <w:tcBorders>
                          <w:top w:val="nil"/>
                        </w:tcBorders>
                      </w:tcPr>
                      <w:p>
                        <w:pPr>
                          <w:rPr>
                            <w:sz w:val="2"/>
                            <w:szCs w:val="2"/>
                          </w:rPr>
                        </w:pPr>
                      </w:p>
                    </w:tc>
                    <w:tc>
                      <w:tcPr>
                        <w:tcW w:w="1080" w:type="dxa"/>
                        <w:vMerge/>
                        <w:tcBorders>
                          <w:top w:val="nil"/>
                          <w:right w:val="single" w:sz="8" w:space="0" w:color="000000"/>
                        </w:tcBorders>
                      </w:tcPr>
                      <w:p>
                        <w:pPr>
                          <w:rPr>
                            <w:sz w:val="2"/>
                            <w:szCs w:val="2"/>
                          </w:rPr>
                        </w:pPr>
                      </w:p>
                    </w:tc>
                    <w:tc>
                      <w:tcPr>
                        <w:tcW w:w="2881" w:type="dxa"/>
                        <w:tcBorders>
                          <w:left w:val="single" w:sz="8" w:space="0" w:color="000000"/>
                        </w:tcBorders>
                      </w:tcPr>
                      <w:p>
                        <w:pPr>
                          <w:pStyle w:val="TableParagraph"/>
                          <w:spacing w:line="372" w:lineRule="exact" w:before="8"/>
                          <w:ind w:left="785" w:right="778"/>
                          <w:rPr>
                            <w:sz w:val="21"/>
                          </w:rPr>
                        </w:pPr>
                        <w:r>
                          <w:rPr>
                            <w:sz w:val="21"/>
                          </w:rPr>
                          <w:t>初期雨水</w:t>
                        </w:r>
                      </w:p>
                    </w:tc>
                    <w:tc>
                      <w:tcPr>
                        <w:tcW w:w="4141" w:type="dxa"/>
                        <w:vMerge/>
                        <w:tcBorders>
                          <w:top w:val="nil"/>
                        </w:tcBorders>
                      </w:tcPr>
                      <w:p>
                        <w:pPr>
                          <w:rPr>
                            <w:sz w:val="2"/>
                            <w:szCs w:val="2"/>
                          </w:rPr>
                        </w:pPr>
                      </w:p>
                    </w:tc>
                  </w:tr>
                  <w:tr>
                    <w:trPr>
                      <w:trHeight w:val="400" w:hRule="atLeast"/>
                    </w:trPr>
                    <w:tc>
                      <w:tcPr>
                        <w:tcW w:w="540" w:type="dxa"/>
                      </w:tcPr>
                      <w:p>
                        <w:pPr>
                          <w:pStyle w:val="TableParagraph"/>
                          <w:spacing w:before="123"/>
                          <w:ind w:left="7"/>
                          <w:rPr>
                            <w:rFonts w:ascii="Times New Roman"/>
                            <w:sz w:val="21"/>
                          </w:rPr>
                        </w:pPr>
                        <w:r>
                          <w:rPr>
                            <w:rFonts w:ascii="Times New Roman"/>
                            <w:w w:val="100"/>
                            <w:sz w:val="21"/>
                          </w:rPr>
                          <w:t>6</w:t>
                        </w:r>
                      </w:p>
                    </w:tc>
                    <w:tc>
                      <w:tcPr>
                        <w:tcW w:w="3961" w:type="dxa"/>
                        <w:gridSpan w:val="2"/>
                      </w:tcPr>
                      <w:p>
                        <w:pPr>
                          <w:pStyle w:val="TableParagraph"/>
                          <w:spacing w:line="372" w:lineRule="exact" w:before="8"/>
                          <w:ind w:left="384" w:right="376"/>
                          <w:rPr>
                            <w:sz w:val="21"/>
                          </w:rPr>
                        </w:pPr>
                        <w:r>
                          <w:rPr>
                            <w:sz w:val="21"/>
                          </w:rPr>
                          <w:t>厂区防渗处理</w:t>
                        </w:r>
                      </w:p>
                    </w:tc>
                    <w:tc>
                      <w:tcPr>
                        <w:tcW w:w="4141" w:type="dxa"/>
                      </w:tcPr>
                      <w:p>
                        <w:pPr>
                          <w:pStyle w:val="TableParagraph"/>
                          <w:spacing w:line="372" w:lineRule="exact" w:before="8"/>
                          <w:ind w:left="55" w:right="44"/>
                          <w:rPr>
                            <w:sz w:val="21"/>
                          </w:rPr>
                        </w:pPr>
                        <w:r>
                          <w:rPr>
                            <w:sz w:val="21"/>
                          </w:rPr>
                          <w:t>设防渗地坪、防渗管道等</w:t>
                        </w:r>
                      </w:p>
                    </w:tc>
                  </w:tr>
                  <w:tr>
                    <w:trPr>
                      <w:trHeight w:val="400" w:hRule="atLeast"/>
                    </w:trPr>
                    <w:tc>
                      <w:tcPr>
                        <w:tcW w:w="8642" w:type="dxa"/>
                        <w:gridSpan w:val="4"/>
                      </w:tcPr>
                      <w:p>
                        <w:pPr>
                          <w:pStyle w:val="TableParagraph"/>
                          <w:spacing w:line="372" w:lineRule="exact" w:before="8"/>
                          <w:ind w:left="3670" w:right="3662"/>
                          <w:rPr>
                            <w:sz w:val="21"/>
                          </w:rPr>
                        </w:pPr>
                        <w:r>
                          <w:rPr>
                            <w:sz w:val="21"/>
                          </w:rPr>
                          <w:t>固体废物控制</w:t>
                        </w:r>
                      </w:p>
                    </w:tc>
                  </w:tr>
                </w:tbl>
                <w:p>
                  <w:pPr>
                    <w:pStyle w:val="BodyText"/>
                  </w:pPr>
                </w:p>
              </w:txbxContent>
            </v:textbox>
            <w10:wrap type="none"/>
          </v:shape>
        </w:pict>
      </w:r>
      <w:r>
        <w:rPr/>
        <w:t>表 </w:t>
      </w:r>
      <w:r>
        <w:rPr>
          <w:rFonts w:ascii="Times New Roman" w:eastAsia="Times New Roman"/>
        </w:rPr>
        <w:t>8.1-1  </w:t>
      </w:r>
      <w:r>
        <w:rPr/>
        <w:t>本工程污染防治措施一览表</w:t>
      </w:r>
    </w:p>
    <w:p>
      <w:pPr>
        <w:spacing w:after="0"/>
        <w:sectPr>
          <w:headerReference w:type="default" r:id="rId58"/>
          <w:footerReference w:type="default" r:id="rId59"/>
          <w:pgSz w:w="11910" w:h="16840"/>
          <w:pgMar w:header="877" w:footer="973" w:top="1340" w:bottom="1160" w:left="1220" w:right="10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p>
    <w:p>
      <w:pPr>
        <w:spacing w:line="416" w:lineRule="exact" w:before="0"/>
        <w:ind w:left="0" w:right="552" w:firstLine="0"/>
        <w:jc w:val="right"/>
        <w:rPr>
          <w:sz w:val="21"/>
        </w:rPr>
      </w:pPr>
      <w:r>
        <w:rPr/>
        <w:pict>
          <v:shape style="position:absolute;margin-left:80.783997pt;margin-top:-222.835449pt;width:432.8pt;height:272.45pt;mso-position-horizontal-relative:page;mso-position-vertical-relative:paragraph;z-index:193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3961"/>
                    <w:gridCol w:w="4141"/>
                  </w:tblGrid>
                  <w:tr>
                    <w:trPr>
                      <w:trHeight w:val="801" w:hRule="atLeast"/>
                    </w:trPr>
                    <w:tc>
                      <w:tcPr>
                        <w:tcW w:w="540" w:type="dxa"/>
                      </w:tcPr>
                      <w:p>
                        <w:pPr>
                          <w:pStyle w:val="TableParagraph"/>
                          <w:spacing w:before="6"/>
                          <w:jc w:val="left"/>
                          <w:rPr>
                            <w:sz w:val="15"/>
                          </w:rPr>
                        </w:pPr>
                      </w:p>
                      <w:p>
                        <w:pPr>
                          <w:pStyle w:val="TableParagraph"/>
                          <w:spacing w:before="1"/>
                          <w:ind w:left="215"/>
                          <w:jc w:val="left"/>
                          <w:rPr>
                            <w:rFonts w:ascii="Times New Roman"/>
                            <w:sz w:val="21"/>
                          </w:rPr>
                        </w:pPr>
                        <w:r>
                          <w:rPr>
                            <w:rFonts w:ascii="Times New Roman"/>
                            <w:w w:val="100"/>
                            <w:sz w:val="21"/>
                          </w:rPr>
                          <w:t>7</w:t>
                        </w:r>
                      </w:p>
                    </w:tc>
                    <w:tc>
                      <w:tcPr>
                        <w:tcW w:w="3961" w:type="dxa"/>
                        <w:tcBorders>
                          <w:bottom w:val="single" w:sz="8" w:space="0" w:color="000000"/>
                        </w:tcBorders>
                      </w:tcPr>
                      <w:p>
                        <w:pPr>
                          <w:pStyle w:val="TableParagraph"/>
                          <w:spacing w:line="423" w:lineRule="exact" w:before="8"/>
                          <w:ind w:left="57"/>
                          <w:jc w:val="left"/>
                          <w:rPr>
                            <w:sz w:val="21"/>
                          </w:rPr>
                        </w:pPr>
                        <w:r>
                          <w:rPr>
                            <w:sz w:val="21"/>
                          </w:rPr>
                          <w:t>生产过程产生的蒸馏残液、滤渣、离心母</w:t>
                        </w:r>
                      </w:p>
                      <w:p>
                        <w:pPr>
                          <w:pStyle w:val="TableParagraph"/>
                          <w:spacing w:line="350" w:lineRule="exact"/>
                          <w:ind w:left="57"/>
                          <w:jc w:val="left"/>
                          <w:rPr>
                            <w:sz w:val="21"/>
                          </w:rPr>
                        </w:pPr>
                        <w:r>
                          <w:rPr>
                            <w:sz w:val="21"/>
                          </w:rPr>
                          <w:t>液、洗涤废液等</w:t>
                        </w:r>
                      </w:p>
                    </w:tc>
                    <w:tc>
                      <w:tcPr>
                        <w:tcW w:w="4141" w:type="dxa"/>
                        <w:tcBorders>
                          <w:bottom w:val="single" w:sz="8" w:space="0" w:color="000000"/>
                        </w:tcBorders>
                      </w:tcPr>
                      <w:p>
                        <w:pPr>
                          <w:pStyle w:val="TableParagraph"/>
                          <w:spacing w:before="19"/>
                          <w:jc w:val="left"/>
                          <w:rPr>
                            <w:sz w:val="9"/>
                          </w:rPr>
                        </w:pPr>
                      </w:p>
                      <w:p>
                        <w:pPr>
                          <w:pStyle w:val="TableParagraph"/>
                          <w:ind w:left="55" w:right="44"/>
                          <w:rPr>
                            <w:sz w:val="21"/>
                          </w:rPr>
                        </w:pPr>
                        <w:r>
                          <w:rPr>
                            <w:sz w:val="21"/>
                          </w:rPr>
                          <w:t>委托有危废资质单位处置</w:t>
                        </w:r>
                      </w:p>
                    </w:tc>
                  </w:tr>
                  <w:tr>
                    <w:trPr>
                      <w:trHeight w:val="399" w:hRule="atLeast"/>
                    </w:trPr>
                    <w:tc>
                      <w:tcPr>
                        <w:tcW w:w="540" w:type="dxa"/>
                      </w:tcPr>
                      <w:p>
                        <w:pPr>
                          <w:pStyle w:val="TableParagraph"/>
                          <w:spacing w:before="122"/>
                          <w:ind w:left="215"/>
                          <w:jc w:val="left"/>
                          <w:rPr>
                            <w:rFonts w:ascii="Times New Roman"/>
                            <w:sz w:val="21"/>
                          </w:rPr>
                        </w:pPr>
                        <w:r>
                          <w:rPr>
                            <w:rFonts w:ascii="Times New Roman"/>
                            <w:w w:val="100"/>
                            <w:sz w:val="21"/>
                          </w:rPr>
                          <w:t>8</w:t>
                        </w:r>
                      </w:p>
                    </w:tc>
                    <w:tc>
                      <w:tcPr>
                        <w:tcW w:w="3961" w:type="dxa"/>
                        <w:tcBorders>
                          <w:top w:val="single" w:sz="8" w:space="0" w:color="000000"/>
                          <w:bottom w:val="single" w:sz="8" w:space="0" w:color="000000"/>
                        </w:tcBorders>
                      </w:tcPr>
                      <w:p>
                        <w:pPr>
                          <w:pStyle w:val="TableParagraph"/>
                          <w:spacing w:line="380" w:lineRule="exact"/>
                          <w:ind w:left="382" w:right="376"/>
                          <w:rPr>
                            <w:sz w:val="21"/>
                          </w:rPr>
                        </w:pPr>
                        <w:r>
                          <w:rPr>
                            <w:sz w:val="21"/>
                          </w:rPr>
                          <w:t>工艺废气吸收装置废活性炭</w:t>
                        </w:r>
                      </w:p>
                    </w:tc>
                    <w:tc>
                      <w:tcPr>
                        <w:tcW w:w="4141" w:type="dxa"/>
                        <w:vMerge w:val="restart"/>
                        <w:tcBorders>
                          <w:top w:val="single" w:sz="8" w:space="0" w:color="000000"/>
                          <w:bottom w:val="single" w:sz="8" w:space="0" w:color="000000"/>
                        </w:tcBorders>
                      </w:tcPr>
                      <w:p>
                        <w:pPr>
                          <w:pStyle w:val="TableParagraph"/>
                          <w:spacing w:before="6"/>
                          <w:jc w:val="left"/>
                          <w:rPr>
                            <w:sz w:val="14"/>
                          </w:rPr>
                        </w:pPr>
                      </w:p>
                      <w:p>
                        <w:pPr>
                          <w:pStyle w:val="TableParagraph"/>
                          <w:ind w:left="914"/>
                          <w:jc w:val="left"/>
                          <w:rPr>
                            <w:sz w:val="21"/>
                          </w:rPr>
                        </w:pPr>
                        <w:r>
                          <w:rPr>
                            <w:sz w:val="21"/>
                          </w:rPr>
                          <w:t>委托有危废资质单位处置</w:t>
                        </w:r>
                      </w:p>
                    </w:tc>
                  </w:tr>
                  <w:tr>
                    <w:trPr>
                      <w:trHeight w:val="570" w:hRule="atLeast"/>
                    </w:trPr>
                    <w:tc>
                      <w:tcPr>
                        <w:tcW w:w="540" w:type="dxa"/>
                      </w:tcPr>
                      <w:p>
                        <w:pPr>
                          <w:pStyle w:val="TableParagraph"/>
                          <w:spacing w:before="18"/>
                          <w:jc w:val="left"/>
                          <w:rPr>
                            <w:sz w:val="9"/>
                          </w:rPr>
                        </w:pPr>
                      </w:p>
                      <w:p>
                        <w:pPr>
                          <w:pStyle w:val="TableParagraph"/>
                          <w:ind w:left="215"/>
                          <w:jc w:val="left"/>
                          <w:rPr>
                            <w:rFonts w:ascii="Times New Roman"/>
                            <w:sz w:val="21"/>
                          </w:rPr>
                        </w:pPr>
                        <w:r>
                          <w:rPr>
                            <w:rFonts w:ascii="Times New Roman"/>
                            <w:w w:val="100"/>
                            <w:sz w:val="21"/>
                          </w:rPr>
                          <w:t>9</w:t>
                        </w:r>
                      </w:p>
                    </w:tc>
                    <w:tc>
                      <w:tcPr>
                        <w:tcW w:w="3961" w:type="dxa"/>
                        <w:tcBorders>
                          <w:top w:val="single" w:sz="8" w:space="0" w:color="000000"/>
                          <w:bottom w:val="single" w:sz="8" w:space="0" w:color="000000"/>
                        </w:tcBorders>
                      </w:tcPr>
                      <w:p>
                        <w:pPr>
                          <w:pStyle w:val="TableParagraph"/>
                          <w:spacing w:line="273" w:lineRule="exact"/>
                          <w:ind w:left="384" w:right="376"/>
                          <w:rPr>
                            <w:sz w:val="21"/>
                          </w:rPr>
                        </w:pPr>
                        <w:r>
                          <w:rPr>
                            <w:sz w:val="21"/>
                          </w:rPr>
                          <w:t>高浓高盐废水</w:t>
                        </w:r>
                      </w:p>
                      <w:p>
                        <w:pPr>
                          <w:pStyle w:val="TableParagraph"/>
                          <w:spacing w:line="278" w:lineRule="exact"/>
                          <w:ind w:left="384" w:right="376"/>
                          <w:rPr>
                            <w:sz w:val="21"/>
                          </w:rPr>
                        </w:pPr>
                        <w:r>
                          <w:rPr>
                            <w:sz w:val="21"/>
                          </w:rPr>
                          <w:t>预处理蒸馏残渣</w:t>
                        </w:r>
                      </w:p>
                    </w:tc>
                    <w:tc>
                      <w:tcPr>
                        <w:tcW w:w="4141" w:type="dxa"/>
                        <w:vMerge/>
                        <w:tcBorders>
                          <w:top w:val="nil"/>
                          <w:bottom w:val="single" w:sz="8" w:space="0" w:color="000000"/>
                        </w:tcBorders>
                      </w:tcPr>
                      <w:p>
                        <w:pPr>
                          <w:rPr>
                            <w:sz w:val="2"/>
                            <w:szCs w:val="2"/>
                          </w:rPr>
                        </w:pPr>
                      </w:p>
                    </w:tc>
                  </w:tr>
                  <w:tr>
                    <w:trPr>
                      <w:trHeight w:val="572" w:hRule="atLeast"/>
                    </w:trPr>
                    <w:tc>
                      <w:tcPr>
                        <w:tcW w:w="540" w:type="dxa"/>
                      </w:tcPr>
                      <w:p>
                        <w:pPr>
                          <w:pStyle w:val="TableParagraph"/>
                          <w:spacing w:before="18"/>
                          <w:jc w:val="left"/>
                          <w:rPr>
                            <w:sz w:val="9"/>
                          </w:rPr>
                        </w:pPr>
                      </w:p>
                      <w:p>
                        <w:pPr>
                          <w:pStyle w:val="TableParagraph"/>
                          <w:ind w:left="163"/>
                          <w:jc w:val="left"/>
                          <w:rPr>
                            <w:rFonts w:ascii="Times New Roman"/>
                            <w:sz w:val="21"/>
                          </w:rPr>
                        </w:pPr>
                        <w:r>
                          <w:rPr>
                            <w:rFonts w:ascii="Times New Roman"/>
                            <w:sz w:val="21"/>
                          </w:rPr>
                          <w:t>10</w:t>
                        </w:r>
                      </w:p>
                    </w:tc>
                    <w:tc>
                      <w:tcPr>
                        <w:tcW w:w="3961" w:type="dxa"/>
                        <w:tcBorders>
                          <w:top w:val="single" w:sz="8" w:space="0" w:color="000000"/>
                        </w:tcBorders>
                      </w:tcPr>
                      <w:p>
                        <w:pPr>
                          <w:pStyle w:val="TableParagraph"/>
                          <w:spacing w:before="94"/>
                          <w:ind w:left="384" w:right="375"/>
                          <w:rPr>
                            <w:sz w:val="21"/>
                          </w:rPr>
                        </w:pPr>
                        <w:r>
                          <w:rPr>
                            <w:sz w:val="21"/>
                          </w:rPr>
                          <w:t>白葡菌生产压滤过程滤渣</w:t>
                        </w:r>
                      </w:p>
                    </w:tc>
                    <w:tc>
                      <w:tcPr>
                        <w:tcW w:w="4141" w:type="dxa"/>
                        <w:tcBorders>
                          <w:top w:val="single" w:sz="8" w:space="0" w:color="000000"/>
                        </w:tcBorders>
                      </w:tcPr>
                      <w:p>
                        <w:pPr>
                          <w:pStyle w:val="TableParagraph"/>
                          <w:spacing w:before="94"/>
                          <w:ind w:left="52" w:right="44"/>
                          <w:rPr>
                            <w:sz w:val="21"/>
                          </w:rPr>
                        </w:pPr>
                        <w:r>
                          <w:rPr>
                            <w:sz w:val="21"/>
                          </w:rPr>
                          <w:t>一般固废，回用于污水处理站</w:t>
                        </w:r>
                      </w:p>
                    </w:tc>
                  </w:tr>
                  <w:tr>
                    <w:trPr>
                      <w:trHeight w:val="486" w:hRule="atLeast"/>
                    </w:trPr>
                    <w:tc>
                      <w:tcPr>
                        <w:tcW w:w="540" w:type="dxa"/>
                      </w:tcPr>
                      <w:p>
                        <w:pPr>
                          <w:pStyle w:val="TableParagraph"/>
                          <w:spacing w:before="166"/>
                          <w:ind w:left="167"/>
                          <w:jc w:val="left"/>
                          <w:rPr>
                            <w:rFonts w:ascii="Times New Roman"/>
                            <w:sz w:val="21"/>
                          </w:rPr>
                        </w:pPr>
                        <w:r>
                          <w:rPr>
                            <w:rFonts w:ascii="Times New Roman"/>
                            <w:sz w:val="21"/>
                          </w:rPr>
                          <w:t>11</w:t>
                        </w:r>
                      </w:p>
                    </w:tc>
                    <w:tc>
                      <w:tcPr>
                        <w:tcW w:w="3961" w:type="dxa"/>
                      </w:tcPr>
                      <w:p>
                        <w:pPr>
                          <w:pStyle w:val="TableParagraph"/>
                          <w:spacing w:line="415" w:lineRule="exact" w:before="51"/>
                          <w:ind w:left="384" w:right="373"/>
                          <w:rPr>
                            <w:sz w:val="21"/>
                          </w:rPr>
                        </w:pPr>
                        <w:r>
                          <w:rPr>
                            <w:sz w:val="21"/>
                          </w:rPr>
                          <w:t>厂区污水处理站污泥</w:t>
                        </w:r>
                      </w:p>
                    </w:tc>
                    <w:tc>
                      <w:tcPr>
                        <w:tcW w:w="4141" w:type="dxa"/>
                        <w:vMerge w:val="restart"/>
                      </w:tcPr>
                      <w:p>
                        <w:pPr>
                          <w:pStyle w:val="TableParagraph"/>
                          <w:spacing w:line="168" w:lineRule="auto" w:before="22"/>
                          <w:ind w:left="74" w:right="60"/>
                          <w:rPr>
                            <w:sz w:val="21"/>
                          </w:rPr>
                        </w:pPr>
                        <w:r>
                          <w:rPr>
                            <w:sz w:val="21"/>
                          </w:rPr>
                          <w:t>应进行特性鉴别，经鉴别后属于危险废物， 按照危险废物由有危废资质单位处置，不属</w:t>
                        </w:r>
                      </w:p>
                      <w:p>
                        <w:pPr>
                          <w:pStyle w:val="TableParagraph"/>
                          <w:spacing w:line="282" w:lineRule="exact"/>
                          <w:ind w:left="55" w:right="44"/>
                          <w:rPr>
                            <w:sz w:val="21"/>
                          </w:rPr>
                        </w:pPr>
                        <w:r>
                          <w:rPr>
                            <w:sz w:val="21"/>
                          </w:rPr>
                          <w:t>于危险废物则按一般废物进行处置。</w:t>
                        </w:r>
                      </w:p>
                    </w:tc>
                  </w:tr>
                  <w:tr>
                    <w:trPr>
                      <w:trHeight w:val="450" w:hRule="atLeast"/>
                    </w:trPr>
                    <w:tc>
                      <w:tcPr>
                        <w:tcW w:w="540" w:type="dxa"/>
                      </w:tcPr>
                      <w:p>
                        <w:pPr>
                          <w:pStyle w:val="TableParagraph"/>
                          <w:spacing w:before="149"/>
                          <w:ind w:left="163"/>
                          <w:jc w:val="left"/>
                          <w:rPr>
                            <w:rFonts w:ascii="Times New Roman"/>
                            <w:sz w:val="21"/>
                          </w:rPr>
                        </w:pPr>
                        <w:r>
                          <w:rPr>
                            <w:rFonts w:ascii="Times New Roman"/>
                            <w:sz w:val="21"/>
                          </w:rPr>
                          <w:t>12</w:t>
                        </w:r>
                      </w:p>
                    </w:tc>
                    <w:tc>
                      <w:tcPr>
                        <w:tcW w:w="3961" w:type="dxa"/>
                      </w:tcPr>
                      <w:p>
                        <w:pPr>
                          <w:pStyle w:val="TableParagraph"/>
                          <w:spacing w:line="396" w:lineRule="exact" w:before="34"/>
                          <w:ind w:left="384" w:right="376"/>
                          <w:rPr>
                            <w:sz w:val="21"/>
                          </w:rPr>
                        </w:pPr>
                        <w:r>
                          <w:rPr>
                            <w:sz w:val="21"/>
                          </w:rPr>
                          <w:t>丙戊酸钠废水预处理结晶溴化钾盐</w:t>
                        </w:r>
                      </w:p>
                    </w:tc>
                    <w:tc>
                      <w:tcPr>
                        <w:tcW w:w="4141" w:type="dxa"/>
                        <w:vMerge/>
                        <w:tcBorders>
                          <w:top w:val="nil"/>
                        </w:tcBorders>
                      </w:tcPr>
                      <w:p>
                        <w:pPr>
                          <w:rPr>
                            <w:sz w:val="2"/>
                            <w:szCs w:val="2"/>
                          </w:rPr>
                        </w:pPr>
                      </w:p>
                    </w:tc>
                  </w:tr>
                  <w:tr>
                    <w:trPr>
                      <w:trHeight w:val="400" w:hRule="atLeast"/>
                    </w:trPr>
                    <w:tc>
                      <w:tcPr>
                        <w:tcW w:w="540" w:type="dxa"/>
                      </w:tcPr>
                      <w:p>
                        <w:pPr>
                          <w:pStyle w:val="TableParagraph"/>
                          <w:spacing w:before="123"/>
                          <w:ind w:left="163"/>
                          <w:jc w:val="left"/>
                          <w:rPr>
                            <w:rFonts w:ascii="Times New Roman"/>
                            <w:sz w:val="21"/>
                          </w:rPr>
                        </w:pPr>
                        <w:r>
                          <w:rPr>
                            <w:rFonts w:ascii="Times New Roman"/>
                            <w:sz w:val="21"/>
                          </w:rPr>
                          <w:t>13</w:t>
                        </w:r>
                      </w:p>
                    </w:tc>
                    <w:tc>
                      <w:tcPr>
                        <w:tcW w:w="3961" w:type="dxa"/>
                      </w:tcPr>
                      <w:p>
                        <w:pPr>
                          <w:pStyle w:val="TableParagraph"/>
                          <w:spacing w:line="372" w:lineRule="exact" w:before="8"/>
                          <w:ind w:left="384" w:right="372"/>
                          <w:rPr>
                            <w:sz w:val="21"/>
                          </w:rPr>
                        </w:pPr>
                        <w:r>
                          <w:rPr>
                            <w:sz w:val="21"/>
                          </w:rPr>
                          <w:t>生活垃圾</w:t>
                        </w:r>
                      </w:p>
                    </w:tc>
                    <w:tc>
                      <w:tcPr>
                        <w:tcW w:w="4141" w:type="dxa"/>
                      </w:tcPr>
                      <w:p>
                        <w:pPr>
                          <w:pStyle w:val="TableParagraph"/>
                          <w:spacing w:line="372" w:lineRule="exact" w:before="8"/>
                          <w:ind w:left="54" w:right="44"/>
                          <w:rPr>
                            <w:sz w:val="21"/>
                          </w:rPr>
                        </w:pPr>
                        <w:r>
                          <w:rPr>
                            <w:sz w:val="21"/>
                          </w:rPr>
                          <w:t>环卫部门清运</w:t>
                        </w:r>
                      </w:p>
                    </w:tc>
                  </w:tr>
                  <w:tr>
                    <w:trPr>
                      <w:trHeight w:val="400" w:hRule="atLeast"/>
                    </w:trPr>
                    <w:tc>
                      <w:tcPr>
                        <w:tcW w:w="8642" w:type="dxa"/>
                        <w:gridSpan w:val="3"/>
                      </w:tcPr>
                      <w:p>
                        <w:pPr>
                          <w:pStyle w:val="TableParagraph"/>
                          <w:spacing w:line="372" w:lineRule="exact" w:before="8"/>
                          <w:ind w:left="3670" w:right="3662"/>
                          <w:rPr>
                            <w:sz w:val="21"/>
                          </w:rPr>
                        </w:pPr>
                        <w:r>
                          <w:rPr>
                            <w:sz w:val="21"/>
                          </w:rPr>
                          <w:t>噪声污染治理</w:t>
                        </w:r>
                      </w:p>
                    </w:tc>
                  </w:tr>
                  <w:tr>
                    <w:trPr>
                      <w:trHeight w:val="1235" w:hRule="atLeast"/>
                    </w:trPr>
                    <w:tc>
                      <w:tcPr>
                        <w:tcW w:w="540" w:type="dxa"/>
                      </w:tcPr>
                      <w:p>
                        <w:pPr>
                          <w:pStyle w:val="TableParagraph"/>
                          <w:spacing w:before="10"/>
                          <w:jc w:val="left"/>
                          <w:rPr>
                            <w:sz w:val="25"/>
                          </w:rPr>
                        </w:pPr>
                      </w:p>
                      <w:p>
                        <w:pPr>
                          <w:pStyle w:val="TableParagraph"/>
                          <w:ind w:left="163"/>
                          <w:jc w:val="left"/>
                          <w:rPr>
                            <w:rFonts w:ascii="Times New Roman"/>
                            <w:sz w:val="21"/>
                          </w:rPr>
                        </w:pPr>
                        <w:r>
                          <w:rPr>
                            <w:rFonts w:ascii="Times New Roman"/>
                            <w:sz w:val="21"/>
                          </w:rPr>
                          <w:t>14</w:t>
                        </w:r>
                      </w:p>
                    </w:tc>
                    <w:tc>
                      <w:tcPr>
                        <w:tcW w:w="3961" w:type="dxa"/>
                      </w:tcPr>
                      <w:p>
                        <w:pPr>
                          <w:pStyle w:val="TableParagraph"/>
                          <w:spacing w:before="1"/>
                          <w:jc w:val="left"/>
                          <w:rPr>
                            <w:sz w:val="20"/>
                          </w:rPr>
                        </w:pPr>
                      </w:p>
                      <w:p>
                        <w:pPr>
                          <w:pStyle w:val="TableParagraph"/>
                          <w:spacing w:before="1"/>
                          <w:ind w:left="384" w:right="376"/>
                          <w:rPr>
                            <w:sz w:val="21"/>
                          </w:rPr>
                        </w:pPr>
                        <w:r>
                          <w:rPr>
                            <w:sz w:val="21"/>
                          </w:rPr>
                          <w:t>各类泵、反应釜、离心机</w:t>
                        </w:r>
                      </w:p>
                    </w:tc>
                    <w:tc>
                      <w:tcPr>
                        <w:tcW w:w="4141" w:type="dxa"/>
                      </w:tcPr>
                      <w:p>
                        <w:pPr>
                          <w:pStyle w:val="TableParagraph"/>
                          <w:jc w:val="left"/>
                          <w:rPr>
                            <w:sz w:val="12"/>
                          </w:rPr>
                        </w:pPr>
                      </w:p>
                      <w:p>
                        <w:pPr>
                          <w:pStyle w:val="TableParagraph"/>
                          <w:spacing w:line="216" w:lineRule="auto" w:before="1"/>
                          <w:ind w:left="1754" w:right="79" w:hanging="1697"/>
                          <w:jc w:val="left"/>
                          <w:rPr>
                            <w:sz w:val="21"/>
                          </w:rPr>
                        </w:pPr>
                        <w:r>
                          <w:rPr>
                            <w:sz w:val="21"/>
                          </w:rPr>
                          <w:t>基础减震、室内布置、设消声器、基础减振隔声间</w:t>
                        </w:r>
                      </w:p>
                    </w:tc>
                  </w:tr>
                </w:tbl>
                <w:p>
                  <w:pPr>
                    <w:pStyle w:val="BodyText"/>
                  </w:pPr>
                </w:p>
              </w:txbxContent>
            </v:textbox>
            <w10:wrap type="none"/>
          </v:shape>
        </w:pict>
      </w:r>
      <w:r>
        <w:rPr>
          <w:w w:val="100"/>
          <w:sz w:val="21"/>
        </w:rPr>
        <w:t>、</w:t>
      </w:r>
    </w:p>
    <w:p>
      <w:pPr>
        <w:pStyle w:val="BodyText"/>
        <w:rPr>
          <w:sz w:val="20"/>
        </w:rPr>
      </w:pPr>
    </w:p>
    <w:p>
      <w:pPr>
        <w:pStyle w:val="BodyText"/>
        <w:rPr>
          <w:sz w:val="20"/>
        </w:rPr>
      </w:pPr>
    </w:p>
    <w:p>
      <w:pPr>
        <w:pStyle w:val="BodyText"/>
        <w:spacing w:before="14"/>
        <w:rPr>
          <w:sz w:val="13"/>
        </w:rPr>
      </w:pPr>
    </w:p>
    <w:p>
      <w:pPr>
        <w:pStyle w:val="Heading4"/>
        <w:numPr>
          <w:ilvl w:val="1"/>
          <w:numId w:val="15"/>
        </w:numPr>
        <w:tabs>
          <w:tab w:pos="1106" w:val="left" w:leader="none"/>
        </w:tabs>
        <w:spacing w:line="240" w:lineRule="auto" w:before="0" w:after="0"/>
        <w:ind w:left="1106" w:right="0" w:hanging="526"/>
        <w:jc w:val="left"/>
        <w:rPr>
          <w:rFonts w:ascii="Times New Roman" w:eastAsia="Times New Roman"/>
        </w:rPr>
      </w:pPr>
      <w:r>
        <w:rPr/>
        <w:t>废气环保措施及技术经济论证</w:t>
      </w:r>
    </w:p>
    <w:p>
      <w:pPr>
        <w:pStyle w:val="Heading5"/>
        <w:numPr>
          <w:ilvl w:val="2"/>
          <w:numId w:val="15"/>
        </w:numPr>
        <w:tabs>
          <w:tab w:pos="1279" w:val="left" w:leader="none"/>
        </w:tabs>
        <w:spacing w:line="592" w:lineRule="exact" w:before="13" w:after="0"/>
        <w:ind w:left="1278" w:right="0" w:hanging="698"/>
        <w:jc w:val="left"/>
      </w:pPr>
      <w:r>
        <w:rPr>
          <w:spacing w:val="-2"/>
        </w:rPr>
        <w:t>环保措施技术可行性分析</w:t>
      </w:r>
    </w:p>
    <w:p>
      <w:pPr>
        <w:pStyle w:val="BodyText"/>
        <w:spacing w:line="486" w:lineRule="exact"/>
        <w:ind w:left="1060"/>
      </w:pPr>
      <w:r>
        <w:rPr/>
        <w:t>（</w:t>
      </w:r>
      <w:r>
        <w:rPr>
          <w:rFonts w:ascii="Times New Roman" w:eastAsia="Times New Roman"/>
        </w:rPr>
        <w:t>1</w:t>
      </w:r>
      <w:r>
        <w:rPr/>
        <w:t>）有组织废气</w:t>
      </w:r>
    </w:p>
    <w:p>
      <w:pPr>
        <w:pStyle w:val="BodyText"/>
        <w:spacing w:line="220" w:lineRule="auto" w:before="8"/>
        <w:ind w:left="580" w:right="663" w:firstLine="479"/>
        <w:jc w:val="both"/>
      </w:pPr>
      <w:r>
        <w:rPr/>
        <w:t>项目有组织废气包括有机工艺废气和药品粉碎粉尘。其中有机工艺废气有： 两个原料药生产车间内各产品生产过程中反应釜挥发的不凝气、蒸馏冷凝不凝</w:t>
      </w:r>
      <w:r>
        <w:rPr>
          <w:spacing w:val="-10"/>
        </w:rPr>
        <w:t>气、药品干燥后不凝废气、溶剂回收车间蒸馏不凝气。药品粉碎粉尘包括两个原料药车间粉碎粉尘和发酵车间喷雾干燥粉尘。</w:t>
      </w:r>
    </w:p>
    <w:p>
      <w:pPr>
        <w:pStyle w:val="BodyText"/>
        <w:spacing w:line="460" w:lineRule="exact"/>
        <w:ind w:left="1060"/>
      </w:pPr>
      <w:r>
        <w:rPr>
          <w:rFonts w:ascii="Times New Roman" w:eastAsia="Times New Roman"/>
        </w:rPr>
        <w:t>1</w:t>
      </w:r>
      <w:r>
        <w:rPr/>
        <w:t>）工艺有机废气</w:t>
      </w:r>
    </w:p>
    <w:p>
      <w:pPr>
        <w:pStyle w:val="BodyText"/>
        <w:spacing w:line="220" w:lineRule="auto" w:before="8"/>
        <w:ind w:left="580" w:right="756" w:firstLine="479"/>
        <w:jc w:val="both"/>
      </w:pPr>
      <w:r>
        <w:rPr/>
        <w:t>两个原料药生产车间各配备一套碱洗塔</w:t>
      </w:r>
      <w:r>
        <w:rPr>
          <w:rFonts w:ascii="Times New Roman" w:eastAsia="Times New Roman"/>
        </w:rPr>
        <w:t>+</w:t>
      </w:r>
      <w:r>
        <w:rPr/>
        <w:t>活性炭吸附装置，各产品生产过程</w:t>
      </w:r>
      <w:r>
        <w:rPr>
          <w:spacing w:val="-8"/>
        </w:rPr>
        <w:t>中反应釜挥发的不凝气、蒸馏冷凝不凝气、药品干燥后不凝废气中含有酸性废气或易被水溶解吸收废气或有机废气，均进入车间配套建设的碱洗塔</w:t>
      </w:r>
      <w:r>
        <w:rPr>
          <w:rFonts w:ascii="Times New Roman" w:eastAsia="Times New Roman"/>
        </w:rPr>
        <w:t>+</w:t>
      </w:r>
      <w:r>
        <w:rPr/>
        <w:t>活性炭吸附装置处理后，分别经原料药车间 </w:t>
      </w:r>
      <w:r>
        <w:rPr>
          <w:rFonts w:ascii="Times New Roman" w:eastAsia="Times New Roman"/>
        </w:rPr>
        <w:t>1 </w:t>
      </w:r>
      <w:r>
        <w:rPr>
          <w:spacing w:val="2"/>
        </w:rPr>
        <w:t>配套的 </w:t>
      </w:r>
      <w:r>
        <w:rPr>
          <w:rFonts w:ascii="Times New Roman" w:eastAsia="Times New Roman"/>
        </w:rPr>
        <w:t>1#</w:t>
      </w:r>
      <w:r>
        <w:rPr>
          <w:spacing w:val="1"/>
        </w:rPr>
        <w:t>排气筒、原料药车间 </w:t>
      </w:r>
      <w:r>
        <w:rPr>
          <w:rFonts w:ascii="Times New Roman" w:eastAsia="Times New Roman"/>
        </w:rPr>
        <w:t>2 </w:t>
      </w:r>
      <w:r>
        <w:rPr>
          <w:spacing w:val="2"/>
        </w:rPr>
        <w:t>配套的 </w:t>
      </w:r>
      <w:r>
        <w:rPr>
          <w:rFonts w:ascii="Times New Roman" w:eastAsia="Times New Roman"/>
        </w:rPr>
        <w:t>3#</w:t>
      </w:r>
      <w:r>
        <w:rPr/>
        <w:t>排气筒排放（</w:t>
      </w:r>
      <w:r>
        <w:rPr>
          <w:spacing w:val="3"/>
        </w:rPr>
        <w:t>排气筒高度均 </w:t>
      </w:r>
      <w:r>
        <w:rPr>
          <w:rFonts w:ascii="Times New Roman" w:eastAsia="Times New Roman"/>
        </w:rPr>
        <w:t>20m</w:t>
      </w:r>
      <w:r>
        <w:rPr>
          <w:spacing w:val="-120"/>
        </w:rPr>
        <w:t>）</w:t>
      </w:r>
      <w:r>
        <w:rPr/>
        <w:t>。溶剂回收车间废气主要为蒸馏过程产生的不凝有机废气，部分废气为酸性废气，进入车间配套建设的碱洗塔</w:t>
      </w:r>
      <w:r>
        <w:rPr>
          <w:rFonts w:ascii="Times New Roman" w:eastAsia="Times New Roman"/>
        </w:rPr>
        <w:t>+</w:t>
      </w:r>
      <w:r>
        <w:rPr/>
        <w:t>活性炭吸附装置处理后，经回收车间配套的 </w:t>
      </w:r>
      <w:r>
        <w:rPr>
          <w:rFonts w:ascii="Times New Roman" w:eastAsia="Times New Roman"/>
        </w:rPr>
        <w:t>5#</w:t>
      </w:r>
      <w:r>
        <w:rPr/>
        <w:t>排气筒排放（</w:t>
      </w:r>
      <w:r>
        <w:rPr>
          <w:spacing w:val="1"/>
        </w:rPr>
        <w:t>排气筒高度 </w:t>
      </w:r>
      <w:r>
        <w:rPr>
          <w:rFonts w:ascii="Times New Roman" w:eastAsia="Times New Roman"/>
        </w:rPr>
        <w:t>20m</w:t>
      </w:r>
      <w:r>
        <w:rPr>
          <w:spacing w:val="-120"/>
        </w:rPr>
        <w:t>）。</w:t>
      </w:r>
    </w:p>
    <w:p>
      <w:pPr>
        <w:pStyle w:val="BodyText"/>
        <w:spacing w:before="20"/>
        <w:ind w:left="1060"/>
      </w:pPr>
      <w:r>
        <w:rPr/>
        <w:t>工艺废气中甲醇、吡啶、哌啶、四氢呋喃、乙醇、异丙醇、丙酮、正丁醇易</w:t>
      </w:r>
    </w:p>
    <w:p>
      <w:pPr>
        <w:spacing w:after="0"/>
        <w:sectPr>
          <w:footerReference w:type="default" r:id="rId60"/>
          <w:pgSz w:w="11910" w:h="16840"/>
          <w:pgMar w:footer="973" w:header="877" w:top="1340" w:bottom="1160" w:left="1220" w:right="1040"/>
          <w:pgNumType w:start="2"/>
        </w:sectPr>
      </w:pPr>
    </w:p>
    <w:p>
      <w:pPr>
        <w:pStyle w:val="BodyText"/>
        <w:spacing w:before="10"/>
        <w:rPr>
          <w:sz w:val="6"/>
        </w:rPr>
      </w:pPr>
    </w:p>
    <w:p>
      <w:pPr>
        <w:pStyle w:val="BodyText"/>
        <w:spacing w:line="216" w:lineRule="auto"/>
        <w:ind w:left="580" w:right="633"/>
        <w:jc w:val="both"/>
      </w:pPr>
      <w:r>
        <w:rPr>
          <w:spacing w:val="-10"/>
        </w:rPr>
        <w:t>溶于水，经碱洗塔洗涤后，可以去除 </w:t>
      </w:r>
      <w:r>
        <w:rPr>
          <w:rFonts w:ascii="Times New Roman" w:eastAsia="Times New Roman"/>
          <w:spacing w:val="-12"/>
        </w:rPr>
        <w:t>50%</w:t>
      </w:r>
      <w:r>
        <w:rPr>
          <w:spacing w:val="-11"/>
        </w:rPr>
        <w:t>；去碱洗塔吸收的氯化氢、醋酸、醋酐、甲醛、甲酸、硝酸均为酸性气体，与碱洗塔中的碱液逆流接触后，均可与氢氧化</w:t>
      </w:r>
      <w:r>
        <w:rPr>
          <w:spacing w:val="-14"/>
        </w:rPr>
        <w:t>钠反应生成氯化钠、醋酸钠、硝酸钠、甲酸钠，本次评价将碱洗塔对这几种气体</w:t>
      </w:r>
    </w:p>
    <w:p>
      <w:pPr>
        <w:pStyle w:val="BodyText"/>
        <w:spacing w:line="218" w:lineRule="auto"/>
        <w:ind w:left="580" w:right="757"/>
        <w:jc w:val="both"/>
      </w:pPr>
      <w:r>
        <w:rPr/>
        <w:t>（除氯化氢外</w:t>
      </w:r>
      <w:r>
        <w:rPr>
          <w:spacing w:val="-29"/>
        </w:rPr>
        <w:t>）</w:t>
      </w:r>
      <w:r>
        <w:rPr>
          <w:spacing w:val="1"/>
        </w:rPr>
        <w:t>的吸附效率定为 </w:t>
      </w:r>
      <w:r>
        <w:rPr>
          <w:rFonts w:ascii="Times New Roman" w:eastAsia="Times New Roman"/>
          <w:spacing w:val="-8"/>
        </w:rPr>
        <w:t>80%</w:t>
      </w:r>
      <w:r>
        <w:rPr>
          <w:spacing w:val="-8"/>
        </w:rPr>
        <w:t>；氯化氢极易溶于水，且可与碱反应，吸收</w:t>
      </w:r>
      <w:r>
        <w:rPr>
          <w:spacing w:val="-6"/>
        </w:rPr>
        <w:t>效率定为 </w:t>
      </w:r>
      <w:r>
        <w:rPr>
          <w:rFonts w:ascii="Times New Roman" w:eastAsia="Times New Roman"/>
        </w:rPr>
        <w:t>90%</w:t>
      </w:r>
      <w:r>
        <w:rPr/>
        <w:t>。经碱洗塔处理后的以上各股废气再去活性炭吸附装置。</w:t>
      </w:r>
    </w:p>
    <w:p>
      <w:pPr>
        <w:pStyle w:val="BodyText"/>
        <w:spacing w:line="218" w:lineRule="auto"/>
        <w:ind w:left="580" w:right="758" w:firstLine="479"/>
        <w:jc w:val="both"/>
      </w:pPr>
      <w:r>
        <w:rPr>
          <w:spacing w:val="-7"/>
        </w:rPr>
        <w:t>活性炭吸附装置对大分子的醋酐、醋酸、吡啶、哌啶、甲苯、三乙胺、乙酸</w:t>
      </w:r>
      <w:r>
        <w:rPr/>
        <w:t>甲酯、苯甲醛、氯苯、呋喃、四氢呋喃等有机废气吸附效果较好，去除效率按</w:t>
      </w:r>
    </w:p>
    <w:p>
      <w:pPr>
        <w:pStyle w:val="BodyText"/>
        <w:spacing w:line="216" w:lineRule="auto"/>
        <w:ind w:left="580" w:right="684"/>
        <w:jc w:val="both"/>
      </w:pPr>
      <w:r>
        <w:rPr>
          <w:rFonts w:ascii="Times New Roman" w:eastAsia="Times New Roman"/>
        </w:rPr>
        <w:t>80%</w:t>
      </w:r>
      <w:r>
        <w:rPr/>
        <w:t>；活性炭对乙醇、正丁醇、丙酮吸附效果一般，吸附效率取 </w:t>
      </w:r>
      <w:r>
        <w:rPr>
          <w:rFonts w:ascii="Times New Roman" w:eastAsia="Times New Roman"/>
        </w:rPr>
        <w:t>60%</w:t>
      </w:r>
      <w:r>
        <w:rPr/>
        <w:t>；氯化氢、</w:t>
      </w:r>
      <w:r>
        <w:rPr>
          <w:spacing w:val="-11"/>
        </w:rPr>
        <w:t>甲醛、甲酸吸附效果较差，本次评价从偏安角度，按活性炭对这几种气体吸附效</w:t>
      </w:r>
      <w:r>
        <w:rPr>
          <w:spacing w:val="-6"/>
        </w:rPr>
        <w:t>率为 </w:t>
      </w:r>
      <w:r>
        <w:rPr>
          <w:rFonts w:ascii="Times New Roman" w:eastAsia="Times New Roman"/>
        </w:rPr>
        <w:t>0</w:t>
      </w:r>
      <w:r>
        <w:rPr/>
        <w:t>。处理后的废气经 </w:t>
      </w:r>
      <w:r>
        <w:rPr>
          <w:rFonts w:ascii="Times New Roman" w:eastAsia="Times New Roman"/>
        </w:rPr>
        <w:t>20m </w:t>
      </w:r>
      <w:r>
        <w:rPr/>
        <w:t>排气筒排放。</w:t>
      </w:r>
    </w:p>
    <w:p>
      <w:pPr>
        <w:pStyle w:val="BodyText"/>
        <w:spacing w:line="216" w:lineRule="auto"/>
        <w:ind w:left="580" w:right="636" w:firstLine="479"/>
        <w:jc w:val="both"/>
      </w:pPr>
      <w:r>
        <w:rPr>
          <w:spacing w:val="-6"/>
        </w:rPr>
        <w:t>活性炭吸附塔废气处理原理如下：活性炭在活化过程中，巨大的表面积和复</w:t>
      </w:r>
      <w:r>
        <w:rPr>
          <w:spacing w:val="-18"/>
        </w:rPr>
        <w:t>杂的孔隙结构逐渐形成，活性炭的孔隙的半径大小可分为：大孔半径</w:t>
      </w:r>
      <w:r>
        <w:rPr>
          <w:rFonts w:ascii="Times New Roman" w:eastAsia="Times New Roman"/>
        </w:rPr>
        <w:t>&gt;20 000nm </w:t>
      </w:r>
      <w:r>
        <w:rPr/>
        <w:t>； </w:t>
      </w:r>
      <w:r>
        <w:rPr>
          <w:spacing w:val="1"/>
        </w:rPr>
        <w:t>过渡孔半径 </w:t>
      </w:r>
      <w:r>
        <w:rPr>
          <w:rFonts w:ascii="Times New Roman" w:eastAsia="Times New Roman"/>
          <w:spacing w:val="-3"/>
        </w:rPr>
        <w:t>150</w:t>
      </w:r>
      <w:r>
        <w:rPr>
          <w:spacing w:val="-3"/>
        </w:rPr>
        <w:t>～</w:t>
      </w:r>
      <w:r>
        <w:rPr>
          <w:rFonts w:ascii="Times New Roman" w:eastAsia="Times New Roman"/>
          <w:spacing w:val="-3"/>
        </w:rPr>
        <w:t>20000nm</w:t>
      </w:r>
      <w:r>
        <w:rPr>
          <w:spacing w:val="-2"/>
        </w:rPr>
        <w:t>；微孔半径</w:t>
      </w:r>
      <w:r>
        <w:rPr>
          <w:rFonts w:ascii="Times New Roman" w:eastAsia="Times New Roman"/>
          <w:spacing w:val="-5"/>
        </w:rPr>
        <w:t>&lt;150nm</w:t>
      </w:r>
      <w:r>
        <w:rPr>
          <w:spacing w:val="-2"/>
        </w:rPr>
        <w:t>；活性炭的表面积主要是由微孔提</w:t>
      </w:r>
      <w:r>
        <w:rPr>
          <w:spacing w:val="-10"/>
        </w:rPr>
        <w:t>供的，而吸附过程正是在这些孔隙中和表面上进行的，活性炭的多孔结构提供了</w:t>
      </w:r>
      <w:r>
        <w:rPr>
          <w:spacing w:val="-13"/>
        </w:rPr>
        <w:t>大量的表面积，从而使其非常容易达到吸收收集杂质的目的。活性炭的吸附可分</w:t>
      </w:r>
      <w:r>
        <w:rPr>
          <w:spacing w:val="-16"/>
        </w:rPr>
        <w:t>为物理吸附和化学吸附。分子之间都具有相互引力，活性炭孔壁上的大量的分子</w:t>
      </w:r>
      <w:r>
        <w:rPr>
          <w:spacing w:val="-17"/>
        </w:rPr>
        <w:t>可以产生强大的引力，从而达到将介质中的杂质吸引到孔径中的目的，这就是物</w:t>
      </w:r>
      <w:r>
        <w:rPr>
          <w:spacing w:val="-13"/>
        </w:rPr>
        <w:t>理吸附。除了物理吸附之外，化学反应也经常发生在活性炭的表面。活性炭不仅</w:t>
      </w:r>
      <w:r>
        <w:rPr>
          <w:spacing w:val="-11"/>
        </w:rPr>
        <w:t>含碳，而且在其表面含有少量的化学结合、功能团形式的氧和氢，例如羧基、羟基、酚类、内脂类、醌类、醚类等。这些表面上含有地氧化物或络合物可以与被</w:t>
      </w:r>
      <w:r>
        <w:rPr>
          <w:spacing w:val="-15"/>
        </w:rPr>
        <w:t>吸附的物质发生化学反应，从而与被吸附物质结合聚集到活性炭的表面。活性碳</w:t>
      </w:r>
      <w:r>
        <w:rPr>
          <w:spacing w:val="-18"/>
        </w:rPr>
        <w:t>吸附法是比较成熟的工艺技术，在实际生产中已得到了广泛的应用。经活性碳吸附塔处理后，尾气经排气筒排入大气，可满足相关标准要求。</w:t>
      </w:r>
    </w:p>
    <w:p>
      <w:pPr>
        <w:pStyle w:val="BodyText"/>
        <w:spacing w:line="431" w:lineRule="exact"/>
        <w:ind w:left="1060"/>
      </w:pPr>
      <w:r>
        <w:rPr>
          <w:rFonts w:ascii="Times New Roman" w:eastAsia="Times New Roman"/>
        </w:rPr>
        <w:t>2</w:t>
      </w:r>
      <w:r>
        <w:rPr/>
        <w:t>）药品粉碎粉尘</w:t>
      </w:r>
    </w:p>
    <w:p>
      <w:pPr>
        <w:pStyle w:val="BodyText"/>
        <w:spacing w:line="220" w:lineRule="auto" w:before="4"/>
        <w:ind w:left="580" w:right="756" w:firstLine="479"/>
        <w:jc w:val="both"/>
      </w:pPr>
      <w:r>
        <w:rPr>
          <w:spacing w:val="-4"/>
        </w:rPr>
        <w:t>各种药品粉碎过程产生的粉尘先去生产系统配套的布袋除尘装置处置</w:t>
      </w:r>
      <w:r>
        <w:rPr/>
        <w:t>（除尘</w:t>
      </w:r>
      <w:r>
        <w:rPr>
          <w:spacing w:val="1"/>
        </w:rPr>
        <w:t>效率 </w:t>
      </w:r>
      <w:r>
        <w:rPr>
          <w:rFonts w:ascii="Times New Roman" w:eastAsia="Times New Roman"/>
          <w:spacing w:val="-15"/>
        </w:rPr>
        <w:t>99%</w:t>
      </w:r>
      <w:r>
        <w:rPr>
          <w:spacing w:val="-15"/>
        </w:rPr>
        <w:t>）</w:t>
      </w:r>
      <w:r>
        <w:rPr>
          <w:spacing w:val="-7"/>
        </w:rPr>
        <w:t>后，再去原料药车间 </w:t>
      </w:r>
      <w:r>
        <w:rPr>
          <w:rFonts w:ascii="Times New Roman" w:eastAsia="Times New Roman"/>
        </w:rPr>
        <w:t>1 </w:t>
      </w:r>
      <w:r>
        <w:rPr>
          <w:spacing w:val="1"/>
        </w:rPr>
        <w:t>和车间 </w:t>
      </w:r>
      <w:r>
        <w:rPr>
          <w:rFonts w:ascii="Times New Roman" w:eastAsia="Times New Roman"/>
        </w:rPr>
        <w:t>2 </w:t>
      </w:r>
      <w:r>
        <w:rPr/>
        <w:t>分别配套建设的车间排风净化系统处理，车间排风净化系统采用高效过滤器（</w:t>
      </w:r>
      <w:r>
        <w:rPr>
          <w:spacing w:val="2"/>
        </w:rPr>
        <w:t>除尘效率 </w:t>
      </w:r>
      <w:r>
        <w:rPr>
          <w:rFonts w:ascii="Times New Roman" w:eastAsia="Times New Roman"/>
        </w:rPr>
        <w:t>90</w:t>
      </w:r>
      <w:r>
        <w:rPr>
          <w:rFonts w:ascii="Times New Roman" w:eastAsia="Times New Roman"/>
          <w:spacing w:val="-1"/>
        </w:rPr>
        <w:t>%</w:t>
      </w:r>
      <w:r>
        <w:rPr/>
        <w:t>以上</w:t>
      </w:r>
      <w:r>
        <w:rPr>
          <w:spacing w:val="-120"/>
        </w:rPr>
        <w:t>）</w:t>
      </w:r>
      <w:r>
        <w:rPr/>
        <w:t>，最后尾气分别经原料药车间 </w:t>
      </w:r>
      <w:r>
        <w:rPr>
          <w:rFonts w:ascii="Times New Roman" w:eastAsia="Times New Roman"/>
        </w:rPr>
        <w:t>1 </w:t>
      </w:r>
      <w:r>
        <w:rPr>
          <w:spacing w:val="1"/>
        </w:rPr>
        <w:t>配套的 </w:t>
      </w:r>
      <w:r>
        <w:rPr>
          <w:rFonts w:ascii="Times New Roman" w:eastAsia="Times New Roman"/>
        </w:rPr>
        <w:t>2#</w:t>
      </w:r>
      <w:r>
        <w:rPr>
          <w:spacing w:val="-6"/>
        </w:rPr>
        <w:t>排气筒</w:t>
      </w:r>
      <w:r>
        <w:rPr/>
        <w:t>（</w:t>
      </w:r>
      <w:r>
        <w:rPr>
          <w:rFonts w:ascii="Times New Roman" w:eastAsia="Times New Roman"/>
        </w:rPr>
        <w:t>15m </w:t>
      </w:r>
      <w:r>
        <w:rPr/>
        <w:t>高</w:t>
      </w:r>
      <w:r>
        <w:rPr>
          <w:spacing w:val="-120"/>
        </w:rPr>
        <w:t>）</w:t>
      </w:r>
      <w:r>
        <w:rPr>
          <w:spacing w:val="-3"/>
        </w:rPr>
        <w:t>、原料药车间 </w:t>
      </w:r>
      <w:r>
        <w:rPr>
          <w:rFonts w:ascii="Times New Roman" w:eastAsia="Times New Roman"/>
        </w:rPr>
        <w:t>2 </w:t>
      </w:r>
      <w:r>
        <w:rPr>
          <w:spacing w:val="1"/>
        </w:rPr>
        <w:t>配套的 </w:t>
      </w:r>
      <w:r>
        <w:rPr>
          <w:rFonts w:ascii="Times New Roman" w:eastAsia="Times New Roman"/>
        </w:rPr>
        <w:t>4#</w:t>
      </w:r>
      <w:r>
        <w:rPr>
          <w:spacing w:val="-6"/>
        </w:rPr>
        <w:t>排气筒</w:t>
      </w:r>
      <w:r>
        <w:rPr/>
        <w:t>（</w:t>
      </w:r>
      <w:r>
        <w:rPr>
          <w:rFonts w:ascii="Times New Roman" w:eastAsia="Times New Roman"/>
        </w:rPr>
        <w:t>15m </w:t>
      </w:r>
      <w:r>
        <w:rPr/>
        <w:t>高</w:t>
      </w:r>
      <w:r>
        <w:rPr>
          <w:spacing w:val="-111"/>
        </w:rPr>
        <w:t>）</w:t>
      </w:r>
      <w:r>
        <w:rPr>
          <w:spacing w:val="-16"/>
        </w:rPr>
        <w:t>排出车间。发酵车间喷雾干燥粉尘先去生产系统配套的布袋除尘装置处置</w:t>
      </w:r>
      <w:r>
        <w:rPr/>
        <w:t>（除</w:t>
      </w:r>
      <w:r>
        <w:rPr>
          <w:spacing w:val="1"/>
        </w:rPr>
        <w:t>尘效率 </w:t>
      </w:r>
      <w:r>
        <w:rPr>
          <w:rFonts w:ascii="Times New Roman" w:eastAsia="Times New Roman"/>
          <w:spacing w:val="-10"/>
        </w:rPr>
        <w:t>99%</w:t>
      </w:r>
      <w:r>
        <w:rPr>
          <w:spacing w:val="-10"/>
        </w:rPr>
        <w:t>）</w:t>
      </w:r>
      <w:r>
        <w:rPr>
          <w:spacing w:val="-9"/>
        </w:rPr>
        <w:t>后，再去发酵车间配套建设的车间排风净化系统处理，车间排风净</w:t>
      </w:r>
    </w:p>
    <w:p>
      <w:pPr>
        <w:spacing w:after="0" w:line="220" w:lineRule="auto"/>
        <w:jc w:val="both"/>
        <w:sectPr>
          <w:pgSz w:w="11910" w:h="16840"/>
          <w:pgMar w:header="877" w:footer="973" w:top="1340" w:bottom="1160" w:left="1220" w:right="1040"/>
        </w:sectPr>
      </w:pPr>
    </w:p>
    <w:p>
      <w:pPr>
        <w:pStyle w:val="BodyText"/>
        <w:spacing w:line="488" w:lineRule="exact" w:before="48"/>
        <w:ind w:left="580"/>
      </w:pPr>
      <w:r>
        <w:rPr>
          <w:spacing w:val="-3"/>
        </w:rPr>
        <w:t>化系统采用高效过滤器</w:t>
      </w:r>
      <w:r>
        <w:rPr/>
        <w:t>（</w:t>
      </w:r>
      <w:r>
        <w:rPr>
          <w:spacing w:val="1"/>
        </w:rPr>
        <w:t>除尘效率 </w:t>
      </w:r>
      <w:r>
        <w:rPr>
          <w:rFonts w:ascii="Times New Roman" w:eastAsia="Times New Roman"/>
        </w:rPr>
        <w:t>90%</w:t>
      </w:r>
      <w:r>
        <w:rPr/>
        <w:t>以上</w:t>
      </w:r>
      <w:r>
        <w:rPr>
          <w:spacing w:val="-74"/>
        </w:rPr>
        <w:t>）</w:t>
      </w:r>
      <w:r>
        <w:rPr>
          <w:spacing w:val="-10"/>
        </w:rPr>
        <w:t>，最后尾气经发酵车间的 </w:t>
      </w:r>
      <w:r>
        <w:rPr>
          <w:rFonts w:ascii="Times New Roman" w:eastAsia="Times New Roman"/>
        </w:rPr>
        <w:t>6#</w:t>
      </w:r>
      <w:r>
        <w:rPr/>
        <w:t>排气筒</w:t>
      </w:r>
    </w:p>
    <w:p>
      <w:pPr>
        <w:pStyle w:val="BodyText"/>
        <w:spacing w:line="468" w:lineRule="exact"/>
        <w:ind w:left="580"/>
      </w:pPr>
      <w:r>
        <w:rPr/>
        <w:t>（</w:t>
      </w:r>
      <w:r>
        <w:rPr>
          <w:rFonts w:ascii="Times New Roman" w:eastAsia="Times New Roman"/>
        </w:rPr>
        <w:t>15m </w:t>
      </w:r>
      <w:r>
        <w:rPr/>
        <w:t>高）车间。</w:t>
      </w:r>
    </w:p>
    <w:p>
      <w:pPr>
        <w:pStyle w:val="BodyText"/>
        <w:spacing w:line="220" w:lineRule="auto" w:before="8"/>
        <w:ind w:left="580" w:right="758" w:firstLine="479"/>
        <w:jc w:val="both"/>
      </w:pPr>
      <w:r>
        <w:rPr>
          <w:spacing w:val="-5"/>
        </w:rPr>
        <w:t>袋式除尘器可对粉尘进行有效的处理，保证其达标排放。且化工行业生产应</w:t>
      </w:r>
      <w:r>
        <w:rPr>
          <w:spacing w:val="-10"/>
        </w:rPr>
        <w:t>用广泛，工艺成熟，价格可以被建设单位所接受，经济上可行。以上装置结构简单，且较为常规，在许多企业均已实施，具有较强的可操作性。</w:t>
      </w:r>
    </w:p>
    <w:p>
      <w:pPr>
        <w:pStyle w:val="BodyText"/>
        <w:spacing w:line="460" w:lineRule="exact"/>
        <w:ind w:left="1060"/>
      </w:pPr>
      <w:r>
        <w:rPr/>
        <w:t>（</w:t>
      </w:r>
      <w:r>
        <w:rPr>
          <w:rFonts w:ascii="Times New Roman" w:eastAsia="Times New Roman"/>
        </w:rPr>
        <w:t>2</w:t>
      </w:r>
      <w:r>
        <w:rPr/>
        <w:t>）无组织排放废气</w:t>
      </w:r>
    </w:p>
    <w:p>
      <w:pPr>
        <w:pStyle w:val="BodyText"/>
        <w:spacing w:line="220" w:lineRule="auto" w:before="8"/>
        <w:ind w:left="580" w:right="758" w:firstLine="479"/>
        <w:jc w:val="both"/>
      </w:pPr>
      <w:r>
        <w:rPr>
          <w:spacing w:val="-6"/>
        </w:rPr>
        <w:t>生产区及储罐区无组织废气、污水处理站产生的恶臭等无组织排放，年排放量较小。为减少无组织排放废气对周围环境的影响，本项目应采用如下措施：</w:t>
      </w:r>
    </w:p>
    <w:p>
      <w:pPr>
        <w:pStyle w:val="BodyText"/>
        <w:spacing w:line="220" w:lineRule="auto" w:before="1"/>
        <w:ind w:left="580" w:right="756" w:firstLine="479"/>
        <w:jc w:val="both"/>
      </w:pPr>
      <w:r>
        <w:rPr>
          <w:spacing w:val="-3"/>
        </w:rPr>
        <w:t>①工艺设备的先进程度和生产的操作管理水平是控制无组织排放的关键，本</w:t>
      </w:r>
      <w:r>
        <w:rPr>
          <w:spacing w:val="-9"/>
        </w:rPr>
        <w:t>项目应采取严格的管理制度，并加强员工培训，强化操作规程和提高员工操作水平。另外，在培训时应强化员工自觉保护环境的意识。</w:t>
      </w:r>
    </w:p>
    <w:p>
      <w:pPr>
        <w:pStyle w:val="BodyText"/>
        <w:spacing w:line="460" w:lineRule="exact"/>
        <w:ind w:left="1060"/>
      </w:pPr>
      <w:r>
        <w:rPr/>
        <w:t>②夏季对储罐区进行水喷淋降温。</w:t>
      </w:r>
    </w:p>
    <w:p>
      <w:pPr>
        <w:pStyle w:val="BodyText"/>
        <w:spacing w:line="220" w:lineRule="auto" w:before="8"/>
        <w:ind w:left="580" w:right="757" w:firstLine="479"/>
        <w:jc w:val="both"/>
      </w:pPr>
      <w:r>
        <w:rPr>
          <w:spacing w:val="-4"/>
        </w:rPr>
        <w:t>③本项目无组织排放气体主要来自储存区及生产装置区，应加强对以上装置的维护和管理，经常对其进行检修，发现事故及时正确的处理。</w:t>
      </w:r>
    </w:p>
    <w:p>
      <w:pPr>
        <w:pStyle w:val="BodyText"/>
        <w:spacing w:line="220" w:lineRule="auto"/>
        <w:ind w:left="580" w:right="757" w:firstLine="479"/>
        <w:jc w:val="both"/>
      </w:pPr>
      <w:r>
        <w:rPr>
          <w:spacing w:val="-7"/>
        </w:rPr>
        <w:t>④生产前应对设备易老化的部位，如垫圈、密封接头与软管连接处等进行检查，发现问题及时解决，降低物料</w:t>
      </w:r>
      <w:r>
        <w:rPr>
          <w:rFonts w:ascii="Times New Roman" w:hAnsi="Times New Roman" w:eastAsia="Times New Roman"/>
          <w:spacing w:val="-7"/>
        </w:rPr>
        <w:t>“</w:t>
      </w:r>
      <w:r>
        <w:rPr>
          <w:spacing w:val="-7"/>
        </w:rPr>
        <w:t>跑、冒、滴、漏</w:t>
      </w:r>
      <w:r>
        <w:rPr>
          <w:rFonts w:ascii="Times New Roman" w:hAnsi="Times New Roman" w:eastAsia="Times New Roman"/>
          <w:spacing w:val="-7"/>
        </w:rPr>
        <w:t>”</w:t>
      </w:r>
      <w:r>
        <w:rPr>
          <w:spacing w:val="-7"/>
        </w:rPr>
        <w:t>发生的机会。</w:t>
      </w:r>
    </w:p>
    <w:p>
      <w:pPr>
        <w:pStyle w:val="BodyText"/>
        <w:spacing w:line="220" w:lineRule="auto"/>
        <w:ind w:left="1060" w:right="641"/>
      </w:pPr>
      <w:r>
        <w:rPr>
          <w:spacing w:val="-13"/>
        </w:rPr>
        <w:t>⑤对污水处理站周围加强绿化，合理布置乔木绿化带，减少臭气对周围影响。</w:t>
      </w:r>
      <w:r>
        <w:rPr>
          <w:spacing w:val="-14"/>
        </w:rPr>
        <w:t>经采取上述措施后，本项目无组织排放量可降至最低水平。经预测，本项目</w:t>
      </w:r>
    </w:p>
    <w:p>
      <w:pPr>
        <w:pStyle w:val="BodyText"/>
        <w:spacing w:line="220" w:lineRule="auto"/>
        <w:ind w:left="580" w:right="759"/>
      </w:pPr>
      <w:r>
        <w:rPr>
          <w:spacing w:val="-5"/>
        </w:rPr>
        <w:t>产生的无组织废气能够满足相关标准的要求。且以上措施较为常规，在许多企业中均已实行多年，企业可以参考实行，不存在技术难度。</w:t>
      </w:r>
    </w:p>
    <w:p>
      <w:pPr>
        <w:pStyle w:val="Heading5"/>
        <w:numPr>
          <w:ilvl w:val="2"/>
          <w:numId w:val="15"/>
        </w:numPr>
        <w:tabs>
          <w:tab w:pos="1279" w:val="left" w:leader="none"/>
        </w:tabs>
        <w:spacing w:line="592" w:lineRule="exact" w:before="5" w:after="0"/>
        <w:ind w:left="1278" w:right="0" w:hanging="698"/>
        <w:jc w:val="left"/>
      </w:pPr>
      <w:r>
        <w:rPr>
          <w:spacing w:val="-2"/>
        </w:rPr>
        <w:t>环保措施经济合理性分析</w:t>
      </w:r>
    </w:p>
    <w:p>
      <w:pPr>
        <w:pStyle w:val="BodyText"/>
        <w:spacing w:line="220" w:lineRule="auto" w:before="27"/>
        <w:ind w:left="580" w:right="665" w:firstLine="479"/>
        <w:jc w:val="both"/>
      </w:pPr>
      <w:r>
        <w:rPr/>
        <w:t>本项目废气处理设备主要有排气筒、风机、碱吸收装置、活性炭吸附装置、</w:t>
      </w:r>
      <w:r>
        <w:rPr>
          <w:spacing w:val="-4"/>
        </w:rPr>
        <w:t>布袋除尘器等构成，预计一次性投入约 </w:t>
      </w:r>
      <w:r>
        <w:rPr>
          <w:rFonts w:ascii="Times New Roman" w:eastAsia="Times New Roman"/>
        </w:rPr>
        <w:t>180 </w:t>
      </w:r>
      <w:r>
        <w:rPr>
          <w:spacing w:val="-8"/>
        </w:rPr>
        <w:t>万元。另外运行过程中吸收剂、吸附</w:t>
      </w:r>
    </w:p>
    <w:p>
      <w:pPr>
        <w:pStyle w:val="BodyText"/>
        <w:spacing w:line="460" w:lineRule="exact"/>
        <w:ind w:left="580"/>
      </w:pPr>
      <w:r>
        <w:rPr/>
        <w:t>载体、电费、人工费及设备维护保养费等费用，预计约 </w:t>
      </w:r>
      <w:r>
        <w:rPr>
          <w:rFonts w:ascii="Times New Roman" w:eastAsia="Times New Roman"/>
        </w:rPr>
        <w:t>37.6</w:t>
      </w:r>
      <w:r>
        <w:rPr>
          <w:rFonts w:ascii="Times New Roman" w:eastAsia="Times New Roman"/>
          <w:spacing w:val="9"/>
        </w:rPr>
        <w:t> </w:t>
      </w:r>
      <w:r>
        <w:rPr/>
        <w:t>万元</w:t>
      </w:r>
      <w:r>
        <w:rPr>
          <w:rFonts w:ascii="Times New Roman" w:eastAsia="Times New Roman"/>
        </w:rPr>
        <w:t>/</w:t>
      </w:r>
      <w:r>
        <w:rPr/>
        <w:t>年，具体见表</w:t>
      </w:r>
    </w:p>
    <w:p>
      <w:pPr>
        <w:pStyle w:val="BodyText"/>
        <w:spacing w:line="488" w:lineRule="exact"/>
        <w:ind w:left="580"/>
      </w:pPr>
      <w:r>
        <w:rPr>
          <w:rFonts w:ascii="Times New Roman" w:eastAsia="Times New Roman"/>
        </w:rPr>
        <w:t>8.2-1</w:t>
      </w:r>
      <w:r>
        <w:rPr/>
        <w:t>。</w:t>
      </w:r>
    </w:p>
    <w:p>
      <w:pPr>
        <w:pStyle w:val="BodyText"/>
        <w:tabs>
          <w:tab w:pos="1039" w:val="left" w:leader="none"/>
        </w:tabs>
        <w:spacing w:before="36"/>
        <w:ind w:right="177"/>
        <w:jc w:val="center"/>
      </w:pPr>
      <w:r>
        <w:rPr/>
        <w:pict>
          <v:shape style="position:absolute;margin-left:84.384003pt;margin-top:23.160021pt;width:426.95pt;height:70.5pt;mso-position-horizontal-relative:page;mso-position-vertical-relative:paragraph;z-index:19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8"/>
                    <w:gridCol w:w="2693"/>
                    <w:gridCol w:w="1769"/>
                    <w:gridCol w:w="1697"/>
                    <w:gridCol w:w="1476"/>
                  </w:tblGrid>
                  <w:tr>
                    <w:trPr>
                      <w:trHeight w:val="340" w:hRule="atLeast"/>
                    </w:trPr>
                    <w:tc>
                      <w:tcPr>
                        <w:tcW w:w="888" w:type="dxa"/>
                      </w:tcPr>
                      <w:p>
                        <w:pPr>
                          <w:pStyle w:val="TableParagraph"/>
                          <w:spacing w:line="320" w:lineRule="exact"/>
                          <w:ind w:left="213" w:right="204"/>
                          <w:rPr>
                            <w:sz w:val="21"/>
                          </w:rPr>
                        </w:pPr>
                        <w:r>
                          <w:rPr>
                            <w:sz w:val="21"/>
                          </w:rPr>
                          <w:t>序号</w:t>
                        </w:r>
                      </w:p>
                    </w:tc>
                    <w:tc>
                      <w:tcPr>
                        <w:tcW w:w="2693" w:type="dxa"/>
                      </w:tcPr>
                      <w:p>
                        <w:pPr>
                          <w:pStyle w:val="TableParagraph"/>
                          <w:spacing w:line="320" w:lineRule="exact"/>
                          <w:ind w:left="591" w:right="581"/>
                          <w:rPr>
                            <w:sz w:val="21"/>
                          </w:rPr>
                        </w:pPr>
                        <w:r>
                          <w:rPr>
                            <w:sz w:val="21"/>
                          </w:rPr>
                          <w:t>项目</w:t>
                        </w:r>
                      </w:p>
                    </w:tc>
                    <w:tc>
                      <w:tcPr>
                        <w:tcW w:w="1769" w:type="dxa"/>
                      </w:tcPr>
                      <w:p>
                        <w:pPr>
                          <w:pStyle w:val="TableParagraph"/>
                          <w:spacing w:line="320" w:lineRule="exact"/>
                          <w:ind w:left="476" w:right="464"/>
                          <w:rPr>
                            <w:sz w:val="21"/>
                          </w:rPr>
                        </w:pPr>
                        <w:r>
                          <w:rPr>
                            <w:sz w:val="21"/>
                          </w:rPr>
                          <w:t>年用量</w:t>
                        </w:r>
                      </w:p>
                    </w:tc>
                    <w:tc>
                      <w:tcPr>
                        <w:tcW w:w="1697" w:type="dxa"/>
                      </w:tcPr>
                      <w:p>
                        <w:pPr>
                          <w:pStyle w:val="TableParagraph"/>
                          <w:spacing w:line="320" w:lineRule="exact"/>
                          <w:ind w:left="85" w:right="73"/>
                          <w:rPr>
                            <w:sz w:val="21"/>
                          </w:rPr>
                        </w:pPr>
                        <w:r>
                          <w:rPr>
                            <w:sz w:val="21"/>
                          </w:rPr>
                          <w:t>单价</w:t>
                        </w:r>
                      </w:p>
                    </w:tc>
                    <w:tc>
                      <w:tcPr>
                        <w:tcW w:w="1476" w:type="dxa"/>
                      </w:tcPr>
                      <w:p>
                        <w:pPr>
                          <w:pStyle w:val="TableParagraph"/>
                          <w:spacing w:line="320" w:lineRule="exact"/>
                          <w:ind w:right="304"/>
                          <w:jc w:val="right"/>
                          <w:rPr>
                            <w:sz w:val="21"/>
                          </w:rPr>
                        </w:pPr>
                        <w:r>
                          <w:rPr>
                            <w:sz w:val="21"/>
                          </w:rPr>
                          <w:t>年需费用</w:t>
                        </w:r>
                      </w:p>
                    </w:tc>
                  </w:tr>
                  <w:tr>
                    <w:trPr>
                      <w:trHeight w:val="340" w:hRule="atLeast"/>
                    </w:trPr>
                    <w:tc>
                      <w:tcPr>
                        <w:tcW w:w="888" w:type="dxa"/>
                      </w:tcPr>
                      <w:p>
                        <w:pPr>
                          <w:pStyle w:val="TableParagraph"/>
                          <w:spacing w:before="41"/>
                          <w:ind w:left="9"/>
                          <w:rPr>
                            <w:rFonts w:ascii="Times New Roman"/>
                            <w:sz w:val="21"/>
                          </w:rPr>
                        </w:pPr>
                        <w:r>
                          <w:rPr>
                            <w:rFonts w:ascii="Times New Roman"/>
                            <w:w w:val="100"/>
                            <w:sz w:val="21"/>
                          </w:rPr>
                          <w:t>1</w:t>
                        </w:r>
                      </w:p>
                    </w:tc>
                    <w:tc>
                      <w:tcPr>
                        <w:tcW w:w="2693" w:type="dxa"/>
                      </w:tcPr>
                      <w:p>
                        <w:pPr>
                          <w:pStyle w:val="TableParagraph"/>
                          <w:spacing w:line="320" w:lineRule="exact"/>
                          <w:ind w:left="591" w:right="581"/>
                          <w:rPr>
                            <w:sz w:val="21"/>
                          </w:rPr>
                        </w:pPr>
                        <w:r>
                          <w:rPr>
                            <w:sz w:val="21"/>
                          </w:rPr>
                          <w:t>活性炭</w:t>
                        </w:r>
                      </w:p>
                    </w:tc>
                    <w:tc>
                      <w:tcPr>
                        <w:tcW w:w="1769" w:type="dxa"/>
                      </w:tcPr>
                      <w:p>
                        <w:pPr>
                          <w:pStyle w:val="TableParagraph"/>
                          <w:spacing w:before="41"/>
                          <w:ind w:left="475" w:right="466"/>
                          <w:rPr>
                            <w:rFonts w:ascii="Times New Roman"/>
                            <w:sz w:val="21"/>
                          </w:rPr>
                        </w:pPr>
                        <w:r>
                          <w:rPr>
                            <w:rFonts w:ascii="Times New Roman"/>
                            <w:sz w:val="21"/>
                          </w:rPr>
                          <w:t>50t</w:t>
                        </w:r>
                      </w:p>
                    </w:tc>
                    <w:tc>
                      <w:tcPr>
                        <w:tcW w:w="1697" w:type="dxa"/>
                      </w:tcPr>
                      <w:p>
                        <w:pPr>
                          <w:pStyle w:val="TableParagraph"/>
                          <w:spacing w:line="320" w:lineRule="exact"/>
                          <w:ind w:left="83" w:right="73"/>
                          <w:rPr>
                            <w:sz w:val="21"/>
                          </w:rPr>
                        </w:pPr>
                        <w:r>
                          <w:rPr>
                            <w:rFonts w:ascii="Times New Roman" w:eastAsia="Times New Roman"/>
                            <w:sz w:val="21"/>
                          </w:rPr>
                          <w:t>3000 </w:t>
                        </w:r>
                        <w:r>
                          <w:rPr>
                            <w:sz w:val="21"/>
                          </w:rPr>
                          <w:t>元</w:t>
                        </w:r>
                        <w:r>
                          <w:rPr>
                            <w:rFonts w:ascii="Times New Roman" w:eastAsia="Times New Roman"/>
                            <w:sz w:val="21"/>
                          </w:rPr>
                          <w:t>/</w:t>
                        </w:r>
                        <w:r>
                          <w:rPr>
                            <w:sz w:val="21"/>
                          </w:rPr>
                          <w:t>吨</w:t>
                        </w:r>
                      </w:p>
                    </w:tc>
                    <w:tc>
                      <w:tcPr>
                        <w:tcW w:w="1476" w:type="dxa"/>
                      </w:tcPr>
                      <w:p>
                        <w:pPr>
                          <w:pStyle w:val="TableParagraph"/>
                          <w:spacing w:line="320" w:lineRule="exact"/>
                          <w:ind w:right="385"/>
                          <w:jc w:val="right"/>
                          <w:rPr>
                            <w:sz w:val="21"/>
                          </w:rPr>
                        </w:pPr>
                        <w:r>
                          <w:rPr>
                            <w:rFonts w:ascii="Times New Roman" w:eastAsia="Times New Roman"/>
                            <w:sz w:val="21"/>
                          </w:rPr>
                          <w:t>15 </w:t>
                        </w:r>
                        <w:r>
                          <w:rPr>
                            <w:sz w:val="21"/>
                          </w:rPr>
                          <w:t>万元</w:t>
                        </w:r>
                      </w:p>
                    </w:tc>
                  </w:tr>
                  <w:tr>
                    <w:trPr>
                      <w:trHeight w:val="335" w:hRule="atLeast"/>
                    </w:trPr>
                    <w:tc>
                      <w:tcPr>
                        <w:tcW w:w="888" w:type="dxa"/>
                        <w:tcBorders>
                          <w:bottom w:val="single" w:sz="6" w:space="0" w:color="000000"/>
                        </w:tcBorders>
                      </w:tcPr>
                      <w:p>
                        <w:pPr>
                          <w:pStyle w:val="TableParagraph"/>
                          <w:spacing w:before="41"/>
                          <w:ind w:left="9"/>
                          <w:rPr>
                            <w:rFonts w:ascii="Times New Roman"/>
                            <w:sz w:val="21"/>
                          </w:rPr>
                        </w:pPr>
                        <w:r>
                          <w:rPr>
                            <w:rFonts w:ascii="Times New Roman"/>
                            <w:w w:val="100"/>
                            <w:sz w:val="21"/>
                          </w:rPr>
                          <w:t>2</w:t>
                        </w:r>
                      </w:p>
                    </w:tc>
                    <w:tc>
                      <w:tcPr>
                        <w:tcW w:w="2693" w:type="dxa"/>
                        <w:tcBorders>
                          <w:bottom w:val="single" w:sz="6" w:space="0" w:color="000000"/>
                        </w:tcBorders>
                      </w:tcPr>
                      <w:p>
                        <w:pPr>
                          <w:pStyle w:val="TableParagraph"/>
                          <w:spacing w:line="316" w:lineRule="exact"/>
                          <w:ind w:left="591" w:right="580"/>
                          <w:rPr>
                            <w:sz w:val="21"/>
                          </w:rPr>
                        </w:pPr>
                        <w:r>
                          <w:rPr>
                            <w:sz w:val="21"/>
                          </w:rPr>
                          <w:t>其它药剂</w:t>
                        </w:r>
                      </w:p>
                    </w:tc>
                    <w:tc>
                      <w:tcPr>
                        <w:tcW w:w="1769" w:type="dxa"/>
                        <w:tcBorders>
                          <w:bottom w:val="single" w:sz="6" w:space="0" w:color="000000"/>
                        </w:tcBorders>
                      </w:tcPr>
                      <w:p>
                        <w:pPr>
                          <w:pStyle w:val="TableParagraph"/>
                          <w:spacing w:before="41"/>
                          <w:ind w:left="476" w:right="464"/>
                          <w:rPr>
                            <w:rFonts w:ascii="Times New Roman" w:hAnsi="Times New Roman"/>
                            <w:sz w:val="21"/>
                          </w:rPr>
                        </w:pPr>
                        <w:r>
                          <w:rPr>
                            <w:rFonts w:ascii="Times New Roman" w:hAnsi="Times New Roman"/>
                            <w:sz w:val="21"/>
                          </w:rPr>
                          <w:t>——</w:t>
                        </w:r>
                      </w:p>
                    </w:tc>
                    <w:tc>
                      <w:tcPr>
                        <w:tcW w:w="1697" w:type="dxa"/>
                        <w:tcBorders>
                          <w:bottom w:val="single" w:sz="6" w:space="0" w:color="000000"/>
                        </w:tcBorders>
                      </w:tcPr>
                      <w:p>
                        <w:pPr>
                          <w:pStyle w:val="TableParagraph"/>
                          <w:spacing w:before="41"/>
                          <w:ind w:left="85" w:right="73"/>
                          <w:rPr>
                            <w:rFonts w:ascii="Times New Roman" w:hAnsi="Times New Roman"/>
                            <w:sz w:val="21"/>
                          </w:rPr>
                        </w:pPr>
                        <w:r>
                          <w:rPr>
                            <w:rFonts w:ascii="Times New Roman" w:hAnsi="Times New Roman"/>
                            <w:sz w:val="21"/>
                          </w:rPr>
                          <w:t>——</w:t>
                        </w:r>
                      </w:p>
                    </w:tc>
                    <w:tc>
                      <w:tcPr>
                        <w:tcW w:w="1476" w:type="dxa"/>
                        <w:tcBorders>
                          <w:bottom w:val="single" w:sz="6" w:space="0" w:color="000000"/>
                        </w:tcBorders>
                      </w:tcPr>
                      <w:p>
                        <w:pPr>
                          <w:pStyle w:val="TableParagraph"/>
                          <w:spacing w:line="316" w:lineRule="exact"/>
                          <w:ind w:right="385"/>
                          <w:jc w:val="right"/>
                          <w:rPr>
                            <w:sz w:val="21"/>
                          </w:rPr>
                        </w:pPr>
                        <w:r>
                          <w:rPr>
                            <w:rFonts w:ascii="Times New Roman" w:eastAsia="Times New Roman"/>
                            <w:sz w:val="21"/>
                          </w:rPr>
                          <w:t>10 </w:t>
                        </w:r>
                        <w:r>
                          <w:rPr>
                            <w:sz w:val="21"/>
                          </w:rPr>
                          <w:t>万元</w:t>
                        </w:r>
                      </w:p>
                    </w:tc>
                  </w:tr>
                  <w:tr>
                    <w:trPr>
                      <w:trHeight w:val="338" w:hRule="atLeast"/>
                    </w:trPr>
                    <w:tc>
                      <w:tcPr>
                        <w:tcW w:w="888" w:type="dxa"/>
                        <w:tcBorders>
                          <w:top w:val="single" w:sz="6" w:space="0" w:color="000000"/>
                        </w:tcBorders>
                      </w:tcPr>
                      <w:p>
                        <w:pPr>
                          <w:pStyle w:val="TableParagraph"/>
                          <w:spacing w:before="41"/>
                          <w:ind w:left="9"/>
                          <w:rPr>
                            <w:rFonts w:ascii="Times New Roman"/>
                            <w:sz w:val="21"/>
                          </w:rPr>
                        </w:pPr>
                        <w:r>
                          <w:rPr>
                            <w:rFonts w:ascii="Times New Roman"/>
                            <w:w w:val="100"/>
                            <w:sz w:val="21"/>
                          </w:rPr>
                          <w:t>3</w:t>
                        </w:r>
                      </w:p>
                    </w:tc>
                    <w:tc>
                      <w:tcPr>
                        <w:tcW w:w="2693" w:type="dxa"/>
                        <w:tcBorders>
                          <w:top w:val="single" w:sz="6" w:space="0" w:color="000000"/>
                        </w:tcBorders>
                      </w:tcPr>
                      <w:p>
                        <w:pPr>
                          <w:pStyle w:val="TableParagraph"/>
                          <w:spacing w:line="318" w:lineRule="exact"/>
                          <w:ind w:left="591" w:right="581"/>
                          <w:rPr>
                            <w:sz w:val="21"/>
                          </w:rPr>
                        </w:pPr>
                        <w:r>
                          <w:rPr>
                            <w:sz w:val="21"/>
                          </w:rPr>
                          <w:t>电费</w:t>
                        </w:r>
                      </w:p>
                    </w:tc>
                    <w:tc>
                      <w:tcPr>
                        <w:tcW w:w="1769" w:type="dxa"/>
                        <w:tcBorders>
                          <w:top w:val="single" w:sz="6" w:space="0" w:color="000000"/>
                        </w:tcBorders>
                      </w:tcPr>
                      <w:p>
                        <w:pPr>
                          <w:pStyle w:val="TableParagraph"/>
                          <w:spacing w:line="318" w:lineRule="exact"/>
                          <w:ind w:left="476" w:right="466"/>
                          <w:rPr>
                            <w:rFonts w:ascii="Times New Roman" w:eastAsia="Times New Roman"/>
                            <w:sz w:val="21"/>
                          </w:rPr>
                        </w:pPr>
                        <w:r>
                          <w:rPr>
                            <w:rFonts w:ascii="Times New Roman" w:eastAsia="Times New Roman"/>
                            <w:sz w:val="21"/>
                          </w:rPr>
                          <w:t>8 </w:t>
                        </w:r>
                        <w:r>
                          <w:rPr>
                            <w:sz w:val="21"/>
                          </w:rPr>
                          <w:t>万 </w:t>
                        </w:r>
                        <w:r>
                          <w:rPr>
                            <w:rFonts w:ascii="Times New Roman" w:eastAsia="Times New Roman"/>
                            <w:sz w:val="21"/>
                          </w:rPr>
                          <w:t>kwh</w:t>
                        </w:r>
                      </w:p>
                    </w:tc>
                    <w:tc>
                      <w:tcPr>
                        <w:tcW w:w="1697" w:type="dxa"/>
                        <w:tcBorders>
                          <w:top w:val="single" w:sz="6" w:space="0" w:color="000000"/>
                        </w:tcBorders>
                      </w:tcPr>
                      <w:p>
                        <w:pPr>
                          <w:pStyle w:val="TableParagraph"/>
                          <w:spacing w:line="318" w:lineRule="exact"/>
                          <w:ind w:left="374"/>
                          <w:jc w:val="left"/>
                          <w:rPr>
                            <w:rFonts w:ascii="Times New Roman" w:eastAsia="Times New Roman"/>
                            <w:sz w:val="21"/>
                          </w:rPr>
                        </w:pPr>
                        <w:r>
                          <w:rPr>
                            <w:rFonts w:ascii="Times New Roman" w:eastAsia="Times New Roman"/>
                            <w:sz w:val="21"/>
                          </w:rPr>
                          <w:t>0.7 </w:t>
                        </w:r>
                        <w:r>
                          <w:rPr>
                            <w:sz w:val="21"/>
                          </w:rPr>
                          <w:t>元</w:t>
                        </w:r>
                        <w:r>
                          <w:rPr>
                            <w:rFonts w:ascii="Times New Roman" w:eastAsia="Times New Roman"/>
                            <w:sz w:val="21"/>
                          </w:rPr>
                          <w:t>/kwh</w:t>
                        </w:r>
                      </w:p>
                    </w:tc>
                    <w:tc>
                      <w:tcPr>
                        <w:tcW w:w="1476" w:type="dxa"/>
                        <w:tcBorders>
                          <w:top w:val="single" w:sz="6" w:space="0" w:color="000000"/>
                        </w:tcBorders>
                      </w:tcPr>
                      <w:p>
                        <w:pPr>
                          <w:pStyle w:val="TableParagraph"/>
                          <w:spacing w:line="318" w:lineRule="exact"/>
                          <w:ind w:right="359"/>
                          <w:jc w:val="right"/>
                          <w:rPr>
                            <w:sz w:val="21"/>
                          </w:rPr>
                        </w:pPr>
                        <w:r>
                          <w:rPr>
                            <w:rFonts w:ascii="Times New Roman" w:eastAsia="Times New Roman"/>
                            <w:sz w:val="21"/>
                          </w:rPr>
                          <w:t>5.6 </w:t>
                        </w:r>
                        <w:r>
                          <w:rPr>
                            <w:sz w:val="21"/>
                          </w:rPr>
                          <w:t>万元</w:t>
                        </w:r>
                      </w:p>
                    </w:tc>
                  </w:tr>
                </w:tbl>
                <w:p>
                  <w:pPr>
                    <w:pStyle w:val="BodyText"/>
                  </w:pPr>
                </w:p>
              </w:txbxContent>
            </v:textbox>
            <w10:wrap type="none"/>
          </v:shape>
        </w:pict>
      </w:r>
      <w:r>
        <w:rPr/>
        <w:t>表</w:t>
      </w:r>
      <w:r>
        <w:rPr>
          <w:spacing w:val="5"/>
        </w:rPr>
        <w:t> </w:t>
      </w:r>
      <w:r>
        <w:rPr>
          <w:rFonts w:ascii="Times New Roman" w:eastAsia="Times New Roman"/>
        </w:rPr>
        <w:t>8.2-1</w:t>
        <w:tab/>
      </w:r>
      <w:r>
        <w:rPr/>
        <w:t>废气处理装置运行费用一览表</w:t>
      </w:r>
    </w:p>
    <w:p>
      <w:pPr>
        <w:spacing w:after="0"/>
        <w:jc w:val="center"/>
        <w:sectPr>
          <w:pgSz w:w="11910" w:h="16840"/>
          <w:pgMar w:header="877" w:footer="973" w:top="1340" w:bottom="1160" w:left="1220" w:right="1040"/>
        </w:sectPr>
      </w:pPr>
    </w:p>
    <w:p>
      <w:pPr>
        <w:pStyle w:val="BodyText"/>
        <w:spacing w:before="20"/>
        <w:rPr>
          <w:sz w:val="3"/>
        </w:r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8"/>
        <w:gridCol w:w="2693"/>
        <w:gridCol w:w="1769"/>
        <w:gridCol w:w="1697"/>
        <w:gridCol w:w="1476"/>
      </w:tblGrid>
      <w:tr>
        <w:trPr>
          <w:trHeight w:val="340" w:hRule="atLeast"/>
        </w:trPr>
        <w:tc>
          <w:tcPr>
            <w:tcW w:w="888" w:type="dxa"/>
          </w:tcPr>
          <w:p>
            <w:pPr>
              <w:pStyle w:val="TableParagraph"/>
              <w:spacing w:before="44"/>
              <w:ind w:left="9"/>
              <w:rPr>
                <w:rFonts w:ascii="Times New Roman"/>
                <w:sz w:val="21"/>
              </w:rPr>
            </w:pPr>
            <w:r>
              <w:rPr>
                <w:rFonts w:ascii="Times New Roman"/>
                <w:w w:val="100"/>
                <w:sz w:val="21"/>
              </w:rPr>
              <w:t>4</w:t>
            </w:r>
          </w:p>
        </w:tc>
        <w:tc>
          <w:tcPr>
            <w:tcW w:w="2693" w:type="dxa"/>
          </w:tcPr>
          <w:p>
            <w:pPr>
              <w:pStyle w:val="TableParagraph"/>
              <w:spacing w:line="321" w:lineRule="exact"/>
              <w:ind w:left="591" w:right="581"/>
              <w:rPr>
                <w:sz w:val="21"/>
              </w:rPr>
            </w:pPr>
            <w:r>
              <w:rPr>
                <w:sz w:val="21"/>
              </w:rPr>
              <w:t>人工</w:t>
            </w:r>
          </w:p>
        </w:tc>
        <w:tc>
          <w:tcPr>
            <w:tcW w:w="1769" w:type="dxa"/>
          </w:tcPr>
          <w:p>
            <w:pPr>
              <w:pStyle w:val="TableParagraph"/>
              <w:spacing w:line="321" w:lineRule="exact"/>
              <w:ind w:left="701"/>
              <w:jc w:val="left"/>
              <w:rPr>
                <w:sz w:val="21"/>
              </w:rPr>
            </w:pPr>
            <w:r>
              <w:rPr>
                <w:rFonts w:ascii="Times New Roman" w:eastAsia="Times New Roman"/>
                <w:sz w:val="21"/>
              </w:rPr>
              <w:t>2 </w:t>
            </w:r>
            <w:r>
              <w:rPr>
                <w:sz w:val="21"/>
              </w:rPr>
              <w:t>人</w:t>
            </w:r>
          </w:p>
        </w:tc>
        <w:tc>
          <w:tcPr>
            <w:tcW w:w="1697" w:type="dxa"/>
          </w:tcPr>
          <w:p>
            <w:pPr>
              <w:pStyle w:val="TableParagraph"/>
              <w:spacing w:line="321" w:lineRule="exact"/>
              <w:ind w:left="83" w:right="73"/>
              <w:rPr>
                <w:sz w:val="21"/>
              </w:rPr>
            </w:pPr>
            <w:r>
              <w:rPr>
                <w:rFonts w:ascii="Times New Roman" w:eastAsia="Times New Roman"/>
                <w:sz w:val="21"/>
              </w:rPr>
              <w:t>2000 </w:t>
            </w:r>
            <w:r>
              <w:rPr>
                <w:sz w:val="21"/>
              </w:rPr>
              <w:t>元</w:t>
            </w:r>
            <w:r>
              <w:rPr>
                <w:rFonts w:ascii="Times New Roman" w:eastAsia="Times New Roman"/>
                <w:sz w:val="21"/>
              </w:rPr>
              <w:t>/</w:t>
            </w:r>
            <w:r>
              <w:rPr>
                <w:sz w:val="21"/>
              </w:rPr>
              <w:t>月</w:t>
            </w:r>
          </w:p>
        </w:tc>
        <w:tc>
          <w:tcPr>
            <w:tcW w:w="1476" w:type="dxa"/>
          </w:tcPr>
          <w:p>
            <w:pPr>
              <w:pStyle w:val="TableParagraph"/>
              <w:spacing w:line="321" w:lineRule="exact"/>
              <w:ind w:left="430" w:right="417"/>
              <w:rPr>
                <w:sz w:val="21"/>
              </w:rPr>
            </w:pPr>
            <w:r>
              <w:rPr>
                <w:rFonts w:ascii="Times New Roman" w:eastAsia="Times New Roman"/>
                <w:sz w:val="21"/>
              </w:rPr>
              <w:t>4 </w:t>
            </w:r>
            <w:r>
              <w:rPr>
                <w:sz w:val="21"/>
              </w:rPr>
              <w:t>万元</w:t>
            </w:r>
          </w:p>
        </w:tc>
      </w:tr>
      <w:tr>
        <w:trPr>
          <w:trHeight w:val="340" w:hRule="atLeast"/>
        </w:trPr>
        <w:tc>
          <w:tcPr>
            <w:tcW w:w="888" w:type="dxa"/>
          </w:tcPr>
          <w:p>
            <w:pPr>
              <w:pStyle w:val="TableParagraph"/>
              <w:spacing w:before="43"/>
              <w:ind w:left="9"/>
              <w:rPr>
                <w:rFonts w:ascii="Times New Roman"/>
                <w:sz w:val="21"/>
              </w:rPr>
            </w:pPr>
            <w:r>
              <w:rPr>
                <w:rFonts w:ascii="Times New Roman"/>
                <w:w w:val="100"/>
                <w:sz w:val="21"/>
              </w:rPr>
              <w:t>5</w:t>
            </w:r>
          </w:p>
        </w:tc>
        <w:tc>
          <w:tcPr>
            <w:tcW w:w="2693" w:type="dxa"/>
          </w:tcPr>
          <w:p>
            <w:pPr>
              <w:pStyle w:val="TableParagraph"/>
              <w:spacing w:line="320" w:lineRule="exact"/>
              <w:ind w:left="591" w:right="582"/>
              <w:rPr>
                <w:sz w:val="21"/>
              </w:rPr>
            </w:pPr>
            <w:r>
              <w:rPr>
                <w:sz w:val="21"/>
              </w:rPr>
              <w:t>设备折旧、维护</w:t>
            </w:r>
          </w:p>
        </w:tc>
        <w:tc>
          <w:tcPr>
            <w:tcW w:w="1769" w:type="dxa"/>
          </w:tcPr>
          <w:p>
            <w:pPr>
              <w:pStyle w:val="TableParagraph"/>
              <w:spacing w:before="43"/>
              <w:ind w:left="674"/>
              <w:jc w:val="left"/>
              <w:rPr>
                <w:rFonts w:ascii="Times New Roman" w:hAnsi="Times New Roman"/>
                <w:sz w:val="21"/>
              </w:rPr>
            </w:pPr>
            <w:r>
              <w:rPr>
                <w:rFonts w:ascii="Times New Roman" w:hAnsi="Times New Roman"/>
                <w:sz w:val="21"/>
              </w:rPr>
              <w:t>——</w:t>
            </w:r>
          </w:p>
        </w:tc>
        <w:tc>
          <w:tcPr>
            <w:tcW w:w="1697" w:type="dxa"/>
          </w:tcPr>
          <w:p>
            <w:pPr>
              <w:pStyle w:val="TableParagraph"/>
              <w:spacing w:before="43"/>
              <w:ind w:left="85" w:right="73"/>
              <w:rPr>
                <w:rFonts w:ascii="Times New Roman" w:hAnsi="Times New Roman"/>
                <w:sz w:val="21"/>
              </w:rPr>
            </w:pPr>
            <w:r>
              <w:rPr>
                <w:rFonts w:ascii="Times New Roman" w:hAnsi="Times New Roman"/>
                <w:sz w:val="21"/>
              </w:rPr>
              <w:t>——</w:t>
            </w:r>
          </w:p>
        </w:tc>
        <w:tc>
          <w:tcPr>
            <w:tcW w:w="1476" w:type="dxa"/>
          </w:tcPr>
          <w:p>
            <w:pPr>
              <w:pStyle w:val="TableParagraph"/>
              <w:spacing w:line="320" w:lineRule="exact"/>
              <w:ind w:left="430" w:right="417"/>
              <w:rPr>
                <w:sz w:val="21"/>
              </w:rPr>
            </w:pPr>
            <w:r>
              <w:rPr>
                <w:rFonts w:ascii="Times New Roman" w:eastAsia="Times New Roman"/>
                <w:sz w:val="21"/>
              </w:rPr>
              <w:t>3 </w:t>
            </w:r>
            <w:r>
              <w:rPr>
                <w:sz w:val="21"/>
              </w:rPr>
              <w:t>万元</w:t>
            </w:r>
          </w:p>
        </w:tc>
      </w:tr>
      <w:tr>
        <w:trPr>
          <w:trHeight w:val="340" w:hRule="atLeast"/>
        </w:trPr>
        <w:tc>
          <w:tcPr>
            <w:tcW w:w="888" w:type="dxa"/>
          </w:tcPr>
          <w:p>
            <w:pPr>
              <w:pStyle w:val="TableParagraph"/>
              <w:spacing w:before="41"/>
              <w:ind w:left="9"/>
              <w:rPr>
                <w:rFonts w:ascii="Times New Roman"/>
                <w:sz w:val="21"/>
              </w:rPr>
            </w:pPr>
            <w:r>
              <w:rPr>
                <w:rFonts w:ascii="Times New Roman"/>
                <w:w w:val="100"/>
                <w:sz w:val="21"/>
              </w:rPr>
              <w:t>6</w:t>
            </w:r>
          </w:p>
        </w:tc>
        <w:tc>
          <w:tcPr>
            <w:tcW w:w="2693" w:type="dxa"/>
          </w:tcPr>
          <w:p>
            <w:pPr>
              <w:pStyle w:val="TableParagraph"/>
              <w:spacing w:line="320" w:lineRule="exact"/>
              <w:ind w:left="591" w:right="581"/>
              <w:rPr>
                <w:sz w:val="21"/>
              </w:rPr>
            </w:pPr>
            <w:r>
              <w:rPr>
                <w:sz w:val="21"/>
              </w:rPr>
              <w:t>总计</w:t>
            </w:r>
          </w:p>
        </w:tc>
        <w:tc>
          <w:tcPr>
            <w:tcW w:w="1769" w:type="dxa"/>
          </w:tcPr>
          <w:p>
            <w:pPr>
              <w:pStyle w:val="TableParagraph"/>
              <w:spacing w:before="41"/>
              <w:ind w:left="674"/>
              <w:jc w:val="left"/>
              <w:rPr>
                <w:rFonts w:ascii="Times New Roman" w:hAnsi="Times New Roman"/>
                <w:sz w:val="21"/>
              </w:rPr>
            </w:pPr>
            <w:r>
              <w:rPr>
                <w:rFonts w:ascii="Times New Roman" w:hAnsi="Times New Roman"/>
                <w:sz w:val="21"/>
              </w:rPr>
              <w:t>——</w:t>
            </w:r>
          </w:p>
        </w:tc>
        <w:tc>
          <w:tcPr>
            <w:tcW w:w="1697" w:type="dxa"/>
          </w:tcPr>
          <w:p>
            <w:pPr>
              <w:pStyle w:val="TableParagraph"/>
              <w:spacing w:before="41"/>
              <w:ind w:left="85" w:right="73"/>
              <w:rPr>
                <w:rFonts w:ascii="Times New Roman" w:hAnsi="Times New Roman"/>
                <w:sz w:val="21"/>
              </w:rPr>
            </w:pPr>
            <w:r>
              <w:rPr>
                <w:rFonts w:ascii="Times New Roman" w:hAnsi="Times New Roman"/>
                <w:sz w:val="21"/>
              </w:rPr>
              <w:t>——</w:t>
            </w:r>
          </w:p>
        </w:tc>
        <w:tc>
          <w:tcPr>
            <w:tcW w:w="1476" w:type="dxa"/>
          </w:tcPr>
          <w:p>
            <w:pPr>
              <w:pStyle w:val="TableParagraph"/>
              <w:spacing w:line="320" w:lineRule="exact"/>
              <w:ind w:left="317"/>
              <w:jc w:val="left"/>
              <w:rPr>
                <w:sz w:val="21"/>
              </w:rPr>
            </w:pPr>
            <w:r>
              <w:rPr>
                <w:rFonts w:ascii="Times New Roman" w:eastAsia="Times New Roman"/>
                <w:sz w:val="21"/>
              </w:rPr>
              <w:t>37.6 </w:t>
            </w:r>
            <w:r>
              <w:rPr>
                <w:sz w:val="21"/>
              </w:rPr>
              <w:t>万元</w:t>
            </w:r>
          </w:p>
        </w:tc>
      </w:tr>
    </w:tbl>
    <w:p>
      <w:pPr>
        <w:pStyle w:val="BodyText"/>
        <w:spacing w:before="13"/>
        <w:rPr>
          <w:sz w:val="7"/>
        </w:rPr>
      </w:pPr>
    </w:p>
    <w:p>
      <w:pPr>
        <w:pStyle w:val="BodyText"/>
        <w:spacing w:line="220" w:lineRule="auto"/>
        <w:ind w:left="580" w:right="756" w:firstLine="479"/>
        <w:jc w:val="both"/>
      </w:pPr>
      <w:r>
        <w:rPr/>
        <w:t>由表 </w:t>
      </w:r>
      <w:r>
        <w:rPr>
          <w:rFonts w:ascii="Times New Roman" w:eastAsia="Times New Roman"/>
        </w:rPr>
        <w:t>8-4 </w:t>
      </w:r>
      <w:r>
        <w:rPr/>
        <w:t>可见，本项目所采用的废气处理装置运行费用为 </w:t>
      </w:r>
      <w:r>
        <w:rPr>
          <w:rFonts w:ascii="Times New Roman" w:eastAsia="Times New Roman"/>
        </w:rPr>
        <w:t>37.6 </w:t>
      </w:r>
      <w:r>
        <w:rPr/>
        <w:t>万元</w:t>
      </w:r>
      <w:r>
        <w:rPr>
          <w:rFonts w:ascii="Times New Roman" w:eastAsia="Times New Roman"/>
        </w:rPr>
        <w:t>/</w:t>
      </w:r>
      <w:r>
        <w:rPr/>
        <w:t>年，费用适中，在企业承受范围之内，因此以上处理措施再经济上是合理的。</w:t>
      </w:r>
    </w:p>
    <w:p>
      <w:pPr>
        <w:pStyle w:val="BodyText"/>
        <w:spacing w:line="477" w:lineRule="exact"/>
        <w:ind w:left="1060"/>
      </w:pPr>
      <w:r>
        <w:rPr/>
        <w:t>综合以上分析内容，项目采取的污染控制措施是可行的。</w:t>
      </w:r>
    </w:p>
    <w:p>
      <w:pPr>
        <w:pStyle w:val="Heading5"/>
        <w:numPr>
          <w:ilvl w:val="1"/>
          <w:numId w:val="15"/>
        </w:numPr>
        <w:tabs>
          <w:tab w:pos="1070" w:val="left" w:leader="none"/>
        </w:tabs>
        <w:spacing w:line="590" w:lineRule="exact" w:before="0" w:after="0"/>
        <w:ind w:left="1070" w:right="0" w:hanging="490"/>
        <w:jc w:val="left"/>
        <w:rPr>
          <w:rFonts w:ascii="Times New Roman" w:eastAsia="Times New Roman"/>
        </w:rPr>
      </w:pPr>
      <w:r>
        <w:rPr>
          <w:spacing w:val="-3"/>
        </w:rPr>
        <w:t>废水环保措施及技术经济论证</w:t>
      </w:r>
    </w:p>
    <w:p>
      <w:pPr>
        <w:pStyle w:val="ListParagraph"/>
        <w:numPr>
          <w:ilvl w:val="2"/>
          <w:numId w:val="15"/>
        </w:numPr>
        <w:tabs>
          <w:tab w:pos="1279" w:val="left" w:leader="none"/>
        </w:tabs>
        <w:spacing w:line="592" w:lineRule="exact" w:before="18" w:after="0"/>
        <w:ind w:left="1278" w:right="0" w:hanging="698"/>
        <w:jc w:val="left"/>
        <w:rPr>
          <w:sz w:val="28"/>
        </w:rPr>
      </w:pPr>
      <w:r>
        <w:rPr>
          <w:spacing w:val="-1"/>
          <w:sz w:val="28"/>
        </w:rPr>
        <w:t>废水产生及处置情况</w:t>
      </w:r>
    </w:p>
    <w:p>
      <w:pPr>
        <w:pStyle w:val="BodyText"/>
        <w:spacing w:line="220" w:lineRule="auto" w:before="27"/>
        <w:ind w:left="580" w:right="750" w:firstLine="479"/>
        <w:jc w:val="both"/>
      </w:pPr>
      <w:r>
        <w:rPr>
          <w:spacing w:val="4"/>
        </w:rPr>
        <w:t>项目产生废水经自建污水处理站达到莒南经济开发区污水处理厂进水水质</w:t>
      </w:r>
      <w:r>
        <w:rPr>
          <w:spacing w:val="-7"/>
        </w:rPr>
        <w:t>标准及《污水排入城镇下水道水质标准》</w:t>
      </w:r>
      <w:r>
        <w:rPr/>
        <w:t>（</w:t>
      </w:r>
      <w:r>
        <w:rPr>
          <w:rFonts w:ascii="Times New Roman" w:eastAsia="Times New Roman"/>
        </w:rPr>
        <w:t>CJ343-2010</w:t>
      </w:r>
      <w:r>
        <w:rPr/>
        <w:t>）</w:t>
      </w:r>
      <w:r>
        <w:rPr>
          <w:spacing w:val="4"/>
        </w:rPr>
        <w:t>表 </w:t>
      </w:r>
      <w:r>
        <w:rPr>
          <w:rFonts w:ascii="Times New Roman" w:eastAsia="Times New Roman"/>
        </w:rPr>
        <w:t>1 </w:t>
      </w:r>
      <w:r>
        <w:rPr>
          <w:spacing w:val="5"/>
        </w:rPr>
        <w:t>中 </w:t>
      </w:r>
      <w:r>
        <w:rPr>
          <w:rFonts w:ascii="Times New Roman" w:eastAsia="Times New Roman"/>
        </w:rPr>
        <w:t>B </w:t>
      </w:r>
      <w:r>
        <w:rPr/>
        <w:t>等级标准后， </w:t>
      </w:r>
      <w:r>
        <w:rPr>
          <w:spacing w:val="-6"/>
        </w:rPr>
        <w:t>再排入莒南经济开发区污水处理厂深度处理，满足《城镇污水处理厂污染物排放</w:t>
      </w:r>
      <w:r>
        <w:rPr>
          <w:spacing w:val="-50"/>
        </w:rPr>
        <w:t>标准》</w:t>
      </w:r>
      <w:r>
        <w:rPr/>
        <w:t>（</w:t>
      </w:r>
      <w:r>
        <w:rPr>
          <w:rFonts w:ascii="Times New Roman" w:eastAsia="Times New Roman"/>
        </w:rPr>
        <w:t>GB18918-2002</w:t>
      </w:r>
      <w:r>
        <w:rPr/>
        <w:t>）</w:t>
      </w:r>
      <w:r>
        <w:rPr>
          <w:spacing w:val="-1"/>
        </w:rPr>
        <w:t>一级 </w:t>
      </w:r>
      <w:r>
        <w:rPr>
          <w:rFonts w:ascii="Times New Roman" w:eastAsia="Times New Roman"/>
        </w:rPr>
        <w:t>A </w:t>
      </w:r>
      <w:r>
        <w:rPr>
          <w:spacing w:val="-6"/>
        </w:rPr>
        <w:t>标准要求后，排入白马河，然后汇入鸡龙河，最终进入沭河。</w:t>
      </w:r>
    </w:p>
    <w:p>
      <w:pPr>
        <w:pStyle w:val="Heading5"/>
        <w:numPr>
          <w:ilvl w:val="2"/>
          <w:numId w:val="15"/>
        </w:numPr>
        <w:tabs>
          <w:tab w:pos="1279" w:val="left" w:leader="none"/>
        </w:tabs>
        <w:spacing w:line="592" w:lineRule="exact" w:before="5" w:after="0"/>
        <w:ind w:left="1278" w:right="0" w:hanging="698"/>
        <w:jc w:val="left"/>
      </w:pPr>
      <w:r>
        <w:rPr>
          <w:spacing w:val="-3"/>
        </w:rPr>
        <w:t>企业污水处理站环保措施可行性分析</w:t>
      </w:r>
    </w:p>
    <w:p>
      <w:pPr>
        <w:pStyle w:val="ListParagraph"/>
        <w:numPr>
          <w:ilvl w:val="3"/>
          <w:numId w:val="15"/>
        </w:numPr>
        <w:tabs>
          <w:tab w:pos="1361" w:val="left" w:leader="none"/>
        </w:tabs>
        <w:spacing w:line="487" w:lineRule="exact" w:before="0" w:after="0"/>
        <w:ind w:left="1360" w:right="0" w:hanging="780"/>
        <w:jc w:val="left"/>
        <w:rPr>
          <w:sz w:val="24"/>
        </w:rPr>
      </w:pPr>
      <w:r>
        <w:rPr>
          <w:sz w:val="24"/>
        </w:rPr>
        <w:t>污水处理站工艺简介</w:t>
      </w:r>
    </w:p>
    <w:p>
      <w:pPr>
        <w:pStyle w:val="BodyText"/>
        <w:spacing w:line="468" w:lineRule="exact"/>
        <w:ind w:left="1060"/>
      </w:pPr>
      <w:r>
        <w:rPr/>
        <w:t>企业建设一座处理规模 </w:t>
      </w:r>
      <w:r>
        <w:rPr>
          <w:rFonts w:ascii="Times New Roman" w:hAnsi="Times New Roman" w:eastAsia="Times New Roman"/>
        </w:rPr>
        <w:t>400m³/d </w:t>
      </w:r>
      <w:r>
        <w:rPr/>
        <w:t>的污水处理站，污水处理站主要处理工艺为</w:t>
      </w:r>
    </w:p>
    <w:p>
      <w:pPr>
        <w:pStyle w:val="BodyText"/>
        <w:spacing w:line="220" w:lineRule="auto" w:before="8"/>
        <w:ind w:left="580" w:right="687"/>
      </w:pPr>
      <w:r>
        <w:rPr>
          <w:rFonts w:ascii="Times New Roman" w:hAnsi="Times New Roman" w:eastAsia="Times New Roman"/>
        </w:rPr>
        <w:t>“</w:t>
      </w:r>
      <w:r>
        <w:rPr/>
        <w:t>预处理</w:t>
      </w:r>
      <w:r>
        <w:rPr>
          <w:rFonts w:ascii="Times New Roman" w:hAnsi="Times New Roman" w:eastAsia="Times New Roman"/>
        </w:rPr>
        <w:t>+</w:t>
      </w:r>
      <w:r>
        <w:rPr/>
        <w:t>多维催化氧化</w:t>
      </w:r>
      <w:r>
        <w:rPr>
          <w:rFonts w:ascii="Times New Roman" w:hAnsi="Times New Roman" w:eastAsia="Times New Roman"/>
        </w:rPr>
        <w:t>+ABR+MIC+</w:t>
      </w:r>
      <w:r>
        <w:rPr/>
        <w:t>兼氧</w:t>
      </w:r>
      <w:r>
        <w:rPr>
          <w:rFonts w:ascii="Times New Roman" w:hAnsi="Times New Roman" w:eastAsia="Times New Roman"/>
        </w:rPr>
        <w:t>+MBR”</w:t>
      </w:r>
      <w:r>
        <w:rPr/>
        <w:t>。可以对废水中有机物进行有效去除。</w:t>
      </w:r>
    </w:p>
    <w:p>
      <w:pPr>
        <w:pStyle w:val="BodyText"/>
        <w:spacing w:line="460" w:lineRule="exact"/>
        <w:ind w:left="1060"/>
      </w:pPr>
      <w:r>
        <w:rPr/>
        <w:t>污水处理站主要工艺单元介绍如下：</w:t>
      </w:r>
    </w:p>
    <w:p>
      <w:pPr>
        <w:pStyle w:val="BodyText"/>
        <w:spacing w:line="468" w:lineRule="exact"/>
        <w:ind w:left="1000"/>
      </w:pPr>
      <w:r>
        <w:rPr>
          <w:sz w:val="21"/>
        </w:rPr>
        <w:t>（</w:t>
      </w:r>
      <w:r>
        <w:rPr>
          <w:rFonts w:ascii="Times New Roman" w:eastAsia="Times New Roman"/>
        </w:rPr>
        <w:t>1</w:t>
      </w:r>
      <w:r>
        <w:rPr/>
        <w:t>）预处理</w:t>
      </w:r>
    </w:p>
    <w:p>
      <w:pPr>
        <w:pStyle w:val="BodyText"/>
        <w:spacing w:line="220" w:lineRule="auto" w:before="8"/>
        <w:ind w:left="580" w:right="663" w:firstLine="479"/>
        <w:jc w:val="both"/>
      </w:pPr>
      <w:r>
        <w:rPr>
          <w:spacing w:val="-6"/>
        </w:rPr>
        <w:t>本污水属于化学合成类制药废水，即污染物浓度高、含盐量高、生化性比较</w:t>
      </w:r>
      <w:r>
        <w:rPr>
          <w:spacing w:val="-10"/>
        </w:rPr>
        <w:t>差。废水中部分有机物难以生物降解，有的甚至对微生物具有毒性。如直接进入</w:t>
      </w:r>
      <w:r>
        <w:rPr>
          <w:spacing w:val="-14"/>
        </w:rPr>
        <w:t>生化处理系统势必影响生化处理系统效果，甚至会造成生化系统瘫痪，必须对生</w:t>
      </w:r>
      <w:r>
        <w:rPr>
          <w:spacing w:val="-16"/>
        </w:rPr>
        <w:t>产工艺废水进行预处理。项目采用多效蒸发的工艺对废水进行脱盐。多效蒸发系统具有效率高、能耗低、操作方便和处理过程可实现智能化和可控制化等优点， 当前已应用于化工废水的综合治理，并且取得了较好的效果。</w:t>
      </w:r>
    </w:p>
    <w:p>
      <w:pPr>
        <w:pStyle w:val="BodyText"/>
        <w:spacing w:line="220" w:lineRule="auto"/>
        <w:ind w:left="580" w:right="757" w:firstLine="479"/>
        <w:jc w:val="both"/>
      </w:pPr>
      <w:r>
        <w:rPr>
          <w:spacing w:val="-4"/>
        </w:rPr>
        <w:t>蒸发器在一效分离器内隔板隔出顶部与内腔相通的蒸汽腔，蒸汽腔底部接直</w:t>
      </w:r>
      <w:r>
        <w:rPr>
          <w:spacing w:val="-10"/>
        </w:rPr>
        <w:t>管与下一级加热器连接，为二次蒸汽管。蒸汽从分离器顶部进入蒸汽腔，直接进</w:t>
      </w:r>
      <w:r>
        <w:rPr>
          <w:spacing w:val="-13"/>
        </w:rPr>
        <w:t>入下一级加热器。因蒸汽腔的横截面比一般蒸汽管大得多，直管通入下一级加热</w:t>
      </w:r>
    </w:p>
    <w:p>
      <w:pPr>
        <w:spacing w:after="0" w:line="220" w:lineRule="auto"/>
        <w:jc w:val="both"/>
        <w:sectPr>
          <w:pgSz w:w="11910" w:h="16840"/>
          <w:pgMar w:header="877" w:footer="973" w:top="1340" w:bottom="1160" w:left="1220" w:right="1040"/>
        </w:sectPr>
      </w:pPr>
    </w:p>
    <w:p>
      <w:pPr>
        <w:pStyle w:val="BodyText"/>
        <w:spacing w:line="220" w:lineRule="auto" w:before="77"/>
        <w:ind w:left="580" w:right="638"/>
        <w:jc w:val="both"/>
      </w:pPr>
      <w:r>
        <w:rPr>
          <w:spacing w:val="-9"/>
        </w:rPr>
        <w:t>器无折转，距离近，大大降低蒸汽阻力，增加流量，提高分离效率。且因蒸汽腔</w:t>
      </w:r>
      <w:r>
        <w:rPr>
          <w:spacing w:val="-13"/>
        </w:rPr>
        <w:t>是位于分离器内，减少了引出蒸汽的热量损失。一效加热器的疏水管通入分离器</w:t>
      </w:r>
      <w:r>
        <w:rPr>
          <w:spacing w:val="-18"/>
        </w:rPr>
        <w:t>的冷凝室，冷凝水从其下排出，避免了蒸汽损失，也解决了疏水器的噪声和污染。下联管前端的清洗手孔，便于清洗加热器底部边角的残留物。各分离器有独立进</w:t>
      </w:r>
      <w:r>
        <w:rPr>
          <w:spacing w:val="-12"/>
        </w:rPr>
        <w:t>料口，便于观察和控制进料流量。两组加热器和分离器按扇形排列布置，缩短了设备总长度，便于操作。当蒸发器内浓缩液达到一定浓度后，开启出料泵出料， </w:t>
      </w:r>
      <w:r>
        <w:rPr>
          <w:spacing w:val="-18"/>
        </w:rPr>
        <w:t>放入结晶罐内结晶出盐分，</w:t>
      </w:r>
      <w:r>
        <w:rPr>
          <w:spacing w:val="-8"/>
          <w:sz w:val="21"/>
        </w:rPr>
        <w:t>然后通过离心机进行固液分离，分离固体作为危险废物处置。</w:t>
      </w:r>
      <w:r>
        <w:rPr>
          <w:spacing w:val="-14"/>
        </w:rPr>
        <w:t>分离母液回蒸发装置再蒸发，不凝气去污水处理站配套建设的废气处理装置</w:t>
      </w:r>
      <w:r>
        <w:rPr/>
        <w:t>（碱洗塔</w:t>
      </w:r>
      <w:r>
        <w:rPr>
          <w:rFonts w:ascii="Times New Roman" w:eastAsia="Times New Roman"/>
        </w:rPr>
        <w:t>+</w:t>
      </w:r>
      <w:r>
        <w:rPr/>
        <w:t>活性炭</w:t>
      </w:r>
      <w:r>
        <w:rPr>
          <w:spacing w:val="-88"/>
        </w:rPr>
        <w:t>）</w:t>
      </w:r>
      <w:r>
        <w:rPr>
          <w:spacing w:val="-14"/>
        </w:rPr>
        <w:t>，污凝水再与真空系统排污水、碱洗塔废水等一起进行多维催化氧化处理。</w:t>
      </w:r>
    </w:p>
    <w:p>
      <w:pPr>
        <w:pStyle w:val="BodyText"/>
        <w:spacing w:line="460" w:lineRule="exact"/>
        <w:ind w:left="1060"/>
      </w:pPr>
      <w:r>
        <w:rPr/>
        <w:t>（</w:t>
      </w:r>
      <w:r>
        <w:rPr>
          <w:rFonts w:ascii="Times New Roman" w:eastAsia="Times New Roman"/>
        </w:rPr>
        <w:t>2</w:t>
      </w:r>
      <w:r>
        <w:rPr/>
        <w:t>）多维催化氧化</w:t>
      </w:r>
    </w:p>
    <w:p>
      <w:pPr>
        <w:pStyle w:val="BodyText"/>
        <w:spacing w:line="220" w:lineRule="auto" w:before="8"/>
        <w:ind w:left="580" w:right="756" w:firstLine="479"/>
        <w:jc w:val="both"/>
      </w:pPr>
      <w:r>
        <w:rPr>
          <w:spacing w:val="-4"/>
        </w:rPr>
        <w:t>预处理后的废水需提高废水的可生化性后，方可与其它类废水</w:t>
      </w:r>
      <w:r>
        <w:rPr/>
        <w:t>（发酵类</w:t>
      </w:r>
      <w:r>
        <w:rPr>
          <w:spacing w:val="-32"/>
        </w:rPr>
        <w:t>）</w:t>
      </w:r>
      <w:r>
        <w:rPr/>
        <w:t>一</w:t>
      </w:r>
      <w:r>
        <w:rPr>
          <w:spacing w:val="-8"/>
        </w:rPr>
        <w:t>同进入后续生化处理系统。在实际处理过程中可以通过以下方法以达到生物氧化</w:t>
      </w:r>
      <w:r>
        <w:rPr>
          <w:spacing w:val="-11"/>
        </w:rPr>
        <w:t>允许浓度。通过生物调试驯化，以提高微生物的氧化允许浓度，选择合理的生化</w:t>
      </w:r>
      <w:r>
        <w:rPr>
          <w:spacing w:val="-12"/>
        </w:rPr>
        <w:t>处理工艺，可以通过强化生化法以提高难降解有机物的去除率，使最终出水达标排放。</w:t>
      </w:r>
    </w:p>
    <w:p>
      <w:pPr>
        <w:pStyle w:val="BodyText"/>
        <w:spacing w:line="220" w:lineRule="auto"/>
        <w:ind w:left="580" w:right="757" w:firstLine="479"/>
        <w:jc w:val="both"/>
      </w:pPr>
      <w:r>
        <w:rPr>
          <w:rFonts w:ascii="Times New Roman" w:eastAsia="Times New Roman"/>
          <w:spacing w:val="-36"/>
        </w:rPr>
        <w:t>1</w:t>
      </w:r>
      <w:r>
        <w:rPr>
          <w:spacing w:val="-36"/>
        </w:rPr>
        <w:t>）</w:t>
      </w:r>
      <w:r>
        <w:rPr>
          <w:spacing w:val="-10"/>
        </w:rPr>
        <w:t>采用化学氧化法将有毒、抑制性和难生物降解的化合物结构进行破坏</w:t>
      </w:r>
      <w:r>
        <w:rPr/>
        <w:t>（开</w:t>
      </w:r>
      <w:r>
        <w:rPr>
          <w:spacing w:val="-6"/>
        </w:rPr>
        <w:t>环、断链</w:t>
      </w:r>
      <w:r>
        <w:rPr>
          <w:spacing w:val="-20"/>
        </w:rPr>
        <w:t>），</w:t>
      </w:r>
      <w:r>
        <w:rPr>
          <w:spacing w:val="-3"/>
        </w:rPr>
        <w:t>以降低毒性或抑制性，不但可以提高生物氧化允许浓度，而且大大增加前体化合物生物可降解性，即提高废水的 </w:t>
      </w:r>
      <w:r>
        <w:rPr>
          <w:rFonts w:ascii="Times New Roman" w:eastAsia="Times New Roman"/>
        </w:rPr>
        <w:t>B/C </w:t>
      </w:r>
      <w:r>
        <w:rPr/>
        <w:t>值。</w:t>
      </w:r>
    </w:p>
    <w:p>
      <w:pPr>
        <w:pStyle w:val="BodyText"/>
        <w:spacing w:line="220" w:lineRule="auto"/>
        <w:ind w:left="580" w:right="756" w:firstLine="479"/>
        <w:jc w:val="both"/>
      </w:pPr>
      <w:r>
        <w:rPr>
          <w:rFonts w:ascii="Times New Roman" w:eastAsia="Times New Roman"/>
        </w:rPr>
        <w:t>2</w:t>
      </w:r>
      <w:r>
        <w:rPr/>
        <w:t>）高级氧化法主要包括臭氧、</w:t>
      </w:r>
      <w:r>
        <w:rPr>
          <w:rFonts w:ascii="Times New Roman" w:eastAsia="Times New Roman"/>
        </w:rPr>
        <w:t>Fenton</w:t>
      </w:r>
      <w:r>
        <w:rPr/>
        <w:t>、湿式催化氧化、超声波及组合工艺</w:t>
      </w:r>
      <w:r>
        <w:rPr>
          <w:spacing w:val="1"/>
        </w:rPr>
        <w:t>等。高级氧化技术是近 </w:t>
      </w:r>
      <w:r>
        <w:rPr>
          <w:rFonts w:ascii="Times New Roman" w:eastAsia="Times New Roman"/>
        </w:rPr>
        <w:t>20 </w:t>
      </w:r>
      <w:r>
        <w:rPr/>
        <w:t>年来环境领域新发展的一组技术，主要采用以羟基自</w:t>
      </w:r>
      <w:r>
        <w:rPr>
          <w:spacing w:val="-8"/>
        </w:rPr>
        <w:t>由基为核心的强氧化剂，快速、无选择性、彻底氧化环境中各种有机与无机污染</w:t>
      </w:r>
      <w:r>
        <w:rPr>
          <w:spacing w:val="-5"/>
        </w:rPr>
        <w:t>物。羟基自由基是一种很强的氧化剂，其标准氧化还原电位为 </w:t>
      </w:r>
      <w:r>
        <w:rPr>
          <w:rFonts w:ascii="Times New Roman" w:eastAsia="Times New Roman"/>
        </w:rPr>
        <w:t>2.8eV</w:t>
      </w:r>
      <w:r>
        <w:rPr/>
        <w:t>，氧化能力</w:t>
      </w:r>
      <w:r>
        <w:rPr>
          <w:spacing w:val="1"/>
        </w:rPr>
        <w:t>近次于 </w:t>
      </w:r>
      <w:r>
        <w:rPr>
          <w:rFonts w:ascii="Times New Roman" w:eastAsia="Times New Roman"/>
          <w:spacing w:val="-17"/>
        </w:rPr>
        <w:t>F</w:t>
      </w:r>
      <w:r>
        <w:rPr>
          <w:spacing w:val="-17"/>
        </w:rPr>
        <w:t>（</w:t>
      </w:r>
      <w:r>
        <w:rPr/>
        <w:t>标准氧化还原电位为 </w:t>
      </w:r>
      <w:r>
        <w:rPr>
          <w:rFonts w:ascii="Times New Roman" w:eastAsia="Times New Roman"/>
          <w:spacing w:val="-5"/>
        </w:rPr>
        <w:t>3.08eV</w:t>
      </w:r>
      <w:r>
        <w:rPr>
          <w:spacing w:val="-5"/>
        </w:rPr>
        <w:t>）</w:t>
      </w:r>
      <w:r>
        <w:rPr>
          <w:spacing w:val="-6"/>
        </w:rPr>
        <w:t>。常规使用的羟基氧化剂主要有 </w:t>
      </w:r>
      <w:r>
        <w:rPr>
          <w:rFonts w:ascii="Times New Roman" w:eastAsia="Times New Roman"/>
        </w:rPr>
        <w:t>Fenton </w:t>
      </w:r>
      <w:r>
        <w:rPr/>
        <w:t>试剂、</w:t>
      </w:r>
      <w:r>
        <w:rPr>
          <w:rFonts w:ascii="Times New Roman" w:eastAsia="Times New Roman"/>
        </w:rPr>
        <w:t>O3 </w:t>
      </w:r>
      <w:r>
        <w:rPr/>
        <w:t>及其与光催化氧化组合工艺。</w:t>
      </w:r>
    </w:p>
    <w:p>
      <w:pPr>
        <w:pStyle w:val="BodyText"/>
        <w:spacing w:line="220" w:lineRule="auto"/>
        <w:ind w:left="580" w:right="756" w:firstLine="479"/>
        <w:jc w:val="both"/>
      </w:pPr>
      <w:r>
        <w:rPr>
          <w:spacing w:val="-5"/>
        </w:rPr>
        <w:t>本项目选择多维催化氧化对工艺废水进行处理。混合废水经多维错流催化氧化、絮凝沉淀后，废水的 </w:t>
      </w:r>
      <w:r>
        <w:rPr>
          <w:rFonts w:ascii="Times New Roman" w:eastAsia="Times New Roman"/>
        </w:rPr>
        <w:t>COD</w:t>
      </w:r>
      <w:r>
        <w:rPr>
          <w:rFonts w:ascii="Times New Roman" w:eastAsia="Times New Roman"/>
          <w:spacing w:val="-3"/>
        </w:rPr>
        <w:t> </w:t>
      </w:r>
      <w:r>
        <w:rPr>
          <w:spacing w:val="2"/>
        </w:rPr>
        <w:t>从 </w:t>
      </w:r>
      <w:r>
        <w:rPr>
          <w:rFonts w:ascii="Times New Roman" w:eastAsia="Times New Roman"/>
        </w:rPr>
        <w:t>78000mg/L</w:t>
      </w:r>
      <w:r>
        <w:rPr>
          <w:rFonts w:ascii="Times New Roman" w:eastAsia="Times New Roman"/>
          <w:spacing w:val="-2"/>
        </w:rPr>
        <w:t> </w:t>
      </w:r>
      <w:r>
        <w:rPr>
          <w:spacing w:val="1"/>
        </w:rPr>
        <w:t>降到了 </w:t>
      </w:r>
      <w:r>
        <w:rPr>
          <w:rFonts w:ascii="Times New Roman" w:eastAsia="Times New Roman"/>
        </w:rPr>
        <w:t>39400mg/L</w:t>
      </w:r>
      <w:r>
        <w:rPr/>
        <w:t>，去除率达到了</w:t>
      </w:r>
    </w:p>
    <w:p>
      <w:pPr>
        <w:pStyle w:val="BodyText"/>
        <w:spacing w:line="220" w:lineRule="auto"/>
        <w:ind w:left="580" w:right="756"/>
      </w:pPr>
      <w:r>
        <w:rPr>
          <w:rFonts w:ascii="Times New Roman" w:hAnsi="Times New Roman" w:eastAsia="Times New Roman"/>
        </w:rPr>
        <w:t>50%</w:t>
      </w:r>
      <w:r>
        <w:rPr>
          <w:spacing w:val="-6"/>
        </w:rPr>
        <w:t>左右。多维催化氧化系统实际上是以贵金属为催化剂的强氧化系统，系统产生氢氧自由基（·</w:t>
      </w:r>
      <w:r>
        <w:rPr>
          <w:rFonts w:ascii="Times New Roman" w:hAnsi="Times New Roman" w:eastAsia="Times New Roman"/>
          <w:spacing w:val="-6"/>
        </w:rPr>
        <w:t>OH</w:t>
      </w:r>
      <w:r>
        <w:rPr>
          <w:spacing w:val="-6"/>
        </w:rPr>
        <w:t>），氢氧自由基比其它一些常用的强氧化剂具有更高的氧</w:t>
      </w:r>
    </w:p>
    <w:p>
      <w:pPr>
        <w:spacing w:after="0" w:line="220" w:lineRule="auto"/>
        <w:sectPr>
          <w:pgSz w:w="11910" w:h="16840"/>
          <w:pgMar w:header="877" w:footer="973" w:top="1340" w:bottom="1160" w:left="1220" w:right="1040"/>
        </w:sectPr>
      </w:pPr>
    </w:p>
    <w:p>
      <w:pPr>
        <w:pStyle w:val="BodyText"/>
        <w:spacing w:line="220" w:lineRule="auto" w:before="77"/>
        <w:ind w:left="580" w:right="639"/>
        <w:jc w:val="both"/>
      </w:pPr>
      <w:r>
        <w:rPr>
          <w:spacing w:val="-2"/>
        </w:rPr>
        <w:t>化电极电位。羟基自由基</w:t>
      </w:r>
      <w:r>
        <w:rPr>
          <w:w w:val="110"/>
        </w:rPr>
        <w:t>·</w:t>
      </w:r>
      <w:r>
        <w:rPr>
          <w:rFonts w:ascii="Times New Roman" w:hAnsi="Times New Roman" w:eastAsia="Times New Roman"/>
          <w:w w:val="110"/>
        </w:rPr>
        <w:t>OH </w:t>
      </w:r>
      <w:r>
        <w:rPr>
          <w:spacing w:val="-2"/>
        </w:rPr>
        <w:t>反应速很快，比常规氧化剂反应速度快得多，是常规反应速度系数的 </w:t>
      </w:r>
      <w:r>
        <w:rPr>
          <w:rFonts w:ascii="Times New Roman" w:hAnsi="Times New Roman" w:eastAsia="Times New Roman"/>
        </w:rPr>
        <w:t>106 </w:t>
      </w:r>
      <w:r>
        <w:rPr>
          <w:spacing w:val="-10"/>
        </w:rPr>
        <w:t>倍以上，其氧化反应没有选择性，对废水中的各类有机</w:t>
      </w:r>
      <w:r>
        <w:rPr>
          <w:spacing w:val="-14"/>
        </w:rPr>
        <w:t>物如表面活性剂、油脂、氰化物及其它对重金属有络合性的有机物都能进行氧化</w:t>
      </w:r>
      <w:r>
        <w:rPr>
          <w:spacing w:val="-18"/>
        </w:rPr>
        <w:t>反应。该系统能实现有机污染物的完全矿化，最后有机物被氧化成二氧化碳和水， 利用廉价的空气作为氧源，节约了过氧化氢的用量，降低处理成本。</w:t>
      </w:r>
    </w:p>
    <w:p>
      <w:pPr>
        <w:pStyle w:val="BodyText"/>
        <w:spacing w:line="220" w:lineRule="auto"/>
        <w:ind w:left="580" w:right="755" w:firstLine="479"/>
        <w:jc w:val="both"/>
      </w:pPr>
      <w:r>
        <w:rPr>
          <w:spacing w:val="-6"/>
        </w:rPr>
        <w:t>对于废水中的高氨氮废水，拟采用其碱解氧化处理：在一定的温度条件下投</w:t>
      </w:r>
      <w:r>
        <w:rPr/>
        <w:t>加氧化剂及强碱和催化剂的作用下有机铵转化为无机氨在热动力和空气动力作</w:t>
      </w:r>
      <w:r>
        <w:rPr>
          <w:spacing w:val="-4"/>
        </w:rPr>
        <w:t>用下离子态的铵转化为分子态的氨由液相向气相转移。达到脱除氨氮的目的，同时使其中的大分子有机物开环断链，提高其可生化性。</w:t>
      </w:r>
    </w:p>
    <w:p>
      <w:pPr>
        <w:pStyle w:val="BodyText"/>
        <w:spacing w:line="220" w:lineRule="auto"/>
        <w:ind w:left="580" w:right="758" w:firstLine="479"/>
      </w:pPr>
      <w:r>
        <w:rPr>
          <w:spacing w:val="-6"/>
        </w:rPr>
        <w:t>处理后的工艺废水与其他生活污水、初期雨水、地面设备冲洗废水和白葡菌发酵废水进入调节池内调节水质，然后通过水泵将其打入后续生化处理。</w:t>
      </w:r>
    </w:p>
    <w:p>
      <w:pPr>
        <w:pStyle w:val="ListParagraph"/>
        <w:numPr>
          <w:ilvl w:val="0"/>
          <w:numId w:val="16"/>
        </w:numPr>
        <w:tabs>
          <w:tab w:pos="1662" w:val="left" w:leader="none"/>
        </w:tabs>
        <w:spacing w:line="460" w:lineRule="exact" w:before="0" w:after="0"/>
        <w:ind w:left="1661" w:right="0" w:hanging="601"/>
        <w:jc w:val="left"/>
        <w:rPr>
          <w:sz w:val="24"/>
        </w:rPr>
      </w:pPr>
      <w:r>
        <w:rPr>
          <w:rFonts w:ascii="Times New Roman" w:eastAsia="Times New Roman"/>
          <w:sz w:val="24"/>
        </w:rPr>
        <w:t>ABR</w:t>
      </w:r>
      <w:r>
        <w:rPr>
          <w:sz w:val="24"/>
        </w:rPr>
        <w:t>系统</w:t>
      </w:r>
    </w:p>
    <w:p>
      <w:pPr>
        <w:pStyle w:val="BodyText"/>
        <w:spacing w:line="220" w:lineRule="auto" w:before="7"/>
        <w:ind w:left="580" w:right="636" w:firstLine="479"/>
      </w:pPr>
      <w:r>
        <w:rPr>
          <w:w w:val="95"/>
        </w:rPr>
        <w:t>ABR</w:t>
      </w:r>
      <w:r>
        <w:rPr>
          <w:spacing w:val="-5"/>
          <w:w w:val="95"/>
        </w:rPr>
        <w:t>池是一种高效节能厌氧装置，为上流室宽、下流室窄的新型</w:t>
      </w:r>
      <w:r>
        <w:rPr>
          <w:w w:val="95"/>
        </w:rPr>
        <w:t>ABR</w:t>
      </w:r>
      <w:r>
        <w:rPr>
          <w:spacing w:val="-9"/>
          <w:w w:val="95"/>
        </w:rPr>
        <w:t>池，并在   </w:t>
      </w:r>
      <w:r>
        <w:rPr>
          <w:spacing w:val="-13"/>
          <w:w w:val="95"/>
        </w:rPr>
        <w:t>折流板末端设导流折角。</w:t>
      </w:r>
      <w:r>
        <w:rPr>
          <w:w w:val="95"/>
        </w:rPr>
        <w:t>ABR</w:t>
      </w:r>
      <w:r>
        <w:rPr>
          <w:spacing w:val="-6"/>
          <w:w w:val="95"/>
        </w:rPr>
        <w:t>池在处理废水时，其上流室的功能相当于一个</w:t>
      </w:r>
      <w:r>
        <w:rPr>
          <w:w w:val="95"/>
        </w:rPr>
        <w:t>UASB， </w:t>
      </w:r>
      <w:r>
        <w:rPr>
          <w:spacing w:val="-5"/>
        </w:rPr>
        <w:t>其中持有大量沉降性能良好的活性污泥，只是反应器上部不设三相分离器，仅有</w:t>
      </w:r>
      <w:r>
        <w:rPr>
          <w:spacing w:val="-5"/>
          <w:w w:val="95"/>
        </w:rPr>
        <w:t>一个相通的气室，所以运行时就像若干个UASB反应器的串联。同时，由于ABR池   </w:t>
      </w:r>
      <w:r>
        <w:rPr>
          <w:spacing w:val="-9"/>
          <w:w w:val="95"/>
        </w:rPr>
        <w:t>是分格的，运行时沿水流方向各流室</w:t>
      </w:r>
      <w:r>
        <w:rPr>
          <w:w w:val="95"/>
        </w:rPr>
        <w:t>pH</w:t>
      </w:r>
      <w:r>
        <w:rPr>
          <w:spacing w:val="-6"/>
          <w:w w:val="95"/>
        </w:rPr>
        <w:t>值由低到高变化，这样自然为不同</w:t>
      </w:r>
      <w:r>
        <w:rPr>
          <w:w w:val="95"/>
        </w:rPr>
        <w:t>pH值要   </w:t>
      </w:r>
      <w:r>
        <w:rPr>
          <w:spacing w:val="-6"/>
        </w:rPr>
        <w:t>求的厌氧菌群提供其优势生长的环境，且对水力冲击负荷和有机冲击负荷有较强</w:t>
      </w:r>
      <w:r>
        <w:rPr>
          <w:spacing w:val="-12"/>
          <w:w w:val="95"/>
        </w:rPr>
        <w:t>的承受能力，固体停留时间长，污泥产率低。</w:t>
      </w:r>
      <w:r>
        <w:rPr>
          <w:w w:val="95"/>
        </w:rPr>
        <w:t>ABR池是一种高效新型厌氧反应器，   </w:t>
      </w:r>
      <w:r>
        <w:rPr/>
        <w:t>反应器内设置若干竖向导流板</w:t>
      </w:r>
      <w:r>
        <w:rPr>
          <w:w w:val="150"/>
        </w:rPr>
        <w:t>,</w:t>
      </w:r>
      <w:r>
        <w:rPr/>
        <w:t>将反应器分隔成串联的几个反应室，每个反应室都可以看作一个相对独立的上流式污泥床系统</w:t>
      </w:r>
      <w:r>
        <w:rPr>
          <w:w w:val="130"/>
        </w:rPr>
        <w:t>(</w:t>
      </w:r>
      <w:r>
        <w:rPr/>
        <w:t>简称</w:t>
      </w:r>
      <w:r>
        <w:rPr>
          <w:spacing w:val="-16"/>
        </w:rPr>
        <w:t>UASB)</w:t>
      </w:r>
      <w:r>
        <w:rPr>
          <w:spacing w:val="-4"/>
        </w:rPr>
        <w:t>，废水进入反应器后沿</w:t>
      </w:r>
      <w:r>
        <w:rPr>
          <w:spacing w:val="-11"/>
        </w:rPr>
        <w:t>导流板上下折流前进，依次通过每个反应室的污泥床，废水中的有机基质通过与</w:t>
      </w:r>
      <w:r>
        <w:rPr>
          <w:spacing w:val="-16"/>
        </w:rPr>
        <w:t>微生物充分的接触而得到去除。借助于废水流动和沼气上升的作用，反应室中的</w:t>
      </w:r>
      <w:r>
        <w:rPr>
          <w:spacing w:val="-15"/>
        </w:rPr>
        <w:t>污泥上下运动，但是由于导流板的阻挡和污泥自身的沉降性能，污泥在水平方向</w:t>
      </w:r>
      <w:r>
        <w:rPr>
          <w:spacing w:val="-14"/>
        </w:rPr>
        <w:t>的流速极其缓慢，从而大量的厌氧污泥被截留在反应室中。由此可见，虽然在构</w:t>
      </w:r>
      <w:r>
        <w:rPr>
          <w:spacing w:val="-14"/>
          <w:w w:val="95"/>
        </w:rPr>
        <w:t>造上ABR可以看作是多个UASB的简单串联，但在工艺上与单个UASB有着显著的不</w:t>
      </w:r>
      <w:r>
        <w:rPr>
          <w:spacing w:val="-14"/>
        </w:rPr>
        <w:t>同。ABR池独特的分格式结构及推流式流态使得每个反应室中可以驯化培养出与</w:t>
      </w:r>
      <w:r>
        <w:rPr>
          <w:spacing w:val="-17"/>
        </w:rPr>
        <w:t>流至该反应室中的污水水质、环境条件相适应的微生物群落，从而导致厌氧反应</w:t>
      </w:r>
      <w:r>
        <w:rPr>
          <w:spacing w:val="-19"/>
        </w:rPr>
        <w:t>产酸相和产甲烷相沿程得到分离，使ＡＢＲ反应器在整体性能上相当于一个两相</w:t>
      </w:r>
    </w:p>
    <w:p>
      <w:pPr>
        <w:spacing w:after="0" w:line="220" w:lineRule="auto"/>
        <w:sectPr>
          <w:pgSz w:w="11910" w:h="16840"/>
          <w:pgMar w:header="877" w:footer="973" w:top="1340" w:bottom="1160" w:left="1220" w:right="1040"/>
        </w:sectPr>
      </w:pPr>
    </w:p>
    <w:p>
      <w:pPr>
        <w:pStyle w:val="BodyText"/>
        <w:spacing w:line="220" w:lineRule="auto" w:before="77"/>
        <w:ind w:left="580" w:right="637"/>
        <w:jc w:val="both"/>
      </w:pPr>
      <w:r>
        <w:rPr>
          <w:spacing w:val="-9"/>
        </w:rPr>
        <w:t>厌氧处理系统。一般认为，两相厌氧工艺通过产酸相和产甲烷相的分离，两大类</w:t>
      </w:r>
      <w:r>
        <w:rPr/>
        <w:t>厌氧菌群可以各自生长在最适宜的环境条件下，有利于充分发挥厌氧菌群的活</w:t>
      </w:r>
      <w:r>
        <w:rPr>
          <w:spacing w:val="-9"/>
        </w:rPr>
        <w:t>性，提高系统的处理效果和运行的稳定性。在此过程中，不仅各类型的微生物对</w:t>
      </w:r>
      <w:r>
        <w:rPr>
          <w:spacing w:val="-14"/>
        </w:rPr>
        <w:t>环境条件的要求不同，而且它们通过对不同底物的利用而形成类似于生态系统中</w:t>
      </w:r>
      <w:r>
        <w:rPr>
          <w:spacing w:val="-20"/>
        </w:rPr>
        <w:t>的食物链的营养关系，即微生态系统。因而，为使厌氧处理系统持续稳定的运行， </w:t>
      </w:r>
      <w:r>
        <w:rPr>
          <w:spacing w:val="-22"/>
        </w:rPr>
        <w:t>需创造适合于不同微生物种群生长的环境条件，使反应过程中物质的转化及能量的流动顺利地进行。</w:t>
      </w:r>
    </w:p>
    <w:p>
      <w:pPr>
        <w:pStyle w:val="ListParagraph"/>
        <w:numPr>
          <w:ilvl w:val="0"/>
          <w:numId w:val="16"/>
        </w:numPr>
        <w:tabs>
          <w:tab w:pos="1662" w:val="left" w:leader="none"/>
        </w:tabs>
        <w:spacing w:line="460" w:lineRule="exact" w:before="0" w:after="0"/>
        <w:ind w:left="1661" w:right="0" w:hanging="601"/>
        <w:jc w:val="left"/>
        <w:rPr>
          <w:sz w:val="24"/>
        </w:rPr>
      </w:pPr>
      <w:r>
        <w:rPr>
          <w:sz w:val="24"/>
        </w:rPr>
        <w:t>MIC反应器</w:t>
      </w:r>
    </w:p>
    <w:p>
      <w:pPr>
        <w:pStyle w:val="BodyText"/>
        <w:spacing w:line="220" w:lineRule="auto" w:before="8"/>
        <w:ind w:left="580" w:right="756" w:firstLine="479"/>
        <w:jc w:val="both"/>
      </w:pPr>
      <w:r>
        <w:rPr>
          <w:w w:val="95"/>
        </w:rPr>
        <w:t>MIC</w:t>
      </w:r>
      <w:r>
        <w:rPr>
          <w:spacing w:val="-3"/>
          <w:w w:val="95"/>
        </w:rPr>
        <w:t>反应器外形是立式罐体，高度从</w:t>
      </w:r>
      <w:r>
        <w:rPr>
          <w:w w:val="95"/>
        </w:rPr>
        <w:t>16米到28</w:t>
      </w:r>
      <w:r>
        <w:rPr>
          <w:spacing w:val="-8"/>
          <w:w w:val="95"/>
        </w:rPr>
        <w:t>米，直径从</w:t>
      </w:r>
      <w:r>
        <w:rPr>
          <w:w w:val="95"/>
        </w:rPr>
        <w:t>1.5米到15</w:t>
      </w:r>
      <w:r>
        <w:rPr>
          <w:spacing w:val="-9"/>
          <w:w w:val="95"/>
        </w:rPr>
        <w:t>米。需要  </w:t>
      </w:r>
      <w:r>
        <w:rPr>
          <w:spacing w:val="-13"/>
        </w:rPr>
        <w:t>处理的废水使用高效的配水系统由反应器底部泵入反应器，与反应器内的厌氧颗</w:t>
      </w:r>
      <w:r>
        <w:rPr>
          <w:spacing w:val="-14"/>
        </w:rPr>
        <w:t>粒污泥混合。在反应器下部为主处理区，绝大部分有机物质被转化为甲烷和二氧</w:t>
      </w:r>
      <w:r>
        <w:rPr>
          <w:spacing w:val="-9"/>
        </w:rPr>
        <w:t>化碳。这些混合气体</w:t>
      </w:r>
      <w:r>
        <w:rPr/>
        <w:t>（或者叫做沼气</w:t>
      </w:r>
      <w:r>
        <w:rPr>
          <w:spacing w:val="-17"/>
        </w:rPr>
        <w:t>）</w:t>
      </w:r>
      <w:r>
        <w:rPr>
          <w:spacing w:val="-2"/>
        </w:rPr>
        <w:t>由下部的三相分离器收集。产生的</w:t>
      </w:r>
      <w:r>
        <w:rPr>
          <w:rFonts w:ascii="Times New Roman" w:hAnsi="Times New Roman" w:eastAsia="Times New Roman"/>
        </w:rPr>
        <w:t>“</w:t>
      </w:r>
      <w:r>
        <w:rPr/>
        <w:t>气提</w:t>
      </w:r>
      <w:r>
        <w:rPr>
          <w:rFonts w:ascii="Times New Roman" w:hAnsi="Times New Roman" w:eastAsia="Times New Roman"/>
        </w:rPr>
        <w:t>” </w:t>
      </w:r>
      <w:r>
        <w:rPr>
          <w:spacing w:val="-5"/>
        </w:rPr>
        <w:t>带动水流通过上升管进入反应器顶部的气液分离器。沼气从这个分离器中溢出反</w:t>
      </w:r>
      <w:r>
        <w:rPr>
          <w:spacing w:val="-10"/>
        </w:rPr>
        <w:t>应器，水流经过下降管回到反应器的底部。基于这个原理：反应器被命名为内循</w:t>
      </w:r>
      <w:r>
        <w:rPr>
          <w:spacing w:val="-12"/>
        </w:rPr>
        <w:t>环反应器。在上部的精处理区，废水被进一步处理。沼气在精处理阶段的液相中</w:t>
      </w:r>
      <w:r>
        <w:rPr>
          <w:spacing w:val="-12"/>
          <w:w w:val="95"/>
        </w:rPr>
        <w:t>脱离出来，接着被上部的三相分离器收集，处理过的水从反应器顶部排出。</w:t>
      </w:r>
      <w:r>
        <w:rPr>
          <w:w w:val="95"/>
        </w:rPr>
        <w:t>MIC   </w:t>
      </w:r>
      <w:r>
        <w:rPr/>
        <w:t>反应器具有如下工艺技术特点：</w:t>
      </w:r>
    </w:p>
    <w:p>
      <w:pPr>
        <w:pStyle w:val="BodyText"/>
        <w:spacing w:line="220" w:lineRule="auto"/>
        <w:ind w:left="580" w:right="759" w:firstLine="479"/>
        <w:jc w:val="both"/>
      </w:pPr>
      <w:r>
        <w:rPr>
          <w:w w:val="95"/>
        </w:rPr>
        <w:t>①容积负荷高，MIC反应器内污泥浓度高，微生物量大，存在内循环，传质   </w:t>
      </w:r>
      <w:r>
        <w:rPr/>
        <w:t>效果好，进水有机负荷可超过普通厌氧反应器的3倍以上。因此，在处理同样的废水时，其容积只需传统厌氧反应器的三分之一。</w:t>
      </w:r>
    </w:p>
    <w:p>
      <w:pPr>
        <w:pStyle w:val="BodyText"/>
        <w:spacing w:line="460" w:lineRule="exact"/>
        <w:ind w:left="1060"/>
      </w:pPr>
      <w:r>
        <w:rPr/>
        <w:t>② 抗负荷能力强， 普通厌氧反应器如ABR 最高进水COD 负荷不能高于</w:t>
      </w:r>
    </w:p>
    <w:p>
      <w:pPr>
        <w:pStyle w:val="BodyText"/>
        <w:spacing w:line="468" w:lineRule="exact"/>
        <w:ind w:left="580"/>
      </w:pPr>
      <w:r>
        <w:rPr/>
        <w:t>8000~10000，而IC反应器最高进水COD则可高达几万，甚至数十万。</w:t>
      </w:r>
    </w:p>
    <w:p>
      <w:pPr>
        <w:pStyle w:val="BodyText"/>
        <w:spacing w:line="220" w:lineRule="auto" w:before="7"/>
        <w:ind w:left="580" w:right="663" w:firstLine="479"/>
        <w:jc w:val="both"/>
      </w:pPr>
      <w:r>
        <w:rPr/>
        <w:t>③运行费用低，普通厌氧反应器的回流是通过外部加压实现的，而MIC反应器以自身产生的沼气作为提升的动力来实现混合液内循环，不必设泵强制循环， 节省了动力消耗，降低了运行费用。</w:t>
      </w:r>
    </w:p>
    <w:p>
      <w:pPr>
        <w:pStyle w:val="BodyText"/>
        <w:spacing w:line="460" w:lineRule="exact"/>
        <w:ind w:left="1060"/>
      </w:pPr>
      <w:r>
        <w:rPr/>
        <w:t>④COD去除率高，对于达到MIC反应器进水条件的废水，其COD去除率可高达</w:t>
      </w:r>
    </w:p>
    <w:p>
      <w:pPr>
        <w:pStyle w:val="BodyText"/>
        <w:spacing w:line="468" w:lineRule="exact"/>
        <w:ind w:left="580"/>
      </w:pPr>
      <w:r>
        <w:rPr/>
        <w:t>80%以上。</w:t>
      </w:r>
    </w:p>
    <w:p>
      <w:pPr>
        <w:pStyle w:val="BodyText"/>
        <w:spacing w:line="220" w:lineRule="auto" w:before="8"/>
        <w:ind w:left="580" w:right="760" w:firstLine="479"/>
        <w:jc w:val="both"/>
      </w:pPr>
      <w:r>
        <w:rPr>
          <w:w w:val="95"/>
        </w:rPr>
        <w:t>⑤启动周期短，MIC反应器内污泥活性高，生物增殖快，为反应器快速启动   </w:t>
      </w:r>
      <w:r>
        <w:rPr>
          <w:spacing w:val="-8"/>
          <w:w w:val="95"/>
        </w:rPr>
        <w:t>提供有利条件。</w:t>
      </w:r>
      <w:r>
        <w:rPr>
          <w:w w:val="95"/>
        </w:rPr>
        <w:t>IC反应器启动周期一般为1～3</w:t>
      </w:r>
      <w:r>
        <w:rPr>
          <w:spacing w:val="-7"/>
          <w:w w:val="95"/>
        </w:rPr>
        <w:t>个月，而传统厌氧器启动周期长达</w:t>
      </w:r>
    </w:p>
    <w:p>
      <w:pPr>
        <w:spacing w:after="0" w:line="220" w:lineRule="auto"/>
        <w:jc w:val="both"/>
        <w:sectPr>
          <w:pgSz w:w="11910" w:h="16840"/>
          <w:pgMar w:header="877" w:footer="973" w:top="1340" w:bottom="1160" w:left="1220" w:right="1040"/>
        </w:sectPr>
      </w:pPr>
    </w:p>
    <w:p>
      <w:pPr>
        <w:pStyle w:val="BodyText"/>
        <w:spacing w:line="488" w:lineRule="exact" w:before="48"/>
        <w:ind w:left="580"/>
      </w:pPr>
      <w:r>
        <w:rPr/>
        <w:t>4～6个月。</w:t>
      </w:r>
    </w:p>
    <w:p>
      <w:pPr>
        <w:pStyle w:val="BodyText"/>
        <w:spacing w:line="468" w:lineRule="exact"/>
        <w:ind w:left="1060"/>
      </w:pPr>
      <w:r>
        <w:rPr/>
        <w:t>（5）兼氧池</w:t>
      </w:r>
    </w:p>
    <w:p>
      <w:pPr>
        <w:pStyle w:val="BodyText"/>
        <w:spacing w:line="220" w:lineRule="auto" w:before="8"/>
        <w:ind w:left="580" w:right="758" w:firstLine="479"/>
        <w:jc w:val="both"/>
      </w:pPr>
      <w:r>
        <w:rPr>
          <w:spacing w:val="-8"/>
        </w:rPr>
        <w:t>兼氧池中溶解氧含量很低，利用兼性微生物的新陈代谢作用分解和转化有机</w:t>
      </w:r>
      <w:r>
        <w:rPr>
          <w:spacing w:val="-4"/>
        </w:rPr>
        <w:t>成分，这一类微生物既能利用水中游离的分子氧，也能够在兼氧条件下从</w:t>
      </w:r>
      <w:r>
        <w:rPr>
          <w:w w:val="68"/>
        </w:rPr>
        <w:t>NO</w:t>
      </w:r>
      <w:r>
        <w:rPr>
          <w:w w:val="90"/>
          <w:position w:val="12"/>
          <w:sz w:val="12"/>
        </w:rPr>
        <w:t>3</w:t>
      </w:r>
      <w:r>
        <w:rPr>
          <w:w w:val="144"/>
          <w:position w:val="12"/>
          <w:sz w:val="12"/>
        </w:rPr>
        <w:t>-</w:t>
      </w:r>
      <w:r>
        <w:rPr/>
        <w:t>或 </w:t>
      </w:r>
      <w:r>
        <w:rPr>
          <w:spacing w:val="-2"/>
          <w:w w:val="95"/>
          <w:position w:val="2"/>
        </w:rPr>
        <w:t>CO</w:t>
      </w:r>
      <w:r>
        <w:rPr>
          <w:spacing w:val="-2"/>
          <w:w w:val="95"/>
          <w:sz w:val="12"/>
        </w:rPr>
        <w:t>3</w:t>
      </w:r>
      <w:r>
        <w:rPr>
          <w:spacing w:val="-2"/>
          <w:w w:val="95"/>
          <w:position w:val="14"/>
          <w:sz w:val="12"/>
        </w:rPr>
        <w:t>2-</w:t>
      </w:r>
      <w:r>
        <w:rPr>
          <w:spacing w:val="-6"/>
          <w:w w:val="95"/>
          <w:position w:val="2"/>
        </w:rPr>
        <w:t>中摄取氧，兼氧池除了能对一般有机废水进行降解处理外，还能有效去除部    </w:t>
      </w:r>
      <w:r>
        <w:rPr>
          <w:w w:val="95"/>
        </w:rPr>
        <w:t>分CODCr和降解某些好氧微生物难以生物降解的有机物，并使之能够被好氧微生  </w:t>
      </w:r>
      <w:r>
        <w:rPr/>
        <w:t>物吸收，同时还起到MIC反应器出水到好氧系统溶解氧的缓冲作用。</w:t>
      </w:r>
    </w:p>
    <w:p>
      <w:pPr>
        <w:pStyle w:val="BodyText"/>
        <w:spacing w:line="460" w:lineRule="exact"/>
        <w:ind w:left="1060"/>
      </w:pPr>
      <w:r>
        <w:rPr/>
        <w:t>（6） 膜生物反应器（MBR系统）</w:t>
      </w:r>
    </w:p>
    <w:p>
      <w:pPr>
        <w:pStyle w:val="BodyText"/>
        <w:spacing w:line="220" w:lineRule="auto" w:before="8"/>
        <w:ind w:left="580" w:right="638" w:firstLine="479"/>
        <w:jc w:val="both"/>
      </w:pPr>
      <w:r>
        <w:rPr>
          <w:w w:val="95"/>
        </w:rPr>
        <w:t>膜生物反应器(Membrane    Bioreactor,MBR)技术，是一种新型高效的污水处</w:t>
      </w:r>
      <w:r>
        <w:rPr>
          <w:spacing w:val="-9"/>
        </w:rPr>
        <w:t>理工艺，它用膜组件代替传统活性污泥法中的二沉池，大大提高了系统固液分离</w:t>
      </w:r>
      <w:r>
        <w:rPr>
          <w:spacing w:val="-4"/>
          <w:w w:val="95"/>
        </w:rPr>
        <w:t>的能力。    </w:t>
      </w:r>
      <w:r>
        <w:rPr>
          <w:w w:val="95"/>
        </w:rPr>
        <w:t>MBR</w:t>
      </w:r>
      <w:r>
        <w:rPr>
          <w:spacing w:val="-2"/>
          <w:w w:val="95"/>
        </w:rPr>
        <w:t>技术是膜分离技术与生物技术有机结合的新型废水处理技术。它利</w:t>
      </w:r>
      <w:r>
        <w:rPr/>
        <w:t>用膜分离组件将生化反应池中的活性污泥和大分子有机物截留住，省掉二沉池。</w:t>
      </w:r>
      <w:r>
        <w:rPr>
          <w:w w:val="95"/>
        </w:rPr>
        <w:t>因</w:t>
      </w:r>
      <w:r>
        <w:rPr>
          <w:spacing w:val="-12"/>
          <w:w w:val="95"/>
        </w:rPr>
        <w:t>此，活性污泥浓度可以大大提高，水力停留时间</w:t>
      </w:r>
      <w:r>
        <w:rPr>
          <w:spacing w:val="-9"/>
          <w:w w:val="95"/>
        </w:rPr>
        <w:t>（HRT）</w:t>
      </w:r>
      <w:r>
        <w:rPr>
          <w:spacing w:val="-7"/>
          <w:w w:val="95"/>
        </w:rPr>
        <w:t>和污泥停留时间</w:t>
      </w:r>
      <w:r>
        <w:rPr>
          <w:w w:val="95"/>
        </w:rPr>
        <w:t>（SRT） </w:t>
      </w:r>
      <w:r>
        <w:rPr/>
        <w:t>可以分别控制，而难降解的物质在反应器中不断反应和降解。因此，膜</w:t>
      </w:r>
      <w:r>
        <w:rPr>
          <w:w w:val="115"/>
        </w:rPr>
        <w:t>-</w:t>
      </w:r>
      <w:r>
        <w:rPr/>
        <w:t>生物反应器工艺通过膜的分离技术大大强化了生物反应器的功能。</w:t>
      </w:r>
    </w:p>
    <w:p>
      <w:pPr>
        <w:pStyle w:val="BodyText"/>
        <w:spacing w:line="460" w:lineRule="exact"/>
        <w:ind w:left="1060"/>
      </w:pPr>
      <w:r>
        <w:rPr/>
        <w:t>膜生物反应器在优化生化作用的优越性：</w:t>
      </w:r>
    </w:p>
    <w:p>
      <w:pPr>
        <w:pStyle w:val="BodyText"/>
        <w:spacing w:line="220" w:lineRule="auto" w:before="8"/>
        <w:ind w:left="580" w:right="639" w:firstLine="479"/>
        <w:jc w:val="both"/>
      </w:pPr>
      <w:r>
        <w:rPr>
          <w:spacing w:val="-7"/>
        </w:rPr>
        <w:t>对污染物的去除率高，抵抗污泥膨胀能力强，出水水质稳定可靠，出水中没</w:t>
      </w:r>
      <w:r>
        <w:rPr>
          <w:spacing w:val="3"/>
          <w:w w:val="95"/>
        </w:rPr>
        <w:t>有悬浮物；膜生物反应器实现了反应器污泥龄</w:t>
      </w:r>
      <w:r>
        <w:rPr>
          <w:w w:val="95"/>
        </w:rPr>
        <w:t>SRT</w:t>
      </w:r>
      <w:r>
        <w:rPr>
          <w:spacing w:val="4"/>
          <w:w w:val="95"/>
        </w:rPr>
        <w:t>和水力停留时间</w:t>
      </w:r>
      <w:r>
        <w:rPr>
          <w:w w:val="95"/>
        </w:rPr>
        <w:t>HRT</w:t>
      </w:r>
      <w:r>
        <w:rPr>
          <w:spacing w:val="4"/>
          <w:w w:val="95"/>
        </w:rPr>
        <w:t>的彻底分   </w:t>
      </w:r>
      <w:r>
        <w:rPr>
          <w:spacing w:val="-10"/>
        </w:rPr>
        <w:t>离，设计、操作大大简化；膜的机械截流作用避免了微生物的流失，生物反应器</w:t>
      </w:r>
      <w:r>
        <w:rPr>
          <w:spacing w:val="-10"/>
          <w:w w:val="95"/>
        </w:rPr>
        <w:t>内可保持高的污泥浓度，从而能提高体积负荷，降低污泥负荷，且MBR工艺略去    </w:t>
      </w:r>
      <w:r>
        <w:rPr>
          <w:spacing w:val="-10"/>
        </w:rPr>
        <w:t>了二沉池，大大减少占地面积；由于SRT很长，生物反应器又起到了“</w:t>
      </w:r>
      <w:r>
        <w:rPr>
          <w:spacing w:val="-10"/>
          <w:w w:val="115"/>
        </w:rPr>
        <w:t>污泥硝化</w:t>
      </w:r>
      <w:r>
        <w:rPr>
          <w:spacing w:val="-15"/>
          <w:w w:val="115"/>
        </w:rPr>
        <w:t>池”</w:t>
      </w:r>
      <w:r>
        <w:rPr>
          <w:spacing w:val="-8"/>
        </w:rPr>
        <w:t>的作用，从而显著减少污泥产量，剩余污泥产量低，污泥处理费用低；由于膜的截流作用使SRT延长，营造了有利于增殖缓慢的微生物。如硝化细菌生长的</w:t>
      </w:r>
      <w:r>
        <w:rPr>
          <w:spacing w:val="-12"/>
        </w:rPr>
        <w:t>环境，可以提高系统的硝化能力，同时有利于提高难降解大分子有机物的处理效</w:t>
      </w:r>
      <w:r>
        <w:rPr>
          <w:spacing w:val="-12"/>
          <w:w w:val="95"/>
        </w:rPr>
        <w:t>率和促使其彻底的分解；MBR</w:t>
      </w:r>
      <w:r>
        <w:rPr>
          <w:spacing w:val="-3"/>
          <w:w w:val="95"/>
        </w:rPr>
        <w:t>曝气池的活性污泥不因产水而损失，在运行过程中，  </w:t>
      </w:r>
      <w:r>
        <w:rPr>
          <w:spacing w:val="-8"/>
        </w:rPr>
        <w:t>活性污泥会因进入有机物浓度的变化而变化，并达到一种动态平衡，这使系统出</w:t>
      </w:r>
      <w:r>
        <w:rPr>
          <w:spacing w:val="-13"/>
        </w:rPr>
        <w:t>水稳定并有耐冲击负荷的特点；较大的水力循环导致了污水的均匀混合，因而使</w:t>
      </w:r>
      <w:r>
        <w:rPr>
          <w:spacing w:val="-13"/>
          <w:w w:val="95"/>
        </w:rPr>
        <w:t>活性污泥有很好的分散性，大大提高活性污泥的比表面积。MBR系统中活性污泥    </w:t>
      </w:r>
      <w:r>
        <w:rPr>
          <w:spacing w:val="-13"/>
        </w:rPr>
        <w:t>的高度分散是提高水处理的效果的又一个原因。</w:t>
      </w:r>
    </w:p>
    <w:p>
      <w:pPr>
        <w:spacing w:after="0" w:line="220" w:lineRule="auto"/>
        <w:jc w:val="both"/>
        <w:sectPr>
          <w:pgSz w:w="11910" w:h="16840"/>
          <w:pgMar w:header="877" w:footer="973" w:top="1340" w:bottom="1160" w:left="1220" w:right="1040"/>
        </w:sectPr>
      </w:pPr>
    </w:p>
    <w:p>
      <w:pPr>
        <w:pStyle w:val="ListParagraph"/>
        <w:numPr>
          <w:ilvl w:val="3"/>
          <w:numId w:val="15"/>
        </w:numPr>
        <w:tabs>
          <w:tab w:pos="1361" w:val="left" w:leader="none"/>
        </w:tabs>
        <w:spacing w:line="488" w:lineRule="exact" w:before="48" w:after="0"/>
        <w:ind w:left="1360" w:right="0" w:hanging="780"/>
        <w:jc w:val="left"/>
        <w:rPr>
          <w:sz w:val="24"/>
        </w:rPr>
      </w:pPr>
      <w:r>
        <w:rPr>
          <w:sz w:val="24"/>
        </w:rPr>
        <w:t>技术可行性分析</w:t>
      </w:r>
    </w:p>
    <w:p>
      <w:pPr>
        <w:pStyle w:val="BodyText"/>
        <w:spacing w:line="468" w:lineRule="exact"/>
        <w:ind w:left="1060"/>
      </w:pPr>
      <w:r>
        <w:rPr/>
        <w:t>本项目建成后全厂废水产生总量为 </w:t>
      </w:r>
      <w:r>
        <w:rPr>
          <w:rFonts w:ascii="Times New Roman" w:eastAsia="Times New Roman"/>
        </w:rPr>
        <w:t>294.4m</w:t>
      </w:r>
      <w:r>
        <w:rPr>
          <w:rFonts w:ascii="Times New Roman" w:eastAsia="Times New Roman"/>
          <w:position w:val="9"/>
          <w:sz w:val="16"/>
        </w:rPr>
        <w:t>3</w:t>
      </w:r>
      <w:r>
        <w:rPr>
          <w:rFonts w:ascii="Times New Roman" w:eastAsia="Times New Roman"/>
        </w:rPr>
        <w:t>/d</w:t>
      </w:r>
      <w:r>
        <w:rPr/>
        <w:t>，企业污水处理站能力为</w:t>
      </w:r>
    </w:p>
    <w:p>
      <w:pPr>
        <w:pStyle w:val="BodyText"/>
        <w:spacing w:line="220" w:lineRule="auto" w:before="8"/>
        <w:ind w:left="580" w:right="663"/>
        <w:jc w:val="both"/>
      </w:pPr>
      <w:r>
        <w:rPr>
          <w:rFonts w:ascii="Times New Roman" w:eastAsia="Times New Roman"/>
        </w:rPr>
        <w:t>400m</w:t>
      </w:r>
      <w:r>
        <w:rPr>
          <w:rFonts w:ascii="Times New Roman" w:eastAsia="Times New Roman"/>
          <w:position w:val="9"/>
          <w:sz w:val="16"/>
        </w:rPr>
        <w:t>3</w:t>
      </w:r>
      <w:r>
        <w:rPr>
          <w:rFonts w:ascii="Times New Roman" w:eastAsia="Times New Roman"/>
        </w:rPr>
        <w:t>/d</w:t>
      </w:r>
      <w:r>
        <w:rPr/>
        <w:t>。因此，综合来看企业废水总量约占污水处理站处理能力的 </w:t>
      </w:r>
      <w:r>
        <w:rPr>
          <w:rFonts w:ascii="Times New Roman" w:eastAsia="Times New Roman"/>
        </w:rPr>
        <w:t>73.6%</w:t>
      </w:r>
      <w:r>
        <w:rPr/>
        <w:t>，所以企业污水处理设施有足够能力对企业废水进行处理，同时还有部分余量应对其它突发性事故及将来企业的发展。另外，企业污水处理站处理工艺具有针对性， 因此可以有效去除项目废水中的污染物。</w:t>
      </w:r>
    </w:p>
    <w:p>
      <w:pPr>
        <w:pStyle w:val="Heading5"/>
        <w:numPr>
          <w:ilvl w:val="2"/>
          <w:numId w:val="15"/>
        </w:numPr>
        <w:tabs>
          <w:tab w:pos="1279" w:val="left" w:leader="none"/>
        </w:tabs>
        <w:spacing w:line="592" w:lineRule="exact" w:before="6" w:after="0"/>
        <w:ind w:left="1278" w:right="0" w:hanging="698"/>
        <w:jc w:val="left"/>
      </w:pPr>
      <w:r>
        <w:rPr>
          <w:spacing w:val="-3"/>
        </w:rPr>
        <w:t>城市污水处理厂概况及接纳能力分析</w:t>
      </w:r>
    </w:p>
    <w:p>
      <w:pPr>
        <w:pStyle w:val="ListParagraph"/>
        <w:numPr>
          <w:ilvl w:val="3"/>
          <w:numId w:val="15"/>
        </w:numPr>
        <w:tabs>
          <w:tab w:pos="1361" w:val="left" w:leader="none"/>
        </w:tabs>
        <w:spacing w:line="487" w:lineRule="exact" w:before="0" w:after="0"/>
        <w:ind w:left="1360" w:right="0" w:hanging="780"/>
        <w:jc w:val="left"/>
        <w:rPr>
          <w:sz w:val="24"/>
        </w:rPr>
      </w:pPr>
      <w:r>
        <w:rPr>
          <w:sz w:val="24"/>
        </w:rPr>
        <w:t>莒南经济开发区污水处理厂概况</w:t>
      </w:r>
    </w:p>
    <w:p>
      <w:pPr>
        <w:pStyle w:val="BodyText"/>
        <w:spacing w:line="220" w:lineRule="auto" w:before="8"/>
        <w:ind w:left="580" w:right="637" w:firstLine="479"/>
        <w:jc w:val="both"/>
      </w:pPr>
      <w:r>
        <w:rPr>
          <w:spacing w:val="1"/>
        </w:rPr>
        <w:t>山东莒南经济开发区污水处理厂位于王家怪草村西 </w:t>
      </w:r>
      <w:r>
        <w:rPr>
          <w:rFonts w:ascii="Times New Roman" w:eastAsia="Times New Roman"/>
        </w:rPr>
        <w:t>500m</w:t>
      </w:r>
      <w:r>
        <w:rPr/>
        <w:t>，靠近白马河处， </w:t>
      </w:r>
      <w:r>
        <w:rPr>
          <w:spacing w:val="1"/>
        </w:rPr>
        <w:t>占地 </w:t>
      </w:r>
      <w:r>
        <w:rPr>
          <w:rFonts w:ascii="Times New Roman" w:eastAsia="Times New Roman"/>
        </w:rPr>
        <w:t>56000m</w:t>
      </w:r>
      <w:r>
        <w:rPr>
          <w:rFonts w:ascii="Times New Roman" w:eastAsia="Times New Roman"/>
          <w:spacing w:val="1"/>
          <w:w w:val="100"/>
          <w:position w:val="9"/>
          <w:sz w:val="16"/>
        </w:rPr>
        <w:t>2</w:t>
      </w:r>
      <w:r>
        <w:rPr>
          <w:spacing w:val="-16"/>
        </w:rPr>
        <w:t>，该污水处理厂除接纳开发区废水外，还接纳城区西部的生活污水。</w:t>
      </w:r>
      <w:r>
        <w:rPr>
          <w:spacing w:val="-13"/>
        </w:rPr>
        <w:t>处理能力为 </w:t>
      </w:r>
      <w:r>
        <w:rPr>
          <w:rFonts w:ascii="Times New Roman" w:eastAsia="Times New Roman"/>
        </w:rPr>
        <w:t>6.0 </w:t>
      </w:r>
      <w:r>
        <w:rPr>
          <w:spacing w:val="3"/>
        </w:rPr>
        <w:t>万 </w:t>
      </w:r>
      <w:r>
        <w:rPr>
          <w:rFonts w:ascii="Times New Roman" w:eastAsia="Times New Roman"/>
        </w:rPr>
        <w:t>m</w:t>
      </w:r>
      <w:r>
        <w:rPr>
          <w:rFonts w:ascii="Times New Roman" w:eastAsia="Times New Roman"/>
          <w:position w:val="9"/>
          <w:sz w:val="16"/>
        </w:rPr>
        <w:t>3</w:t>
      </w:r>
      <w:r>
        <w:rPr>
          <w:rFonts w:ascii="Times New Roman" w:eastAsia="Times New Roman"/>
        </w:rPr>
        <w:t>/d</w:t>
      </w:r>
      <w:r>
        <w:rPr/>
        <w:t>，一期工程（</w:t>
      </w:r>
      <w:r>
        <w:rPr>
          <w:rFonts w:ascii="Times New Roman" w:eastAsia="Times New Roman"/>
        </w:rPr>
        <w:t>3.0 </w:t>
      </w:r>
      <w:r>
        <w:rPr>
          <w:spacing w:val="3"/>
        </w:rPr>
        <w:t>万 </w:t>
      </w:r>
      <w:r>
        <w:rPr>
          <w:rFonts w:ascii="Times New Roman" w:eastAsia="Times New Roman"/>
        </w:rPr>
        <w:t>m</w:t>
      </w:r>
      <w:r>
        <w:rPr>
          <w:rFonts w:ascii="Times New Roman" w:eastAsia="Times New Roman"/>
          <w:position w:val="9"/>
          <w:sz w:val="16"/>
        </w:rPr>
        <w:t>3</w:t>
      </w:r>
      <w:r>
        <w:rPr>
          <w:rFonts w:ascii="Times New Roman" w:eastAsia="Times New Roman"/>
        </w:rPr>
        <w:t>/d</w:t>
      </w:r>
      <w:r>
        <w:rPr/>
        <w:t>）</w:t>
      </w:r>
      <w:r>
        <w:rPr>
          <w:spacing w:val="2"/>
        </w:rPr>
        <w:t>已于 </w:t>
      </w:r>
      <w:r>
        <w:rPr>
          <w:rFonts w:ascii="Times New Roman" w:eastAsia="Times New Roman"/>
        </w:rPr>
        <w:t>2008 </w:t>
      </w:r>
      <w:r>
        <w:rPr/>
        <w:t>年底建成投入运行， </w:t>
      </w:r>
      <w:r>
        <w:rPr>
          <w:spacing w:val="-5"/>
        </w:rPr>
        <w:t>二期工程将根据莒南县及开发区污水量增加而建设。污水处理厂采用流动床生物</w:t>
      </w:r>
      <w:r>
        <w:rPr>
          <w:spacing w:val="-10"/>
        </w:rPr>
        <w:t>膜技术，该技术实现了活性污泥法和生物膜法工艺的结合，污水处理厂出水水质能满足《城镇污水处理厂污染物排放标准》（</w:t>
      </w:r>
      <w:r>
        <w:rPr>
          <w:rFonts w:ascii="Times New Roman" w:eastAsia="Times New Roman"/>
          <w:spacing w:val="-10"/>
        </w:rPr>
        <w:t>GB18918-2002</w:t>
      </w:r>
      <w:r>
        <w:rPr>
          <w:spacing w:val="-10"/>
        </w:rPr>
        <w:t>）</w:t>
      </w:r>
      <w:r>
        <w:rPr>
          <w:spacing w:val="-6"/>
        </w:rPr>
        <w:t>中一级 </w:t>
      </w:r>
      <w:r>
        <w:rPr>
          <w:rFonts w:ascii="Times New Roman" w:eastAsia="Times New Roman"/>
        </w:rPr>
        <w:t>A </w:t>
      </w:r>
      <w:r>
        <w:rPr/>
        <w:t>标准。</w:t>
      </w:r>
    </w:p>
    <w:p>
      <w:pPr>
        <w:pStyle w:val="ListParagraph"/>
        <w:numPr>
          <w:ilvl w:val="3"/>
          <w:numId w:val="15"/>
        </w:numPr>
        <w:tabs>
          <w:tab w:pos="1361" w:val="left" w:leader="none"/>
        </w:tabs>
        <w:spacing w:line="460" w:lineRule="exact" w:before="0" w:after="0"/>
        <w:ind w:left="1360" w:right="0" w:hanging="780"/>
        <w:jc w:val="left"/>
        <w:rPr>
          <w:sz w:val="24"/>
        </w:rPr>
      </w:pPr>
      <w:r>
        <w:rPr>
          <w:sz w:val="24"/>
        </w:rPr>
        <w:t>项目废水进污水处理厂可行性分析</w:t>
      </w:r>
    </w:p>
    <w:p>
      <w:pPr>
        <w:pStyle w:val="BodyText"/>
        <w:spacing w:line="468" w:lineRule="exact"/>
        <w:ind w:left="1060"/>
      </w:pPr>
      <w:r>
        <w:rPr/>
        <w:t>（</w:t>
      </w:r>
      <w:r>
        <w:rPr>
          <w:rFonts w:ascii="Times New Roman" w:eastAsia="Times New Roman"/>
        </w:rPr>
        <w:t>1</w:t>
      </w:r>
      <w:r>
        <w:rPr/>
        <w:t>）水质符合性</w:t>
      </w:r>
    </w:p>
    <w:p>
      <w:pPr>
        <w:pStyle w:val="BodyText"/>
        <w:spacing w:line="220" w:lineRule="auto" w:before="8"/>
        <w:ind w:left="580" w:right="750" w:firstLine="479"/>
        <w:jc w:val="both"/>
      </w:pPr>
      <w:r>
        <w:rPr>
          <w:spacing w:val="4"/>
        </w:rPr>
        <w:t>项目产生废水经自建污水处理站达到莒南经济开发区污水处理厂进水水质</w:t>
      </w:r>
      <w:r>
        <w:rPr>
          <w:spacing w:val="-7"/>
        </w:rPr>
        <w:t>标准及《污水排入城镇下水道水质标准》</w:t>
      </w:r>
      <w:r>
        <w:rPr/>
        <w:t>（</w:t>
      </w:r>
      <w:r>
        <w:rPr>
          <w:rFonts w:ascii="Times New Roman" w:eastAsia="Times New Roman"/>
        </w:rPr>
        <w:t>CJ343-2010</w:t>
      </w:r>
      <w:r>
        <w:rPr/>
        <w:t>）</w:t>
      </w:r>
      <w:r>
        <w:rPr>
          <w:spacing w:val="4"/>
        </w:rPr>
        <w:t>表 </w:t>
      </w:r>
      <w:r>
        <w:rPr>
          <w:rFonts w:ascii="Times New Roman" w:eastAsia="Times New Roman"/>
        </w:rPr>
        <w:t>1 </w:t>
      </w:r>
      <w:r>
        <w:rPr>
          <w:spacing w:val="5"/>
        </w:rPr>
        <w:t>中 </w:t>
      </w:r>
      <w:r>
        <w:rPr>
          <w:rFonts w:ascii="Times New Roman" w:eastAsia="Times New Roman"/>
        </w:rPr>
        <w:t>B </w:t>
      </w:r>
      <w:r>
        <w:rPr/>
        <w:t>等级标准后， </w:t>
      </w:r>
      <w:r>
        <w:rPr>
          <w:spacing w:val="-6"/>
        </w:rPr>
        <w:t>再排入莒南经济开发区污水处理厂深度处理，满足《城镇污水处理厂污染物排放</w:t>
      </w:r>
      <w:r>
        <w:rPr>
          <w:spacing w:val="-50"/>
        </w:rPr>
        <w:t>标准》</w:t>
      </w:r>
      <w:r>
        <w:rPr/>
        <w:t>（</w:t>
      </w:r>
      <w:r>
        <w:rPr>
          <w:rFonts w:ascii="Times New Roman" w:eastAsia="Times New Roman"/>
        </w:rPr>
        <w:t>GB18918-2002</w:t>
      </w:r>
      <w:r>
        <w:rPr/>
        <w:t>）</w:t>
      </w:r>
      <w:r>
        <w:rPr>
          <w:spacing w:val="-1"/>
        </w:rPr>
        <w:t>一级 </w:t>
      </w:r>
      <w:r>
        <w:rPr>
          <w:rFonts w:ascii="Times New Roman" w:eastAsia="Times New Roman"/>
        </w:rPr>
        <w:t>A </w:t>
      </w:r>
      <w:r>
        <w:rPr>
          <w:spacing w:val="-6"/>
        </w:rPr>
        <w:t>标准要求后，排入白马河，然后汇入鸡龙河，最终进入沭河。</w:t>
      </w:r>
    </w:p>
    <w:p>
      <w:pPr>
        <w:pStyle w:val="BodyText"/>
        <w:spacing w:line="481" w:lineRule="exact"/>
        <w:ind w:left="1060"/>
      </w:pPr>
      <w:r>
        <w:rPr/>
        <w:t>进污水处理厂废水与各项标准对比情况见表 </w:t>
      </w:r>
      <w:r>
        <w:rPr>
          <w:rFonts w:ascii="Times New Roman" w:eastAsia="Times New Roman"/>
        </w:rPr>
        <w:t>8.3-1</w:t>
      </w:r>
      <w:r>
        <w:rPr/>
        <w:t>。</w:t>
      </w:r>
    </w:p>
    <w:p>
      <w:pPr>
        <w:pStyle w:val="BodyText"/>
        <w:tabs>
          <w:tab w:pos="3093" w:val="left" w:leader="none"/>
        </w:tabs>
        <w:spacing w:before="36"/>
        <w:ind w:left="2053"/>
      </w:pPr>
      <w:r>
        <w:rPr/>
        <w:pict>
          <v:shape style="position:absolute;margin-left:92.424004pt;margin-top:23.160019pt;width:410.85pt;height:109.35pt;mso-position-horizontal-relative:page;mso-position-vertical-relative:paragraph;z-index:19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8"/>
                    <w:gridCol w:w="1164"/>
                    <w:gridCol w:w="1037"/>
                    <w:gridCol w:w="907"/>
                    <w:gridCol w:w="909"/>
                    <w:gridCol w:w="835"/>
                    <w:gridCol w:w="950"/>
                  </w:tblGrid>
                  <w:tr>
                    <w:trPr>
                      <w:trHeight w:val="371" w:hRule="atLeast"/>
                    </w:trPr>
                    <w:tc>
                      <w:tcPr>
                        <w:tcW w:w="2398" w:type="dxa"/>
                        <w:tcBorders>
                          <w:bottom w:val="single" w:sz="6" w:space="0" w:color="000000"/>
                          <w:right w:val="single" w:sz="6" w:space="0" w:color="000000"/>
                        </w:tcBorders>
                      </w:tcPr>
                      <w:p>
                        <w:pPr>
                          <w:pStyle w:val="TableParagraph"/>
                          <w:spacing w:line="352" w:lineRule="exact"/>
                          <w:ind w:left="366" w:right="357"/>
                          <w:rPr>
                            <w:sz w:val="18"/>
                          </w:rPr>
                        </w:pPr>
                        <w:r>
                          <w:rPr>
                            <w:sz w:val="18"/>
                          </w:rPr>
                          <w:t>项目</w:t>
                        </w:r>
                      </w:p>
                    </w:tc>
                    <w:tc>
                      <w:tcPr>
                        <w:tcW w:w="1164" w:type="dxa"/>
                        <w:tcBorders>
                          <w:left w:val="single" w:sz="6" w:space="0" w:color="000000"/>
                          <w:bottom w:val="single" w:sz="6" w:space="0" w:color="000000"/>
                          <w:right w:val="single" w:sz="6" w:space="0" w:color="000000"/>
                        </w:tcBorders>
                      </w:tcPr>
                      <w:p>
                        <w:pPr>
                          <w:pStyle w:val="TableParagraph"/>
                          <w:spacing w:before="76"/>
                          <w:ind w:left="303" w:right="294"/>
                          <w:rPr>
                            <w:rFonts w:ascii="Times New Roman"/>
                            <w:sz w:val="18"/>
                          </w:rPr>
                        </w:pPr>
                        <w:r>
                          <w:rPr>
                            <w:rFonts w:ascii="Times New Roman"/>
                            <w:sz w:val="18"/>
                          </w:rPr>
                          <w:t>pH</w:t>
                        </w:r>
                      </w:p>
                    </w:tc>
                    <w:tc>
                      <w:tcPr>
                        <w:tcW w:w="1037" w:type="dxa"/>
                        <w:tcBorders>
                          <w:left w:val="single" w:sz="6" w:space="0" w:color="000000"/>
                          <w:bottom w:val="single" w:sz="6" w:space="0" w:color="000000"/>
                          <w:right w:val="single" w:sz="6" w:space="0" w:color="000000"/>
                        </w:tcBorders>
                      </w:tcPr>
                      <w:p>
                        <w:pPr>
                          <w:pStyle w:val="TableParagraph"/>
                          <w:spacing w:before="76"/>
                          <w:ind w:left="326"/>
                          <w:jc w:val="left"/>
                          <w:rPr>
                            <w:rFonts w:ascii="Times New Roman"/>
                            <w:sz w:val="18"/>
                          </w:rPr>
                        </w:pPr>
                        <w:r>
                          <w:rPr>
                            <w:rFonts w:ascii="Times New Roman"/>
                            <w:sz w:val="18"/>
                          </w:rPr>
                          <w:t>COD</w:t>
                        </w:r>
                      </w:p>
                    </w:tc>
                    <w:tc>
                      <w:tcPr>
                        <w:tcW w:w="907" w:type="dxa"/>
                        <w:tcBorders>
                          <w:left w:val="single" w:sz="6" w:space="0" w:color="000000"/>
                          <w:bottom w:val="single" w:sz="6" w:space="0" w:color="000000"/>
                          <w:right w:val="single" w:sz="6" w:space="0" w:color="000000"/>
                        </w:tcBorders>
                      </w:tcPr>
                      <w:p>
                        <w:pPr>
                          <w:pStyle w:val="TableParagraph"/>
                          <w:spacing w:before="76"/>
                          <w:ind w:left="211" w:right="199"/>
                          <w:rPr>
                            <w:rFonts w:ascii="Times New Roman"/>
                            <w:sz w:val="12"/>
                          </w:rPr>
                        </w:pPr>
                        <w:r>
                          <w:rPr>
                            <w:rFonts w:ascii="Times New Roman"/>
                            <w:position w:val="1"/>
                            <w:sz w:val="18"/>
                          </w:rPr>
                          <w:t>BOD</w:t>
                        </w:r>
                        <w:r>
                          <w:rPr>
                            <w:rFonts w:ascii="Times New Roman"/>
                            <w:sz w:val="12"/>
                          </w:rPr>
                          <w:t>5</w:t>
                        </w:r>
                      </w:p>
                    </w:tc>
                    <w:tc>
                      <w:tcPr>
                        <w:tcW w:w="909" w:type="dxa"/>
                        <w:tcBorders>
                          <w:left w:val="single" w:sz="6" w:space="0" w:color="000000"/>
                          <w:bottom w:val="single" w:sz="6" w:space="0" w:color="000000"/>
                          <w:right w:val="single" w:sz="6" w:space="0" w:color="000000"/>
                        </w:tcBorders>
                      </w:tcPr>
                      <w:p>
                        <w:pPr>
                          <w:pStyle w:val="TableParagraph"/>
                          <w:spacing w:line="352" w:lineRule="exact"/>
                          <w:ind w:left="251" w:right="243"/>
                          <w:rPr>
                            <w:sz w:val="18"/>
                          </w:rPr>
                        </w:pPr>
                        <w:r>
                          <w:rPr>
                            <w:sz w:val="18"/>
                          </w:rPr>
                          <w:t>氨氮</w:t>
                        </w:r>
                      </w:p>
                    </w:tc>
                    <w:tc>
                      <w:tcPr>
                        <w:tcW w:w="835" w:type="dxa"/>
                        <w:tcBorders>
                          <w:left w:val="single" w:sz="6" w:space="0" w:color="000000"/>
                          <w:bottom w:val="single" w:sz="6" w:space="0" w:color="000000"/>
                          <w:right w:val="single" w:sz="6" w:space="0" w:color="000000"/>
                        </w:tcBorders>
                      </w:tcPr>
                      <w:p>
                        <w:pPr>
                          <w:pStyle w:val="TableParagraph"/>
                          <w:spacing w:before="76"/>
                          <w:ind w:right="300"/>
                          <w:jc w:val="right"/>
                          <w:rPr>
                            <w:rFonts w:ascii="Times New Roman"/>
                            <w:sz w:val="18"/>
                          </w:rPr>
                        </w:pPr>
                        <w:r>
                          <w:rPr>
                            <w:rFonts w:ascii="Times New Roman"/>
                            <w:w w:val="95"/>
                            <w:sz w:val="18"/>
                          </w:rPr>
                          <w:t>SS</w:t>
                        </w:r>
                      </w:p>
                    </w:tc>
                    <w:tc>
                      <w:tcPr>
                        <w:tcW w:w="950" w:type="dxa"/>
                        <w:tcBorders>
                          <w:left w:val="single" w:sz="6" w:space="0" w:color="000000"/>
                          <w:bottom w:val="single" w:sz="6" w:space="0" w:color="000000"/>
                        </w:tcBorders>
                      </w:tcPr>
                      <w:p>
                        <w:pPr>
                          <w:pStyle w:val="TableParagraph"/>
                          <w:spacing w:line="352" w:lineRule="exact"/>
                          <w:ind w:left="182" w:right="174"/>
                          <w:rPr>
                            <w:sz w:val="18"/>
                          </w:rPr>
                        </w:pPr>
                        <w:r>
                          <w:rPr>
                            <w:sz w:val="18"/>
                          </w:rPr>
                          <w:t>苯系物</w:t>
                        </w:r>
                      </w:p>
                    </w:tc>
                  </w:tr>
                  <w:tr>
                    <w:trPr>
                      <w:trHeight w:val="364" w:hRule="atLeast"/>
                    </w:trPr>
                    <w:tc>
                      <w:tcPr>
                        <w:tcW w:w="2398" w:type="dxa"/>
                        <w:tcBorders>
                          <w:top w:val="single" w:sz="6" w:space="0" w:color="000000"/>
                          <w:bottom w:val="single" w:sz="6" w:space="0" w:color="000000"/>
                          <w:right w:val="single" w:sz="6" w:space="0" w:color="000000"/>
                        </w:tcBorders>
                      </w:tcPr>
                      <w:p>
                        <w:pPr>
                          <w:pStyle w:val="TableParagraph"/>
                          <w:spacing w:line="344" w:lineRule="exact"/>
                          <w:ind w:left="366" w:right="357"/>
                          <w:rPr>
                            <w:sz w:val="18"/>
                          </w:rPr>
                        </w:pPr>
                        <w:r>
                          <w:rPr>
                            <w:sz w:val="18"/>
                          </w:rPr>
                          <w:t>最终出水</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74"/>
                          <w:ind w:left="303" w:right="295"/>
                          <w:rPr>
                            <w:rFonts w:ascii="Times New Roman"/>
                            <w:sz w:val="18"/>
                          </w:rPr>
                        </w:pPr>
                        <w:r>
                          <w:rPr>
                            <w:rFonts w:ascii="Times New Roman"/>
                            <w:sz w:val="18"/>
                          </w:rPr>
                          <w:t>7-9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4"/>
                          <w:ind w:left="379"/>
                          <w:jc w:val="left"/>
                          <w:rPr>
                            <w:rFonts w:ascii="Times New Roman"/>
                            <w:sz w:val="18"/>
                          </w:rPr>
                        </w:pPr>
                        <w:r>
                          <w:rPr>
                            <w:rFonts w:ascii="Times New Roman"/>
                            <w:sz w:val="18"/>
                          </w:rPr>
                          <w:t>100</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74"/>
                          <w:ind w:left="211" w:right="196"/>
                          <w:rPr>
                            <w:rFonts w:ascii="Times New Roman"/>
                            <w:sz w:val="18"/>
                          </w:rPr>
                        </w:pPr>
                        <w:r>
                          <w:rPr>
                            <w:rFonts w:ascii="Times New Roman"/>
                            <w:sz w:val="18"/>
                          </w:rPr>
                          <w:t>20</w:t>
                        </w:r>
                      </w:p>
                    </w:tc>
                    <w:tc>
                      <w:tcPr>
                        <w:tcW w:w="909" w:type="dxa"/>
                        <w:tcBorders>
                          <w:top w:val="single" w:sz="6" w:space="0" w:color="000000"/>
                          <w:left w:val="single" w:sz="6" w:space="0" w:color="000000"/>
                          <w:bottom w:val="single" w:sz="6" w:space="0" w:color="000000"/>
                          <w:right w:val="single" w:sz="6" w:space="0" w:color="000000"/>
                        </w:tcBorders>
                      </w:tcPr>
                      <w:p>
                        <w:pPr>
                          <w:pStyle w:val="TableParagraph"/>
                          <w:spacing w:before="74"/>
                          <w:ind w:left="251" w:right="238"/>
                          <w:rPr>
                            <w:rFonts w:ascii="Times New Roman"/>
                            <w:sz w:val="18"/>
                          </w:rPr>
                        </w:pPr>
                        <w:r>
                          <w:rPr>
                            <w:rFonts w:ascii="Times New Roman"/>
                            <w:sz w:val="18"/>
                          </w:rPr>
                          <w:t>10</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4"/>
                          <w:ind w:right="310"/>
                          <w:jc w:val="right"/>
                          <w:rPr>
                            <w:rFonts w:ascii="Times New Roman"/>
                            <w:sz w:val="18"/>
                          </w:rPr>
                        </w:pPr>
                        <w:r>
                          <w:rPr>
                            <w:rFonts w:ascii="Times New Roman"/>
                            <w:sz w:val="18"/>
                          </w:rPr>
                          <w:t>70</w:t>
                        </w:r>
                      </w:p>
                    </w:tc>
                    <w:tc>
                      <w:tcPr>
                        <w:tcW w:w="950" w:type="dxa"/>
                        <w:tcBorders>
                          <w:top w:val="single" w:sz="6" w:space="0" w:color="000000"/>
                          <w:left w:val="single" w:sz="6" w:space="0" w:color="000000"/>
                          <w:bottom w:val="single" w:sz="6" w:space="0" w:color="000000"/>
                        </w:tcBorders>
                      </w:tcPr>
                      <w:p>
                        <w:pPr>
                          <w:pStyle w:val="TableParagraph"/>
                          <w:spacing w:before="74"/>
                          <w:ind w:left="182" w:right="170"/>
                          <w:rPr>
                            <w:rFonts w:ascii="Times New Roman"/>
                            <w:sz w:val="18"/>
                          </w:rPr>
                        </w:pPr>
                        <w:r>
                          <w:rPr>
                            <w:rFonts w:ascii="Times New Roman"/>
                            <w:sz w:val="18"/>
                          </w:rPr>
                          <w:t>1.5</w:t>
                        </w:r>
                      </w:p>
                    </w:tc>
                  </w:tr>
                  <w:tr>
                    <w:trPr>
                      <w:trHeight w:val="561" w:hRule="atLeast"/>
                    </w:trPr>
                    <w:tc>
                      <w:tcPr>
                        <w:tcW w:w="2398" w:type="dxa"/>
                        <w:tcBorders>
                          <w:top w:val="single" w:sz="6" w:space="0" w:color="000000"/>
                          <w:bottom w:val="single" w:sz="6" w:space="0" w:color="000000"/>
                          <w:right w:val="single" w:sz="6" w:space="0" w:color="000000"/>
                        </w:tcBorders>
                      </w:tcPr>
                      <w:p>
                        <w:pPr>
                          <w:pStyle w:val="TableParagraph"/>
                          <w:spacing w:before="79"/>
                          <w:ind w:left="368" w:right="357"/>
                          <w:rPr>
                            <w:sz w:val="18"/>
                          </w:rPr>
                        </w:pPr>
                        <w:r>
                          <w:rPr>
                            <w:sz w:val="18"/>
                          </w:rPr>
                          <w:t>污水处理厂进水要求</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172"/>
                          <w:ind w:left="303" w:right="295"/>
                          <w:rPr>
                            <w:rFonts w:ascii="Times New Roman"/>
                            <w:sz w:val="18"/>
                          </w:rPr>
                        </w:pPr>
                        <w:r>
                          <w:rPr>
                            <w:rFonts w:ascii="Times New Roman"/>
                            <w:sz w:val="18"/>
                          </w:rPr>
                          <w:t>6-9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172"/>
                          <w:ind w:left="379"/>
                          <w:jc w:val="left"/>
                          <w:rPr>
                            <w:rFonts w:ascii="Times New Roman"/>
                            <w:sz w:val="18"/>
                          </w:rPr>
                        </w:pPr>
                        <w:r>
                          <w:rPr>
                            <w:rFonts w:ascii="Times New Roman"/>
                            <w:sz w:val="18"/>
                          </w:rPr>
                          <w:t>500</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172"/>
                          <w:ind w:left="211" w:right="196"/>
                          <w:rPr>
                            <w:rFonts w:ascii="Times New Roman"/>
                            <w:sz w:val="18"/>
                          </w:rPr>
                        </w:pPr>
                        <w:r>
                          <w:rPr>
                            <w:rFonts w:ascii="Times New Roman"/>
                            <w:sz w:val="18"/>
                          </w:rPr>
                          <w:t>240</w:t>
                        </w:r>
                      </w:p>
                    </w:tc>
                    <w:tc>
                      <w:tcPr>
                        <w:tcW w:w="909" w:type="dxa"/>
                        <w:tcBorders>
                          <w:top w:val="single" w:sz="6" w:space="0" w:color="000000"/>
                          <w:left w:val="single" w:sz="6" w:space="0" w:color="000000"/>
                          <w:bottom w:val="single" w:sz="6" w:space="0" w:color="000000"/>
                          <w:right w:val="single" w:sz="6" w:space="0" w:color="000000"/>
                        </w:tcBorders>
                      </w:tcPr>
                      <w:p>
                        <w:pPr>
                          <w:pStyle w:val="TableParagraph"/>
                          <w:spacing w:before="172"/>
                          <w:ind w:left="251" w:right="238"/>
                          <w:rPr>
                            <w:rFonts w:ascii="Times New Roman"/>
                            <w:sz w:val="18"/>
                          </w:rPr>
                        </w:pPr>
                        <w:r>
                          <w:rPr>
                            <w:rFonts w:ascii="Times New Roman"/>
                            <w:sz w:val="18"/>
                          </w:rPr>
                          <w:t>40</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172"/>
                          <w:ind w:right="264"/>
                          <w:jc w:val="right"/>
                          <w:rPr>
                            <w:rFonts w:ascii="Times New Roman"/>
                            <w:sz w:val="18"/>
                          </w:rPr>
                        </w:pPr>
                        <w:r>
                          <w:rPr>
                            <w:rFonts w:ascii="Times New Roman"/>
                            <w:sz w:val="18"/>
                          </w:rPr>
                          <w:t>330</w:t>
                        </w:r>
                      </w:p>
                    </w:tc>
                    <w:tc>
                      <w:tcPr>
                        <w:tcW w:w="950" w:type="dxa"/>
                        <w:tcBorders>
                          <w:top w:val="single" w:sz="6" w:space="0" w:color="000000"/>
                          <w:left w:val="single" w:sz="6" w:space="0" w:color="000000"/>
                          <w:bottom w:val="single" w:sz="6" w:space="0" w:color="000000"/>
                        </w:tcBorders>
                      </w:tcPr>
                      <w:p>
                        <w:pPr>
                          <w:pStyle w:val="TableParagraph"/>
                          <w:spacing w:before="172"/>
                          <w:ind w:left="182" w:right="171"/>
                          <w:rPr>
                            <w:rFonts w:ascii="Times New Roman" w:hAnsi="Times New Roman"/>
                            <w:sz w:val="18"/>
                          </w:rPr>
                        </w:pPr>
                        <w:r>
                          <w:rPr>
                            <w:rFonts w:ascii="Times New Roman" w:hAnsi="Times New Roman"/>
                            <w:sz w:val="18"/>
                          </w:rPr>
                          <w:t>——</w:t>
                        </w:r>
                      </w:p>
                    </w:tc>
                  </w:tr>
                  <w:tr>
                    <w:trPr>
                      <w:trHeight w:val="443" w:hRule="atLeast"/>
                    </w:trPr>
                    <w:tc>
                      <w:tcPr>
                        <w:tcW w:w="2398" w:type="dxa"/>
                        <w:tcBorders>
                          <w:top w:val="single" w:sz="6" w:space="0" w:color="000000"/>
                          <w:bottom w:val="single" w:sz="6" w:space="0" w:color="000000"/>
                          <w:right w:val="single" w:sz="6" w:space="0" w:color="000000"/>
                        </w:tcBorders>
                      </w:tcPr>
                      <w:p>
                        <w:pPr>
                          <w:pStyle w:val="TableParagraph"/>
                          <w:spacing w:line="220" w:lineRule="exact"/>
                          <w:ind w:left="368" w:right="356"/>
                          <w:rPr>
                            <w:sz w:val="18"/>
                          </w:rPr>
                        </w:pPr>
                        <w:r>
                          <w:rPr>
                            <w:rFonts w:ascii="Times New Roman" w:eastAsia="Times New Roman"/>
                            <w:sz w:val="18"/>
                          </w:rPr>
                          <w:t>CJ343-2010 </w:t>
                        </w:r>
                        <w:r>
                          <w:rPr>
                            <w:sz w:val="18"/>
                          </w:rPr>
                          <w:t>表 </w:t>
                        </w:r>
                        <w:r>
                          <w:rPr>
                            <w:rFonts w:ascii="Times New Roman" w:eastAsia="Times New Roman"/>
                            <w:sz w:val="18"/>
                          </w:rPr>
                          <w:t>1 </w:t>
                        </w:r>
                        <w:r>
                          <w:rPr>
                            <w:sz w:val="18"/>
                          </w:rPr>
                          <w:t>中</w:t>
                        </w:r>
                      </w:p>
                      <w:p>
                        <w:pPr>
                          <w:pStyle w:val="TableParagraph"/>
                          <w:spacing w:line="203" w:lineRule="exact"/>
                          <w:ind w:left="368" w:right="357"/>
                          <w:rPr>
                            <w:sz w:val="18"/>
                          </w:rPr>
                        </w:pPr>
                        <w:r>
                          <w:rPr>
                            <w:rFonts w:ascii="Times New Roman" w:eastAsia="Times New Roman"/>
                            <w:sz w:val="18"/>
                          </w:rPr>
                          <w:t>B </w:t>
                        </w:r>
                        <w:r>
                          <w:rPr>
                            <w:sz w:val="18"/>
                          </w:rPr>
                          <w:t>等级标准</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112"/>
                          <w:ind w:left="303" w:right="295"/>
                          <w:rPr>
                            <w:rFonts w:ascii="Times New Roman"/>
                            <w:sz w:val="18"/>
                          </w:rPr>
                        </w:pPr>
                        <w:r>
                          <w:rPr>
                            <w:rFonts w:ascii="Times New Roman"/>
                            <w:sz w:val="18"/>
                          </w:rPr>
                          <w:t>6.5-9.5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112"/>
                          <w:ind w:left="379"/>
                          <w:jc w:val="left"/>
                          <w:rPr>
                            <w:rFonts w:ascii="Times New Roman"/>
                            <w:sz w:val="18"/>
                          </w:rPr>
                        </w:pPr>
                        <w:r>
                          <w:rPr>
                            <w:rFonts w:ascii="Times New Roman"/>
                            <w:sz w:val="18"/>
                          </w:rPr>
                          <w:t>500</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112"/>
                          <w:ind w:left="211" w:right="196"/>
                          <w:rPr>
                            <w:rFonts w:ascii="Times New Roman"/>
                            <w:sz w:val="18"/>
                          </w:rPr>
                        </w:pPr>
                        <w:r>
                          <w:rPr>
                            <w:rFonts w:ascii="Times New Roman"/>
                            <w:sz w:val="18"/>
                          </w:rPr>
                          <w:t>350</w:t>
                        </w:r>
                      </w:p>
                    </w:tc>
                    <w:tc>
                      <w:tcPr>
                        <w:tcW w:w="909" w:type="dxa"/>
                        <w:tcBorders>
                          <w:top w:val="single" w:sz="6" w:space="0" w:color="000000"/>
                          <w:left w:val="single" w:sz="6" w:space="0" w:color="000000"/>
                          <w:bottom w:val="single" w:sz="6" w:space="0" w:color="000000"/>
                          <w:right w:val="single" w:sz="6" w:space="0" w:color="000000"/>
                        </w:tcBorders>
                      </w:tcPr>
                      <w:p>
                        <w:pPr>
                          <w:pStyle w:val="TableParagraph"/>
                          <w:spacing w:before="112"/>
                          <w:ind w:left="251" w:right="238"/>
                          <w:rPr>
                            <w:rFonts w:ascii="Times New Roman"/>
                            <w:sz w:val="18"/>
                          </w:rPr>
                        </w:pPr>
                        <w:r>
                          <w:rPr>
                            <w:rFonts w:ascii="Times New Roman"/>
                            <w:sz w:val="18"/>
                          </w:rPr>
                          <w:t>45</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112"/>
                          <w:ind w:right="264"/>
                          <w:jc w:val="right"/>
                          <w:rPr>
                            <w:rFonts w:ascii="Times New Roman"/>
                            <w:sz w:val="18"/>
                          </w:rPr>
                        </w:pPr>
                        <w:r>
                          <w:rPr>
                            <w:rFonts w:ascii="Times New Roman"/>
                            <w:sz w:val="18"/>
                          </w:rPr>
                          <w:t>400</w:t>
                        </w:r>
                      </w:p>
                    </w:tc>
                    <w:tc>
                      <w:tcPr>
                        <w:tcW w:w="950" w:type="dxa"/>
                        <w:tcBorders>
                          <w:top w:val="single" w:sz="6" w:space="0" w:color="000000"/>
                          <w:left w:val="single" w:sz="6" w:space="0" w:color="000000"/>
                          <w:bottom w:val="single" w:sz="6" w:space="0" w:color="000000"/>
                        </w:tcBorders>
                      </w:tcPr>
                      <w:p>
                        <w:pPr>
                          <w:pStyle w:val="TableParagraph"/>
                          <w:spacing w:before="112"/>
                          <w:ind w:left="182" w:right="170"/>
                          <w:rPr>
                            <w:rFonts w:ascii="Times New Roman"/>
                            <w:sz w:val="18"/>
                          </w:rPr>
                        </w:pPr>
                        <w:r>
                          <w:rPr>
                            <w:rFonts w:ascii="Times New Roman"/>
                            <w:sz w:val="18"/>
                          </w:rPr>
                          <w:t>2.5</w:t>
                        </w:r>
                      </w:p>
                    </w:tc>
                  </w:tr>
                  <w:tr>
                    <w:trPr>
                      <w:trHeight w:val="366" w:hRule="atLeast"/>
                    </w:trPr>
                    <w:tc>
                      <w:tcPr>
                        <w:tcW w:w="2398" w:type="dxa"/>
                        <w:tcBorders>
                          <w:top w:val="single" w:sz="6" w:space="0" w:color="000000"/>
                          <w:right w:val="single" w:sz="6" w:space="0" w:color="000000"/>
                        </w:tcBorders>
                      </w:tcPr>
                      <w:p>
                        <w:pPr>
                          <w:pStyle w:val="TableParagraph"/>
                          <w:spacing w:line="347" w:lineRule="exact"/>
                          <w:ind w:left="366" w:right="357"/>
                          <w:rPr>
                            <w:sz w:val="18"/>
                          </w:rPr>
                        </w:pPr>
                        <w:r>
                          <w:rPr>
                            <w:sz w:val="18"/>
                          </w:rPr>
                          <w:t>达标情况</w:t>
                        </w:r>
                      </w:p>
                    </w:tc>
                    <w:tc>
                      <w:tcPr>
                        <w:tcW w:w="1164" w:type="dxa"/>
                        <w:tcBorders>
                          <w:top w:val="single" w:sz="6" w:space="0" w:color="000000"/>
                          <w:left w:val="single" w:sz="6" w:space="0" w:color="000000"/>
                          <w:right w:val="single" w:sz="6" w:space="0" w:color="000000"/>
                        </w:tcBorders>
                      </w:tcPr>
                      <w:p>
                        <w:pPr>
                          <w:pStyle w:val="TableParagraph"/>
                          <w:spacing w:line="347" w:lineRule="exact"/>
                          <w:ind w:left="302" w:right="295"/>
                          <w:rPr>
                            <w:sz w:val="18"/>
                          </w:rPr>
                        </w:pPr>
                        <w:r>
                          <w:rPr>
                            <w:sz w:val="18"/>
                          </w:rPr>
                          <w:t>达标</w:t>
                        </w:r>
                      </w:p>
                    </w:tc>
                    <w:tc>
                      <w:tcPr>
                        <w:tcW w:w="1037" w:type="dxa"/>
                        <w:tcBorders>
                          <w:top w:val="single" w:sz="6" w:space="0" w:color="000000"/>
                          <w:left w:val="single" w:sz="6" w:space="0" w:color="000000"/>
                          <w:right w:val="single" w:sz="6" w:space="0" w:color="000000"/>
                        </w:tcBorders>
                      </w:tcPr>
                      <w:p>
                        <w:pPr>
                          <w:pStyle w:val="TableParagraph"/>
                          <w:spacing w:line="347" w:lineRule="exact"/>
                          <w:ind w:left="335"/>
                          <w:jc w:val="left"/>
                          <w:rPr>
                            <w:sz w:val="18"/>
                          </w:rPr>
                        </w:pPr>
                        <w:r>
                          <w:rPr>
                            <w:sz w:val="18"/>
                          </w:rPr>
                          <w:t>达标</w:t>
                        </w:r>
                      </w:p>
                    </w:tc>
                    <w:tc>
                      <w:tcPr>
                        <w:tcW w:w="907" w:type="dxa"/>
                        <w:tcBorders>
                          <w:top w:val="single" w:sz="6" w:space="0" w:color="000000"/>
                          <w:left w:val="single" w:sz="6" w:space="0" w:color="000000"/>
                          <w:right w:val="single" w:sz="6" w:space="0" w:color="000000"/>
                        </w:tcBorders>
                      </w:tcPr>
                      <w:p>
                        <w:pPr>
                          <w:pStyle w:val="TableParagraph"/>
                          <w:spacing w:line="347" w:lineRule="exact"/>
                          <w:ind w:left="209" w:right="199"/>
                          <w:rPr>
                            <w:sz w:val="18"/>
                          </w:rPr>
                        </w:pPr>
                        <w:r>
                          <w:rPr>
                            <w:sz w:val="18"/>
                          </w:rPr>
                          <w:t>达标</w:t>
                        </w:r>
                      </w:p>
                    </w:tc>
                    <w:tc>
                      <w:tcPr>
                        <w:tcW w:w="909" w:type="dxa"/>
                        <w:tcBorders>
                          <w:top w:val="single" w:sz="6" w:space="0" w:color="000000"/>
                          <w:left w:val="single" w:sz="6" w:space="0" w:color="000000"/>
                          <w:right w:val="single" w:sz="6" w:space="0" w:color="000000"/>
                        </w:tcBorders>
                      </w:tcPr>
                      <w:p>
                        <w:pPr>
                          <w:pStyle w:val="TableParagraph"/>
                          <w:spacing w:line="347" w:lineRule="exact"/>
                          <w:ind w:left="251" w:right="243"/>
                          <w:rPr>
                            <w:sz w:val="18"/>
                          </w:rPr>
                        </w:pPr>
                        <w:r>
                          <w:rPr>
                            <w:sz w:val="18"/>
                          </w:rPr>
                          <w:t>达标</w:t>
                        </w:r>
                      </w:p>
                    </w:tc>
                    <w:tc>
                      <w:tcPr>
                        <w:tcW w:w="835" w:type="dxa"/>
                        <w:tcBorders>
                          <w:top w:val="single" w:sz="6" w:space="0" w:color="000000"/>
                          <w:left w:val="single" w:sz="6" w:space="0" w:color="000000"/>
                          <w:right w:val="single" w:sz="6" w:space="0" w:color="000000"/>
                        </w:tcBorders>
                      </w:tcPr>
                      <w:p>
                        <w:pPr>
                          <w:pStyle w:val="TableParagraph"/>
                          <w:spacing w:line="347" w:lineRule="exact"/>
                          <w:ind w:right="221"/>
                          <w:jc w:val="right"/>
                          <w:rPr>
                            <w:sz w:val="18"/>
                          </w:rPr>
                        </w:pPr>
                        <w:r>
                          <w:rPr>
                            <w:sz w:val="18"/>
                          </w:rPr>
                          <w:t>达标</w:t>
                        </w:r>
                      </w:p>
                    </w:tc>
                    <w:tc>
                      <w:tcPr>
                        <w:tcW w:w="950" w:type="dxa"/>
                        <w:tcBorders>
                          <w:top w:val="single" w:sz="6" w:space="0" w:color="000000"/>
                          <w:left w:val="single" w:sz="6" w:space="0" w:color="000000"/>
                        </w:tcBorders>
                      </w:tcPr>
                      <w:p>
                        <w:pPr>
                          <w:pStyle w:val="TableParagraph"/>
                          <w:spacing w:line="347" w:lineRule="exact"/>
                          <w:ind w:left="182" w:right="171"/>
                          <w:rPr>
                            <w:sz w:val="18"/>
                          </w:rPr>
                        </w:pPr>
                        <w:r>
                          <w:rPr>
                            <w:sz w:val="18"/>
                          </w:rPr>
                          <w:t>达标</w:t>
                        </w:r>
                      </w:p>
                    </w:tc>
                  </w:tr>
                </w:tbl>
                <w:p>
                  <w:pPr>
                    <w:pStyle w:val="BodyText"/>
                  </w:pPr>
                </w:p>
              </w:txbxContent>
            </v:textbox>
            <w10:wrap type="none"/>
          </v:shape>
        </w:pict>
      </w:r>
      <w:r>
        <w:rPr/>
        <w:t>表</w:t>
      </w:r>
      <w:r>
        <w:rPr>
          <w:spacing w:val="5"/>
        </w:rPr>
        <w:t> </w:t>
      </w:r>
      <w:r>
        <w:rPr>
          <w:rFonts w:ascii="Times New Roman" w:eastAsia="Times New Roman"/>
        </w:rPr>
        <w:t>8.3-1</w:t>
        <w:tab/>
      </w:r>
      <w:r>
        <w:rPr/>
        <w:t>进污水处理厂废水与各项标准对比情况表</w:t>
      </w:r>
    </w:p>
    <w:p>
      <w:pPr>
        <w:pStyle w:val="BodyText"/>
        <w:rPr>
          <w:sz w:val="26"/>
        </w:rPr>
      </w:pPr>
    </w:p>
    <w:p>
      <w:pPr>
        <w:pStyle w:val="BodyText"/>
        <w:rPr>
          <w:sz w:val="26"/>
        </w:rPr>
      </w:pPr>
    </w:p>
    <w:p>
      <w:pPr>
        <w:pStyle w:val="BodyText"/>
        <w:rPr>
          <w:sz w:val="26"/>
        </w:rPr>
      </w:pPr>
    </w:p>
    <w:p>
      <w:pPr>
        <w:pStyle w:val="BodyText"/>
        <w:spacing w:before="20"/>
        <w:rPr>
          <w:sz w:val="26"/>
        </w:rPr>
      </w:pPr>
    </w:p>
    <w:p>
      <w:pPr>
        <w:pStyle w:val="BodyText"/>
        <w:ind w:left="1060"/>
      </w:pPr>
      <w:r>
        <w:rPr/>
        <w:t>（</w:t>
      </w:r>
      <w:r>
        <w:rPr>
          <w:rFonts w:ascii="Times New Roman" w:eastAsia="Times New Roman"/>
        </w:rPr>
        <w:t>2</w:t>
      </w:r>
      <w:r>
        <w:rPr/>
        <w:t>）水量符合性</w:t>
      </w:r>
    </w:p>
    <w:p>
      <w:pPr>
        <w:spacing w:after="0"/>
        <w:sectPr>
          <w:pgSz w:w="11910" w:h="16840"/>
          <w:pgMar w:header="877" w:footer="973" w:top="1340" w:bottom="1160" w:left="1220" w:right="1040"/>
        </w:sectPr>
      </w:pPr>
    </w:p>
    <w:p>
      <w:pPr>
        <w:pStyle w:val="BodyText"/>
        <w:spacing w:line="220" w:lineRule="auto" w:before="77"/>
        <w:ind w:left="580" w:right="756" w:firstLine="479"/>
        <w:jc w:val="both"/>
      </w:pPr>
      <w:r>
        <w:rPr/>
        <w:t>根据上述分析，莒南经济开发区污水处理厂目前处理能力 </w:t>
      </w:r>
      <w:r>
        <w:rPr>
          <w:rFonts w:ascii="Times New Roman" w:eastAsia="Times New Roman"/>
        </w:rPr>
        <w:t>3 </w:t>
      </w:r>
      <w:r>
        <w:rPr/>
        <w:t>万 </w:t>
      </w:r>
      <w:r>
        <w:rPr>
          <w:rFonts w:ascii="Times New Roman" w:eastAsia="Times New Roman"/>
        </w:rPr>
        <w:t>m</w:t>
      </w:r>
      <w:r>
        <w:rPr>
          <w:rFonts w:ascii="Times New Roman" w:eastAsia="Times New Roman"/>
          <w:position w:val="9"/>
          <w:sz w:val="16"/>
        </w:rPr>
        <w:t>3</w:t>
      </w:r>
      <w:r>
        <w:rPr>
          <w:rFonts w:ascii="Times New Roman" w:eastAsia="Times New Roman"/>
        </w:rPr>
        <w:t>/d</w:t>
      </w:r>
      <w:r>
        <w:rPr/>
        <w:t>，目前日接纳废水约 </w:t>
      </w:r>
      <w:r>
        <w:rPr>
          <w:rFonts w:ascii="Times New Roman" w:eastAsia="Times New Roman"/>
        </w:rPr>
        <w:t>2 </w:t>
      </w:r>
      <w:r>
        <w:rPr/>
        <w:t>万 </w:t>
      </w:r>
      <w:r>
        <w:rPr>
          <w:rFonts w:ascii="Times New Roman" w:eastAsia="Times New Roman"/>
        </w:rPr>
        <w:t>m</w:t>
      </w:r>
      <w:r>
        <w:rPr>
          <w:rFonts w:ascii="Times New Roman" w:eastAsia="Times New Roman"/>
          <w:position w:val="9"/>
          <w:sz w:val="16"/>
        </w:rPr>
        <w:t>3</w:t>
      </w:r>
      <w:r>
        <w:rPr>
          <w:rFonts w:ascii="Times New Roman" w:eastAsia="Times New Roman"/>
        </w:rPr>
        <w:t>/d</w:t>
      </w:r>
      <w:r>
        <w:rPr/>
        <w:t>，尚有 </w:t>
      </w:r>
      <w:r>
        <w:rPr>
          <w:rFonts w:ascii="Times New Roman" w:eastAsia="Times New Roman"/>
        </w:rPr>
        <w:t>1 </w:t>
      </w:r>
      <w:r>
        <w:rPr/>
        <w:t>万 </w:t>
      </w:r>
      <w:r>
        <w:rPr>
          <w:rFonts w:ascii="Times New Roman" w:eastAsia="Times New Roman"/>
        </w:rPr>
        <w:t>m</w:t>
      </w:r>
      <w:r>
        <w:rPr>
          <w:rFonts w:ascii="Times New Roman" w:eastAsia="Times New Roman"/>
          <w:position w:val="9"/>
          <w:sz w:val="16"/>
        </w:rPr>
        <w:t>3</w:t>
      </w:r>
      <w:r>
        <w:rPr>
          <w:rFonts w:ascii="Times New Roman" w:eastAsia="Times New Roman"/>
        </w:rPr>
        <w:t>/d </w:t>
      </w:r>
      <w:r>
        <w:rPr/>
        <w:t>的量，本项目建成投产后废水排放量为</w:t>
      </w:r>
    </w:p>
    <w:p>
      <w:pPr>
        <w:pStyle w:val="BodyText"/>
        <w:spacing w:line="220" w:lineRule="auto"/>
        <w:ind w:left="580" w:right="756"/>
      </w:pPr>
      <w:r>
        <w:rPr>
          <w:rFonts w:ascii="Times New Roman" w:eastAsia="Times New Roman"/>
        </w:rPr>
        <w:t>294.4m</w:t>
      </w:r>
      <w:r>
        <w:rPr>
          <w:rFonts w:ascii="Times New Roman" w:eastAsia="Times New Roman"/>
          <w:position w:val="9"/>
          <w:sz w:val="16"/>
        </w:rPr>
        <w:t>3</w:t>
      </w:r>
      <w:r>
        <w:rPr>
          <w:rFonts w:ascii="Times New Roman" w:eastAsia="Times New Roman"/>
        </w:rPr>
        <w:t>/d</w:t>
      </w:r>
      <w:r>
        <w:rPr/>
        <w:t>，仅占污水处理厂运行总量的 </w:t>
      </w:r>
      <w:r>
        <w:rPr>
          <w:rFonts w:ascii="Times New Roman" w:eastAsia="Times New Roman"/>
        </w:rPr>
        <w:t>2.9%</w:t>
      </w:r>
      <w:r>
        <w:rPr/>
        <w:t>。因此，水量上污水处理厂完全有能力接纳本项目废水。</w:t>
      </w:r>
    </w:p>
    <w:p>
      <w:pPr>
        <w:pStyle w:val="Heading4"/>
        <w:numPr>
          <w:ilvl w:val="1"/>
          <w:numId w:val="17"/>
        </w:numPr>
        <w:tabs>
          <w:tab w:pos="1106" w:val="left" w:leader="none"/>
        </w:tabs>
        <w:spacing w:line="617" w:lineRule="exact" w:before="0" w:after="0"/>
        <w:ind w:left="1106" w:right="0" w:hanging="526"/>
        <w:jc w:val="left"/>
      </w:pPr>
      <w:r>
        <w:rPr/>
        <w:t>固体废物环保措施及技术经济论证</w:t>
      </w:r>
    </w:p>
    <w:p>
      <w:pPr>
        <w:pStyle w:val="Heading5"/>
        <w:numPr>
          <w:ilvl w:val="2"/>
          <w:numId w:val="17"/>
        </w:numPr>
        <w:tabs>
          <w:tab w:pos="1279" w:val="left" w:leader="none"/>
        </w:tabs>
        <w:spacing w:line="592" w:lineRule="exact" w:before="12" w:after="0"/>
        <w:ind w:left="1278" w:right="0" w:hanging="698"/>
        <w:jc w:val="left"/>
      </w:pPr>
      <w:r>
        <w:rPr>
          <w:spacing w:val="-2"/>
        </w:rPr>
        <w:t>环保措施技术可行性分析</w:t>
      </w:r>
    </w:p>
    <w:p>
      <w:pPr>
        <w:pStyle w:val="BodyText"/>
        <w:spacing w:line="220" w:lineRule="auto" w:before="27"/>
        <w:ind w:left="580" w:right="663" w:firstLine="479"/>
        <w:jc w:val="both"/>
      </w:pPr>
      <w:r>
        <w:rPr>
          <w:spacing w:val="-8"/>
        </w:rPr>
        <w:t>项目产生的蒸馏残液、滤渣、离心母液、洗涤废液、工艺废气吸收装置废活性炭等属于危险废物，统一收集后送有青岛新天地固废处置有限公司进行处置， 可避免对周围环境产生危害。</w:t>
      </w:r>
    </w:p>
    <w:p>
      <w:pPr>
        <w:pStyle w:val="BodyText"/>
        <w:spacing w:line="220" w:lineRule="auto"/>
        <w:ind w:left="580" w:right="663" w:firstLine="479"/>
        <w:jc w:val="both"/>
      </w:pPr>
      <w:r>
        <w:rPr/>
        <w:t>综上所述，本工程产生的固体废物可得到合理处置，而且其厂内临时储存、</w:t>
      </w:r>
      <w:r>
        <w:rPr>
          <w:spacing w:val="-7"/>
        </w:rPr>
        <w:t>转运等环节严格按《一般工业固体废物贮存、处理场污染控制标准》及《危险废</w:t>
      </w:r>
      <w:r>
        <w:rPr>
          <w:spacing w:val="-19"/>
        </w:rPr>
        <w:t>物贮存污染控制标准》</w:t>
      </w:r>
      <w:r>
        <w:rPr/>
        <w:t>（</w:t>
      </w:r>
      <w:r>
        <w:rPr>
          <w:rFonts w:ascii="Times New Roman" w:eastAsia="Times New Roman"/>
        </w:rPr>
        <w:t>GBl8597-2001</w:t>
      </w:r>
      <w:r>
        <w:rPr/>
        <w:t>）进行规范处置，杜绝二次污染的发生。采取的污染治理措施技术上是成熟可靠的。</w:t>
      </w:r>
    </w:p>
    <w:p>
      <w:pPr>
        <w:pStyle w:val="Heading5"/>
        <w:numPr>
          <w:ilvl w:val="2"/>
          <w:numId w:val="17"/>
        </w:numPr>
        <w:tabs>
          <w:tab w:pos="1279" w:val="left" w:leader="none"/>
        </w:tabs>
        <w:spacing w:line="592" w:lineRule="exact" w:before="6" w:after="0"/>
        <w:ind w:left="1278" w:right="0" w:hanging="698"/>
        <w:jc w:val="left"/>
      </w:pPr>
      <w:r>
        <w:rPr>
          <w:spacing w:val="-2"/>
        </w:rPr>
        <w:t>环保措施经济合理性分析</w:t>
      </w:r>
    </w:p>
    <w:p>
      <w:pPr>
        <w:pStyle w:val="BodyText"/>
        <w:spacing w:line="507" w:lineRule="exact"/>
        <w:ind w:left="1060"/>
      </w:pPr>
      <w:r>
        <w:rPr/>
        <w:t>固体废物处置过程中具体费用见表 </w:t>
      </w:r>
      <w:r>
        <w:rPr>
          <w:rFonts w:ascii="Times New Roman" w:eastAsia="Times New Roman"/>
        </w:rPr>
        <w:t>8-7</w:t>
      </w:r>
      <w:r>
        <w:rPr/>
        <w:t>。</w:t>
      </w:r>
    </w:p>
    <w:p>
      <w:pPr>
        <w:pStyle w:val="BodyText"/>
        <w:tabs>
          <w:tab w:pos="3933" w:val="left" w:leader="none"/>
        </w:tabs>
        <w:spacing w:before="36"/>
        <w:ind w:left="2894"/>
      </w:pPr>
      <w:r>
        <w:rPr/>
        <w:pict>
          <v:shape style="position:absolute;margin-left:89.664001pt;margin-top:23.160013pt;width:416.4pt;height:35.8pt;mso-position-horizontal-relative:page;mso-position-vertical-relative:paragraph;z-index:200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1458"/>
                    <w:gridCol w:w="1455"/>
                    <w:gridCol w:w="1703"/>
                    <w:gridCol w:w="2519"/>
                  </w:tblGrid>
                  <w:tr>
                    <w:trPr>
                      <w:trHeight w:val="340" w:hRule="atLeast"/>
                    </w:trPr>
                    <w:tc>
                      <w:tcPr>
                        <w:tcW w:w="1181" w:type="dxa"/>
                        <w:tcBorders>
                          <w:bottom w:val="single" w:sz="6" w:space="0" w:color="000000"/>
                          <w:right w:val="single" w:sz="6" w:space="0" w:color="000000"/>
                        </w:tcBorders>
                      </w:tcPr>
                      <w:p>
                        <w:pPr>
                          <w:pStyle w:val="TableParagraph"/>
                          <w:spacing w:line="320" w:lineRule="exact"/>
                          <w:ind w:left="359" w:right="348"/>
                          <w:rPr>
                            <w:sz w:val="21"/>
                          </w:rPr>
                        </w:pPr>
                        <w:r>
                          <w:rPr>
                            <w:sz w:val="21"/>
                          </w:rPr>
                          <w:t>序号</w:t>
                        </w:r>
                      </w:p>
                    </w:tc>
                    <w:tc>
                      <w:tcPr>
                        <w:tcW w:w="1458" w:type="dxa"/>
                        <w:tcBorders>
                          <w:left w:val="single" w:sz="6" w:space="0" w:color="000000"/>
                          <w:bottom w:val="single" w:sz="6" w:space="0" w:color="000000"/>
                          <w:right w:val="single" w:sz="6" w:space="0" w:color="000000"/>
                        </w:tcBorders>
                      </w:tcPr>
                      <w:p>
                        <w:pPr>
                          <w:pStyle w:val="TableParagraph"/>
                          <w:spacing w:line="320" w:lineRule="exact"/>
                          <w:ind w:left="285" w:right="275"/>
                          <w:rPr>
                            <w:sz w:val="21"/>
                          </w:rPr>
                        </w:pPr>
                        <w:r>
                          <w:rPr>
                            <w:sz w:val="21"/>
                          </w:rPr>
                          <w:t>项目</w:t>
                        </w:r>
                      </w:p>
                    </w:tc>
                    <w:tc>
                      <w:tcPr>
                        <w:tcW w:w="1455" w:type="dxa"/>
                        <w:tcBorders>
                          <w:left w:val="single" w:sz="6" w:space="0" w:color="000000"/>
                          <w:bottom w:val="single" w:sz="6" w:space="0" w:color="000000"/>
                          <w:right w:val="single" w:sz="6" w:space="0" w:color="000000"/>
                        </w:tcBorders>
                      </w:tcPr>
                      <w:p>
                        <w:pPr>
                          <w:pStyle w:val="TableParagraph"/>
                          <w:spacing w:line="320" w:lineRule="exact"/>
                          <w:ind w:left="53" w:right="43"/>
                          <w:rPr>
                            <w:rFonts w:ascii="Times New Roman" w:eastAsia="Times New Roman"/>
                            <w:sz w:val="21"/>
                          </w:rPr>
                        </w:pPr>
                        <w:r>
                          <w:rPr>
                            <w:sz w:val="21"/>
                          </w:rPr>
                          <w:t>产生量</w:t>
                        </w:r>
                        <w:r>
                          <w:rPr>
                            <w:rFonts w:ascii="Times New Roman" w:eastAsia="Times New Roman"/>
                            <w:sz w:val="21"/>
                          </w:rPr>
                          <w:t>(t/a)</w:t>
                        </w:r>
                      </w:p>
                    </w:tc>
                    <w:tc>
                      <w:tcPr>
                        <w:tcW w:w="1703" w:type="dxa"/>
                        <w:tcBorders>
                          <w:left w:val="single" w:sz="6" w:space="0" w:color="000000"/>
                          <w:bottom w:val="single" w:sz="6" w:space="0" w:color="000000"/>
                          <w:right w:val="single" w:sz="6" w:space="0" w:color="000000"/>
                        </w:tcBorders>
                      </w:tcPr>
                      <w:p>
                        <w:pPr>
                          <w:pStyle w:val="TableParagraph"/>
                          <w:spacing w:line="320" w:lineRule="exact"/>
                          <w:ind w:left="384" w:right="376"/>
                          <w:rPr>
                            <w:rFonts w:ascii="Times New Roman" w:eastAsia="Times New Roman"/>
                            <w:sz w:val="21"/>
                          </w:rPr>
                        </w:pPr>
                        <w:r>
                          <w:rPr>
                            <w:sz w:val="21"/>
                          </w:rPr>
                          <w:t>单价</w:t>
                        </w:r>
                        <w:r>
                          <w:rPr>
                            <w:rFonts w:ascii="Times New Roman" w:eastAsia="Times New Roman"/>
                            <w:sz w:val="21"/>
                          </w:rPr>
                          <w:t>(</w:t>
                        </w:r>
                        <w:r>
                          <w:rPr>
                            <w:sz w:val="21"/>
                          </w:rPr>
                          <w:t>元</w:t>
                        </w:r>
                        <w:r>
                          <w:rPr>
                            <w:rFonts w:ascii="Times New Roman" w:eastAsia="Times New Roman"/>
                            <w:sz w:val="21"/>
                          </w:rPr>
                          <w:t>/t)</w:t>
                        </w:r>
                      </w:p>
                    </w:tc>
                    <w:tc>
                      <w:tcPr>
                        <w:tcW w:w="2519" w:type="dxa"/>
                        <w:tcBorders>
                          <w:left w:val="single" w:sz="6" w:space="0" w:color="000000"/>
                          <w:bottom w:val="single" w:sz="6" w:space="0" w:color="000000"/>
                        </w:tcBorders>
                      </w:tcPr>
                      <w:p>
                        <w:pPr>
                          <w:pStyle w:val="TableParagraph"/>
                          <w:spacing w:line="320" w:lineRule="exact"/>
                          <w:ind w:left="393" w:right="393"/>
                          <w:rPr>
                            <w:sz w:val="21"/>
                          </w:rPr>
                        </w:pPr>
                        <w:r>
                          <w:rPr>
                            <w:sz w:val="21"/>
                          </w:rPr>
                          <w:t>产生效益（万元）</w:t>
                        </w:r>
                      </w:p>
                    </w:tc>
                  </w:tr>
                  <w:tr>
                    <w:trPr>
                      <w:trHeight w:val="340" w:hRule="atLeast"/>
                    </w:trPr>
                    <w:tc>
                      <w:tcPr>
                        <w:tcW w:w="1181" w:type="dxa"/>
                        <w:tcBorders>
                          <w:top w:val="single" w:sz="6" w:space="0" w:color="000000"/>
                          <w:right w:val="single" w:sz="6" w:space="0" w:color="000000"/>
                        </w:tcBorders>
                      </w:tcPr>
                      <w:p>
                        <w:pPr>
                          <w:pStyle w:val="TableParagraph"/>
                          <w:spacing w:before="43"/>
                          <w:ind w:left="11"/>
                          <w:rPr>
                            <w:rFonts w:ascii="Times New Roman"/>
                            <w:sz w:val="21"/>
                          </w:rPr>
                        </w:pPr>
                        <w:r>
                          <w:rPr>
                            <w:rFonts w:ascii="Times New Roman"/>
                            <w:w w:val="100"/>
                            <w:sz w:val="21"/>
                          </w:rPr>
                          <w:t>1</w:t>
                        </w:r>
                      </w:p>
                    </w:tc>
                    <w:tc>
                      <w:tcPr>
                        <w:tcW w:w="1458" w:type="dxa"/>
                        <w:tcBorders>
                          <w:top w:val="single" w:sz="6" w:space="0" w:color="000000"/>
                          <w:left w:val="single" w:sz="6" w:space="0" w:color="000000"/>
                          <w:right w:val="single" w:sz="6" w:space="0" w:color="000000"/>
                        </w:tcBorders>
                      </w:tcPr>
                      <w:p>
                        <w:pPr>
                          <w:pStyle w:val="TableParagraph"/>
                          <w:spacing w:line="320" w:lineRule="exact"/>
                          <w:ind w:left="285" w:right="278"/>
                          <w:rPr>
                            <w:sz w:val="21"/>
                          </w:rPr>
                        </w:pPr>
                        <w:r>
                          <w:rPr>
                            <w:sz w:val="21"/>
                          </w:rPr>
                          <w:t>危险废物</w:t>
                        </w:r>
                      </w:p>
                    </w:tc>
                    <w:tc>
                      <w:tcPr>
                        <w:tcW w:w="1455" w:type="dxa"/>
                        <w:tcBorders>
                          <w:top w:val="single" w:sz="6" w:space="0" w:color="000000"/>
                          <w:left w:val="single" w:sz="6" w:space="0" w:color="000000"/>
                          <w:right w:val="single" w:sz="6" w:space="0" w:color="000000"/>
                        </w:tcBorders>
                      </w:tcPr>
                      <w:p>
                        <w:pPr>
                          <w:pStyle w:val="TableParagraph"/>
                          <w:spacing w:before="43"/>
                          <w:ind w:left="55" w:right="43"/>
                          <w:rPr>
                            <w:rFonts w:ascii="Times New Roman"/>
                            <w:sz w:val="21"/>
                          </w:rPr>
                        </w:pPr>
                        <w:r>
                          <w:rPr>
                            <w:rFonts w:ascii="Times New Roman"/>
                            <w:sz w:val="21"/>
                          </w:rPr>
                          <w:t>2109</w:t>
                        </w:r>
                      </w:p>
                    </w:tc>
                    <w:tc>
                      <w:tcPr>
                        <w:tcW w:w="1703" w:type="dxa"/>
                        <w:tcBorders>
                          <w:top w:val="single" w:sz="6" w:space="0" w:color="000000"/>
                          <w:left w:val="single" w:sz="6" w:space="0" w:color="000000"/>
                          <w:right w:val="single" w:sz="6" w:space="0" w:color="000000"/>
                        </w:tcBorders>
                      </w:tcPr>
                      <w:p>
                        <w:pPr>
                          <w:pStyle w:val="TableParagraph"/>
                          <w:spacing w:before="43"/>
                          <w:ind w:left="384" w:right="376"/>
                          <w:rPr>
                            <w:rFonts w:ascii="Times New Roman"/>
                            <w:sz w:val="21"/>
                          </w:rPr>
                        </w:pPr>
                        <w:r>
                          <w:rPr>
                            <w:rFonts w:ascii="Times New Roman"/>
                            <w:sz w:val="21"/>
                          </w:rPr>
                          <w:t>3000</w:t>
                        </w:r>
                      </w:p>
                    </w:tc>
                    <w:tc>
                      <w:tcPr>
                        <w:tcW w:w="2519" w:type="dxa"/>
                        <w:tcBorders>
                          <w:top w:val="single" w:sz="6" w:space="0" w:color="000000"/>
                          <w:left w:val="single" w:sz="6" w:space="0" w:color="000000"/>
                        </w:tcBorders>
                      </w:tcPr>
                      <w:p>
                        <w:pPr>
                          <w:pStyle w:val="TableParagraph"/>
                          <w:spacing w:before="43"/>
                          <w:ind w:left="393" w:right="389"/>
                          <w:rPr>
                            <w:rFonts w:ascii="Times New Roman"/>
                            <w:sz w:val="21"/>
                          </w:rPr>
                        </w:pPr>
                        <w:r>
                          <w:rPr>
                            <w:rFonts w:ascii="Times New Roman"/>
                            <w:sz w:val="21"/>
                          </w:rPr>
                          <w:t>632.7</w:t>
                        </w:r>
                      </w:p>
                    </w:tc>
                  </w:tr>
                </w:tbl>
                <w:p>
                  <w:pPr>
                    <w:pStyle w:val="BodyText"/>
                  </w:pPr>
                </w:p>
              </w:txbxContent>
            </v:textbox>
            <w10:wrap type="none"/>
          </v:shape>
        </w:pict>
      </w:r>
      <w:r>
        <w:rPr/>
        <w:t>表</w:t>
      </w:r>
      <w:r>
        <w:rPr>
          <w:spacing w:val="5"/>
        </w:rPr>
        <w:t> </w:t>
      </w:r>
      <w:r>
        <w:rPr>
          <w:rFonts w:ascii="Times New Roman" w:eastAsia="Times New Roman"/>
        </w:rPr>
        <w:t>8.4-1</w:t>
        <w:tab/>
      </w:r>
      <w:r>
        <w:rPr/>
        <w:t>固体废物处理费用一览表</w:t>
      </w:r>
    </w:p>
    <w:p>
      <w:pPr>
        <w:pStyle w:val="BodyText"/>
        <w:spacing w:before="18"/>
        <w:rPr>
          <w:sz w:val="36"/>
        </w:rPr>
      </w:pPr>
    </w:p>
    <w:p>
      <w:pPr>
        <w:pStyle w:val="BodyText"/>
        <w:spacing w:line="220" w:lineRule="auto"/>
        <w:ind w:left="580" w:right="756" w:firstLine="479"/>
        <w:jc w:val="both"/>
      </w:pPr>
      <w:r>
        <w:rPr>
          <w:spacing w:val="1"/>
        </w:rPr>
        <w:t>由表 </w:t>
      </w:r>
      <w:r>
        <w:rPr>
          <w:rFonts w:ascii="Times New Roman" w:eastAsia="Times New Roman"/>
        </w:rPr>
        <w:t>8.4-1 </w:t>
      </w:r>
      <w:r>
        <w:rPr/>
        <w:t>可见，本项目固体废物处理费用约为 </w:t>
      </w:r>
      <w:r>
        <w:rPr>
          <w:rFonts w:ascii="Times New Roman" w:eastAsia="Times New Roman"/>
        </w:rPr>
        <w:t>632.7 </w:t>
      </w:r>
      <w:r>
        <w:rPr/>
        <w:t>万元</w:t>
      </w:r>
      <w:r>
        <w:rPr>
          <w:rFonts w:ascii="Times New Roman" w:eastAsia="Times New Roman"/>
        </w:rPr>
        <w:t>/</w:t>
      </w:r>
      <w:r>
        <w:rPr/>
        <w:t>年。尽管该部分</w:t>
      </w:r>
      <w:r>
        <w:rPr>
          <w:spacing w:val="-9"/>
        </w:rPr>
        <w:t>处理费用较高，但是项目生产过程中产生危险废物较多，随意丢弃后会对环境产生严重危害，因此委托有资质的危废处置单位处置是必要的。</w:t>
      </w:r>
    </w:p>
    <w:p>
      <w:pPr>
        <w:pStyle w:val="Heading4"/>
        <w:numPr>
          <w:ilvl w:val="1"/>
          <w:numId w:val="18"/>
        </w:numPr>
        <w:tabs>
          <w:tab w:pos="1070" w:val="left" w:leader="none"/>
        </w:tabs>
        <w:spacing w:line="607" w:lineRule="exact" w:before="0" w:after="0"/>
        <w:ind w:left="1070" w:right="0" w:hanging="490"/>
        <w:jc w:val="left"/>
        <w:rPr>
          <w:rFonts w:ascii="Times New Roman" w:eastAsia="Times New Roman"/>
          <w:sz w:val="28"/>
        </w:rPr>
      </w:pPr>
      <w:r>
        <w:rPr/>
        <w:t>噪声环保措施及技术经济论证</w:t>
      </w:r>
    </w:p>
    <w:p>
      <w:pPr>
        <w:pStyle w:val="BodyText"/>
        <w:spacing w:line="220" w:lineRule="auto" w:before="18"/>
        <w:ind w:left="580" w:right="756" w:firstLine="479"/>
        <w:jc w:val="both"/>
      </w:pPr>
      <w:r>
        <w:rPr>
          <w:spacing w:val="-18"/>
        </w:rPr>
        <w:t>本项目主要噪声源为风机、料泵、离心机、粉碎机等产生的噪声，噪声级</w:t>
      </w:r>
      <w:r>
        <w:rPr/>
        <w:t>（单机）</w:t>
      </w:r>
      <w:r>
        <w:rPr>
          <w:spacing w:val="12"/>
        </w:rPr>
        <w:t>一般为 </w:t>
      </w:r>
      <w:r>
        <w:rPr>
          <w:rFonts w:ascii="Times New Roman" w:eastAsia="Times New Roman"/>
        </w:rPr>
        <w:t>70-90dB(A)</w:t>
      </w:r>
      <w:r>
        <w:rPr/>
        <w:t>。为了改善操作环境，控制动力设备产生的噪音在标准</w:t>
      </w:r>
      <w:r>
        <w:rPr>
          <w:spacing w:val="-8"/>
        </w:rPr>
        <w:t>允许的范围内，在设备选型上，首先选用装备先进的低噪音设备，并采取适当的降噪措施：</w:t>
      </w:r>
    </w:p>
    <w:p>
      <w:pPr>
        <w:pStyle w:val="BodyText"/>
        <w:spacing w:line="460" w:lineRule="exact"/>
        <w:ind w:left="1060"/>
      </w:pPr>
      <w:r>
        <w:rPr/>
        <w:t>（</w:t>
      </w:r>
      <w:r>
        <w:rPr>
          <w:rFonts w:ascii="Times New Roman" w:eastAsia="Times New Roman"/>
        </w:rPr>
        <w:t>1</w:t>
      </w:r>
      <w:r>
        <w:rPr/>
        <w:t>）机组基础设置衬垫，使之与建筑结构隔开；风机的进出口装消音器；</w:t>
      </w:r>
    </w:p>
    <w:p>
      <w:pPr>
        <w:pStyle w:val="BodyText"/>
        <w:spacing w:line="489" w:lineRule="exact"/>
        <w:ind w:left="1060"/>
      </w:pPr>
      <w:r>
        <w:rPr/>
        <w:t>（</w:t>
      </w:r>
      <w:r>
        <w:rPr>
          <w:rFonts w:ascii="Times New Roman" w:eastAsia="Times New Roman"/>
        </w:rPr>
        <w:t>2</w:t>
      </w:r>
      <w:r>
        <w:rPr/>
        <w:t>）针对管路噪声，设计时尽量防止管道拐弯、交叉、截面剧变和 </w:t>
      </w:r>
      <w:r>
        <w:rPr>
          <w:rFonts w:ascii="Times New Roman" w:eastAsia="Times New Roman"/>
        </w:rPr>
        <w:t>T</w:t>
      </w:r>
      <w:r>
        <w:rPr>
          <w:rFonts w:ascii="Times New Roman" w:eastAsia="Times New Roman"/>
          <w:spacing w:val="-1"/>
        </w:rPr>
        <w:t> </w:t>
      </w:r>
      <w:r>
        <w:rPr/>
        <w:t>型汇</w:t>
      </w:r>
    </w:p>
    <w:p>
      <w:pPr>
        <w:spacing w:after="0" w:line="489" w:lineRule="exact"/>
        <w:sectPr>
          <w:pgSz w:w="11910" w:h="16840"/>
          <w:pgMar w:header="877" w:footer="973" w:top="1340" w:bottom="1160" w:left="1220" w:right="1040"/>
        </w:sectPr>
      </w:pPr>
    </w:p>
    <w:p>
      <w:pPr>
        <w:pStyle w:val="BodyText"/>
        <w:spacing w:line="488" w:lineRule="exact" w:before="48"/>
        <w:ind w:left="580"/>
      </w:pPr>
      <w:r>
        <w:rPr/>
        <w:t>流；</w:t>
      </w:r>
    </w:p>
    <w:p>
      <w:pPr>
        <w:pStyle w:val="BodyText"/>
        <w:spacing w:line="220" w:lineRule="auto" w:before="8"/>
        <w:ind w:left="580" w:right="764" w:firstLine="479"/>
        <w:jc w:val="both"/>
      </w:pPr>
      <w:r>
        <w:rPr/>
        <w:t>（</w:t>
      </w:r>
      <w:r>
        <w:rPr>
          <w:rFonts w:ascii="Times New Roman" w:eastAsia="Times New Roman"/>
        </w:rPr>
        <w:t>3</w:t>
      </w:r>
      <w:r>
        <w:rPr/>
        <w:t>）对于机、泵等振源相连接的管线，在靠近振源处设置软接头，以隔断固体传声；在管线穿越建筑物的墙体和金属桁架接触时，采用弹性连接；</w:t>
      </w:r>
    </w:p>
    <w:p>
      <w:pPr>
        <w:pStyle w:val="BodyText"/>
        <w:spacing w:line="220" w:lineRule="auto"/>
        <w:ind w:left="580" w:right="763" w:firstLine="479"/>
        <w:jc w:val="both"/>
      </w:pPr>
      <w:r>
        <w:rPr/>
        <w:t>（</w:t>
      </w:r>
      <w:r>
        <w:rPr>
          <w:rFonts w:ascii="Times New Roman" w:eastAsia="Times New Roman"/>
        </w:rPr>
        <w:t>4</w:t>
      </w:r>
      <w:r>
        <w:rPr/>
        <w:t>）厂区平面布置要优化，合理布局，将高噪声设备尽量布置在远离厂界处，通过距离衰减减轻噪声源对厂界噪声的影响；</w:t>
      </w:r>
    </w:p>
    <w:p>
      <w:pPr>
        <w:pStyle w:val="BodyText"/>
        <w:spacing w:line="220" w:lineRule="auto"/>
        <w:ind w:left="580" w:right="757" w:firstLine="479"/>
        <w:jc w:val="both"/>
      </w:pPr>
      <w:r>
        <w:rPr/>
        <w:t>（</w:t>
      </w:r>
      <w:r>
        <w:rPr>
          <w:rFonts w:ascii="Times New Roman" w:eastAsia="Times New Roman"/>
        </w:rPr>
        <w:t>5</w:t>
      </w:r>
      <w:r>
        <w:rPr/>
        <w:t>）设备布置时远离行政办公区，设置隔音机房；工人不设固定岗，只作</w:t>
      </w:r>
      <w:r>
        <w:rPr>
          <w:spacing w:val="-11"/>
        </w:rPr>
        <w:t>巡回检查；操作间做吸音、隔音处理；厂区周围及高噪音车间周围种植降噪植物等。</w:t>
      </w:r>
    </w:p>
    <w:p>
      <w:pPr>
        <w:pStyle w:val="BodyText"/>
        <w:spacing w:line="220" w:lineRule="auto"/>
        <w:ind w:left="580" w:right="664" w:firstLine="479"/>
        <w:jc w:val="both"/>
      </w:pPr>
      <w:r>
        <w:rPr>
          <w:spacing w:val="-5"/>
        </w:rPr>
        <w:t>由于本项目离居民区较远</w:t>
      </w:r>
      <w:r>
        <w:rPr/>
        <w:t>（</w:t>
      </w:r>
      <w:r>
        <w:rPr>
          <w:spacing w:val="1"/>
        </w:rPr>
        <w:t>最近的村庄为 </w:t>
      </w:r>
      <w:r>
        <w:rPr>
          <w:rFonts w:ascii="Times New Roman" w:eastAsia="Times New Roman"/>
        </w:rPr>
        <w:t>300m</w:t>
      </w:r>
      <w:r>
        <w:rPr>
          <w:spacing w:val="-120"/>
        </w:rPr>
        <w:t>）</w:t>
      </w:r>
      <w:r>
        <w:rPr>
          <w:spacing w:val="-8"/>
        </w:rPr>
        <w:t>，噪声超标扰民的可能性不大。为改善工人劳动环境，确保厂界噪声达标，本项目采取的措施均简单易行， 投资较低，可靠性强且效果明显，可确保厂界噪声稳定达标。</w:t>
      </w:r>
    </w:p>
    <w:p>
      <w:pPr>
        <w:pStyle w:val="BodyText"/>
        <w:spacing w:line="220" w:lineRule="auto"/>
        <w:ind w:left="580" w:right="759" w:firstLine="479"/>
        <w:jc w:val="both"/>
      </w:pPr>
      <w:r>
        <w:rPr>
          <w:spacing w:val="-9"/>
        </w:rPr>
        <w:t>综上所述，本项目所采取的各类污染治理措施在技术上是可行的，经济上是合理的，能够确保项目污染物达标排放或综合利用。</w:t>
      </w:r>
    </w:p>
    <w:p>
      <w:pPr>
        <w:pStyle w:val="Heading4"/>
        <w:numPr>
          <w:ilvl w:val="1"/>
          <w:numId w:val="18"/>
        </w:numPr>
        <w:tabs>
          <w:tab w:pos="1106" w:val="left" w:leader="none"/>
        </w:tabs>
        <w:spacing w:line="606" w:lineRule="exact" w:before="0" w:after="0"/>
        <w:ind w:left="1106" w:right="0" w:hanging="526"/>
        <w:jc w:val="left"/>
        <w:rPr>
          <w:rFonts w:ascii="Times New Roman" w:eastAsia="Times New Roman"/>
        </w:rPr>
      </w:pPr>
      <w:r>
        <w:rPr/>
        <w:t>进一步缓解污染的对策</w:t>
      </w:r>
    </w:p>
    <w:p>
      <w:pPr>
        <w:pStyle w:val="BodyText"/>
        <w:spacing w:line="220" w:lineRule="auto" w:before="18"/>
        <w:ind w:left="580" w:right="764" w:firstLine="479"/>
        <w:jc w:val="both"/>
      </w:pPr>
      <w:r>
        <w:rPr/>
        <w:t>（</w:t>
      </w:r>
      <w:r>
        <w:rPr>
          <w:rFonts w:ascii="Times New Roman" w:eastAsia="Times New Roman"/>
        </w:rPr>
        <w:t>1</w:t>
      </w:r>
      <w:r>
        <w:rPr/>
        <w:t>）企业应密切关注国内外生产技术及生产废水处理的发展动向，积极采用先进技术，注重清洁生产，在生产过程中尽量降低废物的产生量。</w:t>
      </w:r>
    </w:p>
    <w:p>
      <w:pPr>
        <w:pStyle w:val="BodyText"/>
        <w:spacing w:line="220" w:lineRule="auto"/>
        <w:ind w:left="580" w:right="757" w:firstLine="479"/>
        <w:jc w:val="both"/>
      </w:pPr>
      <w:r>
        <w:rPr/>
        <w:t>（</w:t>
      </w:r>
      <w:r>
        <w:rPr>
          <w:rFonts w:ascii="Times New Roman" w:eastAsia="Times New Roman"/>
        </w:rPr>
        <w:t>2</w:t>
      </w:r>
      <w:r>
        <w:rPr/>
        <w:t>）加强生产现场的综合管理，严格按操作规程操作，提高职工的操作水</w:t>
      </w:r>
      <w:r>
        <w:rPr>
          <w:spacing w:val="-11"/>
        </w:rPr>
        <w:t>平，减少和杜绝跑、冒、滴、漏现象的发生，以减少工程无组织排放造成的物料流失和对环境的影响。</w:t>
      </w:r>
    </w:p>
    <w:p>
      <w:pPr>
        <w:pStyle w:val="BodyText"/>
        <w:spacing w:line="220" w:lineRule="auto"/>
        <w:ind w:left="580" w:right="663" w:firstLine="479"/>
        <w:jc w:val="both"/>
      </w:pPr>
      <w:r>
        <w:rPr/>
        <w:t>（</w:t>
      </w:r>
      <w:r>
        <w:rPr>
          <w:rFonts w:ascii="Times New Roman" w:eastAsia="Times New Roman"/>
        </w:rPr>
        <w:t>3</w:t>
      </w:r>
      <w:r>
        <w:rPr/>
        <w:t>）加强对废气处理设施和污水处理站的运行管理，提高操作人员的技术水平，建立非正常情况下的排污处理应急措施，以确保各处理设施的平稳运行。设备检修及非正常工况下排污需要严格监测，废水应全部截留，并返回污水处理设施重新处理，不能直接排放。</w:t>
      </w:r>
    </w:p>
    <w:p>
      <w:pPr>
        <w:pStyle w:val="BodyText"/>
        <w:spacing w:line="220" w:lineRule="auto"/>
        <w:ind w:left="580" w:right="764" w:firstLine="479"/>
        <w:jc w:val="both"/>
      </w:pPr>
      <w:r>
        <w:rPr/>
        <w:t>（</w:t>
      </w:r>
      <w:r>
        <w:rPr>
          <w:rFonts w:ascii="Times New Roman" w:eastAsia="Times New Roman"/>
        </w:rPr>
        <w:t>4</w:t>
      </w:r>
      <w:r>
        <w:rPr/>
        <w:t>）加强固废的妥善处置管理工作，及时运走不要积存，对固废暂存场所作好防渗、防雨等，以减少二次污染。</w:t>
      </w:r>
    </w:p>
    <w:p>
      <w:pPr>
        <w:pStyle w:val="BodyText"/>
        <w:spacing w:line="220" w:lineRule="auto"/>
        <w:ind w:left="580" w:right="764" w:firstLine="479"/>
        <w:jc w:val="both"/>
      </w:pPr>
      <w:r>
        <w:rPr/>
        <w:t>（</w:t>
      </w:r>
      <w:r>
        <w:rPr>
          <w:rFonts w:ascii="Times New Roman" w:eastAsia="Times New Roman"/>
        </w:rPr>
        <w:t>5</w:t>
      </w:r>
      <w:r>
        <w:rPr/>
        <w:t>）在废水排放口应设置永久性排放口标志、污水水量计量装置和污水比例采样装置。</w:t>
      </w:r>
    </w:p>
    <w:p>
      <w:pPr>
        <w:pStyle w:val="BodyText"/>
        <w:spacing w:line="220" w:lineRule="auto"/>
        <w:ind w:left="580" w:right="756" w:firstLine="479"/>
        <w:jc w:val="both"/>
      </w:pPr>
      <w:r>
        <w:rPr>
          <w:spacing w:val="-27"/>
        </w:rPr>
        <w:t>（</w:t>
      </w:r>
      <w:r>
        <w:rPr>
          <w:rFonts w:ascii="Times New Roman" w:hAnsi="Times New Roman" w:eastAsia="Times New Roman"/>
          <w:spacing w:val="-27"/>
        </w:rPr>
        <w:t>6</w:t>
      </w:r>
      <w:r>
        <w:rPr>
          <w:spacing w:val="-27"/>
        </w:rPr>
        <w:t>）</w:t>
      </w:r>
      <w:r>
        <w:rPr>
          <w:spacing w:val="-15"/>
        </w:rPr>
        <w:t>加强企业内部环境质量管理，建立、健内环保监测机构，对生产中的</w:t>
      </w:r>
      <w:r>
        <w:rPr>
          <w:rFonts w:ascii="Times New Roman" w:hAnsi="Times New Roman" w:eastAsia="Times New Roman"/>
        </w:rPr>
        <w:t>“</w:t>
      </w:r>
      <w:r>
        <w:rPr/>
        <w:t>三废</w:t>
      </w:r>
      <w:r>
        <w:rPr>
          <w:rFonts w:ascii="Times New Roman" w:hAnsi="Times New Roman" w:eastAsia="Times New Roman"/>
        </w:rPr>
        <w:t>”</w:t>
      </w:r>
      <w:r>
        <w:rPr/>
        <w:t>进行系统化监测，发现非正常排放及时解决。</w:t>
      </w:r>
    </w:p>
    <w:p>
      <w:pPr>
        <w:spacing w:after="0" w:line="220" w:lineRule="auto"/>
        <w:jc w:val="both"/>
        <w:sectPr>
          <w:pgSz w:w="11910" w:h="16840"/>
          <w:pgMar w:header="877" w:footer="973" w:top="1340" w:bottom="1160" w:left="1220" w:right="1040"/>
        </w:sectPr>
      </w:pPr>
    </w:p>
    <w:p>
      <w:pPr>
        <w:pStyle w:val="BodyText"/>
        <w:spacing w:before="5"/>
        <w:rPr>
          <w:sz w:val="10"/>
        </w:rPr>
      </w:pPr>
    </w:p>
    <w:p>
      <w:pPr>
        <w:pStyle w:val="Heading1"/>
        <w:numPr>
          <w:ilvl w:val="0"/>
          <w:numId w:val="18"/>
        </w:numPr>
        <w:tabs>
          <w:tab w:pos="1021" w:val="left" w:leader="none"/>
          <w:tab w:pos="1022" w:val="left" w:leader="none"/>
        </w:tabs>
        <w:spacing w:line="725" w:lineRule="exact" w:before="0" w:after="0"/>
        <w:ind w:left="1022" w:right="0" w:hanging="442"/>
        <w:jc w:val="left"/>
        <w:rPr>
          <w:rFonts w:ascii="Times New Roman" w:eastAsia="Times New Roman"/>
        </w:rPr>
      </w:pPr>
      <w:r>
        <w:rPr/>
        <w:t>环境经济损益分析</w:t>
      </w:r>
    </w:p>
    <w:p>
      <w:pPr>
        <w:pStyle w:val="BodyText"/>
        <w:spacing w:line="220" w:lineRule="auto" w:before="70"/>
        <w:ind w:left="580" w:right="755" w:firstLine="479"/>
        <w:jc w:val="both"/>
      </w:pPr>
      <w:r>
        <w:rPr>
          <w:spacing w:val="-5"/>
        </w:rPr>
        <w:t>环境经济损益分析是环境影响评价的一项重要内容，其重要任务是分析建设</w:t>
      </w:r>
      <w:r>
        <w:rPr/>
        <w:t>项目投入的环保资金所能收到的环境保护效果以及可能带来的社会效益和环境效益，是衡量环保设施投资在环保上是否合理的一个重要尺度。</w:t>
      </w:r>
    </w:p>
    <w:p>
      <w:pPr>
        <w:pStyle w:val="BodyText"/>
        <w:spacing w:line="220" w:lineRule="auto"/>
        <w:ind w:left="580" w:right="757" w:firstLine="479"/>
        <w:jc w:val="both"/>
      </w:pPr>
      <w:r>
        <w:rPr>
          <w:spacing w:val="-5"/>
        </w:rPr>
        <w:t>本次环评的经济损益分析主要从经济效益、环境效益三个方面对工程的环境经济损益分析作简要的分析。</w:t>
      </w:r>
    </w:p>
    <w:p>
      <w:pPr>
        <w:pStyle w:val="Heading4"/>
        <w:numPr>
          <w:ilvl w:val="1"/>
          <w:numId w:val="19"/>
        </w:numPr>
        <w:tabs>
          <w:tab w:pos="1181" w:val="left" w:leader="none"/>
        </w:tabs>
        <w:spacing w:line="607" w:lineRule="exact" w:before="0" w:after="0"/>
        <w:ind w:left="1180" w:right="0" w:hanging="600"/>
        <w:jc w:val="left"/>
      </w:pPr>
      <w:r>
        <w:rPr/>
        <w:t>经济效益分析</w:t>
      </w:r>
    </w:p>
    <w:p>
      <w:pPr>
        <w:pStyle w:val="BodyText"/>
        <w:spacing w:line="220" w:lineRule="auto" w:before="18"/>
        <w:ind w:left="580" w:right="756" w:firstLine="479"/>
        <w:jc w:val="both"/>
      </w:pPr>
      <w:r>
        <w:rPr>
          <w:spacing w:val="-1"/>
        </w:rPr>
        <w:t>仁和堂药业有限公司医药工业园——原料药建设项目总投资 </w:t>
      </w:r>
      <w:r>
        <w:rPr/>
        <w:t>24499</w:t>
      </w:r>
      <w:r>
        <w:rPr>
          <w:spacing w:val="-20"/>
        </w:rPr>
        <w:t> 万元，其</w:t>
      </w:r>
      <w:r>
        <w:rPr>
          <w:spacing w:val="-18"/>
        </w:rPr>
        <w:t>主要经济指标见表 </w:t>
      </w:r>
      <w:r>
        <w:rPr/>
        <w:t>9.1-1。</w:t>
      </w:r>
    </w:p>
    <w:p>
      <w:pPr>
        <w:pStyle w:val="BodyText"/>
        <w:tabs>
          <w:tab w:pos="3864" w:val="left" w:leader="none"/>
        </w:tabs>
        <w:spacing w:before="48"/>
        <w:ind w:left="2724"/>
      </w:pPr>
      <w:r>
        <w:rPr/>
        <w:pict>
          <v:shape style="position:absolute;margin-left:89.783997pt;margin-top:23.759998pt;width:416.25pt;height:338.45pt;mso-position-horizontal-relative:page;mso-position-vertical-relative:paragraph;z-index:2032"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2"/>
                    <w:gridCol w:w="3120"/>
                    <w:gridCol w:w="1560"/>
                    <w:gridCol w:w="1416"/>
                    <w:gridCol w:w="1355"/>
                  </w:tblGrid>
                  <w:tr>
                    <w:trPr>
                      <w:trHeight w:val="375" w:hRule="atLeast"/>
                    </w:trPr>
                    <w:tc>
                      <w:tcPr>
                        <w:tcW w:w="842" w:type="dxa"/>
                      </w:tcPr>
                      <w:p>
                        <w:pPr>
                          <w:pStyle w:val="TableParagraph"/>
                          <w:spacing w:line="356" w:lineRule="exact"/>
                          <w:ind w:left="210"/>
                          <w:jc w:val="left"/>
                          <w:rPr>
                            <w:sz w:val="21"/>
                          </w:rPr>
                        </w:pPr>
                        <w:r>
                          <w:rPr>
                            <w:sz w:val="21"/>
                          </w:rPr>
                          <w:t>名称</w:t>
                        </w:r>
                      </w:p>
                    </w:tc>
                    <w:tc>
                      <w:tcPr>
                        <w:tcW w:w="3120" w:type="dxa"/>
                      </w:tcPr>
                      <w:p>
                        <w:pPr>
                          <w:pStyle w:val="TableParagraph"/>
                          <w:spacing w:line="356" w:lineRule="exact"/>
                          <w:ind w:left="232" w:right="211"/>
                          <w:rPr>
                            <w:sz w:val="21"/>
                          </w:rPr>
                        </w:pPr>
                        <w:r>
                          <w:rPr>
                            <w:sz w:val="21"/>
                          </w:rPr>
                          <w:t>项目</w:t>
                        </w:r>
                      </w:p>
                    </w:tc>
                    <w:tc>
                      <w:tcPr>
                        <w:tcW w:w="1560" w:type="dxa"/>
                      </w:tcPr>
                      <w:p>
                        <w:pPr>
                          <w:pStyle w:val="TableParagraph"/>
                          <w:spacing w:line="356" w:lineRule="exact"/>
                          <w:ind w:left="112" w:right="95"/>
                          <w:rPr>
                            <w:sz w:val="21"/>
                          </w:rPr>
                        </w:pPr>
                        <w:r>
                          <w:rPr>
                            <w:sz w:val="21"/>
                          </w:rPr>
                          <w:t>单位</w:t>
                        </w:r>
                      </w:p>
                    </w:tc>
                    <w:tc>
                      <w:tcPr>
                        <w:tcW w:w="1416" w:type="dxa"/>
                      </w:tcPr>
                      <w:p>
                        <w:pPr>
                          <w:pStyle w:val="TableParagraph"/>
                          <w:spacing w:line="356" w:lineRule="exact"/>
                          <w:ind w:left="327" w:right="310"/>
                          <w:rPr>
                            <w:sz w:val="21"/>
                          </w:rPr>
                        </w:pPr>
                        <w:r>
                          <w:rPr>
                            <w:sz w:val="21"/>
                          </w:rPr>
                          <w:t>数额</w:t>
                        </w:r>
                      </w:p>
                    </w:tc>
                    <w:tc>
                      <w:tcPr>
                        <w:tcW w:w="1355" w:type="dxa"/>
                      </w:tcPr>
                      <w:p>
                        <w:pPr>
                          <w:pStyle w:val="TableParagraph"/>
                          <w:spacing w:line="356" w:lineRule="exact"/>
                          <w:ind w:left="239" w:right="213"/>
                          <w:rPr>
                            <w:sz w:val="21"/>
                          </w:rPr>
                        </w:pPr>
                        <w:r>
                          <w:rPr>
                            <w:sz w:val="21"/>
                          </w:rPr>
                          <w:t>备注</w:t>
                        </w:r>
                      </w:p>
                    </w:tc>
                  </w:tr>
                  <w:tr>
                    <w:trPr>
                      <w:trHeight w:val="375" w:hRule="atLeast"/>
                    </w:trPr>
                    <w:tc>
                      <w:tcPr>
                        <w:tcW w:w="842" w:type="dxa"/>
                        <w:vMerge w:val="restart"/>
                      </w:tcPr>
                      <w:p>
                        <w:pPr>
                          <w:pStyle w:val="TableParagraph"/>
                          <w:jc w:val="left"/>
                          <w:rPr>
                            <w:sz w:val="20"/>
                          </w:rPr>
                        </w:pPr>
                      </w:p>
                      <w:p>
                        <w:pPr>
                          <w:pStyle w:val="TableParagraph"/>
                          <w:spacing w:before="5"/>
                          <w:jc w:val="left"/>
                          <w:rPr>
                            <w:sz w:val="15"/>
                          </w:rPr>
                        </w:pPr>
                      </w:p>
                      <w:p>
                        <w:pPr>
                          <w:pStyle w:val="TableParagraph"/>
                          <w:ind w:left="210"/>
                          <w:jc w:val="left"/>
                          <w:rPr>
                            <w:sz w:val="21"/>
                          </w:rPr>
                        </w:pPr>
                        <w:r>
                          <w:rPr>
                            <w:sz w:val="21"/>
                          </w:rPr>
                          <w:t>投资</w:t>
                        </w:r>
                      </w:p>
                    </w:tc>
                    <w:tc>
                      <w:tcPr>
                        <w:tcW w:w="3120" w:type="dxa"/>
                      </w:tcPr>
                      <w:p>
                        <w:pPr>
                          <w:pStyle w:val="TableParagraph"/>
                          <w:spacing w:line="356" w:lineRule="exact"/>
                          <w:ind w:left="232" w:right="212"/>
                          <w:rPr>
                            <w:sz w:val="21"/>
                          </w:rPr>
                        </w:pPr>
                        <w:r>
                          <w:rPr>
                            <w:sz w:val="21"/>
                          </w:rPr>
                          <w:t>项目报批总投资</w:t>
                        </w:r>
                      </w:p>
                    </w:tc>
                    <w:tc>
                      <w:tcPr>
                        <w:tcW w:w="1560" w:type="dxa"/>
                      </w:tcPr>
                      <w:p>
                        <w:pPr>
                          <w:pStyle w:val="TableParagraph"/>
                          <w:spacing w:line="356" w:lineRule="exact"/>
                          <w:ind w:left="112" w:right="95"/>
                          <w:rPr>
                            <w:sz w:val="21"/>
                          </w:rPr>
                        </w:pPr>
                        <w:r>
                          <w:rPr>
                            <w:sz w:val="21"/>
                          </w:rPr>
                          <w:t>万元</w:t>
                        </w:r>
                      </w:p>
                    </w:tc>
                    <w:tc>
                      <w:tcPr>
                        <w:tcW w:w="1416" w:type="dxa"/>
                      </w:tcPr>
                      <w:p>
                        <w:pPr>
                          <w:pStyle w:val="TableParagraph"/>
                          <w:spacing w:line="356" w:lineRule="exact"/>
                          <w:ind w:left="327" w:right="310"/>
                          <w:rPr>
                            <w:sz w:val="21"/>
                          </w:rPr>
                        </w:pPr>
                        <w:r>
                          <w:rPr>
                            <w:sz w:val="21"/>
                          </w:rPr>
                          <w:t>24499</w:t>
                        </w:r>
                      </w:p>
                    </w:tc>
                    <w:tc>
                      <w:tcPr>
                        <w:tcW w:w="1355" w:type="dxa"/>
                      </w:tcPr>
                      <w:p>
                        <w:pPr>
                          <w:pStyle w:val="TableParagraph"/>
                          <w:spacing w:line="356" w:lineRule="exact"/>
                          <w:ind w:left="239" w:right="213"/>
                          <w:rPr>
                            <w:sz w:val="21"/>
                          </w:rPr>
                        </w:pPr>
                        <w:r>
                          <w:rPr>
                            <w:w w:val="110"/>
                            <w:sz w:val="21"/>
                          </w:rPr>
                          <w:t>——</w:t>
                        </w:r>
                      </w:p>
                    </w:tc>
                  </w:tr>
                  <w:tr>
                    <w:trPr>
                      <w:trHeight w:val="378" w:hRule="atLeast"/>
                    </w:trPr>
                    <w:tc>
                      <w:tcPr>
                        <w:tcW w:w="842" w:type="dxa"/>
                        <w:vMerge/>
                        <w:tcBorders>
                          <w:top w:val="nil"/>
                        </w:tcBorders>
                      </w:tcPr>
                      <w:p>
                        <w:pPr>
                          <w:rPr>
                            <w:sz w:val="2"/>
                            <w:szCs w:val="2"/>
                          </w:rPr>
                        </w:pPr>
                      </w:p>
                    </w:tc>
                    <w:tc>
                      <w:tcPr>
                        <w:tcW w:w="3120" w:type="dxa"/>
                      </w:tcPr>
                      <w:p>
                        <w:pPr>
                          <w:pStyle w:val="TableParagraph"/>
                          <w:spacing w:line="358" w:lineRule="exact"/>
                          <w:ind w:left="232" w:right="214"/>
                          <w:rPr>
                            <w:sz w:val="21"/>
                          </w:rPr>
                        </w:pPr>
                        <w:r>
                          <w:rPr>
                            <w:sz w:val="21"/>
                          </w:rPr>
                          <w:t>建设投资</w:t>
                        </w:r>
                      </w:p>
                    </w:tc>
                    <w:tc>
                      <w:tcPr>
                        <w:tcW w:w="1560" w:type="dxa"/>
                      </w:tcPr>
                      <w:p>
                        <w:pPr>
                          <w:pStyle w:val="TableParagraph"/>
                          <w:spacing w:line="358" w:lineRule="exact"/>
                          <w:ind w:left="112" w:right="95"/>
                          <w:rPr>
                            <w:sz w:val="21"/>
                          </w:rPr>
                        </w:pPr>
                        <w:r>
                          <w:rPr>
                            <w:sz w:val="21"/>
                          </w:rPr>
                          <w:t>万元</w:t>
                        </w:r>
                      </w:p>
                    </w:tc>
                    <w:tc>
                      <w:tcPr>
                        <w:tcW w:w="1416" w:type="dxa"/>
                      </w:tcPr>
                      <w:p>
                        <w:pPr>
                          <w:pStyle w:val="TableParagraph"/>
                          <w:spacing w:line="358" w:lineRule="exact"/>
                          <w:ind w:left="327" w:right="310"/>
                          <w:rPr>
                            <w:sz w:val="21"/>
                          </w:rPr>
                        </w:pPr>
                        <w:r>
                          <w:rPr>
                            <w:sz w:val="21"/>
                          </w:rPr>
                          <w:t>22608</w:t>
                        </w:r>
                      </w:p>
                    </w:tc>
                    <w:tc>
                      <w:tcPr>
                        <w:tcW w:w="1355" w:type="dxa"/>
                      </w:tcPr>
                      <w:p>
                        <w:pPr>
                          <w:pStyle w:val="TableParagraph"/>
                          <w:spacing w:line="358" w:lineRule="exact"/>
                          <w:ind w:left="239" w:right="213"/>
                          <w:rPr>
                            <w:sz w:val="21"/>
                          </w:rPr>
                        </w:pPr>
                        <w:r>
                          <w:rPr>
                            <w:w w:val="110"/>
                            <w:sz w:val="21"/>
                          </w:rPr>
                          <w:t>——</w:t>
                        </w:r>
                      </w:p>
                    </w:tc>
                  </w:tr>
                  <w:tr>
                    <w:trPr>
                      <w:trHeight w:val="376" w:hRule="atLeast"/>
                    </w:trPr>
                    <w:tc>
                      <w:tcPr>
                        <w:tcW w:w="842" w:type="dxa"/>
                        <w:vMerge/>
                        <w:tcBorders>
                          <w:top w:val="nil"/>
                        </w:tcBorders>
                      </w:tcPr>
                      <w:p>
                        <w:pPr>
                          <w:rPr>
                            <w:sz w:val="2"/>
                            <w:szCs w:val="2"/>
                          </w:rPr>
                        </w:pPr>
                      </w:p>
                    </w:tc>
                    <w:tc>
                      <w:tcPr>
                        <w:tcW w:w="3120" w:type="dxa"/>
                      </w:tcPr>
                      <w:p>
                        <w:pPr>
                          <w:pStyle w:val="TableParagraph"/>
                          <w:spacing w:line="356" w:lineRule="exact"/>
                          <w:ind w:left="232" w:right="214"/>
                          <w:rPr>
                            <w:sz w:val="21"/>
                          </w:rPr>
                        </w:pPr>
                        <w:r>
                          <w:rPr>
                            <w:sz w:val="21"/>
                          </w:rPr>
                          <w:t>建设期利息</w:t>
                        </w:r>
                      </w:p>
                    </w:tc>
                    <w:tc>
                      <w:tcPr>
                        <w:tcW w:w="1560" w:type="dxa"/>
                      </w:tcPr>
                      <w:p>
                        <w:pPr>
                          <w:pStyle w:val="TableParagraph"/>
                          <w:spacing w:line="356" w:lineRule="exact"/>
                          <w:ind w:left="112" w:right="95"/>
                          <w:rPr>
                            <w:sz w:val="21"/>
                          </w:rPr>
                        </w:pPr>
                        <w:r>
                          <w:rPr>
                            <w:sz w:val="21"/>
                          </w:rPr>
                          <w:t>万元</w:t>
                        </w:r>
                      </w:p>
                    </w:tc>
                    <w:tc>
                      <w:tcPr>
                        <w:tcW w:w="1416" w:type="dxa"/>
                      </w:tcPr>
                      <w:p>
                        <w:pPr>
                          <w:pStyle w:val="TableParagraph"/>
                          <w:spacing w:line="356" w:lineRule="exact"/>
                          <w:ind w:left="327" w:right="310"/>
                          <w:rPr>
                            <w:sz w:val="21"/>
                          </w:rPr>
                        </w:pPr>
                        <w:r>
                          <w:rPr>
                            <w:sz w:val="21"/>
                          </w:rPr>
                          <w:t>903</w:t>
                        </w:r>
                      </w:p>
                    </w:tc>
                    <w:tc>
                      <w:tcPr>
                        <w:tcW w:w="1355" w:type="dxa"/>
                      </w:tcPr>
                      <w:p>
                        <w:pPr>
                          <w:pStyle w:val="TableParagraph"/>
                          <w:spacing w:line="356" w:lineRule="exact"/>
                          <w:ind w:left="239" w:right="213"/>
                          <w:rPr>
                            <w:sz w:val="21"/>
                          </w:rPr>
                        </w:pPr>
                        <w:r>
                          <w:rPr>
                            <w:w w:val="110"/>
                            <w:sz w:val="21"/>
                          </w:rPr>
                          <w:t>——</w:t>
                        </w:r>
                      </w:p>
                    </w:tc>
                  </w:tr>
                  <w:tr>
                    <w:trPr>
                      <w:trHeight w:val="378" w:hRule="atLeast"/>
                    </w:trPr>
                    <w:tc>
                      <w:tcPr>
                        <w:tcW w:w="842" w:type="dxa"/>
                        <w:vMerge/>
                        <w:tcBorders>
                          <w:top w:val="nil"/>
                        </w:tcBorders>
                      </w:tcPr>
                      <w:p>
                        <w:pPr>
                          <w:rPr>
                            <w:sz w:val="2"/>
                            <w:szCs w:val="2"/>
                          </w:rPr>
                        </w:pPr>
                      </w:p>
                    </w:tc>
                    <w:tc>
                      <w:tcPr>
                        <w:tcW w:w="3120" w:type="dxa"/>
                      </w:tcPr>
                      <w:p>
                        <w:pPr>
                          <w:pStyle w:val="TableParagraph"/>
                          <w:spacing w:line="358" w:lineRule="exact"/>
                          <w:ind w:left="232" w:right="211"/>
                          <w:rPr>
                            <w:sz w:val="21"/>
                          </w:rPr>
                        </w:pPr>
                        <w:r>
                          <w:rPr>
                            <w:sz w:val="21"/>
                          </w:rPr>
                          <w:t>铺底流动资金</w:t>
                        </w:r>
                      </w:p>
                    </w:tc>
                    <w:tc>
                      <w:tcPr>
                        <w:tcW w:w="1560" w:type="dxa"/>
                      </w:tcPr>
                      <w:p>
                        <w:pPr>
                          <w:pStyle w:val="TableParagraph"/>
                          <w:spacing w:line="358" w:lineRule="exact"/>
                          <w:ind w:left="112" w:right="95"/>
                          <w:rPr>
                            <w:sz w:val="21"/>
                          </w:rPr>
                        </w:pPr>
                        <w:r>
                          <w:rPr>
                            <w:sz w:val="21"/>
                          </w:rPr>
                          <w:t>万元</w:t>
                        </w:r>
                      </w:p>
                    </w:tc>
                    <w:tc>
                      <w:tcPr>
                        <w:tcW w:w="1416" w:type="dxa"/>
                      </w:tcPr>
                      <w:p>
                        <w:pPr>
                          <w:pStyle w:val="TableParagraph"/>
                          <w:spacing w:line="358" w:lineRule="exact"/>
                          <w:ind w:left="327" w:right="310"/>
                          <w:rPr>
                            <w:sz w:val="21"/>
                          </w:rPr>
                        </w:pPr>
                        <w:r>
                          <w:rPr>
                            <w:sz w:val="21"/>
                          </w:rPr>
                          <w:t>988</w:t>
                        </w:r>
                      </w:p>
                    </w:tc>
                    <w:tc>
                      <w:tcPr>
                        <w:tcW w:w="1355" w:type="dxa"/>
                      </w:tcPr>
                      <w:p>
                        <w:pPr>
                          <w:pStyle w:val="TableParagraph"/>
                          <w:spacing w:line="358" w:lineRule="exact"/>
                          <w:ind w:left="239" w:right="213"/>
                          <w:rPr>
                            <w:sz w:val="21"/>
                          </w:rPr>
                        </w:pPr>
                        <w:r>
                          <w:rPr>
                            <w:w w:val="110"/>
                            <w:sz w:val="21"/>
                          </w:rPr>
                          <w:t>——</w:t>
                        </w:r>
                      </w:p>
                    </w:tc>
                  </w:tr>
                  <w:tr>
                    <w:trPr>
                      <w:trHeight w:val="376" w:hRule="atLeast"/>
                    </w:trPr>
                    <w:tc>
                      <w:tcPr>
                        <w:tcW w:w="842" w:type="dxa"/>
                        <w:vMerge/>
                        <w:tcBorders>
                          <w:top w:val="nil"/>
                        </w:tcBorders>
                      </w:tcPr>
                      <w:p>
                        <w:pPr>
                          <w:rPr>
                            <w:sz w:val="2"/>
                            <w:szCs w:val="2"/>
                          </w:rPr>
                        </w:pPr>
                      </w:p>
                    </w:tc>
                    <w:tc>
                      <w:tcPr>
                        <w:tcW w:w="3120" w:type="dxa"/>
                      </w:tcPr>
                      <w:p>
                        <w:pPr>
                          <w:pStyle w:val="TableParagraph"/>
                          <w:spacing w:line="356" w:lineRule="exact"/>
                          <w:ind w:left="232" w:right="214"/>
                          <w:rPr>
                            <w:sz w:val="21"/>
                          </w:rPr>
                        </w:pPr>
                        <w:r>
                          <w:rPr>
                            <w:sz w:val="21"/>
                          </w:rPr>
                          <w:t>环保投资</w:t>
                        </w:r>
                      </w:p>
                    </w:tc>
                    <w:tc>
                      <w:tcPr>
                        <w:tcW w:w="1560" w:type="dxa"/>
                      </w:tcPr>
                      <w:p>
                        <w:pPr>
                          <w:pStyle w:val="TableParagraph"/>
                          <w:spacing w:line="356" w:lineRule="exact"/>
                          <w:ind w:left="112" w:right="95"/>
                          <w:rPr>
                            <w:sz w:val="21"/>
                          </w:rPr>
                        </w:pPr>
                        <w:r>
                          <w:rPr>
                            <w:sz w:val="21"/>
                          </w:rPr>
                          <w:t>万元</w:t>
                        </w:r>
                      </w:p>
                    </w:tc>
                    <w:tc>
                      <w:tcPr>
                        <w:tcW w:w="1416" w:type="dxa"/>
                      </w:tcPr>
                      <w:p>
                        <w:pPr>
                          <w:pStyle w:val="TableParagraph"/>
                          <w:spacing w:line="356" w:lineRule="exact"/>
                          <w:ind w:left="327" w:right="310"/>
                          <w:rPr>
                            <w:sz w:val="21"/>
                          </w:rPr>
                        </w:pPr>
                        <w:r>
                          <w:rPr>
                            <w:sz w:val="21"/>
                          </w:rPr>
                          <w:t>800</w:t>
                        </w:r>
                      </w:p>
                    </w:tc>
                    <w:tc>
                      <w:tcPr>
                        <w:tcW w:w="1355" w:type="dxa"/>
                      </w:tcPr>
                      <w:p>
                        <w:pPr>
                          <w:pStyle w:val="TableParagraph"/>
                          <w:spacing w:line="356" w:lineRule="exact"/>
                          <w:ind w:left="239" w:right="213"/>
                          <w:rPr>
                            <w:sz w:val="21"/>
                          </w:rPr>
                        </w:pPr>
                        <w:r>
                          <w:rPr>
                            <w:w w:val="110"/>
                            <w:sz w:val="21"/>
                          </w:rPr>
                          <w:t>——</w:t>
                        </w:r>
                      </w:p>
                    </w:tc>
                  </w:tr>
                  <w:tr>
                    <w:trPr>
                      <w:trHeight w:val="378" w:hRule="atLeast"/>
                    </w:trPr>
                    <w:tc>
                      <w:tcPr>
                        <w:tcW w:w="842"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6"/>
                          <w:jc w:val="left"/>
                          <w:rPr>
                            <w:sz w:val="10"/>
                          </w:rPr>
                        </w:pPr>
                      </w:p>
                      <w:p>
                        <w:pPr>
                          <w:pStyle w:val="TableParagraph"/>
                          <w:spacing w:line="146" w:lineRule="auto"/>
                          <w:ind w:left="210" w:right="186"/>
                          <w:jc w:val="left"/>
                          <w:rPr>
                            <w:sz w:val="21"/>
                          </w:rPr>
                        </w:pPr>
                        <w:r>
                          <w:rPr>
                            <w:sz w:val="21"/>
                          </w:rPr>
                          <w:t>收益分析</w:t>
                        </w:r>
                      </w:p>
                    </w:tc>
                    <w:tc>
                      <w:tcPr>
                        <w:tcW w:w="3120" w:type="dxa"/>
                      </w:tcPr>
                      <w:p>
                        <w:pPr>
                          <w:pStyle w:val="TableParagraph"/>
                          <w:spacing w:line="358" w:lineRule="exact"/>
                          <w:ind w:left="232" w:right="213"/>
                          <w:rPr>
                            <w:sz w:val="21"/>
                          </w:rPr>
                        </w:pPr>
                        <w:r>
                          <w:rPr>
                            <w:sz w:val="21"/>
                          </w:rPr>
                          <w:t>年平均营业收入</w:t>
                        </w:r>
                      </w:p>
                    </w:tc>
                    <w:tc>
                      <w:tcPr>
                        <w:tcW w:w="1560" w:type="dxa"/>
                      </w:tcPr>
                      <w:p>
                        <w:pPr>
                          <w:pStyle w:val="TableParagraph"/>
                          <w:spacing w:line="358" w:lineRule="exact"/>
                          <w:ind w:left="112" w:right="95"/>
                          <w:rPr>
                            <w:sz w:val="21"/>
                          </w:rPr>
                        </w:pPr>
                        <w:r>
                          <w:rPr>
                            <w:sz w:val="21"/>
                          </w:rPr>
                          <w:t>万元</w:t>
                        </w:r>
                      </w:p>
                    </w:tc>
                    <w:tc>
                      <w:tcPr>
                        <w:tcW w:w="1416" w:type="dxa"/>
                      </w:tcPr>
                      <w:p>
                        <w:pPr>
                          <w:pStyle w:val="TableParagraph"/>
                          <w:spacing w:line="358" w:lineRule="exact"/>
                          <w:ind w:left="327" w:right="310"/>
                          <w:rPr>
                            <w:sz w:val="21"/>
                          </w:rPr>
                        </w:pPr>
                        <w:r>
                          <w:rPr>
                            <w:sz w:val="21"/>
                          </w:rPr>
                          <w:t>32784</w:t>
                        </w:r>
                      </w:p>
                    </w:tc>
                    <w:tc>
                      <w:tcPr>
                        <w:tcW w:w="1355" w:type="dxa"/>
                      </w:tcPr>
                      <w:p>
                        <w:pPr>
                          <w:pStyle w:val="TableParagraph"/>
                          <w:spacing w:line="358" w:lineRule="exact"/>
                          <w:ind w:left="239" w:right="215"/>
                          <w:rPr>
                            <w:sz w:val="21"/>
                          </w:rPr>
                        </w:pPr>
                        <w:r>
                          <w:rPr>
                            <w:sz w:val="21"/>
                          </w:rPr>
                          <w:t>年平均值</w:t>
                        </w:r>
                      </w:p>
                    </w:tc>
                  </w:tr>
                  <w:tr>
                    <w:trPr>
                      <w:trHeight w:val="376" w:hRule="atLeast"/>
                    </w:trPr>
                    <w:tc>
                      <w:tcPr>
                        <w:tcW w:w="842" w:type="dxa"/>
                        <w:vMerge/>
                        <w:tcBorders>
                          <w:top w:val="nil"/>
                        </w:tcBorders>
                      </w:tcPr>
                      <w:p>
                        <w:pPr>
                          <w:rPr>
                            <w:sz w:val="2"/>
                            <w:szCs w:val="2"/>
                          </w:rPr>
                        </w:pPr>
                      </w:p>
                    </w:tc>
                    <w:tc>
                      <w:tcPr>
                        <w:tcW w:w="3120" w:type="dxa"/>
                      </w:tcPr>
                      <w:p>
                        <w:pPr>
                          <w:pStyle w:val="TableParagraph"/>
                          <w:spacing w:line="356" w:lineRule="exact"/>
                          <w:ind w:left="232" w:right="215"/>
                          <w:rPr>
                            <w:sz w:val="21"/>
                          </w:rPr>
                        </w:pPr>
                        <w:r>
                          <w:rPr>
                            <w:sz w:val="21"/>
                          </w:rPr>
                          <w:t>年平均总成本费用</w:t>
                        </w:r>
                      </w:p>
                    </w:tc>
                    <w:tc>
                      <w:tcPr>
                        <w:tcW w:w="1560" w:type="dxa"/>
                      </w:tcPr>
                      <w:p>
                        <w:pPr>
                          <w:pStyle w:val="TableParagraph"/>
                          <w:spacing w:line="356" w:lineRule="exact"/>
                          <w:ind w:left="112" w:right="95"/>
                          <w:rPr>
                            <w:sz w:val="21"/>
                          </w:rPr>
                        </w:pPr>
                        <w:r>
                          <w:rPr>
                            <w:sz w:val="21"/>
                          </w:rPr>
                          <w:t>万元</w:t>
                        </w:r>
                      </w:p>
                    </w:tc>
                    <w:tc>
                      <w:tcPr>
                        <w:tcW w:w="1416" w:type="dxa"/>
                      </w:tcPr>
                      <w:p>
                        <w:pPr>
                          <w:pStyle w:val="TableParagraph"/>
                          <w:spacing w:line="356" w:lineRule="exact"/>
                          <w:ind w:left="327" w:right="310"/>
                          <w:rPr>
                            <w:sz w:val="21"/>
                          </w:rPr>
                        </w:pPr>
                        <w:r>
                          <w:rPr>
                            <w:sz w:val="21"/>
                          </w:rPr>
                          <w:t>22111</w:t>
                        </w:r>
                      </w:p>
                    </w:tc>
                    <w:tc>
                      <w:tcPr>
                        <w:tcW w:w="1355" w:type="dxa"/>
                      </w:tcPr>
                      <w:p>
                        <w:pPr>
                          <w:pStyle w:val="TableParagraph"/>
                          <w:spacing w:line="356" w:lineRule="exact"/>
                          <w:ind w:left="239" w:right="215"/>
                          <w:rPr>
                            <w:sz w:val="21"/>
                          </w:rPr>
                        </w:pPr>
                        <w:r>
                          <w:rPr>
                            <w:sz w:val="21"/>
                          </w:rPr>
                          <w:t>年平均值</w:t>
                        </w:r>
                      </w:p>
                    </w:tc>
                  </w:tr>
                  <w:tr>
                    <w:trPr>
                      <w:trHeight w:val="376" w:hRule="atLeast"/>
                    </w:trPr>
                    <w:tc>
                      <w:tcPr>
                        <w:tcW w:w="842" w:type="dxa"/>
                        <w:vMerge/>
                        <w:tcBorders>
                          <w:top w:val="nil"/>
                        </w:tcBorders>
                      </w:tcPr>
                      <w:p>
                        <w:pPr>
                          <w:rPr>
                            <w:sz w:val="2"/>
                            <w:szCs w:val="2"/>
                          </w:rPr>
                        </w:pPr>
                      </w:p>
                    </w:tc>
                    <w:tc>
                      <w:tcPr>
                        <w:tcW w:w="3120" w:type="dxa"/>
                      </w:tcPr>
                      <w:p>
                        <w:pPr>
                          <w:pStyle w:val="TableParagraph"/>
                          <w:spacing w:line="356" w:lineRule="exact"/>
                          <w:ind w:left="232" w:right="213"/>
                          <w:rPr>
                            <w:sz w:val="21"/>
                          </w:rPr>
                        </w:pPr>
                        <w:r>
                          <w:rPr>
                            <w:sz w:val="21"/>
                          </w:rPr>
                          <w:t>年平均利润总额</w:t>
                        </w:r>
                      </w:p>
                    </w:tc>
                    <w:tc>
                      <w:tcPr>
                        <w:tcW w:w="1560" w:type="dxa"/>
                      </w:tcPr>
                      <w:p>
                        <w:pPr>
                          <w:pStyle w:val="TableParagraph"/>
                          <w:spacing w:line="356" w:lineRule="exact"/>
                          <w:ind w:left="112" w:right="95"/>
                          <w:rPr>
                            <w:sz w:val="21"/>
                          </w:rPr>
                        </w:pPr>
                        <w:r>
                          <w:rPr>
                            <w:sz w:val="21"/>
                          </w:rPr>
                          <w:t>万元</w:t>
                        </w:r>
                      </w:p>
                    </w:tc>
                    <w:tc>
                      <w:tcPr>
                        <w:tcW w:w="1416" w:type="dxa"/>
                      </w:tcPr>
                      <w:p>
                        <w:pPr>
                          <w:pStyle w:val="TableParagraph"/>
                          <w:spacing w:line="356" w:lineRule="exact"/>
                          <w:ind w:left="327" w:right="310"/>
                          <w:rPr>
                            <w:sz w:val="21"/>
                          </w:rPr>
                        </w:pPr>
                        <w:r>
                          <w:rPr>
                            <w:sz w:val="21"/>
                          </w:rPr>
                          <w:t>10444</w:t>
                        </w:r>
                      </w:p>
                    </w:tc>
                    <w:tc>
                      <w:tcPr>
                        <w:tcW w:w="1355" w:type="dxa"/>
                      </w:tcPr>
                      <w:p>
                        <w:pPr>
                          <w:pStyle w:val="TableParagraph"/>
                          <w:spacing w:line="356" w:lineRule="exact"/>
                          <w:ind w:left="239" w:right="215"/>
                          <w:rPr>
                            <w:sz w:val="21"/>
                          </w:rPr>
                        </w:pPr>
                        <w:r>
                          <w:rPr>
                            <w:sz w:val="21"/>
                          </w:rPr>
                          <w:t>年平均值</w:t>
                        </w:r>
                      </w:p>
                    </w:tc>
                  </w:tr>
                  <w:tr>
                    <w:trPr>
                      <w:trHeight w:val="378" w:hRule="atLeast"/>
                    </w:trPr>
                    <w:tc>
                      <w:tcPr>
                        <w:tcW w:w="842" w:type="dxa"/>
                        <w:vMerge/>
                        <w:tcBorders>
                          <w:top w:val="nil"/>
                        </w:tcBorders>
                      </w:tcPr>
                      <w:p>
                        <w:pPr>
                          <w:rPr>
                            <w:sz w:val="2"/>
                            <w:szCs w:val="2"/>
                          </w:rPr>
                        </w:pPr>
                      </w:p>
                    </w:tc>
                    <w:tc>
                      <w:tcPr>
                        <w:tcW w:w="3120" w:type="dxa"/>
                      </w:tcPr>
                      <w:p>
                        <w:pPr>
                          <w:pStyle w:val="TableParagraph"/>
                          <w:spacing w:line="358" w:lineRule="exact"/>
                          <w:ind w:left="232" w:right="211"/>
                          <w:rPr>
                            <w:sz w:val="21"/>
                          </w:rPr>
                        </w:pPr>
                        <w:r>
                          <w:rPr>
                            <w:sz w:val="21"/>
                          </w:rPr>
                          <w:t>年平均所得税</w:t>
                        </w:r>
                      </w:p>
                    </w:tc>
                    <w:tc>
                      <w:tcPr>
                        <w:tcW w:w="1560" w:type="dxa"/>
                      </w:tcPr>
                      <w:p>
                        <w:pPr>
                          <w:pStyle w:val="TableParagraph"/>
                          <w:spacing w:line="358" w:lineRule="exact"/>
                          <w:ind w:left="112" w:right="95"/>
                          <w:rPr>
                            <w:sz w:val="21"/>
                          </w:rPr>
                        </w:pPr>
                        <w:r>
                          <w:rPr>
                            <w:sz w:val="21"/>
                          </w:rPr>
                          <w:t>万元</w:t>
                        </w:r>
                      </w:p>
                    </w:tc>
                    <w:tc>
                      <w:tcPr>
                        <w:tcW w:w="1416" w:type="dxa"/>
                      </w:tcPr>
                      <w:p>
                        <w:pPr>
                          <w:pStyle w:val="TableParagraph"/>
                          <w:spacing w:line="358" w:lineRule="exact"/>
                          <w:ind w:left="327" w:right="310"/>
                          <w:rPr>
                            <w:sz w:val="21"/>
                          </w:rPr>
                        </w:pPr>
                        <w:r>
                          <w:rPr>
                            <w:sz w:val="21"/>
                          </w:rPr>
                          <w:t>2611</w:t>
                        </w:r>
                      </w:p>
                    </w:tc>
                    <w:tc>
                      <w:tcPr>
                        <w:tcW w:w="1355" w:type="dxa"/>
                      </w:tcPr>
                      <w:p>
                        <w:pPr>
                          <w:pStyle w:val="TableParagraph"/>
                          <w:spacing w:line="358" w:lineRule="exact"/>
                          <w:ind w:left="239" w:right="215"/>
                          <w:rPr>
                            <w:sz w:val="21"/>
                          </w:rPr>
                        </w:pPr>
                        <w:r>
                          <w:rPr>
                            <w:sz w:val="21"/>
                          </w:rPr>
                          <w:t>年平均值</w:t>
                        </w:r>
                      </w:p>
                    </w:tc>
                  </w:tr>
                  <w:tr>
                    <w:trPr>
                      <w:trHeight w:val="375" w:hRule="atLeast"/>
                    </w:trPr>
                    <w:tc>
                      <w:tcPr>
                        <w:tcW w:w="842" w:type="dxa"/>
                        <w:vMerge/>
                        <w:tcBorders>
                          <w:top w:val="nil"/>
                        </w:tcBorders>
                      </w:tcPr>
                      <w:p>
                        <w:pPr>
                          <w:rPr>
                            <w:sz w:val="2"/>
                            <w:szCs w:val="2"/>
                          </w:rPr>
                        </w:pPr>
                      </w:p>
                    </w:tc>
                    <w:tc>
                      <w:tcPr>
                        <w:tcW w:w="3120" w:type="dxa"/>
                      </w:tcPr>
                      <w:p>
                        <w:pPr>
                          <w:pStyle w:val="TableParagraph"/>
                          <w:spacing w:line="356" w:lineRule="exact"/>
                          <w:ind w:left="232" w:right="211"/>
                          <w:rPr>
                            <w:sz w:val="21"/>
                          </w:rPr>
                        </w:pPr>
                        <w:r>
                          <w:rPr>
                            <w:sz w:val="21"/>
                          </w:rPr>
                          <w:t>年平均净利润</w:t>
                        </w:r>
                      </w:p>
                    </w:tc>
                    <w:tc>
                      <w:tcPr>
                        <w:tcW w:w="1560" w:type="dxa"/>
                      </w:tcPr>
                      <w:p>
                        <w:pPr>
                          <w:pStyle w:val="TableParagraph"/>
                          <w:spacing w:line="356" w:lineRule="exact"/>
                          <w:ind w:left="112" w:right="95"/>
                          <w:rPr>
                            <w:sz w:val="21"/>
                          </w:rPr>
                        </w:pPr>
                        <w:r>
                          <w:rPr>
                            <w:sz w:val="21"/>
                          </w:rPr>
                          <w:t>万元</w:t>
                        </w:r>
                      </w:p>
                    </w:tc>
                    <w:tc>
                      <w:tcPr>
                        <w:tcW w:w="1416" w:type="dxa"/>
                      </w:tcPr>
                      <w:p>
                        <w:pPr>
                          <w:pStyle w:val="TableParagraph"/>
                          <w:spacing w:line="356" w:lineRule="exact"/>
                          <w:ind w:left="327" w:right="310"/>
                          <w:rPr>
                            <w:sz w:val="21"/>
                          </w:rPr>
                        </w:pPr>
                        <w:r>
                          <w:rPr>
                            <w:sz w:val="21"/>
                          </w:rPr>
                          <w:t>7833</w:t>
                        </w:r>
                      </w:p>
                    </w:tc>
                    <w:tc>
                      <w:tcPr>
                        <w:tcW w:w="1355" w:type="dxa"/>
                      </w:tcPr>
                      <w:p>
                        <w:pPr>
                          <w:pStyle w:val="TableParagraph"/>
                          <w:spacing w:line="356" w:lineRule="exact"/>
                          <w:ind w:left="239" w:right="215"/>
                          <w:rPr>
                            <w:sz w:val="21"/>
                          </w:rPr>
                        </w:pPr>
                        <w:r>
                          <w:rPr>
                            <w:sz w:val="21"/>
                          </w:rPr>
                          <w:t>年平均值</w:t>
                        </w:r>
                      </w:p>
                    </w:tc>
                  </w:tr>
                  <w:tr>
                    <w:trPr>
                      <w:trHeight w:val="379" w:hRule="atLeast"/>
                    </w:trPr>
                    <w:tc>
                      <w:tcPr>
                        <w:tcW w:w="842" w:type="dxa"/>
                        <w:vMerge/>
                        <w:tcBorders>
                          <w:top w:val="nil"/>
                        </w:tcBorders>
                      </w:tcPr>
                      <w:p>
                        <w:pPr>
                          <w:rPr>
                            <w:sz w:val="2"/>
                            <w:szCs w:val="2"/>
                          </w:rPr>
                        </w:pPr>
                      </w:p>
                    </w:tc>
                    <w:tc>
                      <w:tcPr>
                        <w:tcW w:w="3120" w:type="dxa"/>
                      </w:tcPr>
                      <w:p>
                        <w:pPr>
                          <w:pStyle w:val="TableParagraph"/>
                          <w:spacing w:line="359" w:lineRule="exact"/>
                          <w:ind w:left="232" w:right="211"/>
                          <w:rPr>
                            <w:sz w:val="21"/>
                          </w:rPr>
                        </w:pPr>
                        <w:r>
                          <w:rPr>
                            <w:sz w:val="21"/>
                          </w:rPr>
                          <w:t>总投资收益率</w:t>
                        </w:r>
                      </w:p>
                    </w:tc>
                    <w:tc>
                      <w:tcPr>
                        <w:tcW w:w="1560" w:type="dxa"/>
                      </w:tcPr>
                      <w:p>
                        <w:pPr>
                          <w:pStyle w:val="TableParagraph"/>
                          <w:spacing w:line="359" w:lineRule="exact"/>
                          <w:ind w:left="17"/>
                          <w:rPr>
                            <w:sz w:val="21"/>
                          </w:rPr>
                        </w:pPr>
                        <w:r>
                          <w:rPr>
                            <w:w w:val="54"/>
                            <w:sz w:val="21"/>
                          </w:rPr>
                          <w:t>%</w:t>
                        </w:r>
                      </w:p>
                    </w:tc>
                    <w:tc>
                      <w:tcPr>
                        <w:tcW w:w="1416" w:type="dxa"/>
                      </w:tcPr>
                      <w:p>
                        <w:pPr>
                          <w:pStyle w:val="TableParagraph"/>
                          <w:spacing w:line="359" w:lineRule="exact"/>
                          <w:ind w:left="327" w:right="310"/>
                          <w:rPr>
                            <w:sz w:val="21"/>
                          </w:rPr>
                        </w:pPr>
                        <w:r>
                          <w:rPr>
                            <w:sz w:val="21"/>
                          </w:rPr>
                          <w:t>40.24%</w:t>
                        </w:r>
                      </w:p>
                    </w:tc>
                    <w:tc>
                      <w:tcPr>
                        <w:tcW w:w="1355" w:type="dxa"/>
                      </w:tcPr>
                      <w:p>
                        <w:pPr>
                          <w:pStyle w:val="TableParagraph"/>
                          <w:jc w:val="left"/>
                          <w:rPr>
                            <w:rFonts w:ascii="Times New Roman"/>
                            <w:sz w:val="22"/>
                          </w:rPr>
                        </w:pPr>
                      </w:p>
                    </w:tc>
                  </w:tr>
                  <w:tr>
                    <w:trPr>
                      <w:trHeight w:val="376" w:hRule="atLeast"/>
                    </w:trPr>
                    <w:tc>
                      <w:tcPr>
                        <w:tcW w:w="842" w:type="dxa"/>
                        <w:vMerge/>
                        <w:tcBorders>
                          <w:top w:val="nil"/>
                        </w:tcBorders>
                      </w:tcPr>
                      <w:p>
                        <w:pPr>
                          <w:rPr>
                            <w:sz w:val="2"/>
                            <w:szCs w:val="2"/>
                          </w:rPr>
                        </w:pPr>
                      </w:p>
                    </w:tc>
                    <w:tc>
                      <w:tcPr>
                        <w:tcW w:w="3120" w:type="dxa"/>
                      </w:tcPr>
                      <w:p>
                        <w:pPr>
                          <w:pStyle w:val="TableParagraph"/>
                          <w:spacing w:line="356" w:lineRule="exact"/>
                          <w:ind w:left="232" w:right="217"/>
                          <w:rPr>
                            <w:sz w:val="21"/>
                          </w:rPr>
                        </w:pPr>
                        <w:r>
                          <w:rPr>
                            <w:w w:val="105"/>
                            <w:sz w:val="21"/>
                          </w:rPr>
                          <w:t>投资财务内部收益率</w:t>
                        </w:r>
                        <w:r>
                          <w:rPr>
                            <w:w w:val="130"/>
                            <w:sz w:val="21"/>
                          </w:rPr>
                          <w:t>(</w:t>
                        </w:r>
                        <w:r>
                          <w:rPr>
                            <w:w w:val="105"/>
                            <w:sz w:val="21"/>
                          </w:rPr>
                          <w:t>税前</w:t>
                        </w:r>
                        <w:r>
                          <w:rPr>
                            <w:w w:val="130"/>
                            <w:sz w:val="21"/>
                          </w:rPr>
                          <w:t>)</w:t>
                        </w:r>
                      </w:p>
                    </w:tc>
                    <w:tc>
                      <w:tcPr>
                        <w:tcW w:w="1560" w:type="dxa"/>
                      </w:tcPr>
                      <w:p>
                        <w:pPr>
                          <w:pStyle w:val="TableParagraph"/>
                          <w:spacing w:line="356" w:lineRule="exact"/>
                          <w:ind w:left="17"/>
                          <w:rPr>
                            <w:sz w:val="21"/>
                          </w:rPr>
                        </w:pPr>
                        <w:r>
                          <w:rPr>
                            <w:w w:val="54"/>
                            <w:sz w:val="21"/>
                          </w:rPr>
                          <w:t>%</w:t>
                        </w:r>
                      </w:p>
                    </w:tc>
                    <w:tc>
                      <w:tcPr>
                        <w:tcW w:w="1416" w:type="dxa"/>
                      </w:tcPr>
                      <w:p>
                        <w:pPr>
                          <w:pStyle w:val="TableParagraph"/>
                          <w:spacing w:line="356" w:lineRule="exact"/>
                          <w:ind w:left="327" w:right="310"/>
                          <w:rPr>
                            <w:sz w:val="21"/>
                          </w:rPr>
                        </w:pPr>
                        <w:r>
                          <w:rPr>
                            <w:sz w:val="21"/>
                          </w:rPr>
                          <w:t>40.80%</w:t>
                        </w:r>
                      </w:p>
                    </w:tc>
                    <w:tc>
                      <w:tcPr>
                        <w:tcW w:w="1355" w:type="dxa"/>
                      </w:tcPr>
                      <w:p>
                        <w:pPr>
                          <w:pStyle w:val="TableParagraph"/>
                          <w:jc w:val="left"/>
                          <w:rPr>
                            <w:rFonts w:ascii="Times New Roman"/>
                            <w:sz w:val="22"/>
                          </w:rPr>
                        </w:pPr>
                      </w:p>
                    </w:tc>
                  </w:tr>
                  <w:tr>
                    <w:trPr>
                      <w:trHeight w:val="378" w:hRule="atLeast"/>
                    </w:trPr>
                    <w:tc>
                      <w:tcPr>
                        <w:tcW w:w="842" w:type="dxa"/>
                        <w:vMerge/>
                        <w:tcBorders>
                          <w:top w:val="nil"/>
                        </w:tcBorders>
                      </w:tcPr>
                      <w:p>
                        <w:pPr>
                          <w:rPr>
                            <w:sz w:val="2"/>
                            <w:szCs w:val="2"/>
                          </w:rPr>
                        </w:pPr>
                      </w:p>
                    </w:tc>
                    <w:tc>
                      <w:tcPr>
                        <w:tcW w:w="3120" w:type="dxa"/>
                      </w:tcPr>
                      <w:p>
                        <w:pPr>
                          <w:pStyle w:val="TableParagraph"/>
                          <w:spacing w:line="358" w:lineRule="exact"/>
                          <w:ind w:left="232" w:right="212"/>
                          <w:rPr>
                            <w:sz w:val="21"/>
                          </w:rPr>
                        </w:pPr>
                        <w:r>
                          <w:rPr>
                            <w:w w:val="110"/>
                            <w:sz w:val="21"/>
                          </w:rPr>
                          <w:t>投资财务净现值</w:t>
                        </w:r>
                        <w:r>
                          <w:rPr>
                            <w:w w:val="130"/>
                            <w:sz w:val="21"/>
                          </w:rPr>
                          <w:t>(</w:t>
                        </w:r>
                        <w:r>
                          <w:rPr>
                            <w:w w:val="110"/>
                            <w:sz w:val="21"/>
                          </w:rPr>
                          <w:t>税前</w:t>
                        </w:r>
                        <w:r>
                          <w:rPr>
                            <w:w w:val="130"/>
                            <w:sz w:val="21"/>
                          </w:rPr>
                          <w:t>)</w:t>
                        </w:r>
                      </w:p>
                    </w:tc>
                    <w:tc>
                      <w:tcPr>
                        <w:tcW w:w="1560" w:type="dxa"/>
                      </w:tcPr>
                      <w:p>
                        <w:pPr>
                          <w:pStyle w:val="TableParagraph"/>
                          <w:spacing w:line="358" w:lineRule="exact"/>
                          <w:ind w:left="112" w:right="95"/>
                          <w:rPr>
                            <w:sz w:val="21"/>
                          </w:rPr>
                        </w:pPr>
                        <w:r>
                          <w:rPr>
                            <w:sz w:val="21"/>
                          </w:rPr>
                          <w:t>万元</w:t>
                        </w:r>
                      </w:p>
                    </w:tc>
                    <w:tc>
                      <w:tcPr>
                        <w:tcW w:w="1416" w:type="dxa"/>
                      </w:tcPr>
                      <w:p>
                        <w:pPr>
                          <w:pStyle w:val="TableParagraph"/>
                          <w:spacing w:line="358" w:lineRule="exact"/>
                          <w:ind w:left="327" w:right="310"/>
                          <w:rPr>
                            <w:sz w:val="21"/>
                          </w:rPr>
                        </w:pPr>
                        <w:r>
                          <w:rPr>
                            <w:sz w:val="21"/>
                          </w:rPr>
                          <w:t>41586</w:t>
                        </w:r>
                      </w:p>
                    </w:tc>
                    <w:tc>
                      <w:tcPr>
                        <w:tcW w:w="1355" w:type="dxa"/>
                      </w:tcPr>
                      <w:p>
                        <w:pPr>
                          <w:pStyle w:val="TableParagraph"/>
                          <w:jc w:val="left"/>
                          <w:rPr>
                            <w:rFonts w:ascii="Times New Roman"/>
                            <w:sz w:val="22"/>
                          </w:rPr>
                        </w:pPr>
                      </w:p>
                    </w:tc>
                  </w:tr>
                  <w:tr>
                    <w:trPr>
                      <w:trHeight w:val="376" w:hRule="atLeast"/>
                    </w:trPr>
                    <w:tc>
                      <w:tcPr>
                        <w:tcW w:w="842" w:type="dxa"/>
                        <w:vMerge/>
                        <w:tcBorders>
                          <w:top w:val="nil"/>
                        </w:tcBorders>
                      </w:tcPr>
                      <w:p>
                        <w:pPr>
                          <w:rPr>
                            <w:sz w:val="2"/>
                            <w:szCs w:val="2"/>
                          </w:rPr>
                        </w:pPr>
                      </w:p>
                    </w:tc>
                    <w:tc>
                      <w:tcPr>
                        <w:tcW w:w="3120" w:type="dxa"/>
                      </w:tcPr>
                      <w:p>
                        <w:pPr>
                          <w:pStyle w:val="TableParagraph"/>
                          <w:spacing w:line="356" w:lineRule="exact"/>
                          <w:ind w:left="232" w:right="217"/>
                          <w:rPr>
                            <w:sz w:val="21"/>
                          </w:rPr>
                        </w:pPr>
                        <w:r>
                          <w:rPr>
                            <w:w w:val="105"/>
                            <w:sz w:val="21"/>
                          </w:rPr>
                          <w:t>投资财务内部收益率</w:t>
                        </w:r>
                        <w:r>
                          <w:rPr>
                            <w:w w:val="130"/>
                            <w:sz w:val="21"/>
                          </w:rPr>
                          <w:t>(</w:t>
                        </w:r>
                        <w:r>
                          <w:rPr>
                            <w:w w:val="105"/>
                            <w:sz w:val="21"/>
                          </w:rPr>
                          <w:t>税后</w:t>
                        </w:r>
                        <w:r>
                          <w:rPr>
                            <w:w w:val="130"/>
                            <w:sz w:val="21"/>
                          </w:rPr>
                          <w:t>)</w:t>
                        </w:r>
                      </w:p>
                    </w:tc>
                    <w:tc>
                      <w:tcPr>
                        <w:tcW w:w="1560" w:type="dxa"/>
                      </w:tcPr>
                      <w:p>
                        <w:pPr>
                          <w:pStyle w:val="TableParagraph"/>
                          <w:spacing w:line="356" w:lineRule="exact"/>
                          <w:ind w:left="17"/>
                          <w:rPr>
                            <w:sz w:val="21"/>
                          </w:rPr>
                        </w:pPr>
                        <w:r>
                          <w:rPr>
                            <w:w w:val="54"/>
                            <w:sz w:val="21"/>
                          </w:rPr>
                          <w:t>%</w:t>
                        </w:r>
                      </w:p>
                    </w:tc>
                    <w:tc>
                      <w:tcPr>
                        <w:tcW w:w="1416" w:type="dxa"/>
                      </w:tcPr>
                      <w:p>
                        <w:pPr>
                          <w:pStyle w:val="TableParagraph"/>
                          <w:spacing w:line="356" w:lineRule="exact"/>
                          <w:ind w:left="327" w:right="310"/>
                          <w:rPr>
                            <w:sz w:val="21"/>
                          </w:rPr>
                        </w:pPr>
                        <w:r>
                          <w:rPr>
                            <w:sz w:val="21"/>
                          </w:rPr>
                          <w:t>33.80%</w:t>
                        </w:r>
                      </w:p>
                    </w:tc>
                    <w:tc>
                      <w:tcPr>
                        <w:tcW w:w="1355" w:type="dxa"/>
                      </w:tcPr>
                      <w:p>
                        <w:pPr>
                          <w:pStyle w:val="TableParagraph"/>
                          <w:jc w:val="left"/>
                          <w:rPr>
                            <w:rFonts w:ascii="Times New Roman"/>
                            <w:sz w:val="22"/>
                          </w:rPr>
                        </w:pPr>
                      </w:p>
                    </w:tc>
                  </w:tr>
                  <w:tr>
                    <w:trPr>
                      <w:trHeight w:val="376" w:hRule="atLeast"/>
                    </w:trPr>
                    <w:tc>
                      <w:tcPr>
                        <w:tcW w:w="842" w:type="dxa"/>
                        <w:vMerge/>
                        <w:tcBorders>
                          <w:top w:val="nil"/>
                        </w:tcBorders>
                      </w:tcPr>
                      <w:p>
                        <w:pPr>
                          <w:rPr>
                            <w:sz w:val="2"/>
                            <w:szCs w:val="2"/>
                          </w:rPr>
                        </w:pPr>
                      </w:p>
                    </w:tc>
                    <w:tc>
                      <w:tcPr>
                        <w:tcW w:w="3120" w:type="dxa"/>
                      </w:tcPr>
                      <w:p>
                        <w:pPr>
                          <w:pStyle w:val="TableParagraph"/>
                          <w:spacing w:line="356" w:lineRule="exact"/>
                          <w:ind w:left="232" w:right="212"/>
                          <w:rPr>
                            <w:sz w:val="21"/>
                          </w:rPr>
                        </w:pPr>
                        <w:r>
                          <w:rPr>
                            <w:w w:val="110"/>
                            <w:sz w:val="21"/>
                          </w:rPr>
                          <w:t>投资财务净现值</w:t>
                        </w:r>
                        <w:r>
                          <w:rPr>
                            <w:w w:val="130"/>
                            <w:sz w:val="21"/>
                          </w:rPr>
                          <w:t>(</w:t>
                        </w:r>
                        <w:r>
                          <w:rPr>
                            <w:w w:val="110"/>
                            <w:sz w:val="21"/>
                          </w:rPr>
                          <w:t>税后</w:t>
                        </w:r>
                        <w:r>
                          <w:rPr>
                            <w:w w:val="130"/>
                            <w:sz w:val="21"/>
                          </w:rPr>
                          <w:t>)</w:t>
                        </w:r>
                      </w:p>
                    </w:tc>
                    <w:tc>
                      <w:tcPr>
                        <w:tcW w:w="1560" w:type="dxa"/>
                      </w:tcPr>
                      <w:p>
                        <w:pPr>
                          <w:pStyle w:val="TableParagraph"/>
                          <w:spacing w:line="356" w:lineRule="exact"/>
                          <w:ind w:left="112" w:right="95"/>
                          <w:rPr>
                            <w:sz w:val="21"/>
                          </w:rPr>
                        </w:pPr>
                        <w:r>
                          <w:rPr>
                            <w:sz w:val="21"/>
                          </w:rPr>
                          <w:t>万元</w:t>
                        </w:r>
                      </w:p>
                    </w:tc>
                    <w:tc>
                      <w:tcPr>
                        <w:tcW w:w="1416" w:type="dxa"/>
                      </w:tcPr>
                      <w:p>
                        <w:pPr>
                          <w:pStyle w:val="TableParagraph"/>
                          <w:spacing w:line="356" w:lineRule="exact"/>
                          <w:ind w:left="327" w:right="310"/>
                          <w:rPr>
                            <w:sz w:val="21"/>
                          </w:rPr>
                        </w:pPr>
                        <w:r>
                          <w:rPr>
                            <w:sz w:val="21"/>
                          </w:rPr>
                          <w:t>29396</w:t>
                        </w:r>
                      </w:p>
                    </w:tc>
                    <w:tc>
                      <w:tcPr>
                        <w:tcW w:w="1355" w:type="dxa"/>
                      </w:tcPr>
                      <w:p>
                        <w:pPr>
                          <w:pStyle w:val="TableParagraph"/>
                          <w:jc w:val="left"/>
                          <w:rPr>
                            <w:rFonts w:ascii="Times New Roman"/>
                            <w:sz w:val="22"/>
                          </w:rPr>
                        </w:pPr>
                      </w:p>
                    </w:tc>
                  </w:tr>
                  <w:tr>
                    <w:trPr>
                      <w:trHeight w:val="378" w:hRule="atLeast"/>
                    </w:trPr>
                    <w:tc>
                      <w:tcPr>
                        <w:tcW w:w="842" w:type="dxa"/>
                        <w:vMerge/>
                        <w:tcBorders>
                          <w:top w:val="nil"/>
                        </w:tcBorders>
                      </w:tcPr>
                      <w:p>
                        <w:pPr>
                          <w:rPr>
                            <w:sz w:val="2"/>
                            <w:szCs w:val="2"/>
                          </w:rPr>
                        </w:pPr>
                      </w:p>
                    </w:tc>
                    <w:tc>
                      <w:tcPr>
                        <w:tcW w:w="3120" w:type="dxa"/>
                      </w:tcPr>
                      <w:p>
                        <w:pPr>
                          <w:pStyle w:val="TableParagraph"/>
                          <w:spacing w:line="358" w:lineRule="exact"/>
                          <w:ind w:left="232" w:right="215"/>
                          <w:rPr>
                            <w:sz w:val="21"/>
                          </w:rPr>
                        </w:pPr>
                        <w:r>
                          <w:rPr>
                            <w:sz w:val="21"/>
                          </w:rPr>
                          <w:t>投资回收期（税后）</w:t>
                        </w:r>
                      </w:p>
                    </w:tc>
                    <w:tc>
                      <w:tcPr>
                        <w:tcW w:w="1560" w:type="dxa"/>
                      </w:tcPr>
                      <w:p>
                        <w:pPr>
                          <w:pStyle w:val="TableParagraph"/>
                          <w:spacing w:line="358" w:lineRule="exact"/>
                          <w:ind w:left="17"/>
                          <w:rPr>
                            <w:sz w:val="21"/>
                          </w:rPr>
                        </w:pPr>
                        <w:r>
                          <w:rPr>
                            <w:w w:val="100"/>
                            <w:sz w:val="21"/>
                          </w:rPr>
                          <w:t>年</w:t>
                        </w:r>
                      </w:p>
                    </w:tc>
                    <w:tc>
                      <w:tcPr>
                        <w:tcW w:w="1416" w:type="dxa"/>
                      </w:tcPr>
                      <w:p>
                        <w:pPr>
                          <w:pStyle w:val="TableParagraph"/>
                          <w:spacing w:line="358" w:lineRule="exact"/>
                          <w:ind w:left="327" w:right="310"/>
                          <w:rPr>
                            <w:sz w:val="21"/>
                          </w:rPr>
                        </w:pPr>
                        <w:r>
                          <w:rPr>
                            <w:w w:val="105"/>
                            <w:sz w:val="21"/>
                          </w:rPr>
                          <w:t>4.44</w:t>
                        </w:r>
                      </w:p>
                    </w:tc>
                    <w:tc>
                      <w:tcPr>
                        <w:tcW w:w="1355" w:type="dxa"/>
                      </w:tcPr>
                      <w:p>
                        <w:pPr>
                          <w:pStyle w:val="TableParagraph"/>
                          <w:spacing w:line="358" w:lineRule="exact"/>
                          <w:ind w:left="239" w:right="215"/>
                          <w:rPr>
                            <w:sz w:val="21"/>
                          </w:rPr>
                        </w:pPr>
                        <w:r>
                          <w:rPr>
                            <w:sz w:val="21"/>
                          </w:rPr>
                          <w:t>含建设期</w:t>
                        </w:r>
                      </w:p>
                    </w:tc>
                  </w:tr>
                </w:tbl>
                <w:p>
                  <w:pPr>
                    <w:pStyle w:val="BodyText"/>
                  </w:pPr>
                </w:p>
              </w:txbxContent>
            </v:textbox>
            <w10:wrap type="none"/>
          </v:shape>
        </w:pict>
      </w:r>
      <w:r>
        <w:rPr/>
        <w:t>表</w:t>
      </w:r>
      <w:r>
        <w:rPr>
          <w:spacing w:val="16"/>
        </w:rPr>
        <w:t> </w:t>
      </w:r>
      <w:r>
        <w:rPr/>
        <w:t>9.1-1</w:t>
        <w:tab/>
        <w:t>本项目主要经济技术指标表</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3"/>
        </w:rPr>
      </w:pPr>
    </w:p>
    <w:p>
      <w:pPr>
        <w:pStyle w:val="BodyText"/>
        <w:spacing w:line="488" w:lineRule="exact"/>
        <w:ind w:left="1060"/>
      </w:pPr>
      <w:r>
        <w:rPr/>
        <w:t>从上表可以看出，本项目正常营运后，年销售收入 32784 万元，投资回收期</w:t>
      </w:r>
    </w:p>
    <w:p>
      <w:pPr>
        <w:pStyle w:val="BodyText"/>
        <w:spacing w:line="488" w:lineRule="exact"/>
        <w:ind w:left="580"/>
      </w:pPr>
      <w:r>
        <w:rPr/>
        <w:t>限为 4.44 年，投资回收期适中，经济效益较好，在经济上是可行的。</w:t>
      </w:r>
    </w:p>
    <w:p>
      <w:pPr>
        <w:spacing w:after="0" w:line="488" w:lineRule="exact"/>
        <w:sectPr>
          <w:footerReference w:type="default" r:id="rId61"/>
          <w:pgSz w:w="11910" w:h="16840"/>
          <w:pgMar w:footer="973" w:header="877" w:top="1340" w:bottom="1160" w:left="1220" w:right="1040"/>
        </w:sectPr>
      </w:pPr>
    </w:p>
    <w:p>
      <w:pPr>
        <w:pStyle w:val="BodyText"/>
        <w:spacing w:before="17"/>
        <w:rPr>
          <w:sz w:val="6"/>
        </w:rPr>
      </w:pPr>
    </w:p>
    <w:p>
      <w:pPr>
        <w:pStyle w:val="Heading4"/>
        <w:numPr>
          <w:ilvl w:val="1"/>
          <w:numId w:val="19"/>
        </w:numPr>
        <w:tabs>
          <w:tab w:pos="1331" w:val="left" w:leader="none"/>
          <w:tab w:pos="1332" w:val="left" w:leader="none"/>
        </w:tabs>
        <w:spacing w:line="550" w:lineRule="exact" w:before="0" w:after="0"/>
        <w:ind w:left="1331" w:right="0" w:hanging="751"/>
        <w:jc w:val="left"/>
      </w:pPr>
      <w:r>
        <w:rPr/>
        <w:t>环保投资及效益分析</w:t>
      </w:r>
    </w:p>
    <w:p>
      <w:pPr>
        <w:pStyle w:val="Heading5"/>
        <w:numPr>
          <w:ilvl w:val="2"/>
          <w:numId w:val="19"/>
        </w:numPr>
        <w:tabs>
          <w:tab w:pos="1421" w:val="left" w:leader="none"/>
        </w:tabs>
        <w:spacing w:line="592" w:lineRule="exact" w:before="13" w:after="0"/>
        <w:ind w:left="1420" w:right="0" w:hanging="840"/>
        <w:jc w:val="left"/>
      </w:pPr>
      <w:r>
        <w:rPr>
          <w:spacing w:val="-2"/>
        </w:rPr>
        <w:t>环保设施投资情况</w:t>
      </w:r>
    </w:p>
    <w:p>
      <w:pPr>
        <w:pStyle w:val="BodyText"/>
        <w:spacing w:line="220" w:lineRule="auto" w:before="26"/>
        <w:ind w:left="580" w:right="758" w:firstLine="479"/>
        <w:jc w:val="both"/>
      </w:pPr>
      <w:r>
        <w:rPr>
          <w:spacing w:val="-3"/>
        </w:rPr>
        <w:t>本项目总投资为 </w:t>
      </w:r>
      <w:r>
        <w:rPr/>
        <w:t>26805</w:t>
      </w:r>
      <w:r>
        <w:rPr>
          <w:spacing w:val="-10"/>
        </w:rPr>
        <w:t> 万元，在环境保护设施方面投资为 </w:t>
      </w:r>
      <w:r>
        <w:rPr/>
        <w:t>800</w:t>
      </w:r>
      <w:r>
        <w:rPr>
          <w:spacing w:val="-12"/>
        </w:rPr>
        <w:t> 万元，占项目</w:t>
      </w:r>
      <w:r>
        <w:rPr>
          <w:spacing w:val="-9"/>
        </w:rPr>
        <w:t>总投资的 </w:t>
      </w:r>
      <w:r>
        <w:rPr/>
        <w:t>3.0%。</w:t>
      </w:r>
    </w:p>
    <w:p>
      <w:pPr>
        <w:pStyle w:val="BodyText"/>
        <w:spacing w:line="480" w:lineRule="exact"/>
        <w:ind w:left="1060"/>
      </w:pPr>
      <w:r>
        <w:rPr/>
        <w:t>环保设施及其投资情况详见表 9.2-2。</w:t>
      </w:r>
    </w:p>
    <w:p>
      <w:pPr>
        <w:pStyle w:val="BodyText"/>
        <w:tabs>
          <w:tab w:pos="1139" w:val="left" w:leader="none"/>
        </w:tabs>
        <w:spacing w:before="36"/>
        <w:ind w:right="176"/>
        <w:jc w:val="center"/>
      </w:pPr>
      <w:r>
        <w:rPr/>
        <w:pict>
          <v:shape style="position:absolute;margin-left:91.584pt;margin-top:23.16pt;width:412.55pt;height:178.85pt;mso-position-horizontal-relative:page;mso-position-vertical-relative:paragraph;z-index:20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5230"/>
                    <w:gridCol w:w="1774"/>
                  </w:tblGrid>
                  <w:tr>
                    <w:trPr>
                      <w:trHeight w:val="386" w:hRule="atLeast"/>
                    </w:trPr>
                    <w:tc>
                      <w:tcPr>
                        <w:tcW w:w="1231" w:type="dxa"/>
                      </w:tcPr>
                      <w:p>
                        <w:pPr>
                          <w:pStyle w:val="TableParagraph"/>
                          <w:spacing w:line="367" w:lineRule="exact"/>
                          <w:ind w:left="384" w:right="377"/>
                          <w:rPr>
                            <w:sz w:val="21"/>
                          </w:rPr>
                        </w:pPr>
                        <w:r>
                          <w:rPr>
                            <w:sz w:val="21"/>
                          </w:rPr>
                          <w:t>序号</w:t>
                        </w:r>
                      </w:p>
                    </w:tc>
                    <w:tc>
                      <w:tcPr>
                        <w:tcW w:w="5230" w:type="dxa"/>
                      </w:tcPr>
                      <w:p>
                        <w:pPr>
                          <w:pStyle w:val="TableParagraph"/>
                          <w:spacing w:line="367" w:lineRule="exact"/>
                          <w:ind w:left="1964" w:right="1956"/>
                          <w:rPr>
                            <w:sz w:val="21"/>
                          </w:rPr>
                        </w:pPr>
                        <w:r>
                          <w:rPr>
                            <w:sz w:val="21"/>
                          </w:rPr>
                          <w:t>项目</w:t>
                        </w:r>
                      </w:p>
                    </w:tc>
                    <w:tc>
                      <w:tcPr>
                        <w:tcW w:w="1774" w:type="dxa"/>
                      </w:tcPr>
                      <w:p>
                        <w:pPr>
                          <w:pStyle w:val="TableParagraph"/>
                          <w:spacing w:line="367" w:lineRule="exact"/>
                          <w:ind w:left="313" w:right="302"/>
                          <w:rPr>
                            <w:sz w:val="21"/>
                          </w:rPr>
                        </w:pPr>
                        <w:r>
                          <w:rPr>
                            <w:w w:val="110"/>
                            <w:sz w:val="21"/>
                          </w:rPr>
                          <w:t>金额</w:t>
                        </w:r>
                        <w:r>
                          <w:rPr>
                            <w:w w:val="130"/>
                            <w:sz w:val="21"/>
                          </w:rPr>
                          <w:t>(</w:t>
                        </w:r>
                        <w:r>
                          <w:rPr>
                            <w:w w:val="110"/>
                            <w:sz w:val="21"/>
                          </w:rPr>
                          <w:t>万元</w:t>
                        </w:r>
                        <w:r>
                          <w:rPr>
                            <w:w w:val="130"/>
                            <w:sz w:val="21"/>
                          </w:rPr>
                          <w:t>)</w:t>
                        </w:r>
                      </w:p>
                    </w:tc>
                  </w:tr>
                  <w:tr>
                    <w:trPr>
                      <w:trHeight w:val="386" w:hRule="atLeast"/>
                    </w:trPr>
                    <w:tc>
                      <w:tcPr>
                        <w:tcW w:w="1231" w:type="dxa"/>
                      </w:tcPr>
                      <w:p>
                        <w:pPr>
                          <w:pStyle w:val="TableParagraph"/>
                          <w:spacing w:line="366" w:lineRule="exact"/>
                          <w:ind w:left="7"/>
                          <w:rPr>
                            <w:sz w:val="21"/>
                          </w:rPr>
                        </w:pPr>
                        <w:r>
                          <w:rPr>
                            <w:w w:val="90"/>
                            <w:sz w:val="21"/>
                          </w:rPr>
                          <w:t>1</w:t>
                        </w:r>
                      </w:p>
                    </w:tc>
                    <w:tc>
                      <w:tcPr>
                        <w:tcW w:w="5230" w:type="dxa"/>
                      </w:tcPr>
                      <w:p>
                        <w:pPr>
                          <w:pStyle w:val="TableParagraph"/>
                          <w:spacing w:line="366" w:lineRule="exact"/>
                          <w:ind w:left="1964" w:right="1956"/>
                          <w:rPr>
                            <w:sz w:val="21"/>
                          </w:rPr>
                        </w:pPr>
                        <w:r>
                          <w:rPr>
                            <w:sz w:val="21"/>
                          </w:rPr>
                          <w:t>废气处理设施</w:t>
                        </w:r>
                      </w:p>
                    </w:tc>
                    <w:tc>
                      <w:tcPr>
                        <w:tcW w:w="1774" w:type="dxa"/>
                      </w:tcPr>
                      <w:p>
                        <w:pPr>
                          <w:pStyle w:val="TableParagraph"/>
                          <w:spacing w:line="366" w:lineRule="exact"/>
                          <w:ind w:left="313" w:right="299"/>
                          <w:rPr>
                            <w:sz w:val="21"/>
                          </w:rPr>
                        </w:pPr>
                        <w:r>
                          <w:rPr>
                            <w:sz w:val="21"/>
                          </w:rPr>
                          <w:t>180</w:t>
                        </w:r>
                      </w:p>
                    </w:tc>
                  </w:tr>
                  <w:tr>
                    <w:trPr>
                      <w:trHeight w:val="385" w:hRule="atLeast"/>
                    </w:trPr>
                    <w:tc>
                      <w:tcPr>
                        <w:tcW w:w="1231" w:type="dxa"/>
                      </w:tcPr>
                      <w:p>
                        <w:pPr>
                          <w:pStyle w:val="TableParagraph"/>
                          <w:spacing w:line="366" w:lineRule="exact"/>
                          <w:ind w:left="7"/>
                          <w:rPr>
                            <w:sz w:val="21"/>
                          </w:rPr>
                        </w:pPr>
                        <w:r>
                          <w:rPr>
                            <w:w w:val="90"/>
                            <w:sz w:val="21"/>
                          </w:rPr>
                          <w:t>2</w:t>
                        </w:r>
                      </w:p>
                    </w:tc>
                    <w:tc>
                      <w:tcPr>
                        <w:tcW w:w="5230" w:type="dxa"/>
                      </w:tcPr>
                      <w:p>
                        <w:pPr>
                          <w:pStyle w:val="TableParagraph"/>
                          <w:spacing w:line="366" w:lineRule="exact"/>
                          <w:ind w:left="1964" w:right="1956"/>
                          <w:rPr>
                            <w:sz w:val="21"/>
                          </w:rPr>
                        </w:pPr>
                        <w:r>
                          <w:rPr>
                            <w:sz w:val="21"/>
                          </w:rPr>
                          <w:t>废水处理设施</w:t>
                        </w:r>
                      </w:p>
                    </w:tc>
                    <w:tc>
                      <w:tcPr>
                        <w:tcW w:w="1774" w:type="dxa"/>
                      </w:tcPr>
                      <w:p>
                        <w:pPr>
                          <w:pStyle w:val="TableParagraph"/>
                          <w:spacing w:line="366" w:lineRule="exact"/>
                          <w:ind w:left="313" w:right="299"/>
                          <w:rPr>
                            <w:sz w:val="21"/>
                          </w:rPr>
                        </w:pPr>
                        <w:r>
                          <w:rPr>
                            <w:sz w:val="21"/>
                          </w:rPr>
                          <w:t>240</w:t>
                        </w:r>
                      </w:p>
                    </w:tc>
                  </w:tr>
                  <w:tr>
                    <w:trPr>
                      <w:trHeight w:val="388" w:hRule="atLeast"/>
                    </w:trPr>
                    <w:tc>
                      <w:tcPr>
                        <w:tcW w:w="1231" w:type="dxa"/>
                      </w:tcPr>
                      <w:p>
                        <w:pPr>
                          <w:pStyle w:val="TableParagraph"/>
                          <w:spacing w:line="368" w:lineRule="exact"/>
                          <w:ind w:left="7"/>
                          <w:rPr>
                            <w:sz w:val="21"/>
                          </w:rPr>
                        </w:pPr>
                        <w:r>
                          <w:rPr>
                            <w:w w:val="90"/>
                            <w:sz w:val="21"/>
                          </w:rPr>
                          <w:t>3</w:t>
                        </w:r>
                      </w:p>
                    </w:tc>
                    <w:tc>
                      <w:tcPr>
                        <w:tcW w:w="5230" w:type="dxa"/>
                      </w:tcPr>
                      <w:p>
                        <w:pPr>
                          <w:pStyle w:val="TableParagraph"/>
                          <w:spacing w:line="368" w:lineRule="exact"/>
                          <w:ind w:left="1961" w:right="1956"/>
                          <w:rPr>
                            <w:sz w:val="21"/>
                          </w:rPr>
                        </w:pPr>
                        <w:r>
                          <w:rPr>
                            <w:sz w:val="21"/>
                          </w:rPr>
                          <w:t>防渗系统</w:t>
                        </w:r>
                      </w:p>
                    </w:tc>
                    <w:tc>
                      <w:tcPr>
                        <w:tcW w:w="1774" w:type="dxa"/>
                      </w:tcPr>
                      <w:p>
                        <w:pPr>
                          <w:pStyle w:val="TableParagraph"/>
                          <w:spacing w:line="368" w:lineRule="exact"/>
                          <w:ind w:left="311" w:right="302"/>
                          <w:rPr>
                            <w:sz w:val="21"/>
                          </w:rPr>
                        </w:pPr>
                        <w:r>
                          <w:rPr>
                            <w:sz w:val="21"/>
                          </w:rPr>
                          <w:t>80</w:t>
                        </w:r>
                      </w:p>
                    </w:tc>
                  </w:tr>
                  <w:tr>
                    <w:trPr>
                      <w:trHeight w:val="385" w:hRule="atLeast"/>
                    </w:trPr>
                    <w:tc>
                      <w:tcPr>
                        <w:tcW w:w="1231" w:type="dxa"/>
                      </w:tcPr>
                      <w:p>
                        <w:pPr>
                          <w:pStyle w:val="TableParagraph"/>
                          <w:spacing w:line="366" w:lineRule="exact"/>
                          <w:ind w:left="7"/>
                          <w:rPr>
                            <w:sz w:val="21"/>
                          </w:rPr>
                        </w:pPr>
                        <w:r>
                          <w:rPr>
                            <w:w w:val="90"/>
                            <w:sz w:val="21"/>
                          </w:rPr>
                          <w:t>4</w:t>
                        </w:r>
                      </w:p>
                    </w:tc>
                    <w:tc>
                      <w:tcPr>
                        <w:tcW w:w="5230" w:type="dxa"/>
                      </w:tcPr>
                      <w:p>
                        <w:pPr>
                          <w:pStyle w:val="TableParagraph"/>
                          <w:spacing w:line="366" w:lineRule="exact"/>
                          <w:ind w:left="1964" w:right="1956"/>
                          <w:rPr>
                            <w:sz w:val="21"/>
                          </w:rPr>
                        </w:pPr>
                        <w:r>
                          <w:rPr>
                            <w:sz w:val="21"/>
                          </w:rPr>
                          <w:t>固废处理措施</w:t>
                        </w:r>
                      </w:p>
                    </w:tc>
                    <w:tc>
                      <w:tcPr>
                        <w:tcW w:w="1774" w:type="dxa"/>
                      </w:tcPr>
                      <w:p>
                        <w:pPr>
                          <w:pStyle w:val="TableParagraph"/>
                          <w:spacing w:line="366" w:lineRule="exact"/>
                          <w:ind w:left="313" w:right="299"/>
                          <w:rPr>
                            <w:sz w:val="21"/>
                          </w:rPr>
                        </w:pPr>
                        <w:r>
                          <w:rPr>
                            <w:sz w:val="21"/>
                          </w:rPr>
                          <w:t>250</w:t>
                        </w:r>
                      </w:p>
                    </w:tc>
                  </w:tr>
                  <w:tr>
                    <w:trPr>
                      <w:trHeight w:val="386" w:hRule="atLeast"/>
                    </w:trPr>
                    <w:tc>
                      <w:tcPr>
                        <w:tcW w:w="1231" w:type="dxa"/>
                      </w:tcPr>
                      <w:p>
                        <w:pPr>
                          <w:pStyle w:val="TableParagraph"/>
                          <w:spacing w:line="366" w:lineRule="exact"/>
                          <w:ind w:left="7"/>
                          <w:rPr>
                            <w:sz w:val="21"/>
                          </w:rPr>
                        </w:pPr>
                        <w:r>
                          <w:rPr>
                            <w:w w:val="90"/>
                            <w:sz w:val="21"/>
                          </w:rPr>
                          <w:t>5</w:t>
                        </w:r>
                      </w:p>
                    </w:tc>
                    <w:tc>
                      <w:tcPr>
                        <w:tcW w:w="5230" w:type="dxa"/>
                      </w:tcPr>
                      <w:p>
                        <w:pPr>
                          <w:pStyle w:val="TableParagraph"/>
                          <w:spacing w:line="366" w:lineRule="exact"/>
                          <w:ind w:left="1961" w:right="1956"/>
                          <w:rPr>
                            <w:sz w:val="21"/>
                          </w:rPr>
                        </w:pPr>
                        <w:r>
                          <w:rPr>
                            <w:sz w:val="21"/>
                          </w:rPr>
                          <w:t>噪声治理</w:t>
                        </w:r>
                      </w:p>
                    </w:tc>
                    <w:tc>
                      <w:tcPr>
                        <w:tcW w:w="1774" w:type="dxa"/>
                      </w:tcPr>
                      <w:p>
                        <w:pPr>
                          <w:pStyle w:val="TableParagraph"/>
                          <w:spacing w:line="366" w:lineRule="exact"/>
                          <w:ind w:left="311" w:right="302"/>
                          <w:rPr>
                            <w:sz w:val="21"/>
                          </w:rPr>
                        </w:pPr>
                        <w:r>
                          <w:rPr>
                            <w:sz w:val="21"/>
                          </w:rPr>
                          <w:t>30</w:t>
                        </w:r>
                      </w:p>
                    </w:tc>
                  </w:tr>
                  <w:tr>
                    <w:trPr>
                      <w:trHeight w:val="385" w:hRule="atLeast"/>
                    </w:trPr>
                    <w:tc>
                      <w:tcPr>
                        <w:tcW w:w="1231" w:type="dxa"/>
                      </w:tcPr>
                      <w:p>
                        <w:pPr>
                          <w:pStyle w:val="TableParagraph"/>
                          <w:spacing w:line="366" w:lineRule="exact"/>
                          <w:ind w:left="7"/>
                          <w:rPr>
                            <w:sz w:val="21"/>
                          </w:rPr>
                        </w:pPr>
                        <w:r>
                          <w:rPr>
                            <w:w w:val="90"/>
                            <w:sz w:val="21"/>
                          </w:rPr>
                          <w:t>6</w:t>
                        </w:r>
                      </w:p>
                    </w:tc>
                    <w:tc>
                      <w:tcPr>
                        <w:tcW w:w="5230" w:type="dxa"/>
                      </w:tcPr>
                      <w:p>
                        <w:pPr>
                          <w:pStyle w:val="TableParagraph"/>
                          <w:spacing w:line="366" w:lineRule="exact"/>
                          <w:ind w:left="1964" w:right="1956"/>
                          <w:rPr>
                            <w:sz w:val="21"/>
                          </w:rPr>
                        </w:pPr>
                        <w:r>
                          <w:rPr>
                            <w:sz w:val="21"/>
                          </w:rPr>
                          <w:t>其它</w:t>
                        </w:r>
                      </w:p>
                    </w:tc>
                    <w:tc>
                      <w:tcPr>
                        <w:tcW w:w="1774" w:type="dxa"/>
                      </w:tcPr>
                      <w:p>
                        <w:pPr>
                          <w:pStyle w:val="TableParagraph"/>
                          <w:spacing w:line="366" w:lineRule="exact"/>
                          <w:ind w:left="311" w:right="302"/>
                          <w:rPr>
                            <w:sz w:val="21"/>
                          </w:rPr>
                        </w:pPr>
                        <w:r>
                          <w:rPr>
                            <w:sz w:val="21"/>
                          </w:rPr>
                          <w:t>20</w:t>
                        </w:r>
                      </w:p>
                    </w:tc>
                  </w:tr>
                  <w:tr>
                    <w:trPr>
                      <w:trHeight w:val="386" w:hRule="atLeast"/>
                    </w:trPr>
                    <w:tc>
                      <w:tcPr>
                        <w:tcW w:w="6461" w:type="dxa"/>
                        <w:gridSpan w:val="2"/>
                      </w:tcPr>
                      <w:p>
                        <w:pPr>
                          <w:pStyle w:val="TableParagraph"/>
                          <w:spacing w:line="366" w:lineRule="exact"/>
                          <w:ind w:left="2686" w:right="2674"/>
                          <w:rPr>
                            <w:sz w:val="21"/>
                          </w:rPr>
                        </w:pPr>
                        <w:r>
                          <w:rPr>
                            <w:sz w:val="21"/>
                          </w:rPr>
                          <w:t>环保总投资</w:t>
                        </w:r>
                      </w:p>
                    </w:tc>
                    <w:tc>
                      <w:tcPr>
                        <w:tcW w:w="1774" w:type="dxa"/>
                      </w:tcPr>
                      <w:p>
                        <w:pPr>
                          <w:pStyle w:val="TableParagraph"/>
                          <w:spacing w:line="366" w:lineRule="exact"/>
                          <w:ind w:left="313" w:right="299"/>
                          <w:rPr>
                            <w:sz w:val="21"/>
                          </w:rPr>
                        </w:pPr>
                        <w:r>
                          <w:rPr>
                            <w:sz w:val="21"/>
                          </w:rPr>
                          <w:t>800</w:t>
                        </w:r>
                      </w:p>
                    </w:tc>
                  </w:tr>
                  <w:tr>
                    <w:trPr>
                      <w:trHeight w:val="386" w:hRule="atLeast"/>
                    </w:trPr>
                    <w:tc>
                      <w:tcPr>
                        <w:tcW w:w="6461" w:type="dxa"/>
                        <w:gridSpan w:val="2"/>
                      </w:tcPr>
                      <w:p>
                        <w:pPr>
                          <w:pStyle w:val="TableParagraph"/>
                          <w:spacing w:line="366" w:lineRule="exact"/>
                          <w:ind w:left="1600"/>
                          <w:jc w:val="left"/>
                          <w:rPr>
                            <w:sz w:val="21"/>
                          </w:rPr>
                        </w:pPr>
                        <w:r>
                          <w:rPr>
                            <w:sz w:val="21"/>
                          </w:rPr>
                          <w:t>环保总投资占工程总投资百分比(%)</w:t>
                        </w:r>
                      </w:p>
                    </w:tc>
                    <w:tc>
                      <w:tcPr>
                        <w:tcW w:w="1774" w:type="dxa"/>
                      </w:tcPr>
                      <w:p>
                        <w:pPr>
                          <w:pStyle w:val="TableParagraph"/>
                          <w:spacing w:line="366" w:lineRule="exact"/>
                          <w:ind w:left="313" w:right="299"/>
                          <w:rPr>
                            <w:sz w:val="21"/>
                          </w:rPr>
                        </w:pPr>
                        <w:r>
                          <w:rPr>
                            <w:w w:val="95"/>
                            <w:sz w:val="21"/>
                          </w:rPr>
                          <w:t>3.0%</w:t>
                        </w:r>
                      </w:p>
                    </w:tc>
                  </w:tr>
                </w:tbl>
                <w:p>
                  <w:pPr>
                    <w:pStyle w:val="BodyText"/>
                  </w:pPr>
                </w:p>
              </w:txbxContent>
            </v:textbox>
            <w10:wrap type="none"/>
          </v:shape>
        </w:pict>
      </w:r>
      <w:r>
        <w:rPr/>
        <w:t>表</w:t>
      </w:r>
      <w:r>
        <w:rPr>
          <w:spacing w:val="16"/>
        </w:rPr>
        <w:t> </w:t>
      </w:r>
      <w:r>
        <w:rPr/>
        <w:t>9.2-1</w:t>
        <w:tab/>
        <w:t>环保投资估算表</w:t>
      </w:r>
    </w:p>
    <w:p>
      <w:pPr>
        <w:pStyle w:val="BodyText"/>
      </w:pPr>
    </w:p>
    <w:p>
      <w:pPr>
        <w:pStyle w:val="BodyText"/>
      </w:pPr>
    </w:p>
    <w:p>
      <w:pPr>
        <w:pStyle w:val="BodyText"/>
      </w:pPr>
    </w:p>
    <w:p>
      <w:pPr>
        <w:pStyle w:val="BodyText"/>
      </w:pPr>
    </w:p>
    <w:p>
      <w:pPr>
        <w:pStyle w:val="BodyText"/>
      </w:pPr>
    </w:p>
    <w:p>
      <w:pPr>
        <w:pStyle w:val="BodyText"/>
      </w:pPr>
    </w:p>
    <w:p>
      <w:pPr>
        <w:pStyle w:val="BodyText"/>
        <w:spacing w:before="18"/>
        <w:rPr>
          <w:sz w:val="27"/>
        </w:rPr>
      </w:pPr>
    </w:p>
    <w:p>
      <w:pPr>
        <w:pStyle w:val="BodyText"/>
        <w:spacing w:line="220" w:lineRule="auto" w:before="1"/>
        <w:ind w:left="580" w:right="757" w:firstLine="479"/>
        <w:jc w:val="both"/>
      </w:pPr>
      <w:r>
        <w:rPr>
          <w:spacing w:val="-6"/>
        </w:rPr>
        <w:t>通过一系列的环保投资建设，加强项目环保工程硬件建设，从而实现对生产</w:t>
      </w:r>
      <w:r>
        <w:rPr>
          <w:spacing w:val="-11"/>
        </w:rPr>
        <w:t>全过程各污染环节的控制，确保各主要污染物达标排放，满足行业要求，投资也比较合理。</w:t>
      </w:r>
    </w:p>
    <w:p>
      <w:pPr>
        <w:pStyle w:val="Heading5"/>
        <w:numPr>
          <w:ilvl w:val="2"/>
          <w:numId w:val="19"/>
        </w:numPr>
        <w:tabs>
          <w:tab w:pos="1421" w:val="left" w:leader="none"/>
        </w:tabs>
        <w:spacing w:line="592" w:lineRule="exact" w:before="5" w:after="0"/>
        <w:ind w:left="1420" w:right="0" w:hanging="840"/>
        <w:jc w:val="left"/>
      </w:pPr>
      <w:r>
        <w:rPr/>
        <w:t>运行费用</w:t>
      </w:r>
    </w:p>
    <w:p>
      <w:pPr>
        <w:pStyle w:val="BodyText"/>
        <w:spacing w:line="220" w:lineRule="auto" w:before="27"/>
        <w:ind w:left="580" w:right="756" w:firstLine="479"/>
        <w:jc w:val="both"/>
      </w:pPr>
      <w:r>
        <w:rPr>
          <w:spacing w:val="3"/>
        </w:rPr>
        <w:t>运行费用主要包括废气、废水及固体废物治理的运行费用等，共计 </w:t>
      </w:r>
      <w:r>
        <w:rPr/>
        <w:t>689.8 万元/a，具体费用见表 9.2-2。</w:t>
      </w:r>
    </w:p>
    <w:p>
      <w:pPr>
        <w:pStyle w:val="BodyText"/>
        <w:tabs>
          <w:tab w:pos="1140" w:val="left" w:leader="none"/>
        </w:tabs>
        <w:spacing w:before="48"/>
        <w:ind w:right="175"/>
        <w:jc w:val="center"/>
      </w:pPr>
      <w:r>
        <w:rPr/>
        <w:pict>
          <v:shape style="position:absolute;margin-left:89.543999pt;margin-top:23.760021pt;width:416.6pt;height:102.25pt;mso-position-horizontal-relative:page;mso-position-vertical-relative:paragraph;z-index:208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2581"/>
                    <w:gridCol w:w="4881"/>
                  </w:tblGrid>
                  <w:tr>
                    <w:trPr>
                      <w:trHeight w:val="625" w:hRule="atLeast"/>
                    </w:trPr>
                    <w:tc>
                      <w:tcPr>
                        <w:tcW w:w="857" w:type="dxa"/>
                      </w:tcPr>
                      <w:p>
                        <w:pPr>
                          <w:pStyle w:val="TableParagraph"/>
                          <w:spacing w:before="80"/>
                          <w:ind w:left="85" w:right="74"/>
                          <w:rPr>
                            <w:sz w:val="21"/>
                          </w:rPr>
                        </w:pPr>
                        <w:r>
                          <w:rPr>
                            <w:sz w:val="21"/>
                          </w:rPr>
                          <w:t>序号</w:t>
                        </w:r>
                      </w:p>
                    </w:tc>
                    <w:tc>
                      <w:tcPr>
                        <w:tcW w:w="2581" w:type="dxa"/>
                      </w:tcPr>
                      <w:p>
                        <w:pPr>
                          <w:pStyle w:val="TableParagraph"/>
                          <w:spacing w:before="80"/>
                          <w:ind w:left="849" w:right="841"/>
                          <w:rPr>
                            <w:sz w:val="21"/>
                          </w:rPr>
                        </w:pPr>
                        <w:r>
                          <w:rPr>
                            <w:sz w:val="21"/>
                          </w:rPr>
                          <w:t>设施名称</w:t>
                        </w:r>
                      </w:p>
                    </w:tc>
                    <w:tc>
                      <w:tcPr>
                        <w:tcW w:w="4881" w:type="dxa"/>
                      </w:tcPr>
                      <w:p>
                        <w:pPr>
                          <w:pStyle w:val="TableParagraph"/>
                          <w:spacing w:line="303" w:lineRule="exact"/>
                          <w:ind w:left="7"/>
                          <w:rPr>
                            <w:sz w:val="21"/>
                          </w:rPr>
                        </w:pPr>
                        <w:r>
                          <w:rPr>
                            <w:sz w:val="21"/>
                          </w:rPr>
                          <w:t>运行费用</w:t>
                        </w:r>
                      </w:p>
                      <w:p>
                        <w:pPr>
                          <w:pStyle w:val="TableParagraph"/>
                          <w:spacing w:line="303" w:lineRule="exact"/>
                          <w:ind w:left="2"/>
                          <w:rPr>
                            <w:sz w:val="21"/>
                          </w:rPr>
                        </w:pPr>
                        <w:r>
                          <w:rPr>
                            <w:sz w:val="21"/>
                          </w:rPr>
                          <w:t>（电费、人工费、药剂费、维修维护费、折旧费等）</w:t>
                        </w:r>
                      </w:p>
                    </w:tc>
                  </w:tr>
                  <w:tr>
                    <w:trPr>
                      <w:trHeight w:val="338" w:hRule="atLeast"/>
                    </w:trPr>
                    <w:tc>
                      <w:tcPr>
                        <w:tcW w:w="857" w:type="dxa"/>
                      </w:tcPr>
                      <w:p>
                        <w:pPr>
                          <w:pStyle w:val="TableParagraph"/>
                          <w:spacing w:line="318" w:lineRule="exact"/>
                          <w:ind w:left="6"/>
                          <w:rPr>
                            <w:sz w:val="21"/>
                          </w:rPr>
                        </w:pPr>
                        <w:r>
                          <w:rPr>
                            <w:w w:val="90"/>
                            <w:sz w:val="21"/>
                          </w:rPr>
                          <w:t>1</w:t>
                        </w:r>
                      </w:p>
                    </w:tc>
                    <w:tc>
                      <w:tcPr>
                        <w:tcW w:w="2581" w:type="dxa"/>
                      </w:tcPr>
                      <w:p>
                        <w:pPr>
                          <w:pStyle w:val="TableParagraph"/>
                          <w:spacing w:line="318" w:lineRule="exact"/>
                          <w:ind w:left="849" w:right="841"/>
                          <w:rPr>
                            <w:sz w:val="21"/>
                          </w:rPr>
                        </w:pPr>
                        <w:r>
                          <w:rPr>
                            <w:sz w:val="21"/>
                          </w:rPr>
                          <w:t>废气处理</w:t>
                        </w:r>
                      </w:p>
                    </w:tc>
                    <w:tc>
                      <w:tcPr>
                        <w:tcW w:w="4881" w:type="dxa"/>
                      </w:tcPr>
                      <w:p>
                        <w:pPr>
                          <w:pStyle w:val="TableParagraph"/>
                          <w:spacing w:line="318" w:lineRule="exact"/>
                          <w:ind w:right="2217"/>
                          <w:jc w:val="right"/>
                          <w:rPr>
                            <w:sz w:val="21"/>
                          </w:rPr>
                        </w:pPr>
                        <w:r>
                          <w:rPr>
                            <w:sz w:val="21"/>
                          </w:rPr>
                          <w:t>37.6</w:t>
                        </w:r>
                      </w:p>
                    </w:tc>
                  </w:tr>
                  <w:tr>
                    <w:trPr>
                      <w:trHeight w:val="340" w:hRule="atLeast"/>
                    </w:trPr>
                    <w:tc>
                      <w:tcPr>
                        <w:tcW w:w="857" w:type="dxa"/>
                      </w:tcPr>
                      <w:p>
                        <w:pPr>
                          <w:pStyle w:val="TableParagraph"/>
                          <w:spacing w:line="320" w:lineRule="exact"/>
                          <w:ind w:left="6"/>
                          <w:rPr>
                            <w:sz w:val="21"/>
                          </w:rPr>
                        </w:pPr>
                        <w:r>
                          <w:rPr>
                            <w:w w:val="90"/>
                            <w:sz w:val="21"/>
                          </w:rPr>
                          <w:t>2</w:t>
                        </w:r>
                      </w:p>
                    </w:tc>
                    <w:tc>
                      <w:tcPr>
                        <w:tcW w:w="2581" w:type="dxa"/>
                      </w:tcPr>
                      <w:p>
                        <w:pPr>
                          <w:pStyle w:val="TableParagraph"/>
                          <w:spacing w:line="320" w:lineRule="exact"/>
                          <w:ind w:left="849" w:right="841"/>
                          <w:rPr>
                            <w:sz w:val="21"/>
                          </w:rPr>
                        </w:pPr>
                        <w:r>
                          <w:rPr>
                            <w:sz w:val="21"/>
                          </w:rPr>
                          <w:t>废水处理</w:t>
                        </w:r>
                      </w:p>
                    </w:tc>
                    <w:tc>
                      <w:tcPr>
                        <w:tcW w:w="4881" w:type="dxa"/>
                      </w:tcPr>
                      <w:p>
                        <w:pPr>
                          <w:pStyle w:val="TableParagraph"/>
                          <w:spacing w:line="320" w:lineRule="exact"/>
                          <w:ind w:right="2217"/>
                          <w:jc w:val="right"/>
                          <w:rPr>
                            <w:sz w:val="21"/>
                          </w:rPr>
                        </w:pPr>
                        <w:r>
                          <w:rPr>
                            <w:sz w:val="21"/>
                          </w:rPr>
                          <w:t>19.5</w:t>
                        </w:r>
                      </w:p>
                    </w:tc>
                  </w:tr>
                  <w:tr>
                    <w:trPr>
                      <w:trHeight w:val="340" w:hRule="atLeast"/>
                    </w:trPr>
                    <w:tc>
                      <w:tcPr>
                        <w:tcW w:w="857" w:type="dxa"/>
                      </w:tcPr>
                      <w:p>
                        <w:pPr>
                          <w:pStyle w:val="TableParagraph"/>
                          <w:spacing w:line="320" w:lineRule="exact"/>
                          <w:ind w:left="6"/>
                          <w:rPr>
                            <w:sz w:val="21"/>
                          </w:rPr>
                        </w:pPr>
                        <w:r>
                          <w:rPr>
                            <w:w w:val="90"/>
                            <w:sz w:val="21"/>
                          </w:rPr>
                          <w:t>3</w:t>
                        </w:r>
                      </w:p>
                    </w:tc>
                    <w:tc>
                      <w:tcPr>
                        <w:tcW w:w="2581" w:type="dxa"/>
                      </w:tcPr>
                      <w:p>
                        <w:pPr>
                          <w:pStyle w:val="TableParagraph"/>
                          <w:spacing w:line="320" w:lineRule="exact"/>
                          <w:ind w:left="849" w:right="841"/>
                          <w:rPr>
                            <w:sz w:val="21"/>
                          </w:rPr>
                        </w:pPr>
                        <w:r>
                          <w:rPr>
                            <w:sz w:val="21"/>
                          </w:rPr>
                          <w:t>固废处置</w:t>
                        </w:r>
                      </w:p>
                    </w:tc>
                    <w:tc>
                      <w:tcPr>
                        <w:tcW w:w="4881" w:type="dxa"/>
                      </w:tcPr>
                      <w:p>
                        <w:pPr>
                          <w:pStyle w:val="TableParagraph"/>
                          <w:spacing w:line="320" w:lineRule="exact"/>
                          <w:ind w:right="2164"/>
                          <w:jc w:val="right"/>
                          <w:rPr>
                            <w:sz w:val="21"/>
                          </w:rPr>
                        </w:pPr>
                        <w:r>
                          <w:rPr>
                            <w:sz w:val="21"/>
                          </w:rPr>
                          <w:t>632.7</w:t>
                        </w:r>
                      </w:p>
                    </w:tc>
                  </w:tr>
                  <w:tr>
                    <w:trPr>
                      <w:trHeight w:val="340" w:hRule="atLeast"/>
                    </w:trPr>
                    <w:tc>
                      <w:tcPr>
                        <w:tcW w:w="857" w:type="dxa"/>
                      </w:tcPr>
                      <w:p>
                        <w:pPr>
                          <w:pStyle w:val="TableParagraph"/>
                          <w:spacing w:line="320" w:lineRule="exact"/>
                          <w:ind w:left="6"/>
                          <w:rPr>
                            <w:sz w:val="21"/>
                          </w:rPr>
                        </w:pPr>
                        <w:r>
                          <w:rPr>
                            <w:w w:val="90"/>
                            <w:sz w:val="21"/>
                          </w:rPr>
                          <w:t>4</w:t>
                        </w:r>
                      </w:p>
                    </w:tc>
                    <w:tc>
                      <w:tcPr>
                        <w:tcW w:w="2581" w:type="dxa"/>
                      </w:tcPr>
                      <w:p>
                        <w:pPr>
                          <w:pStyle w:val="TableParagraph"/>
                          <w:spacing w:line="320" w:lineRule="exact"/>
                          <w:ind w:left="849" w:right="838"/>
                          <w:rPr>
                            <w:sz w:val="21"/>
                          </w:rPr>
                        </w:pPr>
                        <w:r>
                          <w:rPr>
                            <w:sz w:val="21"/>
                          </w:rPr>
                          <w:t>总计</w:t>
                        </w:r>
                      </w:p>
                    </w:tc>
                    <w:tc>
                      <w:tcPr>
                        <w:tcW w:w="4881" w:type="dxa"/>
                      </w:tcPr>
                      <w:p>
                        <w:pPr>
                          <w:pStyle w:val="TableParagraph"/>
                          <w:spacing w:line="320" w:lineRule="exact"/>
                          <w:ind w:right="2164"/>
                          <w:jc w:val="right"/>
                          <w:rPr>
                            <w:sz w:val="21"/>
                          </w:rPr>
                        </w:pPr>
                        <w:r>
                          <w:rPr>
                            <w:w w:val="105"/>
                            <w:sz w:val="21"/>
                          </w:rPr>
                          <w:t>689.8</w:t>
                        </w:r>
                      </w:p>
                    </w:tc>
                  </w:tr>
                </w:tbl>
                <w:p>
                  <w:pPr>
                    <w:pStyle w:val="BodyText"/>
                  </w:pPr>
                </w:p>
              </w:txbxContent>
            </v:textbox>
            <w10:wrap type="none"/>
          </v:shape>
        </w:pict>
      </w:r>
      <w:r>
        <w:rPr/>
        <w:t>表</w:t>
      </w:r>
      <w:r>
        <w:rPr>
          <w:spacing w:val="16"/>
        </w:rPr>
        <w:t> </w:t>
      </w:r>
      <w:r>
        <w:rPr/>
        <w:t>9.2-2</w:t>
        <w:tab/>
        <w:t>运行费用情况一览表</w:t>
      </w:r>
      <w:r>
        <w:rPr>
          <w:spacing w:val="12"/>
        </w:rPr>
        <w:t> </w:t>
      </w:r>
      <w:r>
        <w:rPr/>
        <w:t>（单位：万元/a）</w:t>
      </w:r>
    </w:p>
    <w:p>
      <w:pPr>
        <w:pStyle w:val="BodyText"/>
      </w:pPr>
    </w:p>
    <w:p>
      <w:pPr>
        <w:pStyle w:val="BodyText"/>
      </w:pPr>
    </w:p>
    <w:p>
      <w:pPr>
        <w:pStyle w:val="BodyText"/>
      </w:pPr>
    </w:p>
    <w:p>
      <w:pPr>
        <w:pStyle w:val="BodyText"/>
        <w:spacing w:before="19"/>
        <w:rPr>
          <w:sz w:val="27"/>
        </w:rPr>
      </w:pPr>
    </w:p>
    <w:p>
      <w:pPr>
        <w:pStyle w:val="Heading5"/>
        <w:numPr>
          <w:ilvl w:val="2"/>
          <w:numId w:val="19"/>
        </w:numPr>
        <w:tabs>
          <w:tab w:pos="1421" w:val="left" w:leader="none"/>
        </w:tabs>
        <w:spacing w:line="592" w:lineRule="exact" w:before="0" w:after="0"/>
        <w:ind w:left="1420" w:right="0" w:hanging="840"/>
        <w:jc w:val="left"/>
      </w:pPr>
      <w:r>
        <w:rPr>
          <w:spacing w:val="-2"/>
        </w:rPr>
        <w:t>环保投资效益分析</w:t>
      </w:r>
    </w:p>
    <w:p>
      <w:pPr>
        <w:pStyle w:val="BodyText"/>
        <w:spacing w:line="507" w:lineRule="exact"/>
        <w:ind w:left="1060"/>
      </w:pPr>
      <w:r>
        <w:rPr/>
        <w:t>污染防治工程的建设，不仅可以给企业带来直接或间接的经济效益，更重要</w:t>
      </w:r>
    </w:p>
    <w:p>
      <w:pPr>
        <w:spacing w:after="0" w:line="507" w:lineRule="exact"/>
        <w:sectPr>
          <w:footerReference w:type="default" r:id="rId62"/>
          <w:pgSz w:w="11910" w:h="16840"/>
          <w:pgMar w:footer="973" w:header="877" w:top="1340" w:bottom="1160" w:left="1220" w:right="1040"/>
          <w:pgNumType w:start="2"/>
        </w:sectPr>
      </w:pPr>
    </w:p>
    <w:p>
      <w:pPr>
        <w:pStyle w:val="BodyText"/>
        <w:spacing w:line="220" w:lineRule="auto" w:before="77"/>
        <w:ind w:left="580" w:right="759"/>
        <w:jc w:val="both"/>
      </w:pPr>
      <w:r>
        <w:rPr>
          <w:spacing w:val="-7"/>
        </w:rPr>
        <w:t>的是对保护生态环境、水环境和大气环境等起到了重要作用，减轻了项目地建设</w:t>
      </w:r>
      <w:r>
        <w:rPr>
          <w:spacing w:val="-13"/>
        </w:rPr>
        <w:t>对周围环境的污染影响，为当地人民生活环境和身体健康提供了有利的保障，也使区域各种资源能够得到合理、有序的开发和利用。</w:t>
      </w:r>
    </w:p>
    <w:p>
      <w:pPr>
        <w:pStyle w:val="BodyText"/>
        <w:spacing w:line="220" w:lineRule="auto"/>
        <w:ind w:left="580" w:right="756" w:firstLine="479"/>
        <w:jc w:val="both"/>
      </w:pPr>
      <w:r>
        <w:rPr/>
        <w:t>（1）</w:t>
      </w:r>
      <w:r>
        <w:rPr>
          <w:spacing w:val="-1"/>
        </w:rPr>
        <w:t>废水经企业污水处理站处理后达标排放，其中 </w:t>
      </w:r>
      <w:r>
        <w:rPr/>
        <w:t>COD</w:t>
      </w:r>
      <w:r>
        <w:rPr>
          <w:spacing w:val="-5"/>
        </w:rPr>
        <w:t> 可减少 </w:t>
      </w:r>
      <w:r>
        <w:rPr/>
        <w:t>20.9t/a</w:t>
      </w:r>
      <w:r>
        <w:rPr>
          <w:spacing w:val="-6"/>
        </w:rPr>
        <w:t> 的排放量。</w:t>
      </w:r>
    </w:p>
    <w:p>
      <w:pPr>
        <w:pStyle w:val="BodyText"/>
        <w:spacing w:line="460" w:lineRule="exact"/>
        <w:ind w:left="1060"/>
      </w:pPr>
      <w:r>
        <w:rPr/>
        <w:t>（2）各类有组织废气收集后经相应的吸收装置吸收，通过排气筒达标排放。</w:t>
      </w:r>
    </w:p>
    <w:p>
      <w:pPr>
        <w:pStyle w:val="BodyText"/>
        <w:spacing w:line="220" w:lineRule="auto" w:before="7"/>
        <w:ind w:left="580" w:right="637" w:firstLine="479"/>
        <w:jc w:val="both"/>
      </w:pPr>
      <w:r>
        <w:rPr>
          <w:spacing w:val="-32"/>
          <w:w w:val="95"/>
        </w:rPr>
        <w:t>（3）</w:t>
      </w:r>
      <w:r>
        <w:rPr>
          <w:w w:val="95"/>
        </w:rPr>
        <w:t>噪声污染防治设施的建设可为企业职工创造一个良好舒适的工作环境，    </w:t>
      </w:r>
      <w:r>
        <w:rPr>
          <w:spacing w:val="-8"/>
        </w:rPr>
        <w:t>对企业的安全生产、提高劳动生产率能起到较大作用。同时对厂界声环境影响较小。</w:t>
      </w:r>
    </w:p>
    <w:p>
      <w:pPr>
        <w:pStyle w:val="BodyText"/>
        <w:spacing w:line="220" w:lineRule="auto" w:before="1"/>
        <w:ind w:left="580" w:right="759" w:firstLine="479"/>
        <w:jc w:val="both"/>
      </w:pPr>
      <w:r>
        <w:rPr/>
        <w:t>（4）生产过程中产生固体废物，其中危险废物由有资质的危废处理单位处</w:t>
      </w:r>
      <w:r>
        <w:rPr>
          <w:spacing w:val="-9"/>
        </w:rPr>
        <w:t>理，对周围环境基本没有影响，锅炉灰渣具有一定利用价值，收集后出售，既减</w:t>
      </w:r>
      <w:r>
        <w:rPr>
          <w:spacing w:val="-15"/>
        </w:rPr>
        <w:t>轻了建设项目对环境的影响，又为企业带来可观的财富，可形成环境效益与经济效益的良性循环。</w:t>
      </w:r>
    </w:p>
    <w:p>
      <w:pPr>
        <w:pStyle w:val="BodyText"/>
        <w:spacing w:line="220" w:lineRule="auto"/>
        <w:ind w:left="580" w:right="759" w:firstLine="479"/>
        <w:jc w:val="both"/>
      </w:pPr>
      <w:r>
        <w:rPr/>
        <w:t>（5）树木花草不仅能美化厂区环境，而且还有产氧、滞尘、调节气温、吸</w:t>
      </w:r>
      <w:r>
        <w:rPr>
          <w:spacing w:val="-7"/>
        </w:rPr>
        <w:t>收有毒有害气体、降噪等多种功能。绿化工作做得好，可增加厂区景观，给厂区形成防护屏障，净化美化人们的生活环境。</w:t>
      </w:r>
    </w:p>
    <w:p>
      <w:pPr>
        <w:pStyle w:val="BodyText"/>
        <w:spacing w:line="220" w:lineRule="auto"/>
        <w:ind w:left="580" w:right="757" w:firstLine="479"/>
        <w:jc w:val="both"/>
      </w:pPr>
      <w:r>
        <w:rPr>
          <w:spacing w:val="1"/>
        </w:rPr>
        <w:t>由此可见，项目花费工程总投资 </w:t>
      </w:r>
      <w:r>
        <w:rPr/>
        <w:t>3.0%的经费进行污染治理是必不可少的。</w:t>
      </w:r>
      <w:r>
        <w:rPr>
          <w:spacing w:val="-7"/>
        </w:rPr>
        <w:t>环保投资得到落实后，污染物排放量较少，可减轻对周围环境的污染，本项目环保投资的效益是显著的，即减少了排污，又保护了环境和周围人群的健康。</w:t>
      </w:r>
    </w:p>
    <w:p>
      <w:pPr>
        <w:pStyle w:val="Heading4"/>
        <w:ind w:left="580" w:firstLine="0"/>
      </w:pPr>
      <w:r>
        <w:rPr>
          <w:w w:val="105"/>
        </w:rPr>
        <w:t>9.3 社会效益分析</w:t>
      </w:r>
    </w:p>
    <w:p>
      <w:pPr>
        <w:pStyle w:val="BodyText"/>
        <w:spacing w:line="478" w:lineRule="exact"/>
        <w:ind w:left="1060"/>
      </w:pPr>
      <w:r>
        <w:rPr/>
        <w:t>本项目的建设不仅具有环境效益和经济效益，而且具有一定的社会效益。</w:t>
      </w:r>
    </w:p>
    <w:p>
      <w:pPr>
        <w:pStyle w:val="BodyText"/>
        <w:spacing w:line="220" w:lineRule="auto" w:before="8"/>
        <w:ind w:left="580" w:right="761" w:firstLine="479"/>
        <w:jc w:val="both"/>
      </w:pPr>
      <w:r>
        <w:rPr/>
        <w:t>（1）项目建成后，既能给企业发展创造良好开端，也会给莒南县带来的新的经济增长点。</w:t>
      </w:r>
    </w:p>
    <w:p>
      <w:pPr>
        <w:pStyle w:val="BodyText"/>
        <w:spacing w:line="220" w:lineRule="auto"/>
        <w:ind w:left="580" w:right="764" w:firstLine="479"/>
        <w:jc w:val="both"/>
      </w:pPr>
      <w:r>
        <w:rPr/>
        <w:t>（2）项目投产后，产品可满足国内外市场需求，提高国内企业在世界市场的竞争力，提升出口创汇水平。</w:t>
      </w:r>
    </w:p>
    <w:p>
      <w:pPr>
        <w:pStyle w:val="BodyText"/>
        <w:spacing w:line="220" w:lineRule="auto"/>
        <w:ind w:left="580" w:right="663" w:firstLine="479"/>
        <w:jc w:val="both"/>
      </w:pPr>
      <w:r>
        <w:rPr/>
        <w:t>（3）本项目的实施，可带动其它辅助行业发展，创造就业岗位，解决当地</w:t>
      </w:r>
      <w:r>
        <w:rPr>
          <w:spacing w:val="-7"/>
        </w:rPr>
        <w:t>剩余劳动力就业问题，减轻地方政府就业压力，有利于社会安定和经济繁荣。项目还可增加国家、地方财政收入，不断增强当地经济实力，带动当地三产发展。</w:t>
      </w:r>
      <w:r>
        <w:rPr>
          <w:spacing w:val="-11"/>
        </w:rPr>
        <w:t>对当地经济发展和人民生活水平提高将起到较大的推动作用，有利于促进社会全</w:t>
      </w:r>
    </w:p>
    <w:p>
      <w:pPr>
        <w:spacing w:after="0" w:line="220" w:lineRule="auto"/>
        <w:jc w:val="both"/>
        <w:sectPr>
          <w:pgSz w:w="11910" w:h="16840"/>
          <w:pgMar w:header="877" w:footer="973" w:top="1340" w:bottom="1160" w:left="1220" w:right="1040"/>
        </w:sectPr>
      </w:pPr>
    </w:p>
    <w:p>
      <w:pPr>
        <w:pStyle w:val="BodyText"/>
        <w:spacing w:line="488" w:lineRule="exact" w:before="48"/>
        <w:ind w:left="580"/>
      </w:pPr>
      <w:r>
        <w:rPr/>
        <w:t>面发展。</w:t>
      </w:r>
    </w:p>
    <w:p>
      <w:pPr>
        <w:pStyle w:val="BodyText"/>
        <w:spacing w:line="220" w:lineRule="auto" w:before="8"/>
        <w:ind w:left="580" w:right="764" w:firstLine="479"/>
      </w:pPr>
      <w:r>
        <w:rPr>
          <w:spacing w:val="-7"/>
        </w:rPr>
        <w:t>综上所述，在落实各项污染防治措施，</w:t>
      </w:r>
      <w:r>
        <w:rPr>
          <w:w w:val="121"/>
        </w:rPr>
        <w:t>“三废</w:t>
      </w:r>
      <w:r>
        <w:rPr>
          <w:w w:val="115"/>
        </w:rPr>
        <w:t>”达标排</w:t>
      </w:r>
      <w:r>
        <w:rPr/>
        <w:t>放的前提下，工程的运行具有较好的社会、环境和经济效益。</w:t>
      </w:r>
    </w:p>
    <w:p>
      <w:pPr>
        <w:spacing w:after="0" w:line="220" w:lineRule="auto"/>
        <w:sectPr>
          <w:pgSz w:w="11910" w:h="16840"/>
          <w:pgMar w:header="877" w:footer="973" w:top="1340" w:bottom="1160" w:left="1220" w:right="1040"/>
        </w:sectPr>
      </w:pPr>
    </w:p>
    <w:p>
      <w:pPr>
        <w:pStyle w:val="BodyText"/>
        <w:spacing w:before="5"/>
        <w:rPr>
          <w:sz w:val="10"/>
        </w:rPr>
      </w:pPr>
    </w:p>
    <w:p>
      <w:pPr>
        <w:pStyle w:val="Heading1"/>
        <w:numPr>
          <w:ilvl w:val="0"/>
          <w:numId w:val="19"/>
        </w:numPr>
        <w:tabs>
          <w:tab w:pos="1240" w:val="left" w:leader="none"/>
          <w:tab w:pos="1241" w:val="left" w:leader="none"/>
        </w:tabs>
        <w:spacing w:line="725" w:lineRule="exact" w:before="0" w:after="0"/>
        <w:ind w:left="1240" w:right="0" w:hanging="660"/>
        <w:jc w:val="left"/>
        <w:rPr>
          <w:rFonts w:ascii="Times New Roman" w:eastAsia="Times New Roman"/>
        </w:rPr>
      </w:pPr>
      <w:r>
        <w:rPr/>
        <w:t>环境管理与监测计划</w:t>
      </w:r>
    </w:p>
    <w:p>
      <w:pPr>
        <w:pStyle w:val="BodyText"/>
        <w:spacing w:line="220" w:lineRule="auto" w:before="70"/>
        <w:ind w:left="580" w:right="757" w:firstLine="479"/>
        <w:jc w:val="both"/>
      </w:pPr>
      <w:r>
        <w:rPr>
          <w:spacing w:val="-5"/>
        </w:rPr>
        <w:t>环境管理是企业管理中的重要环节之一。在企业中，建立健全环保机构，加</w:t>
      </w:r>
      <w:r>
        <w:rPr>
          <w:spacing w:val="-11"/>
        </w:rPr>
        <w:t>强环保管理工作，开展厂内环境监测、监督，并把环保工作纳入生产管理，对于</w:t>
      </w:r>
      <w:r>
        <w:rPr>
          <w:spacing w:val="-14"/>
        </w:rPr>
        <w:t>减少企业污染物排放，促进资源的合理利用与回收，提高经济效益和环境效益有着重要意义。</w:t>
      </w:r>
    </w:p>
    <w:p>
      <w:pPr>
        <w:pStyle w:val="BodyText"/>
        <w:spacing w:line="220" w:lineRule="auto"/>
        <w:ind w:left="580" w:right="757" w:firstLine="479"/>
        <w:jc w:val="both"/>
      </w:pPr>
      <w:r>
        <w:rPr>
          <w:spacing w:val="-5"/>
        </w:rPr>
        <w:t>环境监测是工业污染源监督管理的重要组成部分，是国家和行业了解并掌握</w:t>
      </w:r>
      <w:r>
        <w:rPr>
          <w:spacing w:val="-10"/>
        </w:rPr>
        <w:t>排污状况和排污趋势的手段。监测数据是执行环境保护法规、标准，进行环境管理和污染防治的依据。因此，应建立并完善环境监测制度。</w:t>
      </w:r>
    </w:p>
    <w:p>
      <w:pPr>
        <w:pStyle w:val="BodyText"/>
        <w:spacing w:line="465" w:lineRule="exact"/>
        <w:ind w:left="1060"/>
      </w:pPr>
      <w:r>
        <w:rPr/>
        <w:t>本章将针对本项目的实际情况，提出新的环境管理制度和监测计划。</w:t>
      </w:r>
    </w:p>
    <w:p>
      <w:pPr>
        <w:pStyle w:val="Heading4"/>
        <w:numPr>
          <w:ilvl w:val="1"/>
          <w:numId w:val="19"/>
        </w:numPr>
        <w:tabs>
          <w:tab w:pos="1480" w:val="left" w:leader="none"/>
          <w:tab w:pos="1481" w:val="left" w:leader="none"/>
        </w:tabs>
        <w:spacing w:line="620" w:lineRule="exact" w:before="0" w:after="0"/>
        <w:ind w:left="1480" w:right="0" w:hanging="900"/>
        <w:jc w:val="left"/>
      </w:pPr>
      <w:r>
        <w:rPr/>
        <w:t>环境管理</w:t>
      </w:r>
    </w:p>
    <w:p>
      <w:pPr>
        <w:pStyle w:val="Heading5"/>
        <w:numPr>
          <w:ilvl w:val="2"/>
          <w:numId w:val="19"/>
        </w:numPr>
        <w:tabs>
          <w:tab w:pos="1560" w:val="left" w:leader="none"/>
        </w:tabs>
        <w:spacing w:line="592" w:lineRule="exact" w:before="13" w:after="0"/>
        <w:ind w:left="1559" w:right="0" w:hanging="979"/>
        <w:jc w:val="left"/>
      </w:pPr>
      <w:r>
        <w:rPr>
          <w:spacing w:val="-1"/>
        </w:rPr>
        <w:t>环保机构设置</w:t>
      </w:r>
    </w:p>
    <w:p>
      <w:pPr>
        <w:pStyle w:val="BodyText"/>
        <w:spacing w:line="220" w:lineRule="auto" w:before="26"/>
        <w:ind w:left="580" w:right="639" w:firstLine="479"/>
        <w:jc w:val="both"/>
      </w:pPr>
      <w:r>
        <w:rPr>
          <w:spacing w:val="-10"/>
        </w:rPr>
        <w:t>项目为新建项目，为便于生产中随时</w:t>
      </w:r>
      <w:r>
        <w:rPr>
          <w:w w:val="130"/>
        </w:rPr>
        <w:t>(</w:t>
      </w:r>
      <w:r>
        <w:rPr/>
        <w:t>特别是非正常生产工况下</w:t>
      </w:r>
      <w:r>
        <w:rPr>
          <w:w w:val="130"/>
        </w:rPr>
        <w:t>)</w:t>
      </w:r>
      <w:r>
        <w:rPr/>
        <w:t>了解排污状</w:t>
      </w:r>
      <w:r>
        <w:rPr>
          <w:spacing w:val="-16"/>
        </w:rPr>
        <w:t>况，全面掌握环保设施的运行情况，以保证生产的正常进行。根据企业实际情况， 应当设置以下环境管理与监测机构：</w:t>
      </w:r>
    </w:p>
    <w:p>
      <w:pPr>
        <w:pStyle w:val="BodyText"/>
        <w:spacing w:line="220" w:lineRule="auto"/>
        <w:ind w:left="580" w:right="757" w:firstLine="479"/>
        <w:jc w:val="both"/>
      </w:pPr>
      <w:r>
        <w:rPr/>
        <w:t>（1）设立环保管理科。工程的行业、规模决定了其在废气、废水等方面的</w:t>
      </w:r>
      <w:r>
        <w:rPr>
          <w:spacing w:val="-10"/>
        </w:rPr>
        <w:t>环境问题相对突出，另外涉及固体废弃物等方面的厂内环境管理工作任务也较为繁重，因此，应该设立独立的环保管理科，设科长 </w:t>
      </w:r>
      <w:r>
        <w:rPr/>
        <w:t>1</w:t>
      </w:r>
      <w:r>
        <w:rPr>
          <w:spacing w:val="-5"/>
        </w:rPr>
        <w:t> 名，直接向分管的技术副厂</w:t>
      </w:r>
    </w:p>
    <w:p>
      <w:pPr>
        <w:pStyle w:val="BodyText"/>
        <w:spacing w:line="460" w:lineRule="exact"/>
        <w:ind w:left="580"/>
      </w:pPr>
      <w:r>
        <w:rPr/>
        <w:t>长负责，另设科员 2 名。</w:t>
      </w:r>
    </w:p>
    <w:p>
      <w:pPr>
        <w:pStyle w:val="BodyText"/>
        <w:spacing w:line="220" w:lineRule="auto" w:before="8"/>
        <w:ind w:left="580" w:right="664" w:firstLine="479"/>
        <w:jc w:val="both"/>
      </w:pPr>
      <w:r>
        <w:rPr/>
        <w:t>（2）设立环保监测站。环保监测站的站长由环保专业人员担任，监测分析人员 1-2 人，统计人员 1 人</w:t>
      </w:r>
      <w:r>
        <w:rPr>
          <w:w w:val="120"/>
        </w:rPr>
        <w:t>(</w:t>
      </w:r>
      <w:r>
        <w:rPr/>
        <w:t>可由监测人员兼任</w:t>
      </w:r>
      <w:r>
        <w:rPr>
          <w:w w:val="120"/>
        </w:rPr>
        <w:t>)</w:t>
      </w:r>
      <w:r>
        <w:rPr/>
        <w:t>。上述人员中需配备环境工程、分析化学等专业的技术人员以负责全厂的环境管理和环境监测工作。监测站需配备分析天平、酸度计、声级计等分析监测仪器。</w:t>
      </w:r>
    </w:p>
    <w:p>
      <w:pPr>
        <w:pStyle w:val="Heading5"/>
        <w:numPr>
          <w:ilvl w:val="2"/>
          <w:numId w:val="19"/>
        </w:numPr>
        <w:tabs>
          <w:tab w:pos="1560" w:val="left" w:leader="none"/>
        </w:tabs>
        <w:spacing w:line="592" w:lineRule="exact" w:before="7" w:after="0"/>
        <w:ind w:left="1559" w:right="0" w:hanging="979"/>
        <w:jc w:val="left"/>
      </w:pPr>
      <w:r>
        <w:rPr>
          <w:spacing w:val="-1"/>
        </w:rPr>
        <w:t>环境保护职责</w:t>
      </w:r>
    </w:p>
    <w:p>
      <w:pPr>
        <w:pStyle w:val="BodyText"/>
        <w:spacing w:line="486" w:lineRule="exact"/>
        <w:ind w:left="1060"/>
      </w:pPr>
      <w:r>
        <w:rPr/>
        <w:t>（1）环保科的主要职责和任务</w:t>
      </w:r>
    </w:p>
    <w:p>
      <w:pPr>
        <w:pStyle w:val="BodyText"/>
        <w:spacing w:line="468" w:lineRule="exact"/>
        <w:ind w:left="1060"/>
      </w:pPr>
      <w:r>
        <w:rPr/>
        <w:t>①负责组织厂内贯彻执行国家及地方环保法规和环境标准的工作；</w:t>
      </w:r>
    </w:p>
    <w:p>
      <w:pPr>
        <w:pStyle w:val="BodyText"/>
        <w:spacing w:line="220" w:lineRule="auto" w:before="8"/>
        <w:ind w:left="580" w:right="757" w:firstLine="479"/>
        <w:jc w:val="both"/>
      </w:pPr>
      <w:r>
        <w:rPr>
          <w:spacing w:val="-4"/>
        </w:rPr>
        <w:t>②负责制定并组织实施本厂的环境保护管理制度及环境保护目标、规划和年度计划；</w:t>
      </w:r>
    </w:p>
    <w:p>
      <w:pPr>
        <w:spacing w:after="0" w:line="220" w:lineRule="auto"/>
        <w:jc w:val="both"/>
        <w:sectPr>
          <w:footerReference w:type="default" r:id="rId63"/>
          <w:pgSz w:w="11910" w:h="16840"/>
          <w:pgMar w:footer="973" w:header="877" w:top="1340" w:bottom="1160" w:left="1220" w:right="1040"/>
          <w:pgNumType w:start="1"/>
        </w:sectPr>
      </w:pPr>
    </w:p>
    <w:p>
      <w:pPr>
        <w:pStyle w:val="BodyText"/>
        <w:spacing w:line="220" w:lineRule="auto" w:before="77"/>
        <w:ind w:left="580" w:right="761" w:firstLine="479"/>
      </w:pPr>
      <w:r>
        <w:rPr>
          <w:spacing w:val="-6"/>
        </w:rPr>
        <w:t>③负责对厂内员工进行环境问题、环保知识的宣传教育，并负责各种适用的环保新技术的推广应用工作；</w:t>
      </w:r>
    </w:p>
    <w:p>
      <w:pPr>
        <w:pStyle w:val="BodyText"/>
        <w:spacing w:line="220" w:lineRule="auto"/>
        <w:ind w:left="580" w:right="756" w:firstLine="479"/>
      </w:pPr>
      <w:r>
        <w:rPr>
          <w:spacing w:val="-7"/>
        </w:rPr>
        <w:t>④根据厂内生产工艺、排污特点及企业污染物排放总量，制定各车间、各排污工段的污染物排放指标，并组织执行；</w:t>
      </w:r>
    </w:p>
    <w:p>
      <w:pPr>
        <w:pStyle w:val="BodyText"/>
        <w:spacing w:line="220" w:lineRule="auto"/>
        <w:ind w:left="580" w:right="761" w:firstLine="479"/>
      </w:pPr>
      <w:r>
        <w:rPr>
          <w:spacing w:val="-7"/>
        </w:rPr>
        <w:t>⑤按照清洁生产的原则，制定并组织实施厂内部清洁生产管理办法，达到减少原材料的消耗，节约资源，将污染物产生量控制在最小程度的目的；</w:t>
      </w:r>
    </w:p>
    <w:p>
      <w:pPr>
        <w:pStyle w:val="BodyText"/>
        <w:spacing w:line="460" w:lineRule="exact"/>
        <w:ind w:left="1060"/>
      </w:pPr>
      <w:r>
        <w:rPr/>
        <w:t>⑥负责建立全厂的污染源档案，做好环保统计工作；</w:t>
      </w:r>
    </w:p>
    <w:p>
      <w:pPr>
        <w:pStyle w:val="BodyText"/>
        <w:spacing w:line="220" w:lineRule="auto" w:before="8"/>
        <w:ind w:left="580" w:right="757" w:firstLine="479"/>
        <w:jc w:val="both"/>
      </w:pPr>
      <w:r>
        <w:rPr>
          <w:spacing w:val="-8"/>
        </w:rPr>
        <w:t>⑦制定监测管理、制度及本厂的环境监测计划，监督、检查监测任务的完成</w:t>
      </w:r>
      <w:r>
        <w:rPr>
          <w:spacing w:val="-11"/>
        </w:rPr>
        <w:t>情况；制定环保设施的管理制度和操作规程，定期检查环保设施的运转情况，确保环保设施的正常运转；</w:t>
      </w:r>
    </w:p>
    <w:p>
      <w:pPr>
        <w:pStyle w:val="BodyText"/>
        <w:spacing w:line="220" w:lineRule="auto"/>
        <w:ind w:left="580" w:right="757" w:firstLine="479"/>
      </w:pPr>
      <w:r>
        <w:rPr>
          <w:spacing w:val="-6"/>
        </w:rPr>
        <w:t>⑧负责与地方环保主管部门的业务联系，及时向地方环保主管部门汇报环保设施运行情况及污染物排放情况。</w:t>
      </w:r>
    </w:p>
    <w:p>
      <w:pPr>
        <w:pStyle w:val="BodyText"/>
        <w:spacing w:line="460" w:lineRule="exact"/>
        <w:ind w:left="1060"/>
      </w:pPr>
      <w:r>
        <w:rPr/>
        <w:t>（2）环保监测站的主要职责和任务</w:t>
      </w:r>
    </w:p>
    <w:p>
      <w:pPr>
        <w:pStyle w:val="BodyText"/>
        <w:spacing w:line="220" w:lineRule="auto" w:before="7"/>
        <w:ind w:left="580" w:right="637" w:firstLine="479"/>
      </w:pPr>
      <w:r>
        <w:rPr>
          <w:spacing w:val="-10"/>
        </w:rPr>
        <w:t>①按照厂内的监测制度及监测计划，完成厂内环境空气、废气、废水、噪声、固体废物的例行监测任务，及时统计监测结果，上报环保科；</w:t>
      </w:r>
    </w:p>
    <w:p>
      <w:pPr>
        <w:pStyle w:val="BodyText"/>
        <w:spacing w:line="460" w:lineRule="exact"/>
        <w:ind w:left="1060"/>
      </w:pPr>
      <w:r>
        <w:rPr/>
        <w:t>②对各车间的排污情况进行抽查，对监测中发现的问题及时向环保科汇报；</w:t>
      </w:r>
    </w:p>
    <w:p>
      <w:pPr>
        <w:pStyle w:val="BodyText"/>
        <w:spacing w:line="220" w:lineRule="auto" w:before="8"/>
        <w:ind w:left="580" w:right="757" w:firstLine="479"/>
      </w:pPr>
      <w:r>
        <w:rPr>
          <w:spacing w:val="-7"/>
        </w:rPr>
        <w:t>③负责污水处理装置的进、出水水质的监测、化验工作，及时向环保科反映污水处理设施的运行情况；</w:t>
      </w:r>
    </w:p>
    <w:p>
      <w:pPr>
        <w:pStyle w:val="BodyText"/>
        <w:spacing w:line="460" w:lineRule="exact"/>
        <w:ind w:left="1060"/>
      </w:pPr>
      <w:r>
        <w:rPr/>
        <w:t>④负责建立本厂环境监测分析数据档案，填报环境监测报表；</w:t>
      </w:r>
    </w:p>
    <w:p>
      <w:pPr>
        <w:pStyle w:val="BodyText"/>
        <w:spacing w:line="468" w:lineRule="exact"/>
        <w:ind w:left="1060"/>
      </w:pPr>
      <w:r>
        <w:rPr/>
        <w:t>⑤完成环保管理科安排的其他环境监测工作。</w:t>
      </w:r>
    </w:p>
    <w:p>
      <w:pPr>
        <w:pStyle w:val="BodyText"/>
        <w:spacing w:line="468" w:lineRule="exact"/>
        <w:ind w:left="1060"/>
      </w:pPr>
      <w:r>
        <w:rPr/>
        <w:t>（3）兼职环保员的主要职责和任务</w:t>
      </w:r>
    </w:p>
    <w:p>
      <w:pPr>
        <w:pStyle w:val="BodyText"/>
        <w:spacing w:line="468" w:lineRule="exact"/>
        <w:ind w:left="1060"/>
      </w:pPr>
      <w:r>
        <w:rPr/>
        <w:t>①注意和了解生产排污和环保设施运行情况，发现问题及时汇报，及时解决。</w:t>
      </w:r>
    </w:p>
    <w:p>
      <w:pPr>
        <w:pStyle w:val="BodyText"/>
        <w:spacing w:line="220" w:lineRule="auto" w:before="8"/>
        <w:ind w:left="580" w:right="757" w:firstLine="479"/>
      </w:pPr>
      <w:r>
        <w:rPr>
          <w:spacing w:val="-5"/>
        </w:rPr>
        <w:t>②负责车间及各工段的主要污染物排放量统计工作，随时了解掌握生产排污量是否正常，并及时汇报，同时协助环保监测站人员实施监测任务。</w:t>
      </w:r>
    </w:p>
    <w:p>
      <w:pPr>
        <w:pStyle w:val="BodyText"/>
        <w:spacing w:line="477" w:lineRule="exact"/>
        <w:ind w:left="1060"/>
      </w:pPr>
      <w:r>
        <w:rPr/>
        <w:t>③在非正常情况下，可直接向厂领导报告。</w:t>
      </w:r>
    </w:p>
    <w:p>
      <w:pPr>
        <w:pStyle w:val="Heading5"/>
        <w:numPr>
          <w:ilvl w:val="2"/>
          <w:numId w:val="19"/>
        </w:numPr>
        <w:tabs>
          <w:tab w:pos="1560" w:val="left" w:leader="none"/>
        </w:tabs>
        <w:spacing w:line="588" w:lineRule="exact" w:before="0" w:after="0"/>
        <w:ind w:left="1559" w:right="0" w:hanging="979"/>
        <w:jc w:val="left"/>
      </w:pPr>
      <w:r>
        <w:rPr>
          <w:spacing w:val="-1"/>
        </w:rPr>
        <w:t>排污口规范化管理</w:t>
      </w:r>
    </w:p>
    <w:p>
      <w:pPr>
        <w:pStyle w:val="BodyText"/>
        <w:spacing w:line="220" w:lineRule="auto" w:before="27"/>
        <w:ind w:left="580" w:right="757" w:firstLine="479"/>
        <w:jc w:val="both"/>
      </w:pPr>
      <w:r>
        <w:rPr>
          <w:spacing w:val="-6"/>
        </w:rPr>
        <w:t>排污口是污染物进入环境、对环境产生影响的通道。强化排污口的管理是实</w:t>
      </w:r>
      <w:r>
        <w:rPr>
          <w:spacing w:val="-12"/>
        </w:rPr>
        <w:t>施污染物总量控制的基础工作之一，也是区域环境管理逐步实现污染物排放科学化、定量化的重要手段。</w:t>
      </w:r>
    </w:p>
    <w:p>
      <w:pPr>
        <w:spacing w:after="0" w:line="220" w:lineRule="auto"/>
        <w:jc w:val="both"/>
        <w:sectPr>
          <w:pgSz w:w="11910" w:h="16840"/>
          <w:pgMar w:header="877" w:footer="973" w:top="1340" w:bottom="1160" w:left="1220" w:right="1040"/>
        </w:sectPr>
      </w:pPr>
    </w:p>
    <w:p>
      <w:pPr>
        <w:pStyle w:val="ListParagraph"/>
        <w:numPr>
          <w:ilvl w:val="3"/>
          <w:numId w:val="19"/>
        </w:numPr>
        <w:tabs>
          <w:tab w:pos="1661" w:val="left" w:leader="none"/>
        </w:tabs>
        <w:spacing w:line="473" w:lineRule="exact" w:before="34" w:after="0"/>
        <w:ind w:left="1660" w:right="0" w:hanging="1080"/>
        <w:jc w:val="left"/>
        <w:rPr>
          <w:sz w:val="24"/>
        </w:rPr>
      </w:pPr>
      <w:r>
        <w:rPr>
          <w:sz w:val="24"/>
        </w:rPr>
        <w:t>排污口规范化管理的基本原则</w:t>
      </w:r>
    </w:p>
    <w:p>
      <w:pPr>
        <w:pStyle w:val="BodyText"/>
        <w:spacing w:line="436" w:lineRule="exact"/>
        <w:ind w:left="1060"/>
      </w:pPr>
      <w:r>
        <w:rPr/>
        <w:t>（1）向环境排放污染物的排污口必须规范化；</w:t>
      </w:r>
    </w:p>
    <w:p>
      <w:pPr>
        <w:pStyle w:val="BodyText"/>
        <w:spacing w:line="204" w:lineRule="auto" w:before="20"/>
        <w:ind w:left="580" w:right="709" w:firstLine="479"/>
      </w:pPr>
      <w:r>
        <w:rPr>
          <w:position w:val="2"/>
        </w:rPr>
        <w:t>（</w:t>
      </w:r>
      <w:r>
        <w:rPr>
          <w:w w:val="90"/>
          <w:position w:val="2"/>
        </w:rPr>
        <w:t>2</w:t>
      </w:r>
      <w:r>
        <w:rPr>
          <w:position w:val="2"/>
        </w:rPr>
        <w:t>）根据工程特点和国家列入的总量控制指标，排放 </w:t>
      </w:r>
      <w:r>
        <w:rPr>
          <w:w w:val="72"/>
          <w:position w:val="2"/>
        </w:rPr>
        <w:t>COD</w:t>
      </w:r>
      <w:r>
        <w:rPr>
          <w:position w:val="2"/>
        </w:rPr>
        <w:t>、</w:t>
      </w:r>
      <w:r>
        <w:rPr>
          <w:w w:val="68"/>
          <w:position w:val="2"/>
        </w:rPr>
        <w:t>NH</w:t>
      </w:r>
      <w:r>
        <w:rPr>
          <w:w w:val="90"/>
          <w:sz w:val="12"/>
        </w:rPr>
        <w:t>3</w:t>
      </w:r>
      <w:r>
        <w:rPr>
          <w:w w:val="144"/>
          <w:position w:val="2"/>
        </w:rPr>
        <w:t>-</w:t>
      </w:r>
      <w:r>
        <w:rPr>
          <w:w w:val="69"/>
          <w:position w:val="2"/>
        </w:rPr>
        <w:t>N</w:t>
      </w:r>
      <w:r>
        <w:rPr>
          <w:position w:val="2"/>
        </w:rPr>
        <w:t> 等污染物</w:t>
      </w:r>
      <w:r>
        <w:rPr/>
        <w:t>的废水排放口和向大气排放废气的排气筒作为管理的重点；</w:t>
      </w:r>
    </w:p>
    <w:p>
      <w:pPr>
        <w:pStyle w:val="BodyText"/>
        <w:spacing w:line="426" w:lineRule="exact"/>
        <w:ind w:left="1060"/>
      </w:pPr>
      <w:r>
        <w:rPr/>
        <w:t>（3）排污口应便于采样与计量检测，便于日常现场监督检查。</w:t>
      </w:r>
    </w:p>
    <w:p>
      <w:pPr>
        <w:pStyle w:val="ListParagraph"/>
        <w:numPr>
          <w:ilvl w:val="3"/>
          <w:numId w:val="19"/>
        </w:numPr>
        <w:tabs>
          <w:tab w:pos="1661" w:val="left" w:leader="none"/>
        </w:tabs>
        <w:spacing w:line="437" w:lineRule="exact" w:before="0" w:after="0"/>
        <w:ind w:left="1660" w:right="0" w:hanging="1080"/>
        <w:jc w:val="left"/>
        <w:rPr>
          <w:sz w:val="24"/>
        </w:rPr>
      </w:pPr>
      <w:r>
        <w:rPr>
          <w:sz w:val="24"/>
        </w:rPr>
        <w:t>排污口的技术要求</w:t>
      </w:r>
    </w:p>
    <w:p>
      <w:pPr>
        <w:pStyle w:val="BodyText"/>
        <w:spacing w:line="206" w:lineRule="auto" w:before="13"/>
        <w:ind w:left="580" w:right="757" w:firstLine="479"/>
      </w:pPr>
      <w:r>
        <w:rPr/>
        <w:t>（1）排污口的设置必须合理确定，按照环监（96）470 号文件要求，进行规范化管理。</w:t>
      </w:r>
    </w:p>
    <w:p>
      <w:pPr>
        <w:pStyle w:val="BodyText"/>
        <w:spacing w:line="206" w:lineRule="auto"/>
        <w:ind w:left="580" w:right="764" w:firstLine="479"/>
      </w:pPr>
      <w:r>
        <w:rPr/>
        <w:t>（2）污水排放的采样点设置应按《污染源监测技术规范》要求，设置在工程总排口、污水处理设施的进水和出水口等处。</w:t>
      </w:r>
    </w:p>
    <w:p>
      <w:pPr>
        <w:pStyle w:val="BodyText"/>
        <w:spacing w:line="422" w:lineRule="exact"/>
        <w:ind w:left="1060"/>
      </w:pPr>
      <w:r>
        <w:rPr/>
        <w:t>（3）设置规范的、便于测量流量、流速的测速段。</w:t>
      </w:r>
    </w:p>
    <w:p>
      <w:pPr>
        <w:pStyle w:val="ListParagraph"/>
        <w:numPr>
          <w:ilvl w:val="3"/>
          <w:numId w:val="19"/>
        </w:numPr>
        <w:tabs>
          <w:tab w:pos="1601" w:val="left" w:leader="none"/>
        </w:tabs>
        <w:spacing w:line="444" w:lineRule="exact" w:before="0" w:after="0"/>
        <w:ind w:left="1600" w:right="0" w:hanging="1020"/>
        <w:jc w:val="left"/>
        <w:rPr>
          <w:sz w:val="24"/>
        </w:rPr>
      </w:pPr>
      <w:r>
        <w:rPr>
          <w:sz w:val="24"/>
        </w:rPr>
        <w:t>排污口立标管理</w:t>
      </w:r>
    </w:p>
    <w:p>
      <w:pPr>
        <w:pStyle w:val="BodyText"/>
        <w:spacing w:line="220" w:lineRule="auto"/>
        <w:ind w:left="580" w:right="751" w:firstLine="479"/>
        <w:jc w:val="both"/>
      </w:pPr>
      <w:r>
        <w:rPr>
          <w:w w:val="95"/>
        </w:rPr>
        <w:t>（1）污染物排放口，应按国家《环境保护图形标志》（15562.1-1995）与GB15562.2-1995   的规定，设置国家环保总局统一制作的环境保护图形标志牌； </w:t>
      </w:r>
      <w:r>
        <w:rPr/>
        <w:t>排放口图形标志牌见图 10.1-1。</w:t>
      </w:r>
    </w:p>
    <w:p>
      <w:pPr>
        <w:pStyle w:val="BodyText"/>
        <w:rPr>
          <w:sz w:val="11"/>
        </w:rPr>
      </w:pPr>
    </w:p>
    <w:tbl>
      <w:tblPr>
        <w:tblW w:w="0" w:type="auto"/>
        <w:jc w:val="left"/>
        <w:tblInd w:w="12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2354"/>
        <w:gridCol w:w="2353"/>
        <w:gridCol w:w="2346"/>
      </w:tblGrid>
      <w:tr>
        <w:trPr>
          <w:trHeight w:val="1584" w:hRule="atLeast"/>
        </w:trPr>
        <w:tc>
          <w:tcPr>
            <w:tcW w:w="2354" w:type="dxa"/>
            <w:tcBorders>
              <w:left w:val="single" w:sz="6" w:space="0" w:color="000000"/>
              <w:bottom w:val="single" w:sz="8" w:space="0" w:color="000000"/>
            </w:tcBorders>
          </w:tcPr>
          <w:p>
            <w:pPr>
              <w:pStyle w:val="TableParagraph"/>
              <w:spacing w:before="9"/>
              <w:jc w:val="left"/>
              <w:rPr>
                <w:sz w:val="7"/>
              </w:rPr>
            </w:pPr>
          </w:p>
          <w:p>
            <w:pPr>
              <w:pStyle w:val="TableParagraph"/>
              <w:ind w:left="690"/>
              <w:jc w:val="left"/>
              <w:rPr>
                <w:sz w:val="20"/>
              </w:rPr>
            </w:pPr>
            <w:r>
              <w:rPr>
                <w:sz w:val="20"/>
              </w:rPr>
              <w:drawing>
                <wp:inline distT="0" distB="0" distL="0" distR="0">
                  <wp:extent cx="800100" cy="800100"/>
                  <wp:effectExtent l="0" t="0" r="0" b="0"/>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64" cstate="print"/>
                          <a:stretch>
                            <a:fillRect/>
                          </a:stretch>
                        </pic:blipFill>
                        <pic:spPr>
                          <a:xfrm>
                            <a:off x="0" y="0"/>
                            <a:ext cx="800100" cy="800100"/>
                          </a:xfrm>
                          <a:prstGeom prst="rect">
                            <a:avLst/>
                          </a:prstGeom>
                        </pic:spPr>
                      </pic:pic>
                    </a:graphicData>
                  </a:graphic>
                </wp:inline>
              </w:drawing>
            </w:r>
            <w:r>
              <w:rPr>
                <w:sz w:val="20"/>
              </w:rPr>
            </w:r>
          </w:p>
        </w:tc>
        <w:tc>
          <w:tcPr>
            <w:tcW w:w="2353" w:type="dxa"/>
            <w:tcBorders>
              <w:bottom w:val="single" w:sz="8" w:space="0" w:color="000000"/>
            </w:tcBorders>
          </w:tcPr>
          <w:p>
            <w:pPr>
              <w:pStyle w:val="TableParagraph"/>
              <w:spacing w:before="1"/>
              <w:jc w:val="left"/>
              <w:rPr>
                <w:sz w:val="6"/>
              </w:rPr>
            </w:pPr>
          </w:p>
          <w:p>
            <w:pPr>
              <w:pStyle w:val="TableParagraph"/>
              <w:ind w:left="571"/>
              <w:jc w:val="left"/>
              <w:rPr>
                <w:sz w:val="20"/>
              </w:rPr>
            </w:pPr>
            <w:r>
              <w:rPr>
                <w:sz w:val="20"/>
              </w:rPr>
              <w:drawing>
                <wp:inline distT="0" distB="0" distL="0" distR="0">
                  <wp:extent cx="944251" cy="836009"/>
                  <wp:effectExtent l="0" t="0" r="0" b="0"/>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65" cstate="print"/>
                          <a:stretch>
                            <a:fillRect/>
                          </a:stretch>
                        </pic:blipFill>
                        <pic:spPr>
                          <a:xfrm>
                            <a:off x="0" y="0"/>
                            <a:ext cx="944251" cy="836009"/>
                          </a:xfrm>
                          <a:prstGeom prst="rect">
                            <a:avLst/>
                          </a:prstGeom>
                        </pic:spPr>
                      </pic:pic>
                    </a:graphicData>
                  </a:graphic>
                </wp:inline>
              </w:drawing>
            </w:r>
            <w:r>
              <w:rPr>
                <w:sz w:val="20"/>
              </w:rPr>
            </w:r>
          </w:p>
        </w:tc>
        <w:tc>
          <w:tcPr>
            <w:tcW w:w="2346" w:type="dxa"/>
            <w:tcBorders>
              <w:bottom w:val="single" w:sz="8" w:space="0" w:color="000000"/>
              <w:right w:val="single" w:sz="8" w:space="0" w:color="000000"/>
            </w:tcBorders>
          </w:tcPr>
          <w:p>
            <w:pPr>
              <w:pStyle w:val="TableParagraph"/>
              <w:spacing w:before="6"/>
              <w:jc w:val="left"/>
              <w:rPr>
                <w:sz w:val="6"/>
              </w:rPr>
            </w:pPr>
          </w:p>
          <w:p>
            <w:pPr>
              <w:pStyle w:val="TableParagraph"/>
              <w:ind w:left="654"/>
              <w:jc w:val="left"/>
              <w:rPr>
                <w:sz w:val="20"/>
              </w:rPr>
            </w:pPr>
            <w:r>
              <w:rPr>
                <w:sz w:val="20"/>
              </w:rPr>
              <w:drawing>
                <wp:inline distT="0" distB="0" distL="0" distR="0">
                  <wp:extent cx="828674" cy="828675"/>
                  <wp:effectExtent l="0" t="0" r="0" b="0"/>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66" cstate="print"/>
                          <a:stretch>
                            <a:fillRect/>
                          </a:stretch>
                        </pic:blipFill>
                        <pic:spPr>
                          <a:xfrm>
                            <a:off x="0" y="0"/>
                            <a:ext cx="828674" cy="828675"/>
                          </a:xfrm>
                          <a:prstGeom prst="rect">
                            <a:avLst/>
                          </a:prstGeom>
                        </pic:spPr>
                      </pic:pic>
                    </a:graphicData>
                  </a:graphic>
                </wp:inline>
              </w:drawing>
            </w:r>
            <w:r>
              <w:rPr>
                <w:sz w:val="20"/>
              </w:rPr>
            </w:r>
          </w:p>
        </w:tc>
      </w:tr>
      <w:tr>
        <w:trPr>
          <w:trHeight w:val="495" w:hRule="atLeast"/>
        </w:trPr>
        <w:tc>
          <w:tcPr>
            <w:tcW w:w="2354" w:type="dxa"/>
            <w:tcBorders>
              <w:top w:val="single" w:sz="8" w:space="0" w:color="000000"/>
              <w:left w:val="single" w:sz="6" w:space="0" w:color="000000"/>
              <w:bottom w:val="single" w:sz="8" w:space="0" w:color="000000"/>
            </w:tcBorders>
          </w:tcPr>
          <w:p>
            <w:pPr>
              <w:pStyle w:val="TableParagraph"/>
              <w:spacing w:before="80"/>
              <w:ind w:right="633"/>
              <w:jc w:val="right"/>
              <w:rPr>
                <w:sz w:val="15"/>
              </w:rPr>
            </w:pPr>
            <w:r>
              <w:rPr>
                <w:sz w:val="15"/>
              </w:rPr>
              <w:t>废气排放口</w:t>
            </w:r>
          </w:p>
        </w:tc>
        <w:tc>
          <w:tcPr>
            <w:tcW w:w="2353" w:type="dxa"/>
            <w:tcBorders>
              <w:top w:val="single" w:sz="8" w:space="0" w:color="000000"/>
              <w:bottom w:val="single" w:sz="8" w:space="0" w:color="000000"/>
            </w:tcBorders>
          </w:tcPr>
          <w:p>
            <w:pPr>
              <w:pStyle w:val="TableParagraph"/>
              <w:spacing w:before="80"/>
              <w:ind w:right="631"/>
              <w:jc w:val="right"/>
              <w:rPr>
                <w:sz w:val="15"/>
              </w:rPr>
            </w:pPr>
            <w:r>
              <w:rPr>
                <w:sz w:val="15"/>
              </w:rPr>
              <w:t>废气排放口</w:t>
            </w:r>
          </w:p>
        </w:tc>
        <w:tc>
          <w:tcPr>
            <w:tcW w:w="2346" w:type="dxa"/>
            <w:tcBorders>
              <w:top w:val="single" w:sz="8" w:space="0" w:color="000000"/>
              <w:bottom w:val="single" w:sz="8" w:space="0" w:color="000000"/>
              <w:right w:val="single" w:sz="8" w:space="0" w:color="000000"/>
            </w:tcBorders>
          </w:tcPr>
          <w:p>
            <w:pPr>
              <w:pStyle w:val="TableParagraph"/>
              <w:spacing w:before="80"/>
              <w:ind w:left="930"/>
              <w:jc w:val="left"/>
              <w:rPr>
                <w:sz w:val="15"/>
              </w:rPr>
            </w:pPr>
            <w:r>
              <w:rPr>
                <w:sz w:val="15"/>
              </w:rPr>
              <w:t>噪声排放源</w:t>
            </w:r>
          </w:p>
        </w:tc>
      </w:tr>
      <w:tr>
        <w:trPr>
          <w:trHeight w:val="1590" w:hRule="atLeast"/>
        </w:trPr>
        <w:tc>
          <w:tcPr>
            <w:tcW w:w="2354" w:type="dxa"/>
            <w:tcBorders>
              <w:top w:val="single" w:sz="8" w:space="0" w:color="000000"/>
              <w:left w:val="single" w:sz="6" w:space="0" w:color="000000"/>
              <w:bottom w:val="single" w:sz="8" w:space="0" w:color="000000"/>
            </w:tcBorders>
          </w:tcPr>
          <w:p>
            <w:pPr>
              <w:pStyle w:val="TableParagraph"/>
              <w:spacing w:before="10"/>
              <w:jc w:val="left"/>
              <w:rPr>
                <w:sz w:val="6"/>
              </w:rPr>
            </w:pPr>
          </w:p>
          <w:p>
            <w:pPr>
              <w:pStyle w:val="TableParagraph"/>
              <w:ind w:left="577"/>
              <w:jc w:val="left"/>
              <w:rPr>
                <w:sz w:val="20"/>
              </w:rPr>
            </w:pPr>
            <w:r>
              <w:rPr>
                <w:sz w:val="20"/>
              </w:rPr>
              <w:drawing>
                <wp:inline distT="0" distB="0" distL="0" distR="0">
                  <wp:extent cx="944251" cy="836009"/>
                  <wp:effectExtent l="0" t="0" r="0" b="0"/>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67" cstate="print"/>
                          <a:stretch>
                            <a:fillRect/>
                          </a:stretch>
                        </pic:blipFill>
                        <pic:spPr>
                          <a:xfrm>
                            <a:off x="0" y="0"/>
                            <a:ext cx="944251" cy="836009"/>
                          </a:xfrm>
                          <a:prstGeom prst="rect">
                            <a:avLst/>
                          </a:prstGeom>
                        </pic:spPr>
                      </pic:pic>
                    </a:graphicData>
                  </a:graphic>
                </wp:inline>
              </w:drawing>
            </w:r>
            <w:r>
              <w:rPr>
                <w:sz w:val="20"/>
              </w:rPr>
            </w:r>
          </w:p>
        </w:tc>
        <w:tc>
          <w:tcPr>
            <w:tcW w:w="2353" w:type="dxa"/>
            <w:tcBorders>
              <w:top w:val="single" w:sz="8" w:space="0" w:color="000000"/>
              <w:bottom w:val="single" w:sz="8" w:space="0" w:color="000000"/>
            </w:tcBorders>
          </w:tcPr>
          <w:p>
            <w:pPr>
              <w:pStyle w:val="TableParagraph"/>
              <w:spacing w:before="7"/>
              <w:jc w:val="left"/>
              <w:rPr>
                <w:sz w:val="5"/>
              </w:rPr>
            </w:pPr>
          </w:p>
          <w:p>
            <w:pPr>
              <w:pStyle w:val="TableParagraph"/>
              <w:ind w:left="631"/>
              <w:jc w:val="left"/>
              <w:rPr>
                <w:sz w:val="20"/>
              </w:rPr>
            </w:pPr>
            <w:r>
              <w:rPr>
                <w:sz w:val="20"/>
              </w:rPr>
              <w:drawing>
                <wp:inline distT="0" distB="0" distL="0" distR="0">
                  <wp:extent cx="864393" cy="864393"/>
                  <wp:effectExtent l="0" t="0" r="0" b="0"/>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68" cstate="print"/>
                          <a:stretch>
                            <a:fillRect/>
                          </a:stretch>
                        </pic:blipFill>
                        <pic:spPr>
                          <a:xfrm>
                            <a:off x="0" y="0"/>
                            <a:ext cx="864393" cy="864393"/>
                          </a:xfrm>
                          <a:prstGeom prst="rect">
                            <a:avLst/>
                          </a:prstGeom>
                        </pic:spPr>
                      </pic:pic>
                    </a:graphicData>
                  </a:graphic>
                </wp:inline>
              </w:drawing>
            </w:r>
            <w:r>
              <w:rPr>
                <w:sz w:val="20"/>
              </w:rPr>
            </w:r>
          </w:p>
        </w:tc>
        <w:tc>
          <w:tcPr>
            <w:tcW w:w="2346" w:type="dxa"/>
            <w:tcBorders>
              <w:top w:val="single" w:sz="8" w:space="0" w:color="000000"/>
              <w:bottom w:val="single" w:sz="8" w:space="0" w:color="000000"/>
              <w:right w:val="single" w:sz="8" w:space="0" w:color="000000"/>
            </w:tcBorders>
          </w:tcPr>
          <w:p>
            <w:pPr>
              <w:pStyle w:val="TableParagraph"/>
              <w:spacing w:before="10"/>
              <w:jc w:val="left"/>
              <w:rPr>
                <w:sz w:val="6"/>
              </w:rPr>
            </w:pPr>
          </w:p>
          <w:p>
            <w:pPr>
              <w:pStyle w:val="TableParagraph"/>
              <w:ind w:left="565"/>
              <w:jc w:val="left"/>
              <w:rPr>
                <w:sz w:val="20"/>
              </w:rPr>
            </w:pPr>
            <w:r>
              <w:rPr>
                <w:sz w:val="20"/>
              </w:rPr>
              <w:drawing>
                <wp:inline distT="0" distB="0" distL="0" distR="0">
                  <wp:extent cx="944251" cy="836009"/>
                  <wp:effectExtent l="0" t="0" r="0" b="0"/>
                  <wp:docPr id="67" name="image34.jpeg" descr=""/>
                  <wp:cNvGraphicFramePr>
                    <a:graphicFrameLocks noChangeAspect="1"/>
                  </wp:cNvGraphicFramePr>
                  <a:graphic>
                    <a:graphicData uri="http://schemas.openxmlformats.org/drawingml/2006/picture">
                      <pic:pic>
                        <pic:nvPicPr>
                          <pic:cNvPr id="68" name="image34.jpeg"/>
                          <pic:cNvPicPr/>
                        </pic:nvPicPr>
                        <pic:blipFill>
                          <a:blip r:embed="rId69" cstate="print"/>
                          <a:stretch>
                            <a:fillRect/>
                          </a:stretch>
                        </pic:blipFill>
                        <pic:spPr>
                          <a:xfrm>
                            <a:off x="0" y="0"/>
                            <a:ext cx="944251" cy="836009"/>
                          </a:xfrm>
                          <a:prstGeom prst="rect">
                            <a:avLst/>
                          </a:prstGeom>
                        </pic:spPr>
                      </pic:pic>
                    </a:graphicData>
                  </a:graphic>
                </wp:inline>
              </w:drawing>
            </w:r>
            <w:r>
              <w:rPr>
                <w:sz w:val="20"/>
              </w:rPr>
            </w:r>
          </w:p>
        </w:tc>
      </w:tr>
      <w:tr>
        <w:trPr>
          <w:trHeight w:val="218" w:hRule="atLeast"/>
        </w:trPr>
        <w:tc>
          <w:tcPr>
            <w:tcW w:w="2354" w:type="dxa"/>
            <w:tcBorders>
              <w:top w:val="single" w:sz="8" w:space="0" w:color="000000"/>
              <w:left w:val="single" w:sz="6" w:space="0" w:color="000000"/>
            </w:tcBorders>
          </w:tcPr>
          <w:p>
            <w:pPr>
              <w:pStyle w:val="TableParagraph"/>
              <w:spacing w:line="199" w:lineRule="exact"/>
              <w:ind w:right="633"/>
              <w:jc w:val="right"/>
              <w:rPr>
                <w:sz w:val="15"/>
              </w:rPr>
            </w:pPr>
            <w:r>
              <w:rPr>
                <w:sz w:val="15"/>
              </w:rPr>
              <w:t>噪声排放源</w:t>
            </w:r>
          </w:p>
        </w:tc>
        <w:tc>
          <w:tcPr>
            <w:tcW w:w="2353" w:type="dxa"/>
            <w:tcBorders>
              <w:top w:val="single" w:sz="8" w:space="0" w:color="000000"/>
            </w:tcBorders>
          </w:tcPr>
          <w:p>
            <w:pPr>
              <w:pStyle w:val="TableParagraph"/>
              <w:spacing w:line="199" w:lineRule="exact"/>
              <w:ind w:right="556"/>
              <w:jc w:val="right"/>
              <w:rPr>
                <w:sz w:val="15"/>
              </w:rPr>
            </w:pPr>
            <w:r>
              <w:rPr>
                <w:sz w:val="15"/>
              </w:rPr>
              <w:t>一般固体废物</w:t>
            </w:r>
          </w:p>
        </w:tc>
        <w:tc>
          <w:tcPr>
            <w:tcW w:w="2346" w:type="dxa"/>
            <w:tcBorders>
              <w:top w:val="single" w:sz="8" w:space="0" w:color="000000"/>
              <w:right w:val="single" w:sz="8" w:space="0" w:color="000000"/>
            </w:tcBorders>
          </w:tcPr>
          <w:p>
            <w:pPr>
              <w:pStyle w:val="TableParagraph"/>
              <w:spacing w:line="199" w:lineRule="exact"/>
              <w:ind w:left="856"/>
              <w:jc w:val="left"/>
              <w:rPr>
                <w:sz w:val="15"/>
              </w:rPr>
            </w:pPr>
            <w:r>
              <w:rPr>
                <w:sz w:val="15"/>
              </w:rPr>
              <w:t>一般固体废物</w:t>
            </w:r>
          </w:p>
        </w:tc>
      </w:tr>
    </w:tbl>
    <w:p>
      <w:pPr>
        <w:pStyle w:val="BodyText"/>
        <w:spacing w:line="473" w:lineRule="exact" w:before="179"/>
        <w:ind w:left="3617"/>
      </w:pPr>
      <w:r>
        <w:rPr/>
        <w:t>图 10.1-1 排放口图形标志牌</w:t>
      </w:r>
    </w:p>
    <w:p>
      <w:pPr>
        <w:pStyle w:val="BodyText"/>
        <w:spacing w:line="220" w:lineRule="auto"/>
        <w:ind w:left="580" w:right="764" w:firstLine="479"/>
      </w:pPr>
      <w:r>
        <w:rPr/>
        <w:t>（2）污染物排放口的环境保护图形标志牌应设置在靠近采样点的醒目处， 标志牌设置高度为其上缘距地面约 2m。</w:t>
      </w:r>
    </w:p>
    <w:p>
      <w:pPr>
        <w:pStyle w:val="ListParagraph"/>
        <w:numPr>
          <w:ilvl w:val="3"/>
          <w:numId w:val="19"/>
        </w:numPr>
        <w:tabs>
          <w:tab w:pos="1661" w:val="left" w:leader="none"/>
        </w:tabs>
        <w:spacing w:line="430" w:lineRule="exact" w:before="0" w:after="0"/>
        <w:ind w:left="1660" w:right="0" w:hanging="1080"/>
        <w:jc w:val="left"/>
        <w:rPr>
          <w:sz w:val="24"/>
        </w:rPr>
      </w:pPr>
      <w:r>
        <w:rPr>
          <w:sz w:val="24"/>
        </w:rPr>
        <w:t>排污口建档管理</w:t>
      </w:r>
    </w:p>
    <w:p>
      <w:pPr>
        <w:pStyle w:val="BodyText"/>
        <w:spacing w:line="206" w:lineRule="auto" w:before="6"/>
        <w:ind w:left="580" w:right="763" w:firstLine="479"/>
      </w:pPr>
      <w:r>
        <w:rPr/>
        <w:t>（1）要求使用国家环保局统一印制的《中华人民共和国规范化排污口标志牌登记证》，并按要求填写有关内容；</w:t>
      </w:r>
    </w:p>
    <w:p>
      <w:pPr>
        <w:spacing w:after="0" w:line="206" w:lineRule="auto"/>
        <w:sectPr>
          <w:pgSz w:w="11910" w:h="16840"/>
          <w:pgMar w:header="877" w:footer="973" w:top="1340" w:bottom="1160" w:left="1220" w:right="1040"/>
        </w:sectPr>
      </w:pPr>
    </w:p>
    <w:p>
      <w:pPr>
        <w:pStyle w:val="BodyText"/>
        <w:spacing w:line="206" w:lineRule="auto" w:before="84"/>
        <w:ind w:left="580" w:right="764" w:firstLine="479"/>
      </w:pPr>
      <w:r>
        <w:rPr/>
        <w:t>（2）根据排污口管理档案内容要求，项目建成投产后，应将主要污染物种类、数量、浓度、排放去向、达标情况及设施运行情况记录于档案。</w:t>
      </w:r>
    </w:p>
    <w:p>
      <w:pPr>
        <w:pStyle w:val="Heading4"/>
        <w:numPr>
          <w:ilvl w:val="1"/>
          <w:numId w:val="20"/>
        </w:numPr>
        <w:tabs>
          <w:tab w:pos="1332" w:val="left" w:leader="none"/>
        </w:tabs>
        <w:spacing w:line="609" w:lineRule="exact" w:before="0" w:after="0"/>
        <w:ind w:left="1331" w:right="0" w:hanging="751"/>
        <w:jc w:val="left"/>
      </w:pPr>
      <w:r>
        <w:rPr/>
        <w:t>环境监测</w:t>
      </w:r>
    </w:p>
    <w:p>
      <w:pPr>
        <w:pStyle w:val="Heading5"/>
        <w:numPr>
          <w:ilvl w:val="2"/>
          <w:numId w:val="20"/>
        </w:numPr>
        <w:tabs>
          <w:tab w:pos="1560" w:val="left" w:leader="none"/>
        </w:tabs>
        <w:spacing w:line="592" w:lineRule="exact" w:before="12" w:after="0"/>
        <w:ind w:left="1559" w:right="0" w:hanging="979"/>
        <w:jc w:val="left"/>
      </w:pPr>
      <w:r>
        <w:rPr/>
        <w:t>监测目的</w:t>
      </w:r>
    </w:p>
    <w:p>
      <w:pPr>
        <w:pStyle w:val="BodyText"/>
        <w:spacing w:line="220" w:lineRule="auto" w:before="27"/>
        <w:ind w:left="580" w:right="750" w:firstLine="479"/>
      </w:pPr>
      <w:r>
        <w:rPr/>
        <w:t>环境监测是环境保护中最重要的环节和技术支持，开展环境监测的目的在于：</w:t>
      </w:r>
    </w:p>
    <w:p>
      <w:pPr>
        <w:pStyle w:val="BodyText"/>
        <w:spacing w:line="220" w:lineRule="auto"/>
        <w:ind w:left="580" w:right="764" w:firstLine="479"/>
      </w:pPr>
      <w:r>
        <w:rPr/>
        <w:t>（1）检查、跟踪项目投产后运行过程中各项环保措施的实施情况和效果， 掌握环境质量的变化动态；</w:t>
      </w:r>
    </w:p>
    <w:p>
      <w:pPr>
        <w:pStyle w:val="BodyText"/>
        <w:spacing w:line="460" w:lineRule="exact"/>
        <w:ind w:left="1060"/>
      </w:pPr>
      <w:r>
        <w:rPr/>
        <w:t>（2）了解项目环境工程设施的运行状况，确保设施的正常运行；</w:t>
      </w:r>
    </w:p>
    <w:p>
      <w:pPr>
        <w:pStyle w:val="BodyText"/>
        <w:spacing w:line="468" w:lineRule="exact"/>
        <w:ind w:left="1060"/>
      </w:pPr>
      <w:r>
        <w:rPr/>
        <w:t>（3）了解与项目有关的环境质量监控实施情况；</w:t>
      </w:r>
    </w:p>
    <w:p>
      <w:pPr>
        <w:pStyle w:val="BodyText"/>
        <w:spacing w:line="485" w:lineRule="exact"/>
        <w:ind w:left="1060"/>
      </w:pPr>
      <w:r>
        <w:rPr/>
        <w:t>（4）为改善项目区周围区域环境质量提供技术支持。</w:t>
      </w:r>
    </w:p>
    <w:p>
      <w:pPr>
        <w:pStyle w:val="Heading5"/>
        <w:numPr>
          <w:ilvl w:val="2"/>
          <w:numId w:val="20"/>
        </w:numPr>
        <w:tabs>
          <w:tab w:pos="1560" w:val="left" w:leader="none"/>
        </w:tabs>
        <w:spacing w:line="588" w:lineRule="exact" w:before="0" w:after="0"/>
        <w:ind w:left="1559" w:right="0" w:hanging="979"/>
        <w:jc w:val="left"/>
      </w:pPr>
      <w:r>
        <w:rPr>
          <w:spacing w:val="-1"/>
        </w:rPr>
        <w:t>环境监测站职能</w:t>
      </w:r>
    </w:p>
    <w:p>
      <w:pPr>
        <w:pStyle w:val="BodyText"/>
        <w:spacing w:line="220" w:lineRule="auto" w:before="26"/>
        <w:ind w:left="580" w:right="764" w:firstLine="479"/>
      </w:pPr>
      <w:r>
        <w:rPr/>
        <w:t>（1）认真贯彻国家有关环保法律、法规，根据国家环境质量标准和污染物排放浓度，制定监测站的给规章制度、监测计划和工作方案。</w:t>
      </w:r>
    </w:p>
    <w:p>
      <w:pPr>
        <w:pStyle w:val="BodyText"/>
        <w:spacing w:line="220" w:lineRule="auto"/>
        <w:ind w:left="580" w:right="759" w:firstLine="479"/>
        <w:jc w:val="both"/>
      </w:pPr>
      <w:r>
        <w:rPr/>
        <w:t>（2）对本公司污染源和厂区附近环境质量进行定期和不定期监测，根据监</w:t>
      </w:r>
      <w:r>
        <w:rPr>
          <w:spacing w:val="-9"/>
        </w:rPr>
        <w:t>测项目、内容、频率按时完成监测任务，掌握污染源排放情况和变化规律，为污染控制和环境管理提供真实、有效数据。</w:t>
      </w:r>
    </w:p>
    <w:p>
      <w:pPr>
        <w:pStyle w:val="BodyText"/>
        <w:spacing w:line="220" w:lineRule="auto"/>
        <w:ind w:left="580" w:right="764" w:firstLine="479"/>
      </w:pPr>
      <w:r>
        <w:rPr/>
        <w:t>（3）定期对各类污染防治设施（设备）运行情况进行检测评价，随时掌握其正常与非正常运行状况。监测结果异常及时上报，查明原因。</w:t>
      </w:r>
    </w:p>
    <w:p>
      <w:pPr>
        <w:pStyle w:val="BodyText"/>
        <w:spacing w:line="220" w:lineRule="auto"/>
        <w:ind w:left="580" w:right="764" w:firstLine="479"/>
      </w:pPr>
      <w:r>
        <w:rPr/>
        <w:t>（4）严格执行国家、省、市和行业环境监测规范，全面完成上级下达的各项监测任务。归纳整理监测数据并建立污染源档案。</w:t>
      </w:r>
    </w:p>
    <w:p>
      <w:pPr>
        <w:pStyle w:val="BodyText"/>
        <w:spacing w:line="220" w:lineRule="auto"/>
        <w:ind w:left="580" w:right="764" w:firstLine="479"/>
      </w:pPr>
      <w:r>
        <w:rPr/>
        <w:t>（5）建立质量保证体系，实施监测站规范化建设，不断提高监测质量和监测水平。</w:t>
      </w:r>
    </w:p>
    <w:p>
      <w:pPr>
        <w:pStyle w:val="BodyText"/>
        <w:spacing w:line="460" w:lineRule="exact"/>
        <w:ind w:left="1060"/>
      </w:pPr>
      <w:r>
        <w:rPr/>
        <w:t>（6）加强环境监测仪器、设备的维护和校验工作，保证监测工作正常进行。</w:t>
      </w:r>
    </w:p>
    <w:p>
      <w:pPr>
        <w:pStyle w:val="BodyText"/>
        <w:spacing w:line="485" w:lineRule="exact"/>
        <w:ind w:left="1060"/>
      </w:pPr>
      <w:r>
        <w:rPr/>
        <w:t>（7）参加本公司环保设施污染事故调查工作和环境科研工作。</w:t>
      </w:r>
    </w:p>
    <w:p>
      <w:pPr>
        <w:pStyle w:val="Heading5"/>
        <w:numPr>
          <w:ilvl w:val="2"/>
          <w:numId w:val="20"/>
        </w:numPr>
        <w:tabs>
          <w:tab w:pos="1560" w:val="left" w:leader="none"/>
        </w:tabs>
        <w:spacing w:line="588" w:lineRule="exact" w:before="0" w:after="0"/>
        <w:ind w:left="1559" w:right="0" w:hanging="979"/>
        <w:jc w:val="left"/>
      </w:pPr>
      <w:r>
        <w:rPr/>
        <w:t>监测制度</w:t>
      </w:r>
    </w:p>
    <w:p>
      <w:pPr>
        <w:pStyle w:val="ListParagraph"/>
        <w:numPr>
          <w:ilvl w:val="3"/>
          <w:numId w:val="20"/>
        </w:numPr>
        <w:tabs>
          <w:tab w:pos="1601" w:val="left" w:leader="none"/>
        </w:tabs>
        <w:spacing w:line="487" w:lineRule="exact" w:before="0" w:after="0"/>
        <w:ind w:left="1600" w:right="0" w:hanging="1020"/>
        <w:jc w:val="left"/>
        <w:rPr>
          <w:sz w:val="24"/>
        </w:rPr>
      </w:pPr>
      <w:r>
        <w:rPr>
          <w:sz w:val="24"/>
        </w:rPr>
        <w:t>监测计划</w:t>
      </w:r>
    </w:p>
    <w:p>
      <w:pPr>
        <w:pStyle w:val="BodyText"/>
        <w:spacing w:line="489" w:lineRule="exact"/>
        <w:ind w:left="1060"/>
      </w:pPr>
      <w:r>
        <w:rPr/>
        <w:t>根据国家有关的环境保护监测工作规定，企业环境监测是对生产中排放的</w:t>
      </w:r>
    </w:p>
    <w:p>
      <w:pPr>
        <w:spacing w:after="0" w:line="489" w:lineRule="exact"/>
        <w:sectPr>
          <w:pgSz w:w="11910" w:h="16840"/>
          <w:pgMar w:header="877" w:footer="973" w:top="1340" w:bottom="1160" w:left="1220" w:right="1040"/>
        </w:sectPr>
      </w:pPr>
    </w:p>
    <w:p>
      <w:pPr>
        <w:pStyle w:val="BodyText"/>
        <w:spacing w:line="220" w:lineRule="auto" w:before="77"/>
        <w:ind w:left="580" w:right="756"/>
        <w:jc w:val="both"/>
      </w:pPr>
      <w:r>
        <w:rPr>
          <w:spacing w:val="-10"/>
        </w:rPr>
        <w:t>“三废”污染物进行监测，为各级主管部门和企业贯彻执行国家环保法规，制定 </w:t>
      </w:r>
      <w:r>
        <w:rPr>
          <w:spacing w:val="-12"/>
        </w:rPr>
        <w:t>污染防治对策，监督生产装置是否正常运行提供依据。项目建成投产后，根据项</w:t>
      </w:r>
      <w:r>
        <w:rPr>
          <w:spacing w:val="-12"/>
          <w:w w:val="105"/>
        </w:rPr>
        <w:t>目排污特点及全厂实际情况，需建立健全各项监测制度并保证其实施。</w:t>
      </w:r>
    </w:p>
    <w:p>
      <w:pPr>
        <w:pStyle w:val="ListParagraph"/>
        <w:numPr>
          <w:ilvl w:val="3"/>
          <w:numId w:val="20"/>
        </w:numPr>
        <w:tabs>
          <w:tab w:pos="1661" w:val="left" w:leader="none"/>
        </w:tabs>
        <w:spacing w:line="460" w:lineRule="exact" w:before="0" w:after="0"/>
        <w:ind w:left="1660" w:right="0" w:hanging="1080"/>
        <w:jc w:val="left"/>
        <w:rPr>
          <w:sz w:val="24"/>
        </w:rPr>
      </w:pPr>
      <w:r>
        <w:rPr>
          <w:sz w:val="24"/>
        </w:rPr>
        <w:t>常规监测制度</w:t>
      </w:r>
    </w:p>
    <w:p>
      <w:pPr>
        <w:pStyle w:val="BodyText"/>
        <w:spacing w:line="220" w:lineRule="auto" w:before="8"/>
        <w:ind w:left="580" w:right="663" w:firstLine="479"/>
        <w:jc w:val="both"/>
      </w:pPr>
      <w:r>
        <w:rPr>
          <w:spacing w:val="4"/>
        </w:rPr>
        <w:t>常规监测项目应设环境监测站专职负责，环境监测人员应熟悉全厂生产工</w:t>
      </w:r>
      <w:r>
        <w:rPr>
          <w:spacing w:val="-10"/>
        </w:rPr>
        <w:t>艺，掌握常规水体、大气的采样和测试操作技术。有关监测项目、监测点的选取与监测频率等的确定和监测分析方法均按照现行国家颁布标准和有关规定执行。</w:t>
      </w:r>
    </w:p>
    <w:p>
      <w:pPr>
        <w:pStyle w:val="BodyText"/>
        <w:spacing w:line="481" w:lineRule="exact"/>
        <w:ind w:left="1060"/>
      </w:pPr>
      <w:r>
        <w:rPr/>
        <w:t>常规监测计划详细内容见表 10.2-1。</w:t>
      </w:r>
    </w:p>
    <w:p>
      <w:pPr>
        <w:pStyle w:val="BodyText"/>
        <w:tabs>
          <w:tab w:pos="3924" w:val="left" w:leader="none"/>
        </w:tabs>
        <w:spacing w:before="36"/>
        <w:ind w:left="2664"/>
      </w:pPr>
      <w:r>
        <w:rPr/>
        <w:pict>
          <v:shape style="position:absolute;margin-left:84.384003pt;margin-top:23.160015pt;width:437.75pt;height:480.95pt;mso-position-horizontal-relative:page;mso-position-vertical-relative:paragraph;z-index:210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583"/>
                    <w:gridCol w:w="2749"/>
                    <w:gridCol w:w="896"/>
                    <w:gridCol w:w="1792"/>
                    <w:gridCol w:w="1019"/>
                  </w:tblGrid>
                  <w:tr>
                    <w:trPr>
                      <w:trHeight w:val="544" w:hRule="atLeast"/>
                    </w:trPr>
                    <w:tc>
                      <w:tcPr>
                        <w:tcW w:w="706" w:type="dxa"/>
                      </w:tcPr>
                      <w:p>
                        <w:pPr>
                          <w:pStyle w:val="TableParagraph"/>
                          <w:spacing w:before="37"/>
                          <w:ind w:left="122" w:right="113"/>
                          <w:rPr>
                            <w:sz w:val="21"/>
                          </w:rPr>
                        </w:pPr>
                        <w:r>
                          <w:rPr>
                            <w:sz w:val="21"/>
                          </w:rPr>
                          <w:t>项目</w:t>
                        </w:r>
                      </w:p>
                    </w:tc>
                    <w:tc>
                      <w:tcPr>
                        <w:tcW w:w="1583" w:type="dxa"/>
                      </w:tcPr>
                      <w:p>
                        <w:pPr>
                          <w:pStyle w:val="TableParagraph"/>
                          <w:spacing w:before="37"/>
                          <w:ind w:left="245" w:right="238"/>
                          <w:rPr>
                            <w:sz w:val="21"/>
                          </w:rPr>
                        </w:pPr>
                        <w:r>
                          <w:rPr>
                            <w:sz w:val="21"/>
                          </w:rPr>
                          <w:t>监测点位</w:t>
                        </w:r>
                      </w:p>
                    </w:tc>
                    <w:tc>
                      <w:tcPr>
                        <w:tcW w:w="2749" w:type="dxa"/>
                      </w:tcPr>
                      <w:p>
                        <w:pPr>
                          <w:pStyle w:val="TableParagraph"/>
                          <w:spacing w:before="37"/>
                          <w:ind w:left="90" w:right="89"/>
                          <w:rPr>
                            <w:sz w:val="21"/>
                          </w:rPr>
                        </w:pPr>
                        <w:r>
                          <w:rPr>
                            <w:sz w:val="21"/>
                          </w:rPr>
                          <w:t>监测项目</w:t>
                        </w:r>
                      </w:p>
                    </w:tc>
                    <w:tc>
                      <w:tcPr>
                        <w:tcW w:w="896" w:type="dxa"/>
                      </w:tcPr>
                      <w:p>
                        <w:pPr>
                          <w:pStyle w:val="TableParagraph"/>
                          <w:spacing w:line="260" w:lineRule="exact"/>
                          <w:ind w:left="235"/>
                          <w:jc w:val="left"/>
                          <w:rPr>
                            <w:sz w:val="21"/>
                          </w:rPr>
                        </w:pPr>
                        <w:r>
                          <w:rPr>
                            <w:sz w:val="21"/>
                          </w:rPr>
                          <w:t>监测</w:t>
                        </w:r>
                      </w:p>
                      <w:p>
                        <w:pPr>
                          <w:pStyle w:val="TableParagraph"/>
                          <w:spacing w:line="265" w:lineRule="exact"/>
                          <w:ind w:left="235"/>
                          <w:jc w:val="left"/>
                          <w:rPr>
                            <w:sz w:val="21"/>
                          </w:rPr>
                        </w:pPr>
                        <w:r>
                          <w:rPr>
                            <w:sz w:val="21"/>
                          </w:rPr>
                          <w:t>频次</w:t>
                        </w:r>
                      </w:p>
                    </w:tc>
                    <w:tc>
                      <w:tcPr>
                        <w:tcW w:w="1792" w:type="dxa"/>
                      </w:tcPr>
                      <w:p>
                        <w:pPr>
                          <w:pStyle w:val="TableParagraph"/>
                          <w:spacing w:before="37"/>
                          <w:ind w:left="261"/>
                          <w:jc w:val="left"/>
                          <w:rPr>
                            <w:sz w:val="21"/>
                          </w:rPr>
                        </w:pPr>
                        <w:r>
                          <w:rPr>
                            <w:sz w:val="21"/>
                          </w:rPr>
                          <w:t>监测分析方法</w:t>
                        </w:r>
                      </w:p>
                    </w:tc>
                    <w:tc>
                      <w:tcPr>
                        <w:tcW w:w="1019" w:type="dxa"/>
                      </w:tcPr>
                      <w:p>
                        <w:pPr>
                          <w:pStyle w:val="TableParagraph"/>
                          <w:spacing w:before="37"/>
                          <w:ind w:left="293"/>
                          <w:jc w:val="left"/>
                          <w:rPr>
                            <w:sz w:val="21"/>
                          </w:rPr>
                        </w:pPr>
                        <w:r>
                          <w:rPr>
                            <w:sz w:val="21"/>
                          </w:rPr>
                          <w:t>备注</w:t>
                        </w:r>
                      </w:p>
                    </w:tc>
                  </w:tr>
                  <w:tr>
                    <w:trPr>
                      <w:trHeight w:val="1633" w:hRule="atLeast"/>
                    </w:trPr>
                    <w:tc>
                      <w:tcPr>
                        <w:tcW w:w="706" w:type="dxa"/>
                      </w:tcPr>
                      <w:p>
                        <w:pPr>
                          <w:pStyle w:val="TableParagraph"/>
                          <w:spacing w:before="9"/>
                          <w:jc w:val="left"/>
                          <w:rPr>
                            <w:sz w:val="27"/>
                          </w:rPr>
                        </w:pPr>
                      </w:p>
                      <w:p>
                        <w:pPr>
                          <w:pStyle w:val="TableParagraph"/>
                          <w:ind w:left="122" w:right="113"/>
                          <w:rPr>
                            <w:sz w:val="21"/>
                          </w:rPr>
                        </w:pPr>
                        <w:r>
                          <w:rPr>
                            <w:sz w:val="21"/>
                          </w:rPr>
                          <w:t>废水</w:t>
                        </w:r>
                      </w:p>
                    </w:tc>
                    <w:tc>
                      <w:tcPr>
                        <w:tcW w:w="1583" w:type="dxa"/>
                      </w:tcPr>
                      <w:p>
                        <w:pPr>
                          <w:pStyle w:val="TableParagraph"/>
                          <w:spacing w:before="7"/>
                          <w:jc w:val="left"/>
                          <w:rPr>
                            <w:sz w:val="20"/>
                          </w:rPr>
                        </w:pPr>
                      </w:p>
                      <w:p>
                        <w:pPr>
                          <w:pStyle w:val="TableParagraph"/>
                          <w:spacing w:line="146" w:lineRule="auto" w:before="1"/>
                          <w:ind w:left="107" w:right="99"/>
                          <w:jc w:val="both"/>
                          <w:rPr>
                            <w:sz w:val="21"/>
                          </w:rPr>
                        </w:pPr>
                        <w:r>
                          <w:rPr>
                            <w:sz w:val="21"/>
                          </w:rPr>
                          <w:t>污水处理站进出水、厂总排污口</w:t>
                        </w:r>
                      </w:p>
                    </w:tc>
                    <w:tc>
                      <w:tcPr>
                        <w:tcW w:w="2749" w:type="dxa"/>
                      </w:tcPr>
                      <w:p>
                        <w:pPr>
                          <w:pStyle w:val="TableParagraph"/>
                          <w:spacing w:line="146" w:lineRule="auto" w:before="25"/>
                          <w:ind w:left="104" w:right="-15"/>
                          <w:jc w:val="both"/>
                          <w:rPr>
                            <w:sz w:val="21"/>
                          </w:rPr>
                        </w:pPr>
                        <w:r>
                          <w:rPr>
                            <w:w w:val="85"/>
                            <w:position w:val="1"/>
                            <w:sz w:val="21"/>
                          </w:rPr>
                          <w:t>pH、COD、BOD</w:t>
                        </w:r>
                        <w:r>
                          <w:rPr>
                            <w:w w:val="85"/>
                            <w:sz w:val="11"/>
                          </w:rPr>
                          <w:t>5</w:t>
                        </w:r>
                        <w:r>
                          <w:rPr>
                            <w:spacing w:val="-2"/>
                            <w:w w:val="85"/>
                            <w:position w:val="1"/>
                            <w:sz w:val="21"/>
                          </w:rPr>
                          <w:t>、氨氮、</w:t>
                        </w:r>
                        <w:r>
                          <w:rPr>
                            <w:spacing w:val="-3"/>
                            <w:w w:val="85"/>
                            <w:position w:val="1"/>
                            <w:sz w:val="21"/>
                          </w:rPr>
                          <w:t>SS</w:t>
                        </w:r>
                        <w:r>
                          <w:rPr>
                            <w:w w:val="85"/>
                            <w:position w:val="1"/>
                            <w:sz w:val="21"/>
                          </w:rPr>
                          <w:t>、</w:t>
                        </w:r>
                        <w:r>
                          <w:rPr>
                            <w:sz w:val="21"/>
                          </w:rPr>
                          <w:t>硫酸盐、石油类、氯化物、</w:t>
                        </w:r>
                        <w:r>
                          <w:rPr>
                            <w:spacing w:val="-11"/>
                            <w:sz w:val="21"/>
                          </w:rPr>
                          <w:t>全盐量、总大肠菌群、甲苯、</w:t>
                        </w:r>
                        <w:r>
                          <w:rPr>
                            <w:spacing w:val="-13"/>
                            <w:sz w:val="21"/>
                          </w:rPr>
                          <w:t>二甲苯、吡啶、环氧氯丙烷、</w:t>
                        </w:r>
                        <w:r>
                          <w:rPr>
                            <w:spacing w:val="-2"/>
                            <w:sz w:val="21"/>
                          </w:rPr>
                          <w:t>甲醛、氯苯、氯仿、污水处</w:t>
                        </w:r>
                      </w:p>
                      <w:p>
                        <w:pPr>
                          <w:pStyle w:val="TableParagraph"/>
                          <w:spacing w:line="231" w:lineRule="exact"/>
                          <w:ind w:left="104"/>
                          <w:jc w:val="both"/>
                          <w:rPr>
                            <w:sz w:val="21"/>
                          </w:rPr>
                        </w:pPr>
                        <w:r>
                          <w:rPr>
                            <w:sz w:val="21"/>
                          </w:rPr>
                          <w:t>理站进出水及总排口水量</w:t>
                        </w:r>
                      </w:p>
                    </w:tc>
                    <w:tc>
                      <w:tcPr>
                        <w:tcW w:w="896" w:type="dxa"/>
                      </w:tcPr>
                      <w:p>
                        <w:pPr>
                          <w:pStyle w:val="TableParagraph"/>
                          <w:spacing w:line="359" w:lineRule="exact" w:before="37"/>
                          <w:ind w:left="105"/>
                          <w:jc w:val="left"/>
                          <w:rPr>
                            <w:sz w:val="21"/>
                          </w:rPr>
                        </w:pPr>
                        <w:r>
                          <w:rPr>
                            <w:w w:val="105"/>
                            <w:sz w:val="21"/>
                          </w:rPr>
                          <w:t>1 次</w:t>
                        </w:r>
                        <w:r>
                          <w:rPr>
                            <w:w w:val="110"/>
                            <w:sz w:val="21"/>
                          </w:rPr>
                          <w:t>/</w:t>
                        </w:r>
                        <w:r>
                          <w:rPr>
                            <w:w w:val="105"/>
                            <w:sz w:val="21"/>
                          </w:rPr>
                          <w:t>天</w:t>
                        </w:r>
                      </w:p>
                      <w:p>
                        <w:pPr>
                          <w:pStyle w:val="TableParagraph"/>
                          <w:spacing w:line="146" w:lineRule="auto" w:before="35"/>
                          <w:ind w:left="129" w:right="120"/>
                          <w:jc w:val="both"/>
                          <w:rPr>
                            <w:sz w:val="21"/>
                          </w:rPr>
                        </w:pPr>
                        <w:r>
                          <w:rPr>
                            <w:sz w:val="21"/>
                          </w:rPr>
                          <w:t>（不正常时随时 监 测）</w:t>
                        </w:r>
                      </w:p>
                    </w:tc>
                    <w:tc>
                      <w:tcPr>
                        <w:tcW w:w="1792" w:type="dxa"/>
                      </w:tcPr>
                      <w:p>
                        <w:pPr>
                          <w:pStyle w:val="TableParagraph"/>
                          <w:spacing w:line="146" w:lineRule="auto" w:before="158"/>
                          <w:ind w:left="105" w:right="97"/>
                          <w:jc w:val="both"/>
                          <w:rPr>
                            <w:sz w:val="21"/>
                          </w:rPr>
                        </w:pPr>
                        <w:r>
                          <w:rPr>
                            <w:spacing w:val="-16"/>
                            <w:sz w:val="21"/>
                          </w:rPr>
                          <w:t>按照《环境水质监</w:t>
                        </w:r>
                        <w:r>
                          <w:rPr>
                            <w:spacing w:val="-9"/>
                            <w:sz w:val="21"/>
                          </w:rPr>
                          <w:t>测 质 量 保 证 手</w:t>
                        </w:r>
                        <w:r>
                          <w:rPr>
                            <w:spacing w:val="-40"/>
                            <w:sz w:val="21"/>
                          </w:rPr>
                          <w:t>册》、《水和废水监</w:t>
                        </w:r>
                        <w:r>
                          <w:rPr>
                            <w:spacing w:val="-26"/>
                            <w:sz w:val="21"/>
                          </w:rPr>
                          <w:t>测分析方法》的有</w:t>
                        </w:r>
                        <w:r>
                          <w:rPr>
                            <w:spacing w:val="-12"/>
                            <w:sz w:val="21"/>
                          </w:rPr>
                          <w:t>关规定进行</w:t>
                        </w:r>
                      </w:p>
                    </w:tc>
                    <w:tc>
                      <w:tcPr>
                        <w:tcW w:w="1019" w:type="dxa"/>
                      </w:tcPr>
                      <w:p>
                        <w:pPr>
                          <w:pStyle w:val="TableParagraph"/>
                          <w:spacing w:before="15"/>
                          <w:jc w:val="left"/>
                          <w:rPr>
                            <w:sz w:val="26"/>
                          </w:rPr>
                        </w:pPr>
                      </w:p>
                      <w:p>
                        <w:pPr>
                          <w:pStyle w:val="TableParagraph"/>
                          <w:spacing w:line="146" w:lineRule="auto"/>
                          <w:ind w:left="399" w:right="185" w:hanging="212"/>
                          <w:jc w:val="left"/>
                          <w:rPr>
                            <w:sz w:val="21"/>
                          </w:rPr>
                        </w:pPr>
                        <w:r>
                          <w:rPr>
                            <w:sz w:val="21"/>
                          </w:rPr>
                          <w:t>厂监测站</w:t>
                        </w:r>
                      </w:p>
                    </w:tc>
                  </w:tr>
                  <w:tr>
                    <w:trPr>
                      <w:trHeight w:val="1089" w:hRule="atLeast"/>
                    </w:trPr>
                    <w:tc>
                      <w:tcPr>
                        <w:tcW w:w="706"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9"/>
                          <w:jc w:val="left"/>
                          <w:rPr>
                            <w:sz w:val="23"/>
                          </w:rPr>
                        </w:pPr>
                      </w:p>
                      <w:p>
                        <w:pPr>
                          <w:pStyle w:val="TableParagraph"/>
                          <w:ind w:left="141"/>
                          <w:jc w:val="left"/>
                          <w:rPr>
                            <w:sz w:val="21"/>
                          </w:rPr>
                        </w:pPr>
                        <w:r>
                          <w:rPr>
                            <w:sz w:val="21"/>
                          </w:rPr>
                          <w:t>废气</w:t>
                        </w:r>
                      </w:p>
                    </w:tc>
                    <w:tc>
                      <w:tcPr>
                        <w:tcW w:w="1583" w:type="dxa"/>
                      </w:tcPr>
                      <w:p>
                        <w:pPr>
                          <w:pStyle w:val="TableParagraph"/>
                          <w:spacing w:before="14"/>
                          <w:jc w:val="left"/>
                          <w:rPr>
                            <w:sz w:val="14"/>
                          </w:rPr>
                        </w:pPr>
                      </w:p>
                      <w:p>
                        <w:pPr>
                          <w:pStyle w:val="TableParagraph"/>
                          <w:ind w:left="245" w:right="238"/>
                          <w:rPr>
                            <w:sz w:val="21"/>
                          </w:rPr>
                        </w:pPr>
                        <w:r>
                          <w:rPr>
                            <w:sz w:val="21"/>
                          </w:rPr>
                          <w:t>1#排气筒</w:t>
                        </w:r>
                      </w:p>
                    </w:tc>
                    <w:tc>
                      <w:tcPr>
                        <w:tcW w:w="2749" w:type="dxa"/>
                      </w:tcPr>
                      <w:p>
                        <w:pPr>
                          <w:pStyle w:val="TableParagraph"/>
                          <w:spacing w:line="146" w:lineRule="auto" w:before="21"/>
                          <w:ind w:left="104" w:right="98"/>
                          <w:jc w:val="both"/>
                          <w:rPr>
                            <w:sz w:val="21"/>
                          </w:rPr>
                        </w:pPr>
                        <w:r>
                          <w:rPr>
                            <w:sz w:val="21"/>
                          </w:rPr>
                          <w:t>吡啶、醋酸、正溴丙烷、甲醇、醋酸甲酯、甲苯、氯化氢、二甲苯、哌啶、四氢呋</w:t>
                        </w:r>
                      </w:p>
                      <w:p>
                        <w:pPr>
                          <w:pStyle w:val="TableParagraph"/>
                          <w:spacing w:line="233" w:lineRule="exact"/>
                          <w:ind w:left="104"/>
                          <w:jc w:val="both"/>
                          <w:rPr>
                            <w:sz w:val="21"/>
                          </w:rPr>
                        </w:pPr>
                        <w:r>
                          <w:rPr>
                            <w:sz w:val="21"/>
                          </w:rPr>
                          <w:t>喃、乙醇</w:t>
                        </w:r>
                      </w:p>
                    </w:tc>
                    <w:tc>
                      <w:tcPr>
                        <w:tcW w:w="896"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3"/>
                          <w:jc w:val="left"/>
                          <w:rPr>
                            <w:sz w:val="24"/>
                          </w:rPr>
                        </w:pPr>
                      </w:p>
                      <w:p>
                        <w:pPr>
                          <w:pStyle w:val="TableParagraph"/>
                          <w:spacing w:line="358" w:lineRule="exact" w:before="1"/>
                          <w:ind w:left="105"/>
                          <w:jc w:val="left"/>
                          <w:rPr>
                            <w:sz w:val="21"/>
                          </w:rPr>
                        </w:pPr>
                        <w:r>
                          <w:rPr>
                            <w:w w:val="105"/>
                            <w:sz w:val="21"/>
                          </w:rPr>
                          <w:t>1</w:t>
                        </w:r>
                        <w:r>
                          <w:rPr>
                            <w:spacing w:val="-12"/>
                            <w:w w:val="105"/>
                            <w:sz w:val="21"/>
                          </w:rPr>
                          <w:t> 次</w:t>
                        </w:r>
                        <w:r>
                          <w:rPr>
                            <w:w w:val="110"/>
                            <w:sz w:val="21"/>
                          </w:rPr>
                          <w:t>/</w:t>
                        </w:r>
                        <w:r>
                          <w:rPr>
                            <w:w w:val="105"/>
                            <w:sz w:val="21"/>
                          </w:rPr>
                          <w:t>月</w:t>
                        </w:r>
                      </w:p>
                      <w:p>
                        <w:pPr>
                          <w:pStyle w:val="TableParagraph"/>
                          <w:spacing w:line="146" w:lineRule="auto" w:before="34"/>
                          <w:ind w:left="129" w:right="120"/>
                          <w:jc w:val="both"/>
                          <w:rPr>
                            <w:sz w:val="21"/>
                          </w:rPr>
                        </w:pPr>
                        <w:r>
                          <w:rPr>
                            <w:sz w:val="21"/>
                          </w:rPr>
                          <w:t>（不正常时随时监测</w:t>
                        </w:r>
                      </w:p>
                    </w:tc>
                    <w:tc>
                      <w:tcPr>
                        <w:tcW w:w="1792"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9"/>
                          <w:jc w:val="left"/>
                          <w:rPr>
                            <w:sz w:val="23"/>
                          </w:rPr>
                        </w:pPr>
                      </w:p>
                      <w:p>
                        <w:pPr>
                          <w:pStyle w:val="TableParagraph"/>
                          <w:spacing w:line="146" w:lineRule="auto"/>
                          <w:ind w:left="105" w:right="97"/>
                          <w:jc w:val="both"/>
                          <w:rPr>
                            <w:sz w:val="21"/>
                          </w:rPr>
                        </w:pPr>
                        <w:r>
                          <w:rPr>
                            <w:spacing w:val="-16"/>
                            <w:sz w:val="21"/>
                          </w:rPr>
                          <w:t>按照《空气和废气</w:t>
                        </w:r>
                        <w:r>
                          <w:rPr>
                            <w:spacing w:val="12"/>
                            <w:sz w:val="21"/>
                          </w:rPr>
                          <w:t>监测分析方法》</w:t>
                        </w:r>
                      </w:p>
                      <w:p>
                        <w:pPr>
                          <w:pStyle w:val="TableParagraph"/>
                          <w:spacing w:line="146" w:lineRule="auto" w:before="2"/>
                          <w:ind w:left="105" w:right="97"/>
                          <w:jc w:val="both"/>
                          <w:rPr>
                            <w:sz w:val="21"/>
                          </w:rPr>
                        </w:pPr>
                        <w:r>
                          <w:rPr>
                            <w:spacing w:val="-15"/>
                            <w:sz w:val="21"/>
                          </w:rPr>
                          <w:t>(第四版)、《环境</w:t>
                        </w:r>
                        <w:r>
                          <w:rPr>
                            <w:spacing w:val="-20"/>
                            <w:sz w:val="21"/>
                          </w:rPr>
                          <w:t>监测技术规范》的</w:t>
                        </w:r>
                        <w:r>
                          <w:rPr>
                            <w:spacing w:val="-10"/>
                            <w:w w:val="105"/>
                            <w:sz w:val="21"/>
                          </w:rPr>
                          <w:t>有关规定进行</w:t>
                        </w:r>
                      </w:p>
                    </w:tc>
                    <w:tc>
                      <w:tcPr>
                        <w:tcW w:w="1019"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5"/>
                          <w:jc w:val="left"/>
                          <w:rPr>
                            <w:sz w:val="17"/>
                          </w:rPr>
                        </w:pPr>
                      </w:p>
                      <w:p>
                        <w:pPr>
                          <w:pStyle w:val="TableParagraph"/>
                          <w:spacing w:line="146" w:lineRule="auto" w:before="1"/>
                          <w:ind w:left="104" w:right="98" w:hanging="3"/>
                          <w:rPr>
                            <w:sz w:val="21"/>
                          </w:rPr>
                        </w:pPr>
                        <w:r>
                          <w:rPr>
                            <w:sz w:val="21"/>
                          </w:rPr>
                          <w:t>常规因子可委托当地监测站</w:t>
                        </w:r>
                        <w:r>
                          <w:rPr>
                            <w:spacing w:val="-12"/>
                            <w:sz w:val="21"/>
                          </w:rPr>
                          <w:t>监测，特征因子由厂监测站负责</w:t>
                        </w:r>
                      </w:p>
                    </w:tc>
                  </w:tr>
                  <w:tr>
                    <w:trPr>
                      <w:trHeight w:val="438" w:hRule="atLeast"/>
                    </w:trPr>
                    <w:tc>
                      <w:tcPr>
                        <w:tcW w:w="706" w:type="dxa"/>
                        <w:vMerge/>
                        <w:tcBorders>
                          <w:top w:val="nil"/>
                        </w:tcBorders>
                      </w:tcPr>
                      <w:p>
                        <w:pPr>
                          <w:rPr>
                            <w:sz w:val="2"/>
                            <w:szCs w:val="2"/>
                          </w:rPr>
                        </w:pPr>
                      </w:p>
                    </w:tc>
                    <w:tc>
                      <w:tcPr>
                        <w:tcW w:w="1583" w:type="dxa"/>
                      </w:tcPr>
                      <w:p>
                        <w:pPr>
                          <w:pStyle w:val="TableParagraph"/>
                          <w:spacing w:line="419" w:lineRule="exact"/>
                          <w:ind w:left="245" w:right="238"/>
                          <w:rPr>
                            <w:sz w:val="21"/>
                          </w:rPr>
                        </w:pPr>
                        <w:r>
                          <w:rPr>
                            <w:sz w:val="21"/>
                          </w:rPr>
                          <w:t>2#排气筒</w:t>
                        </w:r>
                      </w:p>
                    </w:tc>
                    <w:tc>
                      <w:tcPr>
                        <w:tcW w:w="2749" w:type="dxa"/>
                      </w:tcPr>
                      <w:p>
                        <w:pPr>
                          <w:pStyle w:val="TableParagraph"/>
                          <w:spacing w:line="419" w:lineRule="exact"/>
                          <w:ind w:left="90" w:right="87"/>
                          <w:rPr>
                            <w:sz w:val="21"/>
                          </w:rPr>
                        </w:pPr>
                        <w:r>
                          <w:rPr>
                            <w:sz w:val="21"/>
                          </w:rPr>
                          <w:t>粉尘</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1905" w:hRule="atLeast"/>
                    </w:trPr>
                    <w:tc>
                      <w:tcPr>
                        <w:tcW w:w="706" w:type="dxa"/>
                        <w:vMerge/>
                        <w:tcBorders>
                          <w:top w:val="nil"/>
                        </w:tcBorders>
                      </w:tcPr>
                      <w:p>
                        <w:pPr>
                          <w:rPr>
                            <w:sz w:val="2"/>
                            <w:szCs w:val="2"/>
                          </w:rPr>
                        </w:pPr>
                      </w:p>
                    </w:tc>
                    <w:tc>
                      <w:tcPr>
                        <w:tcW w:w="1583" w:type="dxa"/>
                      </w:tcPr>
                      <w:p>
                        <w:pPr>
                          <w:pStyle w:val="TableParagraph"/>
                          <w:jc w:val="left"/>
                          <w:rPr>
                            <w:sz w:val="20"/>
                          </w:rPr>
                        </w:pPr>
                      </w:p>
                      <w:p>
                        <w:pPr>
                          <w:pStyle w:val="TableParagraph"/>
                          <w:spacing w:before="16"/>
                          <w:jc w:val="left"/>
                          <w:rPr>
                            <w:sz w:val="13"/>
                          </w:rPr>
                        </w:pPr>
                      </w:p>
                      <w:p>
                        <w:pPr>
                          <w:pStyle w:val="TableParagraph"/>
                          <w:ind w:left="245" w:right="238"/>
                          <w:rPr>
                            <w:sz w:val="21"/>
                          </w:rPr>
                        </w:pPr>
                        <w:r>
                          <w:rPr>
                            <w:sz w:val="21"/>
                          </w:rPr>
                          <w:t>3#排气筒</w:t>
                        </w:r>
                      </w:p>
                    </w:tc>
                    <w:tc>
                      <w:tcPr>
                        <w:tcW w:w="2749" w:type="dxa"/>
                      </w:tcPr>
                      <w:p>
                        <w:pPr>
                          <w:pStyle w:val="TableParagraph"/>
                          <w:spacing w:line="146" w:lineRule="auto" w:before="21"/>
                          <w:ind w:left="104" w:right="-15"/>
                          <w:jc w:val="both"/>
                          <w:rPr>
                            <w:sz w:val="21"/>
                          </w:rPr>
                        </w:pPr>
                        <w:r>
                          <w:rPr>
                            <w:sz w:val="21"/>
                          </w:rPr>
                          <w:t>甲苯、乙醇、氯化氢、四氢呋喃、呋喃、丙酮、环氧氯丙烷、正丙胺、三乙胺、醋</w:t>
                        </w:r>
                        <w:r>
                          <w:rPr>
                            <w:spacing w:val="-11"/>
                            <w:sz w:val="21"/>
                          </w:rPr>
                          <w:t>酐、醋酸、硝酸、乙酸乙酯、</w:t>
                        </w:r>
                        <w:r>
                          <w:rPr>
                            <w:spacing w:val="-13"/>
                            <w:sz w:val="21"/>
                          </w:rPr>
                          <w:t>苯甲醛、甲醇、氧化苯乙烯、氯苯、吡啶、硫酸、甲醛、</w:t>
                        </w:r>
                      </w:p>
                      <w:p>
                        <w:pPr>
                          <w:pStyle w:val="TableParagraph"/>
                          <w:spacing w:line="234" w:lineRule="exact"/>
                          <w:ind w:left="104"/>
                          <w:jc w:val="both"/>
                          <w:rPr>
                            <w:sz w:val="21"/>
                          </w:rPr>
                        </w:pPr>
                        <w:r>
                          <w:rPr>
                            <w:sz w:val="21"/>
                          </w:rPr>
                          <w:t>甲酸</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436" w:hRule="atLeast"/>
                    </w:trPr>
                    <w:tc>
                      <w:tcPr>
                        <w:tcW w:w="706" w:type="dxa"/>
                        <w:vMerge/>
                        <w:tcBorders>
                          <w:top w:val="nil"/>
                        </w:tcBorders>
                      </w:tcPr>
                      <w:p>
                        <w:pPr>
                          <w:rPr>
                            <w:sz w:val="2"/>
                            <w:szCs w:val="2"/>
                          </w:rPr>
                        </w:pPr>
                      </w:p>
                    </w:tc>
                    <w:tc>
                      <w:tcPr>
                        <w:tcW w:w="1583" w:type="dxa"/>
                      </w:tcPr>
                      <w:p>
                        <w:pPr>
                          <w:pStyle w:val="TableParagraph"/>
                          <w:spacing w:line="417" w:lineRule="exact"/>
                          <w:ind w:left="245" w:right="238"/>
                          <w:rPr>
                            <w:sz w:val="21"/>
                          </w:rPr>
                        </w:pPr>
                        <w:r>
                          <w:rPr>
                            <w:sz w:val="21"/>
                          </w:rPr>
                          <w:t>4#排气筒</w:t>
                        </w:r>
                      </w:p>
                    </w:tc>
                    <w:tc>
                      <w:tcPr>
                        <w:tcW w:w="2749" w:type="dxa"/>
                      </w:tcPr>
                      <w:p>
                        <w:pPr>
                          <w:pStyle w:val="TableParagraph"/>
                          <w:spacing w:line="417" w:lineRule="exact"/>
                          <w:ind w:left="90" w:right="87"/>
                          <w:rPr>
                            <w:sz w:val="21"/>
                          </w:rPr>
                        </w:pPr>
                        <w:r>
                          <w:rPr>
                            <w:sz w:val="21"/>
                          </w:rPr>
                          <w:t>粉尘</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544" w:hRule="atLeast"/>
                    </w:trPr>
                    <w:tc>
                      <w:tcPr>
                        <w:tcW w:w="706" w:type="dxa"/>
                        <w:vMerge/>
                        <w:tcBorders>
                          <w:top w:val="nil"/>
                        </w:tcBorders>
                      </w:tcPr>
                      <w:p>
                        <w:pPr>
                          <w:rPr>
                            <w:sz w:val="2"/>
                            <w:szCs w:val="2"/>
                          </w:rPr>
                        </w:pPr>
                      </w:p>
                    </w:tc>
                    <w:tc>
                      <w:tcPr>
                        <w:tcW w:w="1583" w:type="dxa"/>
                      </w:tcPr>
                      <w:p>
                        <w:pPr>
                          <w:pStyle w:val="TableParagraph"/>
                          <w:spacing w:before="37"/>
                          <w:ind w:left="245" w:right="238"/>
                          <w:rPr>
                            <w:sz w:val="21"/>
                          </w:rPr>
                        </w:pPr>
                        <w:r>
                          <w:rPr>
                            <w:sz w:val="21"/>
                          </w:rPr>
                          <w:t>5#排气筒</w:t>
                        </w:r>
                      </w:p>
                    </w:tc>
                    <w:tc>
                      <w:tcPr>
                        <w:tcW w:w="2749" w:type="dxa"/>
                      </w:tcPr>
                      <w:p>
                        <w:pPr>
                          <w:pStyle w:val="TableParagraph"/>
                          <w:spacing w:line="260" w:lineRule="exact"/>
                          <w:ind w:left="104"/>
                          <w:jc w:val="left"/>
                          <w:rPr>
                            <w:sz w:val="21"/>
                          </w:rPr>
                        </w:pPr>
                        <w:r>
                          <w:rPr>
                            <w:sz w:val="21"/>
                          </w:rPr>
                          <w:t>四氢呋喃、呋喃、乙醇、丙</w:t>
                        </w:r>
                      </w:p>
                      <w:p>
                        <w:pPr>
                          <w:pStyle w:val="TableParagraph"/>
                          <w:spacing w:line="265" w:lineRule="exact"/>
                          <w:ind w:left="104"/>
                          <w:jc w:val="left"/>
                          <w:rPr>
                            <w:sz w:val="21"/>
                          </w:rPr>
                        </w:pPr>
                        <w:r>
                          <w:rPr>
                            <w:w w:val="100"/>
                            <w:sz w:val="21"/>
                          </w:rPr>
                          <w:t>酮</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438" w:hRule="atLeast"/>
                    </w:trPr>
                    <w:tc>
                      <w:tcPr>
                        <w:tcW w:w="706" w:type="dxa"/>
                        <w:vMerge/>
                        <w:tcBorders>
                          <w:top w:val="nil"/>
                        </w:tcBorders>
                      </w:tcPr>
                      <w:p>
                        <w:pPr>
                          <w:rPr>
                            <w:sz w:val="2"/>
                            <w:szCs w:val="2"/>
                          </w:rPr>
                        </w:pPr>
                      </w:p>
                    </w:tc>
                    <w:tc>
                      <w:tcPr>
                        <w:tcW w:w="1583" w:type="dxa"/>
                      </w:tcPr>
                      <w:p>
                        <w:pPr>
                          <w:pStyle w:val="TableParagraph"/>
                          <w:spacing w:line="419" w:lineRule="exact"/>
                          <w:ind w:left="245" w:right="238"/>
                          <w:rPr>
                            <w:sz w:val="21"/>
                          </w:rPr>
                        </w:pPr>
                        <w:r>
                          <w:rPr>
                            <w:sz w:val="21"/>
                          </w:rPr>
                          <w:t>6#排气筒</w:t>
                        </w:r>
                      </w:p>
                    </w:tc>
                    <w:tc>
                      <w:tcPr>
                        <w:tcW w:w="2749" w:type="dxa"/>
                      </w:tcPr>
                      <w:p>
                        <w:pPr>
                          <w:pStyle w:val="TableParagraph"/>
                          <w:spacing w:line="419" w:lineRule="exact"/>
                          <w:ind w:left="90" w:right="87"/>
                          <w:rPr>
                            <w:sz w:val="21"/>
                          </w:rPr>
                        </w:pPr>
                        <w:r>
                          <w:rPr>
                            <w:sz w:val="21"/>
                          </w:rPr>
                          <w:t>粉尘</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551" w:hRule="atLeast"/>
                    </w:trPr>
                    <w:tc>
                      <w:tcPr>
                        <w:tcW w:w="706" w:type="dxa"/>
                        <w:vMerge/>
                        <w:tcBorders>
                          <w:top w:val="nil"/>
                        </w:tcBorders>
                      </w:tcPr>
                      <w:p>
                        <w:pPr>
                          <w:rPr>
                            <w:sz w:val="2"/>
                            <w:szCs w:val="2"/>
                          </w:rPr>
                        </w:pPr>
                      </w:p>
                    </w:tc>
                    <w:tc>
                      <w:tcPr>
                        <w:tcW w:w="1583" w:type="dxa"/>
                      </w:tcPr>
                      <w:p>
                        <w:pPr>
                          <w:pStyle w:val="TableParagraph"/>
                          <w:spacing w:before="39"/>
                          <w:ind w:left="245" w:right="238"/>
                          <w:rPr>
                            <w:sz w:val="21"/>
                          </w:rPr>
                        </w:pPr>
                        <w:r>
                          <w:rPr>
                            <w:sz w:val="21"/>
                          </w:rPr>
                          <w:t>焚烧炉烟筒</w:t>
                        </w:r>
                      </w:p>
                    </w:tc>
                    <w:tc>
                      <w:tcPr>
                        <w:tcW w:w="2749" w:type="dxa"/>
                      </w:tcPr>
                      <w:p>
                        <w:pPr>
                          <w:pStyle w:val="TableParagraph"/>
                          <w:spacing w:line="262" w:lineRule="exact"/>
                          <w:ind w:left="104" w:right="-15"/>
                          <w:jc w:val="left"/>
                          <w:rPr>
                            <w:sz w:val="21"/>
                          </w:rPr>
                        </w:pPr>
                        <w:r>
                          <w:rPr>
                            <w:spacing w:val="-11"/>
                            <w:sz w:val="21"/>
                          </w:rPr>
                          <w:t>二氧化硫、氮氧化物、烟尘、</w:t>
                        </w:r>
                      </w:p>
                      <w:p>
                        <w:pPr>
                          <w:pStyle w:val="TableParagraph"/>
                          <w:spacing w:line="270" w:lineRule="exact"/>
                          <w:ind w:left="104"/>
                          <w:jc w:val="left"/>
                          <w:rPr>
                            <w:sz w:val="21"/>
                          </w:rPr>
                        </w:pPr>
                        <w:r>
                          <w:rPr>
                            <w:sz w:val="21"/>
                          </w:rPr>
                          <w:t>氯化氢</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551" w:hRule="atLeast"/>
                    </w:trPr>
                    <w:tc>
                      <w:tcPr>
                        <w:tcW w:w="706" w:type="dxa"/>
                        <w:vMerge/>
                        <w:tcBorders>
                          <w:top w:val="nil"/>
                        </w:tcBorders>
                      </w:tcPr>
                      <w:p>
                        <w:pPr>
                          <w:rPr>
                            <w:sz w:val="2"/>
                            <w:szCs w:val="2"/>
                          </w:rPr>
                        </w:pPr>
                      </w:p>
                    </w:tc>
                    <w:tc>
                      <w:tcPr>
                        <w:tcW w:w="1583" w:type="dxa"/>
                      </w:tcPr>
                      <w:p>
                        <w:pPr>
                          <w:pStyle w:val="TableParagraph"/>
                          <w:spacing w:line="263" w:lineRule="exact"/>
                          <w:ind w:left="245" w:right="238"/>
                          <w:rPr>
                            <w:sz w:val="21"/>
                          </w:rPr>
                        </w:pPr>
                        <w:r>
                          <w:rPr>
                            <w:sz w:val="21"/>
                          </w:rPr>
                          <w:t>燃气锅炉</w:t>
                        </w:r>
                      </w:p>
                      <w:p>
                        <w:pPr>
                          <w:pStyle w:val="TableParagraph"/>
                          <w:spacing w:line="268" w:lineRule="exact"/>
                          <w:ind w:left="242" w:right="238"/>
                          <w:rPr>
                            <w:sz w:val="21"/>
                          </w:rPr>
                        </w:pPr>
                        <w:r>
                          <w:rPr>
                            <w:sz w:val="21"/>
                          </w:rPr>
                          <w:t>排气筒</w:t>
                        </w:r>
                      </w:p>
                    </w:tc>
                    <w:tc>
                      <w:tcPr>
                        <w:tcW w:w="2749" w:type="dxa"/>
                      </w:tcPr>
                      <w:p>
                        <w:pPr>
                          <w:pStyle w:val="TableParagraph"/>
                          <w:spacing w:before="39"/>
                          <w:ind w:left="90" w:right="89"/>
                          <w:rPr>
                            <w:sz w:val="21"/>
                          </w:rPr>
                        </w:pPr>
                        <w:r>
                          <w:rPr>
                            <w:sz w:val="21"/>
                          </w:rPr>
                          <w:t>二氧化硫、烟尘、氮氧化物</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1363" w:hRule="atLeast"/>
                    </w:trPr>
                    <w:tc>
                      <w:tcPr>
                        <w:tcW w:w="706" w:type="dxa"/>
                        <w:vMerge/>
                        <w:tcBorders>
                          <w:top w:val="nil"/>
                        </w:tcBorders>
                      </w:tcPr>
                      <w:p>
                        <w:pPr>
                          <w:rPr>
                            <w:sz w:val="2"/>
                            <w:szCs w:val="2"/>
                          </w:rPr>
                        </w:pPr>
                      </w:p>
                    </w:tc>
                    <w:tc>
                      <w:tcPr>
                        <w:tcW w:w="1583" w:type="dxa"/>
                      </w:tcPr>
                      <w:p>
                        <w:pPr>
                          <w:pStyle w:val="TableParagraph"/>
                          <w:spacing w:before="21"/>
                          <w:jc w:val="left"/>
                          <w:rPr>
                            <w:sz w:val="20"/>
                          </w:rPr>
                        </w:pPr>
                      </w:p>
                      <w:p>
                        <w:pPr>
                          <w:pStyle w:val="TableParagraph"/>
                          <w:ind w:left="245" w:right="238"/>
                          <w:rPr>
                            <w:sz w:val="21"/>
                          </w:rPr>
                        </w:pPr>
                        <w:r>
                          <w:rPr>
                            <w:sz w:val="21"/>
                          </w:rPr>
                          <w:t>企业厂界</w:t>
                        </w:r>
                      </w:p>
                    </w:tc>
                    <w:tc>
                      <w:tcPr>
                        <w:tcW w:w="2749" w:type="dxa"/>
                      </w:tcPr>
                      <w:p>
                        <w:pPr>
                          <w:pStyle w:val="TableParagraph"/>
                          <w:spacing w:line="146" w:lineRule="auto" w:before="21"/>
                          <w:ind w:left="104" w:right="98"/>
                          <w:jc w:val="both"/>
                          <w:rPr>
                            <w:sz w:val="21"/>
                          </w:rPr>
                        </w:pPr>
                        <w:r>
                          <w:rPr>
                            <w:sz w:val="21"/>
                          </w:rPr>
                          <w:t>醋酸、醋酸酐、氯化氢、甲苯、二甲苯、甲醇、乙醇、三乙胺、丙酮、甲醛、苯甲醛、氯仿、环氧氯丙烷、苯</w:t>
                        </w:r>
                      </w:p>
                      <w:p>
                        <w:pPr>
                          <w:pStyle w:val="TableParagraph"/>
                          <w:spacing w:line="236" w:lineRule="exact"/>
                          <w:ind w:left="104"/>
                          <w:jc w:val="both"/>
                          <w:rPr>
                            <w:sz w:val="21"/>
                          </w:rPr>
                        </w:pPr>
                        <w:r>
                          <w:rPr>
                            <w:sz w:val="21"/>
                          </w:rPr>
                          <w:t>乙胺、氯苯、溴氯丙烷、溴</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bl>
                <w:p>
                  <w:pPr>
                    <w:pStyle w:val="BodyText"/>
                  </w:pPr>
                </w:p>
              </w:txbxContent>
            </v:textbox>
            <w10:wrap type="none"/>
          </v:shape>
        </w:pict>
      </w:r>
      <w:r>
        <w:rPr/>
        <w:t>表</w:t>
      </w:r>
      <w:r>
        <w:rPr>
          <w:spacing w:val="13"/>
        </w:rPr>
        <w:t> </w:t>
      </w:r>
      <w:r>
        <w:rPr/>
        <w:t>10.2-1</w:t>
        <w:tab/>
        <w:t>本项目环境监测计划一览表</w:t>
      </w:r>
    </w:p>
    <w:p>
      <w:pPr>
        <w:spacing w:after="0"/>
        <w:sectPr>
          <w:pgSz w:w="11910" w:h="16840"/>
          <w:pgMar w:header="877" w:footer="973" w:top="1340" w:bottom="1160" w:left="1220" w:right="1040"/>
        </w:sectPr>
      </w:pPr>
    </w:p>
    <w:p>
      <w:pPr>
        <w:pStyle w:val="BodyText"/>
        <w:spacing w:before="20"/>
        <w:rPr>
          <w:sz w:val="3"/>
        </w:r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583"/>
        <w:gridCol w:w="2749"/>
        <w:gridCol w:w="896"/>
        <w:gridCol w:w="1792"/>
        <w:gridCol w:w="1019"/>
      </w:tblGrid>
      <w:tr>
        <w:trPr>
          <w:trHeight w:val="302" w:hRule="atLeast"/>
        </w:trPr>
        <w:tc>
          <w:tcPr>
            <w:tcW w:w="706" w:type="dxa"/>
          </w:tcPr>
          <w:p>
            <w:pPr>
              <w:pStyle w:val="TableParagraph"/>
              <w:jc w:val="left"/>
              <w:rPr>
                <w:rFonts w:ascii="Times New Roman"/>
                <w:sz w:val="20"/>
              </w:rPr>
            </w:pPr>
          </w:p>
        </w:tc>
        <w:tc>
          <w:tcPr>
            <w:tcW w:w="1583" w:type="dxa"/>
          </w:tcPr>
          <w:p>
            <w:pPr>
              <w:pStyle w:val="TableParagraph"/>
              <w:jc w:val="left"/>
              <w:rPr>
                <w:rFonts w:ascii="Times New Roman"/>
                <w:sz w:val="20"/>
              </w:rPr>
            </w:pPr>
          </w:p>
        </w:tc>
        <w:tc>
          <w:tcPr>
            <w:tcW w:w="2749" w:type="dxa"/>
          </w:tcPr>
          <w:p>
            <w:pPr>
              <w:pStyle w:val="TableParagraph"/>
              <w:spacing w:line="282" w:lineRule="exact"/>
              <w:ind w:left="104"/>
              <w:jc w:val="left"/>
              <w:rPr>
                <w:sz w:val="21"/>
              </w:rPr>
            </w:pPr>
            <w:r>
              <w:rPr>
                <w:sz w:val="21"/>
              </w:rPr>
              <w:t>丙烷硫酸等</w:t>
            </w:r>
          </w:p>
        </w:tc>
        <w:tc>
          <w:tcPr>
            <w:tcW w:w="896" w:type="dxa"/>
          </w:tcPr>
          <w:p>
            <w:pPr>
              <w:pStyle w:val="TableParagraph"/>
              <w:jc w:val="left"/>
              <w:rPr>
                <w:rFonts w:ascii="Times New Roman"/>
                <w:sz w:val="20"/>
              </w:rPr>
            </w:pPr>
          </w:p>
        </w:tc>
        <w:tc>
          <w:tcPr>
            <w:tcW w:w="1792" w:type="dxa"/>
          </w:tcPr>
          <w:p>
            <w:pPr>
              <w:pStyle w:val="TableParagraph"/>
              <w:jc w:val="left"/>
              <w:rPr>
                <w:rFonts w:ascii="Times New Roman"/>
                <w:sz w:val="20"/>
              </w:rPr>
            </w:pPr>
          </w:p>
        </w:tc>
        <w:tc>
          <w:tcPr>
            <w:tcW w:w="1019" w:type="dxa"/>
          </w:tcPr>
          <w:p>
            <w:pPr>
              <w:pStyle w:val="TableParagraph"/>
              <w:jc w:val="left"/>
              <w:rPr>
                <w:rFonts w:ascii="Times New Roman"/>
                <w:sz w:val="20"/>
              </w:rPr>
            </w:pPr>
          </w:p>
        </w:tc>
      </w:tr>
      <w:tr>
        <w:trPr>
          <w:trHeight w:val="530" w:hRule="atLeast"/>
        </w:trPr>
        <w:tc>
          <w:tcPr>
            <w:tcW w:w="706" w:type="dxa"/>
            <w:vMerge w:val="restart"/>
          </w:tcPr>
          <w:p>
            <w:pPr>
              <w:pStyle w:val="TableParagraph"/>
              <w:spacing w:before="18"/>
              <w:jc w:val="left"/>
              <w:rPr>
                <w:sz w:val="20"/>
              </w:rPr>
            </w:pPr>
          </w:p>
          <w:p>
            <w:pPr>
              <w:pStyle w:val="TableParagraph"/>
              <w:ind w:left="141"/>
              <w:jc w:val="left"/>
              <w:rPr>
                <w:sz w:val="21"/>
              </w:rPr>
            </w:pPr>
            <w:r>
              <w:rPr>
                <w:sz w:val="21"/>
              </w:rPr>
              <w:t>噪声</w:t>
            </w:r>
          </w:p>
        </w:tc>
        <w:tc>
          <w:tcPr>
            <w:tcW w:w="1583" w:type="dxa"/>
          </w:tcPr>
          <w:p>
            <w:pPr>
              <w:pStyle w:val="TableParagraph"/>
              <w:spacing w:before="29"/>
              <w:ind w:left="245" w:right="238"/>
              <w:rPr>
                <w:sz w:val="21"/>
              </w:rPr>
            </w:pPr>
            <w:r>
              <w:rPr>
                <w:sz w:val="21"/>
              </w:rPr>
              <w:t>企业厂界</w:t>
            </w:r>
          </w:p>
        </w:tc>
        <w:tc>
          <w:tcPr>
            <w:tcW w:w="2749" w:type="dxa"/>
          </w:tcPr>
          <w:p>
            <w:pPr>
              <w:pStyle w:val="TableParagraph"/>
              <w:spacing w:before="29"/>
              <w:ind w:right="1048"/>
              <w:jc w:val="right"/>
              <w:rPr>
                <w:sz w:val="21"/>
              </w:rPr>
            </w:pPr>
            <w:r>
              <w:rPr>
                <w:sz w:val="21"/>
              </w:rPr>
              <w:t>Leq(A)</w:t>
            </w:r>
          </w:p>
        </w:tc>
        <w:tc>
          <w:tcPr>
            <w:tcW w:w="896" w:type="dxa"/>
            <w:vMerge w:val="restart"/>
          </w:tcPr>
          <w:p>
            <w:pPr>
              <w:pStyle w:val="TableParagraph"/>
              <w:spacing w:before="18"/>
              <w:jc w:val="left"/>
              <w:rPr>
                <w:sz w:val="20"/>
              </w:rPr>
            </w:pPr>
          </w:p>
          <w:p>
            <w:pPr>
              <w:pStyle w:val="TableParagraph"/>
              <w:ind w:left="105"/>
              <w:jc w:val="left"/>
              <w:rPr>
                <w:sz w:val="21"/>
              </w:rPr>
            </w:pPr>
            <w:r>
              <w:rPr>
                <w:w w:val="105"/>
                <w:sz w:val="21"/>
              </w:rPr>
              <w:t>1 次</w:t>
            </w:r>
            <w:r>
              <w:rPr>
                <w:w w:val="110"/>
                <w:sz w:val="21"/>
              </w:rPr>
              <w:t>/</w:t>
            </w:r>
            <w:r>
              <w:rPr>
                <w:w w:val="105"/>
                <w:sz w:val="21"/>
              </w:rPr>
              <w:t>月</w:t>
            </w:r>
          </w:p>
        </w:tc>
        <w:tc>
          <w:tcPr>
            <w:tcW w:w="1792" w:type="dxa"/>
            <w:vMerge w:val="restart"/>
          </w:tcPr>
          <w:p>
            <w:pPr>
              <w:pStyle w:val="TableParagraph"/>
              <w:spacing w:line="146" w:lineRule="auto" w:before="156"/>
              <w:ind w:left="105" w:right="97"/>
              <w:jc w:val="both"/>
              <w:rPr>
                <w:sz w:val="21"/>
              </w:rPr>
            </w:pPr>
            <w:r>
              <w:rPr>
                <w:spacing w:val="-16"/>
                <w:sz w:val="21"/>
              </w:rPr>
              <w:t>按照《工业企业厂</w:t>
            </w:r>
            <w:r>
              <w:rPr>
                <w:spacing w:val="12"/>
                <w:sz w:val="21"/>
              </w:rPr>
              <w:t>界环境噪声排放</w:t>
            </w:r>
            <w:r>
              <w:rPr>
                <w:spacing w:val="7"/>
                <w:sz w:val="21"/>
              </w:rPr>
              <w:t>标 准 》</w:t>
            </w:r>
            <w:r>
              <w:rPr>
                <w:spacing w:val="-3"/>
                <w:w w:val="95"/>
                <w:sz w:val="21"/>
              </w:rPr>
              <w:t>(GB3096-2008)。</w:t>
            </w:r>
          </w:p>
        </w:tc>
        <w:tc>
          <w:tcPr>
            <w:tcW w:w="1019" w:type="dxa"/>
            <w:vMerge w:val="restart"/>
          </w:tcPr>
          <w:p>
            <w:pPr>
              <w:pStyle w:val="TableParagraph"/>
              <w:spacing w:before="5"/>
              <w:jc w:val="left"/>
              <w:rPr>
                <w:sz w:val="20"/>
              </w:rPr>
            </w:pPr>
          </w:p>
          <w:p>
            <w:pPr>
              <w:pStyle w:val="TableParagraph"/>
              <w:spacing w:line="146" w:lineRule="auto"/>
              <w:ind w:left="399" w:right="185" w:hanging="212"/>
              <w:jc w:val="left"/>
              <w:rPr>
                <w:sz w:val="21"/>
              </w:rPr>
            </w:pPr>
            <w:r>
              <w:rPr>
                <w:sz w:val="21"/>
              </w:rPr>
              <w:t>厂监测站</w:t>
            </w:r>
          </w:p>
        </w:tc>
      </w:tr>
      <w:tr>
        <w:trPr>
          <w:trHeight w:val="818" w:hRule="atLeast"/>
        </w:trPr>
        <w:tc>
          <w:tcPr>
            <w:tcW w:w="706" w:type="dxa"/>
            <w:vMerge/>
            <w:tcBorders>
              <w:top w:val="nil"/>
            </w:tcBorders>
          </w:tcPr>
          <w:p>
            <w:pPr>
              <w:rPr>
                <w:sz w:val="2"/>
                <w:szCs w:val="2"/>
              </w:rPr>
            </w:pPr>
          </w:p>
        </w:tc>
        <w:tc>
          <w:tcPr>
            <w:tcW w:w="1583" w:type="dxa"/>
          </w:tcPr>
          <w:p>
            <w:pPr>
              <w:pStyle w:val="TableParagraph"/>
              <w:spacing w:line="146" w:lineRule="auto" w:before="24"/>
              <w:ind w:left="107" w:right="99"/>
              <w:jc w:val="left"/>
              <w:rPr>
                <w:sz w:val="21"/>
              </w:rPr>
            </w:pPr>
            <w:r>
              <w:rPr>
                <w:sz w:val="21"/>
              </w:rPr>
              <w:t>各主要转、传动设备； 各主</w:t>
            </w:r>
          </w:p>
          <w:p>
            <w:pPr>
              <w:pStyle w:val="TableParagraph"/>
              <w:spacing w:line="231" w:lineRule="exact"/>
              <w:ind w:left="107"/>
              <w:jc w:val="left"/>
              <w:rPr>
                <w:sz w:val="21"/>
              </w:rPr>
            </w:pPr>
            <w:r>
              <w:rPr>
                <w:sz w:val="21"/>
              </w:rPr>
              <w:t>要操作岗位等</w:t>
            </w:r>
          </w:p>
        </w:tc>
        <w:tc>
          <w:tcPr>
            <w:tcW w:w="2749" w:type="dxa"/>
          </w:tcPr>
          <w:p>
            <w:pPr>
              <w:pStyle w:val="TableParagraph"/>
              <w:spacing w:before="173"/>
              <w:ind w:right="1048"/>
              <w:jc w:val="right"/>
              <w:rPr>
                <w:sz w:val="21"/>
              </w:rPr>
            </w:pPr>
            <w:r>
              <w:rPr>
                <w:sz w:val="21"/>
              </w:rPr>
              <w:t>Leq(A)</w:t>
            </w:r>
          </w:p>
        </w:tc>
        <w:tc>
          <w:tcPr>
            <w:tcW w:w="896" w:type="dxa"/>
            <w:vMerge/>
            <w:tcBorders>
              <w:top w:val="nil"/>
            </w:tcBorders>
          </w:tcPr>
          <w:p>
            <w:pPr>
              <w:rPr>
                <w:sz w:val="2"/>
                <w:szCs w:val="2"/>
              </w:rPr>
            </w:pPr>
          </w:p>
        </w:tc>
        <w:tc>
          <w:tcPr>
            <w:tcW w:w="1792" w:type="dxa"/>
            <w:vMerge/>
            <w:tcBorders>
              <w:top w:val="nil"/>
            </w:tcBorders>
          </w:tcPr>
          <w:p>
            <w:pPr>
              <w:rPr>
                <w:sz w:val="2"/>
                <w:szCs w:val="2"/>
              </w:rPr>
            </w:pPr>
          </w:p>
        </w:tc>
        <w:tc>
          <w:tcPr>
            <w:tcW w:w="1019" w:type="dxa"/>
            <w:vMerge/>
            <w:tcBorders>
              <w:top w:val="nil"/>
            </w:tcBorders>
          </w:tcPr>
          <w:p>
            <w:pPr>
              <w:rPr>
                <w:sz w:val="2"/>
                <w:szCs w:val="2"/>
              </w:rPr>
            </w:pPr>
          </w:p>
        </w:tc>
      </w:tr>
      <w:tr>
        <w:trPr>
          <w:trHeight w:val="1908" w:hRule="atLeast"/>
        </w:trPr>
        <w:tc>
          <w:tcPr>
            <w:tcW w:w="706" w:type="dxa"/>
          </w:tcPr>
          <w:p>
            <w:pPr>
              <w:pStyle w:val="TableParagraph"/>
              <w:jc w:val="left"/>
              <w:rPr>
                <w:sz w:val="20"/>
              </w:rPr>
            </w:pPr>
          </w:p>
          <w:p>
            <w:pPr>
              <w:pStyle w:val="TableParagraph"/>
              <w:spacing w:before="3"/>
              <w:jc w:val="left"/>
              <w:rPr>
                <w:sz w:val="13"/>
              </w:rPr>
            </w:pPr>
          </w:p>
          <w:p>
            <w:pPr>
              <w:pStyle w:val="TableParagraph"/>
              <w:spacing w:line="146" w:lineRule="auto"/>
              <w:ind w:left="247" w:right="130" w:hanging="106"/>
              <w:jc w:val="left"/>
              <w:rPr>
                <w:sz w:val="21"/>
              </w:rPr>
            </w:pPr>
            <w:r>
              <w:rPr>
                <w:sz w:val="21"/>
              </w:rPr>
              <w:t>地下水</w:t>
            </w:r>
          </w:p>
        </w:tc>
        <w:tc>
          <w:tcPr>
            <w:tcW w:w="1583" w:type="dxa"/>
          </w:tcPr>
          <w:p>
            <w:pPr>
              <w:pStyle w:val="TableParagraph"/>
              <w:jc w:val="left"/>
              <w:rPr>
                <w:sz w:val="20"/>
              </w:rPr>
            </w:pPr>
          </w:p>
          <w:p>
            <w:pPr>
              <w:pStyle w:val="TableParagraph"/>
              <w:spacing w:before="19"/>
              <w:jc w:val="left"/>
              <w:rPr>
                <w:sz w:val="13"/>
              </w:rPr>
            </w:pPr>
          </w:p>
          <w:p>
            <w:pPr>
              <w:pStyle w:val="TableParagraph"/>
              <w:ind w:left="245" w:right="238"/>
              <w:rPr>
                <w:sz w:val="21"/>
              </w:rPr>
            </w:pPr>
            <w:r>
              <w:rPr>
                <w:sz w:val="21"/>
              </w:rPr>
              <w:t>厂区浅水井</w:t>
            </w:r>
          </w:p>
        </w:tc>
        <w:tc>
          <w:tcPr>
            <w:tcW w:w="2749" w:type="dxa"/>
          </w:tcPr>
          <w:p>
            <w:pPr>
              <w:pStyle w:val="TableParagraph"/>
              <w:spacing w:line="146" w:lineRule="auto" w:before="21"/>
              <w:ind w:left="104" w:right="-15"/>
              <w:jc w:val="both"/>
              <w:rPr>
                <w:sz w:val="21"/>
              </w:rPr>
            </w:pPr>
            <w:r>
              <w:rPr>
                <w:w w:val="95"/>
                <w:sz w:val="21"/>
              </w:rPr>
              <w:t>pH</w:t>
            </w:r>
            <w:r>
              <w:rPr>
                <w:spacing w:val="-11"/>
                <w:w w:val="95"/>
                <w:sz w:val="21"/>
              </w:rPr>
              <w:t>、高锰酸盐指数、硝酸盐、</w:t>
            </w:r>
            <w:r>
              <w:rPr>
                <w:spacing w:val="-11"/>
                <w:sz w:val="21"/>
              </w:rPr>
              <w:t>亚硝酸盐、氨氮、石油类、氯化物、溶解性总固体、总</w:t>
            </w:r>
            <w:r>
              <w:rPr>
                <w:spacing w:val="-13"/>
                <w:sz w:val="21"/>
              </w:rPr>
              <w:t>硬度、挥发酚、总大肠菌群、甲醛、甲苯、二甲苯、吡啶、</w:t>
            </w:r>
            <w:r>
              <w:rPr>
                <w:spacing w:val="-12"/>
                <w:sz w:val="21"/>
              </w:rPr>
              <w:t>环氧氯丙烷、氯苯、硫酸盐、</w:t>
            </w:r>
          </w:p>
          <w:p>
            <w:pPr>
              <w:pStyle w:val="TableParagraph"/>
              <w:spacing w:line="237" w:lineRule="exact"/>
              <w:ind w:left="104"/>
              <w:jc w:val="both"/>
              <w:rPr>
                <w:sz w:val="21"/>
              </w:rPr>
            </w:pPr>
            <w:r>
              <w:rPr>
                <w:sz w:val="21"/>
              </w:rPr>
              <w:t>氯仿等</w:t>
            </w:r>
          </w:p>
        </w:tc>
        <w:tc>
          <w:tcPr>
            <w:tcW w:w="896" w:type="dxa"/>
          </w:tcPr>
          <w:p>
            <w:pPr>
              <w:pStyle w:val="TableParagraph"/>
              <w:jc w:val="left"/>
              <w:rPr>
                <w:sz w:val="20"/>
              </w:rPr>
            </w:pPr>
          </w:p>
          <w:p>
            <w:pPr>
              <w:pStyle w:val="TableParagraph"/>
              <w:spacing w:before="19"/>
              <w:jc w:val="left"/>
              <w:rPr>
                <w:sz w:val="13"/>
              </w:rPr>
            </w:pPr>
          </w:p>
          <w:p>
            <w:pPr>
              <w:pStyle w:val="TableParagraph"/>
              <w:ind w:left="105"/>
              <w:jc w:val="left"/>
              <w:rPr>
                <w:sz w:val="21"/>
              </w:rPr>
            </w:pPr>
            <w:r>
              <w:rPr>
                <w:w w:val="105"/>
                <w:sz w:val="21"/>
              </w:rPr>
              <w:t>1 次</w:t>
            </w:r>
            <w:r>
              <w:rPr>
                <w:w w:val="110"/>
                <w:sz w:val="21"/>
              </w:rPr>
              <w:t>/</w:t>
            </w:r>
            <w:r>
              <w:rPr>
                <w:w w:val="105"/>
                <w:sz w:val="21"/>
              </w:rPr>
              <w:t>月</w:t>
            </w:r>
          </w:p>
        </w:tc>
        <w:tc>
          <w:tcPr>
            <w:tcW w:w="1792" w:type="dxa"/>
          </w:tcPr>
          <w:p>
            <w:pPr>
              <w:pStyle w:val="TableParagraph"/>
              <w:spacing w:line="146" w:lineRule="auto" w:before="158"/>
              <w:ind w:left="105" w:right="97"/>
              <w:jc w:val="both"/>
              <w:rPr>
                <w:sz w:val="21"/>
              </w:rPr>
            </w:pPr>
            <w:r>
              <w:rPr>
                <w:spacing w:val="-16"/>
                <w:sz w:val="21"/>
              </w:rPr>
              <w:t>按照《生活饮用水</w:t>
            </w:r>
            <w:r>
              <w:rPr>
                <w:spacing w:val="12"/>
                <w:sz w:val="21"/>
              </w:rPr>
              <w:t>标准检验方法》(GB5750-85</w:t>
            </w:r>
            <w:r>
              <w:rPr>
                <w:spacing w:val="13"/>
                <w:sz w:val="21"/>
              </w:rPr>
              <w:t>) 和</w:t>
            </w:r>
          </w:p>
          <w:p>
            <w:pPr>
              <w:pStyle w:val="TableParagraph"/>
              <w:spacing w:line="146" w:lineRule="auto" w:before="1"/>
              <w:ind w:left="105" w:right="97"/>
              <w:jc w:val="both"/>
              <w:rPr>
                <w:sz w:val="21"/>
              </w:rPr>
            </w:pPr>
            <w:r>
              <w:rPr>
                <w:spacing w:val="12"/>
                <w:sz w:val="21"/>
              </w:rPr>
              <w:t>《水和废水监测</w:t>
            </w:r>
            <w:r>
              <w:rPr>
                <w:spacing w:val="-13"/>
                <w:sz w:val="21"/>
              </w:rPr>
              <w:t>分析方法》中有关</w:t>
            </w:r>
            <w:r>
              <w:rPr>
                <w:spacing w:val="-7"/>
                <w:sz w:val="21"/>
              </w:rPr>
              <w:t>规定执行。</w:t>
            </w:r>
          </w:p>
        </w:tc>
        <w:tc>
          <w:tcPr>
            <w:tcW w:w="1019" w:type="dxa"/>
          </w:tcPr>
          <w:p>
            <w:pPr>
              <w:pStyle w:val="TableParagraph"/>
              <w:spacing w:before="5"/>
              <w:jc w:val="left"/>
              <w:rPr>
                <w:sz w:val="20"/>
              </w:rPr>
            </w:pPr>
          </w:p>
          <w:p>
            <w:pPr>
              <w:pStyle w:val="TableParagraph"/>
              <w:spacing w:line="146" w:lineRule="auto"/>
              <w:ind w:left="188" w:right="185"/>
              <w:jc w:val="both"/>
              <w:rPr>
                <w:sz w:val="21"/>
              </w:rPr>
            </w:pPr>
            <w:r>
              <w:rPr>
                <w:sz w:val="21"/>
              </w:rPr>
              <w:t>厂监和当地监测站测站</w:t>
            </w:r>
          </w:p>
        </w:tc>
      </w:tr>
      <w:tr>
        <w:trPr>
          <w:trHeight w:val="1905" w:hRule="atLeast"/>
        </w:trPr>
        <w:tc>
          <w:tcPr>
            <w:tcW w:w="706" w:type="dxa"/>
          </w:tcPr>
          <w:p>
            <w:pPr>
              <w:pStyle w:val="TableParagraph"/>
              <w:jc w:val="left"/>
              <w:rPr>
                <w:sz w:val="20"/>
              </w:rPr>
            </w:pPr>
          </w:p>
          <w:p>
            <w:pPr>
              <w:pStyle w:val="TableParagraph"/>
              <w:spacing w:before="16"/>
              <w:jc w:val="left"/>
              <w:rPr>
                <w:sz w:val="13"/>
              </w:rPr>
            </w:pPr>
          </w:p>
          <w:p>
            <w:pPr>
              <w:pStyle w:val="TableParagraph"/>
              <w:ind w:left="141"/>
              <w:jc w:val="left"/>
              <w:rPr>
                <w:sz w:val="21"/>
              </w:rPr>
            </w:pPr>
            <w:r>
              <w:rPr>
                <w:sz w:val="21"/>
              </w:rPr>
              <w:t>固废</w:t>
            </w:r>
          </w:p>
        </w:tc>
        <w:tc>
          <w:tcPr>
            <w:tcW w:w="1583" w:type="dxa"/>
          </w:tcPr>
          <w:p>
            <w:pPr>
              <w:pStyle w:val="TableParagraph"/>
              <w:jc w:val="left"/>
              <w:rPr>
                <w:sz w:val="20"/>
              </w:rPr>
            </w:pPr>
          </w:p>
          <w:p>
            <w:pPr>
              <w:pStyle w:val="TableParagraph"/>
              <w:spacing w:before="1"/>
              <w:jc w:val="left"/>
              <w:rPr>
                <w:sz w:val="13"/>
              </w:rPr>
            </w:pPr>
          </w:p>
          <w:p>
            <w:pPr>
              <w:pStyle w:val="TableParagraph"/>
              <w:spacing w:line="146" w:lineRule="auto"/>
              <w:ind w:left="368" w:right="150" w:hanging="212"/>
              <w:jc w:val="left"/>
              <w:rPr>
                <w:sz w:val="21"/>
              </w:rPr>
            </w:pPr>
            <w:r>
              <w:rPr>
                <w:sz w:val="21"/>
              </w:rPr>
              <w:t>全厂各类固废产生地点</w:t>
            </w:r>
          </w:p>
        </w:tc>
        <w:tc>
          <w:tcPr>
            <w:tcW w:w="2749" w:type="dxa"/>
          </w:tcPr>
          <w:p>
            <w:pPr>
              <w:pStyle w:val="TableParagraph"/>
              <w:spacing w:before="5"/>
              <w:jc w:val="left"/>
              <w:rPr>
                <w:sz w:val="20"/>
              </w:rPr>
            </w:pPr>
          </w:p>
          <w:p>
            <w:pPr>
              <w:pStyle w:val="TableParagraph"/>
              <w:spacing w:line="146" w:lineRule="auto"/>
              <w:ind w:left="104" w:right="-15"/>
              <w:jc w:val="both"/>
              <w:rPr>
                <w:sz w:val="21"/>
              </w:rPr>
            </w:pPr>
            <w:r>
              <w:rPr>
                <w:sz w:val="21"/>
              </w:rPr>
              <w:t>统计一般工业固体废物、生活垃圾种类、产生量、处理</w:t>
            </w:r>
            <w:r>
              <w:rPr>
                <w:spacing w:val="-12"/>
                <w:sz w:val="21"/>
              </w:rPr>
              <w:t>方式、去向；危险固废种类、</w:t>
            </w:r>
            <w:r>
              <w:rPr>
                <w:spacing w:val="-6"/>
                <w:sz w:val="21"/>
              </w:rPr>
              <w:t>产生量、处理方式、去向</w:t>
            </w:r>
          </w:p>
        </w:tc>
        <w:tc>
          <w:tcPr>
            <w:tcW w:w="896" w:type="dxa"/>
          </w:tcPr>
          <w:p>
            <w:pPr>
              <w:pStyle w:val="TableParagraph"/>
              <w:spacing w:line="146" w:lineRule="auto" w:before="156"/>
              <w:ind w:left="105" w:right="72"/>
              <w:jc w:val="both"/>
              <w:rPr>
                <w:sz w:val="21"/>
              </w:rPr>
            </w:pPr>
            <w:r>
              <w:rPr>
                <w:sz w:val="21"/>
              </w:rPr>
              <w:t>处置过程随时记录； 每月统计 1</w:t>
            </w:r>
          </w:p>
          <w:p>
            <w:pPr>
              <w:pStyle w:val="TableParagraph"/>
              <w:spacing w:line="329" w:lineRule="exact"/>
              <w:ind w:left="105"/>
              <w:jc w:val="both"/>
              <w:rPr>
                <w:sz w:val="21"/>
              </w:rPr>
            </w:pPr>
            <w:r>
              <w:rPr>
                <w:sz w:val="21"/>
              </w:rPr>
              <w:t>次，</w:t>
            </w:r>
          </w:p>
        </w:tc>
        <w:tc>
          <w:tcPr>
            <w:tcW w:w="1792" w:type="dxa"/>
          </w:tcPr>
          <w:p>
            <w:pPr>
              <w:pStyle w:val="TableParagraph"/>
              <w:spacing w:line="146" w:lineRule="auto" w:before="21"/>
              <w:ind w:left="105" w:right="97"/>
              <w:jc w:val="both"/>
              <w:rPr>
                <w:sz w:val="21"/>
              </w:rPr>
            </w:pPr>
            <w:r>
              <w:rPr>
                <w:spacing w:val="-16"/>
                <w:sz w:val="21"/>
              </w:rPr>
              <w:t>按《一般工业固体</w:t>
            </w:r>
            <w:r>
              <w:rPr>
                <w:spacing w:val="-20"/>
                <w:sz w:val="21"/>
              </w:rPr>
              <w:t>废物贮存、处置污</w:t>
            </w:r>
            <w:r>
              <w:rPr>
                <w:spacing w:val="12"/>
                <w:sz w:val="21"/>
              </w:rPr>
              <w:t>染控制标准》和</w:t>
            </w:r>
          </w:p>
          <w:p>
            <w:pPr>
              <w:pStyle w:val="TableParagraph"/>
              <w:spacing w:line="146" w:lineRule="auto" w:before="1"/>
              <w:ind w:left="105" w:right="97"/>
              <w:jc w:val="both"/>
              <w:rPr>
                <w:sz w:val="21"/>
              </w:rPr>
            </w:pPr>
            <w:r>
              <w:rPr>
                <w:spacing w:val="12"/>
                <w:sz w:val="21"/>
              </w:rPr>
              <w:t>《危险废物贮存</w:t>
            </w:r>
            <w:r>
              <w:rPr>
                <w:spacing w:val="-13"/>
                <w:sz w:val="21"/>
              </w:rPr>
              <w:t>污染控制标准》等</w:t>
            </w:r>
            <w:r>
              <w:rPr>
                <w:spacing w:val="12"/>
                <w:sz w:val="21"/>
              </w:rPr>
              <w:t>有关规定进行管</w:t>
            </w:r>
          </w:p>
          <w:p>
            <w:pPr>
              <w:pStyle w:val="TableParagraph"/>
              <w:spacing w:line="233" w:lineRule="exact"/>
              <w:ind w:left="105"/>
              <w:jc w:val="both"/>
              <w:rPr>
                <w:sz w:val="21"/>
              </w:rPr>
            </w:pPr>
            <w:r>
              <w:rPr>
                <w:sz w:val="21"/>
              </w:rPr>
              <w:t>理与处置。</w:t>
            </w:r>
          </w:p>
        </w:tc>
        <w:tc>
          <w:tcPr>
            <w:tcW w:w="1019" w:type="dxa"/>
          </w:tcPr>
          <w:p>
            <w:pPr>
              <w:pStyle w:val="TableParagraph"/>
              <w:jc w:val="left"/>
              <w:rPr>
                <w:sz w:val="20"/>
              </w:rPr>
            </w:pPr>
          </w:p>
          <w:p>
            <w:pPr>
              <w:pStyle w:val="TableParagraph"/>
              <w:spacing w:before="1"/>
              <w:jc w:val="left"/>
              <w:rPr>
                <w:sz w:val="13"/>
              </w:rPr>
            </w:pPr>
          </w:p>
          <w:p>
            <w:pPr>
              <w:pStyle w:val="TableParagraph"/>
              <w:spacing w:line="146" w:lineRule="auto"/>
              <w:ind w:left="399" w:right="185" w:hanging="212"/>
              <w:jc w:val="left"/>
              <w:rPr>
                <w:sz w:val="21"/>
              </w:rPr>
            </w:pPr>
            <w:r>
              <w:rPr>
                <w:sz w:val="21"/>
              </w:rPr>
              <w:t>厂监测站</w:t>
            </w:r>
          </w:p>
        </w:tc>
      </w:tr>
    </w:tbl>
    <w:p>
      <w:pPr>
        <w:pStyle w:val="BodyText"/>
        <w:spacing w:before="21"/>
        <w:rPr>
          <w:sz w:val="7"/>
        </w:rPr>
      </w:pPr>
    </w:p>
    <w:p>
      <w:pPr>
        <w:pStyle w:val="ListParagraph"/>
        <w:numPr>
          <w:ilvl w:val="3"/>
          <w:numId w:val="20"/>
        </w:numPr>
        <w:tabs>
          <w:tab w:pos="1901" w:val="left" w:leader="none"/>
        </w:tabs>
        <w:spacing w:line="460" w:lineRule="exact" w:before="0" w:after="0"/>
        <w:ind w:left="1900" w:right="0" w:hanging="1080"/>
        <w:jc w:val="left"/>
        <w:rPr>
          <w:sz w:val="24"/>
        </w:rPr>
      </w:pPr>
      <w:r>
        <w:rPr>
          <w:sz w:val="24"/>
        </w:rPr>
        <w:t>项目环境应急监测制度</w:t>
      </w:r>
    </w:p>
    <w:p>
      <w:pPr>
        <w:pStyle w:val="BodyText"/>
        <w:spacing w:line="495" w:lineRule="exact" w:before="24"/>
        <w:ind w:left="1060"/>
      </w:pPr>
      <w:r>
        <w:rPr/>
        <w:t>（1）水体污染监测点位</w:t>
      </w:r>
    </w:p>
    <w:p>
      <w:pPr>
        <w:pStyle w:val="BodyText"/>
        <w:spacing w:line="486" w:lineRule="exact"/>
        <w:ind w:left="1060"/>
      </w:pPr>
      <w:r>
        <w:rPr/>
        <w:t>事故情况下，水体污染应急监测点位见表 10.2-2、10.2-3。</w:t>
      </w:r>
    </w:p>
    <w:p>
      <w:pPr>
        <w:pStyle w:val="BodyText"/>
        <w:tabs>
          <w:tab w:pos="4044" w:val="left" w:leader="none"/>
        </w:tabs>
        <w:spacing w:line="500" w:lineRule="exact"/>
        <w:ind w:left="2784"/>
      </w:pPr>
      <w:r>
        <w:rPr/>
        <w:pict>
          <v:shape style="position:absolute;margin-left:84.384003pt;margin-top:20.939989pt;width:426.95pt;height:90.75pt;mso-position-horizontal-relative:page;mso-position-vertical-relative:paragraph;z-index:212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1621"/>
                    <w:gridCol w:w="4681"/>
                    <w:gridCol w:w="1574"/>
                  </w:tblGrid>
                  <w:tr>
                    <w:trPr>
                      <w:trHeight w:val="340" w:hRule="atLeast"/>
                    </w:trPr>
                    <w:tc>
                      <w:tcPr>
                        <w:tcW w:w="648" w:type="dxa"/>
                      </w:tcPr>
                      <w:p>
                        <w:pPr>
                          <w:pStyle w:val="TableParagraph"/>
                          <w:spacing w:line="320" w:lineRule="exact"/>
                          <w:ind w:left="93" w:right="84"/>
                          <w:rPr>
                            <w:sz w:val="21"/>
                          </w:rPr>
                        </w:pPr>
                        <w:r>
                          <w:rPr>
                            <w:sz w:val="21"/>
                          </w:rPr>
                          <w:t>序号</w:t>
                        </w:r>
                      </w:p>
                    </w:tc>
                    <w:tc>
                      <w:tcPr>
                        <w:tcW w:w="1621" w:type="dxa"/>
                      </w:tcPr>
                      <w:p>
                        <w:pPr>
                          <w:pStyle w:val="TableParagraph"/>
                          <w:spacing w:line="320" w:lineRule="exact"/>
                          <w:ind w:left="369" w:right="361"/>
                          <w:rPr>
                            <w:sz w:val="21"/>
                          </w:rPr>
                        </w:pPr>
                        <w:r>
                          <w:rPr>
                            <w:sz w:val="21"/>
                          </w:rPr>
                          <w:t>监测点位</w:t>
                        </w:r>
                      </w:p>
                    </w:tc>
                    <w:tc>
                      <w:tcPr>
                        <w:tcW w:w="4681" w:type="dxa"/>
                      </w:tcPr>
                      <w:p>
                        <w:pPr>
                          <w:pStyle w:val="TableParagraph"/>
                          <w:spacing w:line="320" w:lineRule="exact"/>
                          <w:ind w:left="1900" w:right="1890"/>
                          <w:rPr>
                            <w:sz w:val="21"/>
                          </w:rPr>
                        </w:pPr>
                        <w:r>
                          <w:rPr>
                            <w:sz w:val="21"/>
                          </w:rPr>
                          <w:t>监测项目</w:t>
                        </w:r>
                      </w:p>
                    </w:tc>
                    <w:tc>
                      <w:tcPr>
                        <w:tcW w:w="1574" w:type="dxa"/>
                      </w:tcPr>
                      <w:p>
                        <w:pPr>
                          <w:pStyle w:val="TableParagraph"/>
                          <w:spacing w:line="320" w:lineRule="exact"/>
                          <w:ind w:left="136" w:right="127"/>
                          <w:rPr>
                            <w:sz w:val="21"/>
                          </w:rPr>
                        </w:pPr>
                        <w:r>
                          <w:rPr>
                            <w:sz w:val="21"/>
                          </w:rPr>
                          <w:t>备注</w:t>
                        </w:r>
                      </w:p>
                    </w:tc>
                  </w:tr>
                  <w:tr>
                    <w:trPr>
                      <w:trHeight w:val="585" w:hRule="atLeast"/>
                    </w:trPr>
                    <w:tc>
                      <w:tcPr>
                        <w:tcW w:w="648" w:type="dxa"/>
                        <w:tcBorders>
                          <w:bottom w:val="nil"/>
                        </w:tcBorders>
                      </w:tcPr>
                      <w:p>
                        <w:pPr>
                          <w:pStyle w:val="TableParagraph"/>
                          <w:spacing w:before="80"/>
                          <w:ind w:left="9"/>
                          <w:rPr>
                            <w:sz w:val="21"/>
                          </w:rPr>
                        </w:pPr>
                        <w:r>
                          <w:rPr>
                            <w:w w:val="90"/>
                            <w:sz w:val="21"/>
                          </w:rPr>
                          <w:t>1</w:t>
                        </w:r>
                      </w:p>
                    </w:tc>
                    <w:tc>
                      <w:tcPr>
                        <w:tcW w:w="1621" w:type="dxa"/>
                        <w:tcBorders>
                          <w:bottom w:val="nil"/>
                        </w:tcBorders>
                      </w:tcPr>
                      <w:p>
                        <w:pPr>
                          <w:pStyle w:val="TableParagraph"/>
                          <w:spacing w:before="80"/>
                          <w:ind w:left="369" w:right="361"/>
                          <w:rPr>
                            <w:sz w:val="21"/>
                          </w:rPr>
                        </w:pPr>
                        <w:r>
                          <w:rPr>
                            <w:sz w:val="21"/>
                          </w:rPr>
                          <w:t>事故水池</w:t>
                        </w:r>
                      </w:p>
                    </w:tc>
                    <w:tc>
                      <w:tcPr>
                        <w:tcW w:w="4681" w:type="dxa"/>
                        <w:tcBorders>
                          <w:bottom w:val="nil"/>
                        </w:tcBorders>
                      </w:tcPr>
                      <w:p>
                        <w:pPr>
                          <w:pStyle w:val="TableParagraph"/>
                          <w:spacing w:line="302" w:lineRule="exact"/>
                          <w:ind w:left="107"/>
                          <w:jc w:val="left"/>
                          <w:rPr>
                            <w:sz w:val="21"/>
                          </w:rPr>
                        </w:pPr>
                        <w:r>
                          <w:rPr>
                            <w:w w:val="95"/>
                            <w:sz w:val="21"/>
                          </w:rPr>
                          <w:t>流量、pH、COD、甲醛、硫酸盐、甲苯、二甲苯、</w:t>
                        </w:r>
                      </w:p>
                      <w:p>
                        <w:pPr>
                          <w:pStyle w:val="TableParagraph"/>
                          <w:spacing w:line="264" w:lineRule="exact"/>
                          <w:ind w:left="107"/>
                          <w:jc w:val="left"/>
                          <w:rPr>
                            <w:sz w:val="21"/>
                          </w:rPr>
                        </w:pPr>
                        <w:r>
                          <w:rPr>
                            <w:sz w:val="21"/>
                          </w:rPr>
                          <w:t>溴丙烷、丙酮、甲醇、苯乙胺、环氧氯丙烷、正</w:t>
                        </w:r>
                      </w:p>
                    </w:tc>
                    <w:tc>
                      <w:tcPr>
                        <w:tcW w:w="1574" w:type="dxa"/>
                        <w:tcBorders>
                          <w:bottom w:val="nil"/>
                        </w:tcBorders>
                      </w:tcPr>
                      <w:p>
                        <w:pPr>
                          <w:pStyle w:val="TableParagraph"/>
                          <w:spacing w:line="302" w:lineRule="exact"/>
                          <w:ind w:left="155"/>
                          <w:jc w:val="left"/>
                          <w:rPr>
                            <w:sz w:val="21"/>
                          </w:rPr>
                        </w:pPr>
                        <w:r>
                          <w:rPr>
                            <w:spacing w:val="-2"/>
                            <w:sz w:val="21"/>
                          </w:rPr>
                          <w:t>一般情况下每</w:t>
                        </w:r>
                      </w:p>
                      <w:p>
                        <w:pPr>
                          <w:pStyle w:val="TableParagraph"/>
                          <w:spacing w:line="264" w:lineRule="exact"/>
                          <w:ind w:left="128"/>
                          <w:jc w:val="left"/>
                          <w:rPr>
                            <w:sz w:val="21"/>
                          </w:rPr>
                        </w:pPr>
                        <w:r>
                          <w:rPr>
                            <w:sz w:val="21"/>
                          </w:rPr>
                          <w:t>10</w:t>
                        </w:r>
                        <w:r>
                          <w:rPr>
                            <w:spacing w:val="-5"/>
                            <w:sz w:val="21"/>
                          </w:rPr>
                          <w:t> 分钟取样一</w:t>
                        </w:r>
                      </w:p>
                    </w:tc>
                  </w:tr>
                  <w:tr>
                    <w:trPr>
                      <w:trHeight w:val="45" w:hRule="atLeast"/>
                    </w:trPr>
                    <w:tc>
                      <w:tcPr>
                        <w:tcW w:w="648" w:type="dxa"/>
                        <w:tcBorders>
                          <w:top w:val="nil"/>
                        </w:tcBorders>
                      </w:tcPr>
                      <w:p>
                        <w:pPr>
                          <w:pStyle w:val="TableParagraph"/>
                          <w:jc w:val="left"/>
                          <w:rPr>
                            <w:rFonts w:ascii="Times New Roman"/>
                            <w:sz w:val="2"/>
                          </w:rPr>
                        </w:pPr>
                      </w:p>
                    </w:tc>
                    <w:tc>
                      <w:tcPr>
                        <w:tcW w:w="1621" w:type="dxa"/>
                        <w:tcBorders>
                          <w:top w:val="nil"/>
                        </w:tcBorders>
                      </w:tcPr>
                      <w:p>
                        <w:pPr>
                          <w:pStyle w:val="TableParagraph"/>
                          <w:jc w:val="left"/>
                          <w:rPr>
                            <w:rFonts w:ascii="Times New Roman"/>
                            <w:sz w:val="2"/>
                          </w:rPr>
                        </w:pPr>
                      </w:p>
                    </w:tc>
                    <w:tc>
                      <w:tcPr>
                        <w:tcW w:w="4681" w:type="dxa"/>
                        <w:vMerge w:val="restart"/>
                        <w:tcBorders>
                          <w:top w:val="nil"/>
                          <w:bottom w:val="nil"/>
                        </w:tcBorders>
                      </w:tcPr>
                      <w:p>
                        <w:pPr>
                          <w:pStyle w:val="TableParagraph"/>
                          <w:spacing w:line="247" w:lineRule="exact"/>
                          <w:ind w:left="107" w:right="-15"/>
                          <w:jc w:val="left"/>
                          <w:rPr>
                            <w:sz w:val="21"/>
                          </w:rPr>
                        </w:pPr>
                        <w:r>
                          <w:rPr>
                            <w:spacing w:val="-9"/>
                            <w:sz w:val="21"/>
                          </w:rPr>
                          <w:t>丙胺、溴氯丙烷、氯化物、吡啶、哌啶、溴乙烷、</w:t>
                        </w:r>
                      </w:p>
                    </w:tc>
                    <w:tc>
                      <w:tcPr>
                        <w:tcW w:w="1574" w:type="dxa"/>
                        <w:vMerge w:val="restart"/>
                        <w:tcBorders>
                          <w:top w:val="nil"/>
                          <w:bottom w:val="nil"/>
                        </w:tcBorders>
                      </w:tcPr>
                      <w:p>
                        <w:pPr>
                          <w:pStyle w:val="TableParagraph"/>
                          <w:spacing w:line="247" w:lineRule="exact"/>
                          <w:ind w:left="155"/>
                          <w:jc w:val="left"/>
                          <w:rPr>
                            <w:sz w:val="21"/>
                          </w:rPr>
                        </w:pPr>
                        <w:r>
                          <w:rPr>
                            <w:sz w:val="21"/>
                          </w:rPr>
                          <w:t>次。随事故控</w:t>
                        </w:r>
                      </w:p>
                    </w:tc>
                  </w:tr>
                  <w:tr>
                    <w:trPr>
                      <w:trHeight w:val="211" w:hRule="atLeast"/>
                    </w:trPr>
                    <w:tc>
                      <w:tcPr>
                        <w:tcW w:w="648" w:type="dxa"/>
                        <w:vMerge w:val="restart"/>
                      </w:tcPr>
                      <w:p>
                        <w:pPr>
                          <w:pStyle w:val="TableParagraph"/>
                          <w:spacing w:line="433" w:lineRule="exact"/>
                          <w:ind w:left="9"/>
                          <w:rPr>
                            <w:sz w:val="21"/>
                          </w:rPr>
                        </w:pPr>
                        <w:r>
                          <w:rPr>
                            <w:w w:val="90"/>
                            <w:sz w:val="21"/>
                          </w:rPr>
                          <w:t>2</w:t>
                        </w:r>
                      </w:p>
                    </w:tc>
                    <w:tc>
                      <w:tcPr>
                        <w:tcW w:w="1621" w:type="dxa"/>
                        <w:vMerge w:val="restart"/>
                      </w:tcPr>
                      <w:p>
                        <w:pPr>
                          <w:pStyle w:val="TableParagraph"/>
                          <w:spacing w:line="433" w:lineRule="exact"/>
                          <w:ind w:left="179"/>
                          <w:jc w:val="left"/>
                          <w:rPr>
                            <w:sz w:val="21"/>
                          </w:rPr>
                        </w:pPr>
                        <w:r>
                          <w:rPr>
                            <w:sz w:val="21"/>
                          </w:rPr>
                          <w:t>厂区总排污口</w:t>
                        </w:r>
                      </w:p>
                    </w:tc>
                    <w:tc>
                      <w:tcPr>
                        <w:tcW w:w="4681" w:type="dxa"/>
                        <w:vMerge/>
                        <w:tcBorders>
                          <w:top w:val="nil"/>
                          <w:bottom w:val="nil"/>
                        </w:tcBorders>
                      </w:tcPr>
                      <w:p>
                        <w:pPr>
                          <w:rPr>
                            <w:sz w:val="2"/>
                            <w:szCs w:val="2"/>
                          </w:rPr>
                        </w:pPr>
                      </w:p>
                    </w:tc>
                    <w:tc>
                      <w:tcPr>
                        <w:tcW w:w="1574" w:type="dxa"/>
                        <w:vMerge/>
                        <w:tcBorders>
                          <w:top w:val="nil"/>
                          <w:bottom w:val="nil"/>
                        </w:tcBorders>
                      </w:tcPr>
                      <w:p>
                        <w:pPr>
                          <w:rPr>
                            <w:sz w:val="2"/>
                            <w:szCs w:val="2"/>
                          </w:rPr>
                        </w:pPr>
                      </w:p>
                    </w:tc>
                  </w:tr>
                  <w:tr>
                    <w:trPr>
                      <w:trHeight w:val="231" w:hRule="atLeast"/>
                    </w:trPr>
                    <w:tc>
                      <w:tcPr>
                        <w:tcW w:w="648" w:type="dxa"/>
                        <w:vMerge/>
                        <w:tcBorders>
                          <w:top w:val="nil"/>
                        </w:tcBorders>
                      </w:tcPr>
                      <w:p>
                        <w:pPr>
                          <w:rPr>
                            <w:sz w:val="2"/>
                            <w:szCs w:val="2"/>
                          </w:rPr>
                        </w:pPr>
                      </w:p>
                    </w:tc>
                    <w:tc>
                      <w:tcPr>
                        <w:tcW w:w="1621" w:type="dxa"/>
                        <w:vMerge/>
                        <w:tcBorders>
                          <w:top w:val="nil"/>
                        </w:tcBorders>
                      </w:tcPr>
                      <w:p>
                        <w:pPr>
                          <w:rPr>
                            <w:sz w:val="2"/>
                            <w:szCs w:val="2"/>
                          </w:rPr>
                        </w:pPr>
                      </w:p>
                    </w:tc>
                    <w:tc>
                      <w:tcPr>
                        <w:tcW w:w="4681" w:type="dxa"/>
                        <w:tcBorders>
                          <w:top w:val="nil"/>
                          <w:bottom w:val="nil"/>
                        </w:tcBorders>
                      </w:tcPr>
                      <w:p>
                        <w:pPr>
                          <w:pStyle w:val="TableParagraph"/>
                          <w:spacing w:line="212" w:lineRule="exact"/>
                          <w:ind w:left="107"/>
                          <w:jc w:val="left"/>
                          <w:rPr>
                            <w:sz w:val="21"/>
                          </w:rPr>
                        </w:pPr>
                        <w:r>
                          <w:rPr>
                            <w:sz w:val="21"/>
                          </w:rPr>
                          <w:t>三乙胺、苯甲醛、氧化苯乙烯、硝酸盐、呋喃、</w:t>
                        </w:r>
                      </w:p>
                    </w:tc>
                    <w:tc>
                      <w:tcPr>
                        <w:tcW w:w="1574" w:type="dxa"/>
                        <w:tcBorders>
                          <w:top w:val="nil"/>
                          <w:bottom w:val="nil"/>
                        </w:tcBorders>
                      </w:tcPr>
                      <w:p>
                        <w:pPr>
                          <w:pStyle w:val="TableParagraph"/>
                          <w:spacing w:line="212" w:lineRule="exact"/>
                          <w:ind w:left="136" w:right="127"/>
                          <w:rPr>
                            <w:sz w:val="21"/>
                          </w:rPr>
                        </w:pPr>
                        <w:r>
                          <w:rPr>
                            <w:sz w:val="21"/>
                          </w:rPr>
                          <w:t>制减弱，适当</w:t>
                        </w:r>
                      </w:p>
                    </w:tc>
                  </w:tr>
                  <w:tr>
                    <w:trPr>
                      <w:trHeight w:val="340" w:hRule="atLeast"/>
                    </w:trPr>
                    <w:tc>
                      <w:tcPr>
                        <w:tcW w:w="648" w:type="dxa"/>
                      </w:tcPr>
                      <w:p>
                        <w:pPr>
                          <w:pStyle w:val="TableParagraph"/>
                          <w:spacing w:line="320" w:lineRule="exact"/>
                          <w:ind w:left="9"/>
                          <w:rPr>
                            <w:sz w:val="21"/>
                          </w:rPr>
                        </w:pPr>
                        <w:r>
                          <w:rPr>
                            <w:w w:val="90"/>
                            <w:sz w:val="21"/>
                          </w:rPr>
                          <w:t>3</w:t>
                        </w:r>
                      </w:p>
                    </w:tc>
                    <w:tc>
                      <w:tcPr>
                        <w:tcW w:w="1621" w:type="dxa"/>
                      </w:tcPr>
                      <w:p>
                        <w:pPr>
                          <w:pStyle w:val="TableParagraph"/>
                          <w:spacing w:line="320" w:lineRule="exact"/>
                          <w:ind w:left="369" w:right="359"/>
                          <w:rPr>
                            <w:sz w:val="21"/>
                          </w:rPr>
                        </w:pPr>
                        <w:r>
                          <w:rPr>
                            <w:sz w:val="21"/>
                          </w:rPr>
                          <w:t>白马河</w:t>
                        </w:r>
                      </w:p>
                    </w:tc>
                    <w:tc>
                      <w:tcPr>
                        <w:tcW w:w="4681" w:type="dxa"/>
                        <w:tcBorders>
                          <w:top w:val="nil"/>
                        </w:tcBorders>
                      </w:tcPr>
                      <w:p>
                        <w:pPr>
                          <w:pStyle w:val="TableParagraph"/>
                          <w:spacing w:line="320" w:lineRule="exact"/>
                          <w:ind w:left="107"/>
                          <w:jc w:val="left"/>
                          <w:rPr>
                            <w:sz w:val="21"/>
                          </w:rPr>
                        </w:pPr>
                        <w:r>
                          <w:rPr>
                            <w:sz w:val="21"/>
                          </w:rPr>
                          <w:t>氯仿、氯乙酸、醋酸、苯甲醛等</w:t>
                        </w:r>
                      </w:p>
                    </w:tc>
                    <w:tc>
                      <w:tcPr>
                        <w:tcW w:w="1574" w:type="dxa"/>
                        <w:tcBorders>
                          <w:top w:val="nil"/>
                        </w:tcBorders>
                      </w:tcPr>
                      <w:p>
                        <w:pPr>
                          <w:pStyle w:val="TableParagraph"/>
                          <w:spacing w:line="320" w:lineRule="exact"/>
                          <w:ind w:left="136" w:right="127"/>
                          <w:rPr>
                            <w:sz w:val="21"/>
                          </w:rPr>
                        </w:pPr>
                        <w:r>
                          <w:rPr>
                            <w:sz w:val="21"/>
                          </w:rPr>
                          <w:t>减少监测频次</w:t>
                        </w:r>
                      </w:p>
                    </w:tc>
                  </w:tr>
                </w:tbl>
                <w:p>
                  <w:pPr>
                    <w:pStyle w:val="BodyText"/>
                  </w:pPr>
                </w:p>
              </w:txbxContent>
            </v:textbox>
            <w10:wrap type="none"/>
          </v:shape>
        </w:pict>
      </w:r>
      <w:r>
        <w:rPr/>
        <w:t>表</w:t>
      </w:r>
      <w:r>
        <w:rPr>
          <w:spacing w:val="13"/>
        </w:rPr>
        <w:t> </w:t>
      </w:r>
      <w:r>
        <w:rPr/>
        <w:t>10.2-2</w:t>
        <w:tab/>
        <w:t>水体污染应急监测点位表</w:t>
      </w:r>
    </w:p>
    <w:p>
      <w:pPr>
        <w:pStyle w:val="BodyText"/>
      </w:pPr>
    </w:p>
    <w:p>
      <w:pPr>
        <w:pStyle w:val="BodyText"/>
      </w:pPr>
    </w:p>
    <w:p>
      <w:pPr>
        <w:pStyle w:val="BodyText"/>
        <w:spacing w:before="14"/>
        <w:rPr>
          <w:sz w:val="35"/>
        </w:rPr>
      </w:pPr>
    </w:p>
    <w:p>
      <w:pPr>
        <w:pStyle w:val="BodyText"/>
        <w:tabs>
          <w:tab w:pos="4404" w:val="left" w:leader="none"/>
        </w:tabs>
        <w:ind w:left="3144"/>
      </w:pPr>
      <w:r>
        <w:rPr/>
        <w:pict>
          <v:shape style="position:absolute;margin-left:83.543999pt;margin-top:21.359945pt;width:428.6pt;height:96.9pt;mso-position-horizontal-relative:page;mso-position-vertical-relative:paragraph;z-index:21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9"/>
                    <w:gridCol w:w="885"/>
                    <w:gridCol w:w="4680"/>
                    <w:gridCol w:w="2131"/>
                  </w:tblGrid>
                  <w:tr>
                    <w:trPr>
                      <w:trHeight w:val="547" w:hRule="atLeast"/>
                    </w:trPr>
                    <w:tc>
                      <w:tcPr>
                        <w:tcW w:w="859" w:type="dxa"/>
                      </w:tcPr>
                      <w:p>
                        <w:pPr>
                          <w:pStyle w:val="TableParagraph"/>
                          <w:spacing w:before="37"/>
                          <w:ind w:left="199" w:right="190"/>
                          <w:rPr>
                            <w:sz w:val="21"/>
                          </w:rPr>
                        </w:pPr>
                        <w:r>
                          <w:rPr>
                            <w:sz w:val="21"/>
                          </w:rPr>
                          <w:t>序号</w:t>
                        </w:r>
                      </w:p>
                    </w:tc>
                    <w:tc>
                      <w:tcPr>
                        <w:tcW w:w="885" w:type="dxa"/>
                      </w:tcPr>
                      <w:p>
                        <w:pPr>
                          <w:pStyle w:val="TableParagraph"/>
                          <w:spacing w:line="261" w:lineRule="exact"/>
                          <w:ind w:left="232"/>
                          <w:jc w:val="left"/>
                          <w:rPr>
                            <w:sz w:val="21"/>
                          </w:rPr>
                        </w:pPr>
                        <w:r>
                          <w:rPr>
                            <w:sz w:val="21"/>
                          </w:rPr>
                          <w:t>监测</w:t>
                        </w:r>
                      </w:p>
                      <w:p>
                        <w:pPr>
                          <w:pStyle w:val="TableParagraph"/>
                          <w:spacing w:line="266" w:lineRule="exact"/>
                          <w:ind w:left="232"/>
                          <w:jc w:val="left"/>
                          <w:rPr>
                            <w:sz w:val="21"/>
                          </w:rPr>
                        </w:pPr>
                        <w:r>
                          <w:rPr>
                            <w:sz w:val="21"/>
                          </w:rPr>
                          <w:t>点位</w:t>
                        </w:r>
                      </w:p>
                    </w:tc>
                    <w:tc>
                      <w:tcPr>
                        <w:tcW w:w="4680" w:type="dxa"/>
                      </w:tcPr>
                      <w:p>
                        <w:pPr>
                          <w:pStyle w:val="TableParagraph"/>
                          <w:spacing w:before="37"/>
                          <w:ind w:left="1902" w:right="1888"/>
                          <w:rPr>
                            <w:sz w:val="21"/>
                          </w:rPr>
                        </w:pPr>
                        <w:r>
                          <w:rPr>
                            <w:sz w:val="21"/>
                          </w:rPr>
                          <w:t>监测项目</w:t>
                        </w:r>
                      </w:p>
                    </w:tc>
                    <w:tc>
                      <w:tcPr>
                        <w:tcW w:w="2131" w:type="dxa"/>
                      </w:tcPr>
                      <w:p>
                        <w:pPr>
                          <w:pStyle w:val="TableParagraph"/>
                          <w:spacing w:before="37"/>
                          <w:ind w:left="754" w:right="740"/>
                          <w:rPr>
                            <w:sz w:val="21"/>
                          </w:rPr>
                        </w:pPr>
                        <w:r>
                          <w:rPr>
                            <w:sz w:val="21"/>
                          </w:rPr>
                          <w:t>备注</w:t>
                        </w:r>
                      </w:p>
                    </w:tc>
                  </w:tr>
                  <w:tr>
                    <w:trPr>
                      <w:trHeight w:val="1360" w:hRule="atLeast"/>
                    </w:trPr>
                    <w:tc>
                      <w:tcPr>
                        <w:tcW w:w="859" w:type="dxa"/>
                      </w:tcPr>
                      <w:p>
                        <w:pPr>
                          <w:pStyle w:val="TableParagraph"/>
                          <w:spacing w:before="21"/>
                          <w:jc w:val="left"/>
                          <w:rPr>
                            <w:sz w:val="20"/>
                          </w:rPr>
                        </w:pPr>
                      </w:p>
                      <w:p>
                        <w:pPr>
                          <w:pStyle w:val="TableParagraph"/>
                          <w:ind w:left="9"/>
                          <w:rPr>
                            <w:sz w:val="21"/>
                          </w:rPr>
                        </w:pPr>
                        <w:r>
                          <w:rPr>
                            <w:w w:val="90"/>
                            <w:sz w:val="21"/>
                          </w:rPr>
                          <w:t>1</w:t>
                        </w:r>
                      </w:p>
                    </w:tc>
                    <w:tc>
                      <w:tcPr>
                        <w:tcW w:w="885" w:type="dxa"/>
                      </w:tcPr>
                      <w:p>
                        <w:pPr>
                          <w:pStyle w:val="TableParagraph"/>
                          <w:spacing w:before="5"/>
                          <w:jc w:val="left"/>
                          <w:rPr>
                            <w:sz w:val="20"/>
                          </w:rPr>
                        </w:pPr>
                      </w:p>
                      <w:p>
                        <w:pPr>
                          <w:pStyle w:val="TableParagraph"/>
                          <w:spacing w:line="146" w:lineRule="auto"/>
                          <w:ind w:left="127" w:right="112" w:firstLine="105"/>
                          <w:jc w:val="left"/>
                          <w:rPr>
                            <w:sz w:val="21"/>
                          </w:rPr>
                        </w:pPr>
                        <w:r>
                          <w:rPr>
                            <w:sz w:val="21"/>
                          </w:rPr>
                          <w:t>厂区浅水井</w:t>
                        </w:r>
                      </w:p>
                    </w:tc>
                    <w:tc>
                      <w:tcPr>
                        <w:tcW w:w="4680" w:type="dxa"/>
                      </w:tcPr>
                      <w:p>
                        <w:pPr>
                          <w:pStyle w:val="TableParagraph"/>
                          <w:spacing w:line="146" w:lineRule="auto" w:before="21"/>
                          <w:ind w:left="108" w:right="-15"/>
                          <w:jc w:val="both"/>
                          <w:rPr>
                            <w:sz w:val="21"/>
                          </w:rPr>
                        </w:pPr>
                        <w:r>
                          <w:rPr>
                            <w:w w:val="95"/>
                            <w:sz w:val="21"/>
                          </w:rPr>
                          <w:t>pH</w:t>
                        </w:r>
                        <w:r>
                          <w:rPr>
                            <w:spacing w:val="-27"/>
                            <w:w w:val="95"/>
                            <w:sz w:val="21"/>
                          </w:rPr>
                          <w:t>、</w:t>
                        </w:r>
                        <w:r>
                          <w:rPr>
                            <w:w w:val="95"/>
                            <w:sz w:val="21"/>
                          </w:rPr>
                          <w:t>COD</w:t>
                        </w:r>
                        <w:r>
                          <w:rPr>
                            <w:spacing w:val="-14"/>
                            <w:w w:val="95"/>
                            <w:sz w:val="21"/>
                          </w:rPr>
                          <w:t>、甲醛、硫酸盐、甲苯、二甲苯、溴丙烷、</w:t>
                        </w:r>
                        <w:r>
                          <w:rPr>
                            <w:spacing w:val="-3"/>
                            <w:sz w:val="21"/>
                          </w:rPr>
                          <w:t>丙酮、甲醇、苯乙胺、环氧氯丙烷、正丙胺、溴</w:t>
                        </w:r>
                        <w:r>
                          <w:rPr>
                            <w:spacing w:val="-9"/>
                            <w:sz w:val="21"/>
                          </w:rPr>
                          <w:t>氯丙烷、氯化物、吡啶、哌啶、溴乙烷、三乙胺、</w:t>
                        </w:r>
                        <w:r>
                          <w:rPr>
                            <w:spacing w:val="-4"/>
                            <w:sz w:val="21"/>
                          </w:rPr>
                          <w:t>苯甲醛、氧化苯乙烯、硝酸盐、呋喃、氯仿、氯</w:t>
                        </w:r>
                      </w:p>
                      <w:p>
                        <w:pPr>
                          <w:pStyle w:val="TableParagraph"/>
                          <w:spacing w:line="233" w:lineRule="exact"/>
                          <w:ind w:left="108"/>
                          <w:jc w:val="both"/>
                          <w:rPr>
                            <w:sz w:val="21"/>
                          </w:rPr>
                        </w:pPr>
                        <w:r>
                          <w:rPr>
                            <w:sz w:val="21"/>
                          </w:rPr>
                          <w:t>乙酸、醋酸、苯甲醛等</w:t>
                        </w:r>
                      </w:p>
                    </w:tc>
                    <w:tc>
                      <w:tcPr>
                        <w:tcW w:w="2131" w:type="dxa"/>
                      </w:tcPr>
                      <w:p>
                        <w:pPr>
                          <w:pStyle w:val="TableParagraph"/>
                          <w:spacing w:line="146" w:lineRule="auto" w:before="156"/>
                          <w:ind w:left="109" w:right="91"/>
                          <w:jc w:val="both"/>
                          <w:rPr>
                            <w:sz w:val="21"/>
                          </w:rPr>
                        </w:pPr>
                        <w:r>
                          <w:rPr>
                            <w:sz w:val="21"/>
                          </w:rPr>
                          <w:t>一般情况下每 10 分钟取样一次。随事故控制减弱，适当减少监测频次</w:t>
                        </w:r>
                      </w:p>
                    </w:tc>
                  </w:tr>
                </w:tbl>
                <w:p>
                  <w:pPr>
                    <w:pStyle w:val="BodyText"/>
                  </w:pPr>
                </w:p>
              </w:txbxContent>
            </v:textbox>
            <w10:wrap type="none"/>
          </v:shape>
        </w:pict>
      </w:r>
      <w:r>
        <w:rPr/>
        <w:t>表</w:t>
      </w:r>
      <w:r>
        <w:rPr>
          <w:spacing w:val="13"/>
        </w:rPr>
        <w:t> </w:t>
      </w:r>
      <w:r>
        <w:rPr/>
        <w:t>10.2-3</w:t>
        <w:tab/>
        <w:t>地下水应急监测点位表</w:t>
      </w:r>
    </w:p>
    <w:p>
      <w:pPr>
        <w:pStyle w:val="BodyText"/>
      </w:pPr>
    </w:p>
    <w:p>
      <w:pPr>
        <w:pStyle w:val="BodyText"/>
      </w:pPr>
    </w:p>
    <w:p>
      <w:pPr>
        <w:pStyle w:val="BodyText"/>
      </w:pPr>
    </w:p>
    <w:p>
      <w:pPr>
        <w:pStyle w:val="BodyText"/>
        <w:spacing w:before="19"/>
        <w:rPr>
          <w:sz w:val="16"/>
        </w:rPr>
      </w:pPr>
    </w:p>
    <w:p>
      <w:pPr>
        <w:pStyle w:val="BodyText"/>
        <w:spacing w:line="494" w:lineRule="exact"/>
        <w:ind w:left="1060"/>
      </w:pPr>
      <w:r>
        <w:rPr/>
        <w:t>（2）大气环境污染应急监测点位：</w:t>
      </w:r>
    </w:p>
    <w:p>
      <w:pPr>
        <w:pStyle w:val="BodyText"/>
        <w:spacing w:line="494" w:lineRule="exact"/>
        <w:ind w:left="1060"/>
      </w:pPr>
      <w:r>
        <w:rPr/>
        <w:t>事故情况下，大气环境污染应急监测点位见表 10.2-4。</w:t>
      </w:r>
    </w:p>
    <w:p>
      <w:pPr>
        <w:spacing w:after="0" w:line="494" w:lineRule="exact"/>
        <w:sectPr>
          <w:pgSz w:w="11910" w:h="16840"/>
          <w:pgMar w:header="877" w:footer="973" w:top="1340" w:bottom="1160" w:left="1220" w:right="1040"/>
        </w:sectPr>
      </w:pPr>
    </w:p>
    <w:p>
      <w:pPr>
        <w:pStyle w:val="BodyText"/>
        <w:spacing w:before="13"/>
        <w:rPr>
          <w:sz w:val="7"/>
        </w:rPr>
      </w:pPr>
    </w:p>
    <w:p>
      <w:pPr>
        <w:pStyle w:val="BodyText"/>
        <w:spacing w:line="461" w:lineRule="exact"/>
        <w:ind w:left="2844"/>
      </w:pPr>
      <w:r>
        <w:rPr/>
        <w:pict>
          <v:shape style="position:absolute;margin-left:78.264pt;margin-top:20.154551pt;width:439.05pt;height:113.9pt;mso-position-horizontal-relative:page;mso-position-vertical-relative:paragraph;z-index:217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7"/>
                    <w:gridCol w:w="2756"/>
                    <w:gridCol w:w="2777"/>
                    <w:gridCol w:w="2506"/>
                  </w:tblGrid>
                  <w:tr>
                    <w:trPr>
                      <w:trHeight w:val="340" w:hRule="atLeast"/>
                    </w:trPr>
                    <w:tc>
                      <w:tcPr>
                        <w:tcW w:w="727" w:type="dxa"/>
                      </w:tcPr>
                      <w:p>
                        <w:pPr>
                          <w:pStyle w:val="TableParagraph"/>
                          <w:spacing w:line="320" w:lineRule="exact"/>
                          <w:ind w:left="134" w:right="122"/>
                          <w:rPr>
                            <w:sz w:val="21"/>
                          </w:rPr>
                        </w:pPr>
                        <w:r>
                          <w:rPr>
                            <w:sz w:val="21"/>
                          </w:rPr>
                          <w:t>序号</w:t>
                        </w:r>
                      </w:p>
                    </w:tc>
                    <w:tc>
                      <w:tcPr>
                        <w:tcW w:w="2756" w:type="dxa"/>
                      </w:tcPr>
                      <w:p>
                        <w:pPr>
                          <w:pStyle w:val="TableParagraph"/>
                          <w:spacing w:line="320" w:lineRule="exact"/>
                          <w:ind w:left="936" w:right="930"/>
                          <w:rPr>
                            <w:sz w:val="21"/>
                          </w:rPr>
                        </w:pPr>
                        <w:r>
                          <w:rPr>
                            <w:sz w:val="21"/>
                          </w:rPr>
                          <w:t>监测点位</w:t>
                        </w:r>
                      </w:p>
                    </w:tc>
                    <w:tc>
                      <w:tcPr>
                        <w:tcW w:w="2777" w:type="dxa"/>
                      </w:tcPr>
                      <w:p>
                        <w:pPr>
                          <w:pStyle w:val="TableParagraph"/>
                          <w:spacing w:line="320" w:lineRule="exact"/>
                          <w:ind w:left="948" w:right="938"/>
                          <w:rPr>
                            <w:sz w:val="21"/>
                          </w:rPr>
                        </w:pPr>
                        <w:r>
                          <w:rPr>
                            <w:sz w:val="21"/>
                          </w:rPr>
                          <w:t>监测项目</w:t>
                        </w:r>
                      </w:p>
                    </w:tc>
                    <w:tc>
                      <w:tcPr>
                        <w:tcW w:w="2506" w:type="dxa"/>
                      </w:tcPr>
                      <w:p>
                        <w:pPr>
                          <w:pStyle w:val="TableParagraph"/>
                          <w:spacing w:line="320" w:lineRule="exact"/>
                          <w:ind w:left="126" w:right="111"/>
                          <w:rPr>
                            <w:sz w:val="21"/>
                          </w:rPr>
                        </w:pPr>
                        <w:r>
                          <w:rPr>
                            <w:sz w:val="21"/>
                          </w:rPr>
                          <w:t>备注</w:t>
                        </w:r>
                      </w:p>
                    </w:tc>
                  </w:tr>
                  <w:tr>
                    <w:trPr>
                      <w:trHeight w:val="270" w:hRule="atLeast"/>
                    </w:trPr>
                    <w:tc>
                      <w:tcPr>
                        <w:tcW w:w="727" w:type="dxa"/>
                        <w:tcBorders>
                          <w:bottom w:val="nil"/>
                        </w:tcBorders>
                      </w:tcPr>
                      <w:p>
                        <w:pPr>
                          <w:pStyle w:val="TableParagraph"/>
                          <w:jc w:val="left"/>
                          <w:rPr>
                            <w:rFonts w:ascii="Times New Roman"/>
                            <w:sz w:val="20"/>
                          </w:rPr>
                        </w:pPr>
                      </w:p>
                    </w:tc>
                    <w:tc>
                      <w:tcPr>
                        <w:tcW w:w="2756" w:type="dxa"/>
                        <w:tcBorders>
                          <w:bottom w:val="nil"/>
                        </w:tcBorders>
                      </w:tcPr>
                      <w:p>
                        <w:pPr>
                          <w:pStyle w:val="TableParagraph"/>
                          <w:jc w:val="left"/>
                          <w:rPr>
                            <w:rFonts w:ascii="Times New Roman"/>
                            <w:sz w:val="20"/>
                          </w:rPr>
                        </w:pPr>
                      </w:p>
                    </w:tc>
                    <w:tc>
                      <w:tcPr>
                        <w:tcW w:w="2777" w:type="dxa"/>
                        <w:tcBorders>
                          <w:bottom w:val="nil"/>
                        </w:tcBorders>
                      </w:tcPr>
                      <w:p>
                        <w:pPr>
                          <w:pStyle w:val="TableParagraph"/>
                          <w:spacing w:line="251" w:lineRule="exact"/>
                          <w:ind w:left="107"/>
                          <w:jc w:val="left"/>
                          <w:rPr>
                            <w:sz w:val="21"/>
                          </w:rPr>
                        </w:pPr>
                        <w:r>
                          <w:rPr>
                            <w:sz w:val="21"/>
                          </w:rPr>
                          <w:t>甲醛、甲苯、二甲苯、溴丙</w:t>
                        </w:r>
                      </w:p>
                    </w:tc>
                    <w:tc>
                      <w:tcPr>
                        <w:tcW w:w="2506" w:type="dxa"/>
                        <w:tcBorders>
                          <w:bottom w:val="nil"/>
                        </w:tcBorders>
                      </w:tcPr>
                      <w:p>
                        <w:pPr>
                          <w:pStyle w:val="TableParagraph"/>
                          <w:jc w:val="left"/>
                          <w:rPr>
                            <w:rFonts w:ascii="Times New Roman"/>
                            <w:sz w:val="20"/>
                          </w:rPr>
                        </w:pPr>
                      </w:p>
                    </w:tc>
                  </w:tr>
                  <w:tr>
                    <w:trPr>
                      <w:trHeight w:val="287" w:hRule="atLeast"/>
                    </w:trPr>
                    <w:tc>
                      <w:tcPr>
                        <w:tcW w:w="727" w:type="dxa"/>
                        <w:tcBorders>
                          <w:top w:val="nil"/>
                          <w:bottom w:val="nil"/>
                        </w:tcBorders>
                      </w:tcPr>
                      <w:p>
                        <w:pPr>
                          <w:pStyle w:val="TableParagraph"/>
                          <w:spacing w:line="268" w:lineRule="exact"/>
                          <w:ind w:left="7"/>
                          <w:rPr>
                            <w:sz w:val="21"/>
                          </w:rPr>
                        </w:pPr>
                        <w:r>
                          <w:rPr>
                            <w:w w:val="90"/>
                            <w:sz w:val="21"/>
                          </w:rPr>
                          <w:t>1</w:t>
                        </w:r>
                      </w:p>
                    </w:tc>
                    <w:tc>
                      <w:tcPr>
                        <w:tcW w:w="2756" w:type="dxa"/>
                        <w:tcBorders>
                          <w:top w:val="nil"/>
                          <w:bottom w:val="nil"/>
                        </w:tcBorders>
                      </w:tcPr>
                      <w:p>
                        <w:pPr>
                          <w:pStyle w:val="TableParagraph"/>
                          <w:spacing w:line="268" w:lineRule="exact"/>
                          <w:ind w:left="936" w:right="927"/>
                          <w:rPr>
                            <w:sz w:val="21"/>
                          </w:rPr>
                        </w:pPr>
                        <w:r>
                          <w:rPr>
                            <w:sz w:val="21"/>
                          </w:rPr>
                          <w:t>厂址</w:t>
                        </w:r>
                      </w:p>
                    </w:tc>
                    <w:tc>
                      <w:tcPr>
                        <w:tcW w:w="2777" w:type="dxa"/>
                        <w:tcBorders>
                          <w:top w:val="nil"/>
                          <w:bottom w:val="nil"/>
                        </w:tcBorders>
                      </w:tcPr>
                      <w:p>
                        <w:pPr>
                          <w:pStyle w:val="TableParagraph"/>
                          <w:spacing w:line="268" w:lineRule="exact"/>
                          <w:ind w:left="107"/>
                          <w:jc w:val="left"/>
                          <w:rPr>
                            <w:sz w:val="21"/>
                          </w:rPr>
                        </w:pPr>
                        <w:r>
                          <w:rPr>
                            <w:sz w:val="21"/>
                          </w:rPr>
                          <w:t>烷、丙酮、甲醇、苯乙胺、</w:t>
                        </w:r>
                      </w:p>
                    </w:tc>
                    <w:tc>
                      <w:tcPr>
                        <w:tcW w:w="2506" w:type="dxa"/>
                        <w:tcBorders>
                          <w:top w:val="nil"/>
                          <w:bottom w:val="nil"/>
                        </w:tcBorders>
                      </w:tcPr>
                      <w:p>
                        <w:pPr>
                          <w:pStyle w:val="TableParagraph"/>
                          <w:jc w:val="left"/>
                          <w:rPr>
                            <w:rFonts w:ascii="Times New Roman"/>
                            <w:sz w:val="20"/>
                          </w:rPr>
                        </w:pPr>
                      </w:p>
                    </w:tc>
                  </w:tr>
                  <w:tr>
                    <w:trPr>
                      <w:trHeight w:val="256" w:hRule="atLeast"/>
                    </w:trPr>
                    <w:tc>
                      <w:tcPr>
                        <w:tcW w:w="727" w:type="dxa"/>
                        <w:tcBorders>
                          <w:top w:val="nil"/>
                          <w:bottom w:val="nil"/>
                        </w:tcBorders>
                      </w:tcPr>
                      <w:p>
                        <w:pPr>
                          <w:pStyle w:val="TableParagraph"/>
                          <w:jc w:val="left"/>
                          <w:rPr>
                            <w:rFonts w:ascii="Times New Roman"/>
                            <w:sz w:val="18"/>
                          </w:rPr>
                        </w:pPr>
                      </w:p>
                    </w:tc>
                    <w:tc>
                      <w:tcPr>
                        <w:tcW w:w="2756" w:type="dxa"/>
                        <w:tcBorders>
                          <w:top w:val="nil"/>
                          <w:bottom w:val="nil"/>
                        </w:tcBorders>
                      </w:tcPr>
                      <w:p>
                        <w:pPr>
                          <w:pStyle w:val="TableParagraph"/>
                          <w:jc w:val="left"/>
                          <w:rPr>
                            <w:rFonts w:ascii="Times New Roman"/>
                            <w:sz w:val="18"/>
                          </w:rPr>
                        </w:pPr>
                      </w:p>
                    </w:tc>
                    <w:tc>
                      <w:tcPr>
                        <w:tcW w:w="2777" w:type="dxa"/>
                        <w:tcBorders>
                          <w:top w:val="nil"/>
                          <w:bottom w:val="nil"/>
                        </w:tcBorders>
                      </w:tcPr>
                      <w:p>
                        <w:pPr>
                          <w:pStyle w:val="TableParagraph"/>
                          <w:spacing w:line="237" w:lineRule="exact"/>
                          <w:ind w:left="107"/>
                          <w:jc w:val="left"/>
                          <w:rPr>
                            <w:sz w:val="21"/>
                          </w:rPr>
                        </w:pPr>
                        <w:r>
                          <w:rPr>
                            <w:sz w:val="21"/>
                          </w:rPr>
                          <w:t>环氧氯丙烷、正丙胺、溴氯</w:t>
                        </w:r>
                      </w:p>
                    </w:tc>
                    <w:tc>
                      <w:tcPr>
                        <w:tcW w:w="2506" w:type="dxa"/>
                        <w:tcBorders>
                          <w:top w:val="nil"/>
                          <w:bottom w:val="nil"/>
                        </w:tcBorders>
                      </w:tcPr>
                      <w:p>
                        <w:pPr>
                          <w:pStyle w:val="TableParagraph"/>
                          <w:spacing w:line="237" w:lineRule="exact"/>
                          <w:ind w:left="126" w:right="112"/>
                          <w:rPr>
                            <w:sz w:val="21"/>
                          </w:rPr>
                        </w:pPr>
                        <w:r>
                          <w:rPr>
                            <w:sz w:val="21"/>
                          </w:rPr>
                          <w:t>一般情况下每 10 分钟取</w:t>
                        </w:r>
                      </w:p>
                    </w:tc>
                  </w:tr>
                  <w:tr>
                    <w:trPr>
                      <w:trHeight w:val="62" w:hRule="atLeast"/>
                    </w:trPr>
                    <w:tc>
                      <w:tcPr>
                        <w:tcW w:w="727" w:type="dxa"/>
                        <w:tcBorders>
                          <w:top w:val="nil"/>
                        </w:tcBorders>
                      </w:tcPr>
                      <w:p>
                        <w:pPr>
                          <w:pStyle w:val="TableParagraph"/>
                          <w:jc w:val="left"/>
                          <w:rPr>
                            <w:rFonts w:ascii="Times New Roman"/>
                            <w:sz w:val="2"/>
                          </w:rPr>
                        </w:pPr>
                      </w:p>
                    </w:tc>
                    <w:tc>
                      <w:tcPr>
                        <w:tcW w:w="2756" w:type="dxa"/>
                        <w:tcBorders>
                          <w:top w:val="nil"/>
                        </w:tcBorders>
                      </w:tcPr>
                      <w:p>
                        <w:pPr>
                          <w:pStyle w:val="TableParagraph"/>
                          <w:jc w:val="left"/>
                          <w:rPr>
                            <w:rFonts w:ascii="Times New Roman"/>
                            <w:sz w:val="2"/>
                          </w:rPr>
                        </w:pPr>
                      </w:p>
                    </w:tc>
                    <w:tc>
                      <w:tcPr>
                        <w:tcW w:w="2777" w:type="dxa"/>
                        <w:vMerge w:val="restart"/>
                        <w:tcBorders>
                          <w:top w:val="nil"/>
                          <w:bottom w:val="nil"/>
                        </w:tcBorders>
                      </w:tcPr>
                      <w:p>
                        <w:pPr>
                          <w:pStyle w:val="TableParagraph"/>
                          <w:spacing w:line="252" w:lineRule="exact"/>
                          <w:ind w:left="107"/>
                          <w:jc w:val="left"/>
                          <w:rPr>
                            <w:sz w:val="21"/>
                          </w:rPr>
                        </w:pPr>
                        <w:r>
                          <w:rPr>
                            <w:sz w:val="21"/>
                          </w:rPr>
                          <w:t>丙烷、氯化氢、三乙胺、苯</w:t>
                        </w:r>
                      </w:p>
                    </w:tc>
                    <w:tc>
                      <w:tcPr>
                        <w:tcW w:w="2506" w:type="dxa"/>
                        <w:vMerge w:val="restart"/>
                        <w:tcBorders>
                          <w:top w:val="nil"/>
                          <w:bottom w:val="nil"/>
                        </w:tcBorders>
                      </w:tcPr>
                      <w:p>
                        <w:pPr>
                          <w:pStyle w:val="TableParagraph"/>
                          <w:spacing w:line="252" w:lineRule="exact"/>
                          <w:ind w:left="203"/>
                          <w:jc w:val="left"/>
                          <w:rPr>
                            <w:sz w:val="21"/>
                          </w:rPr>
                        </w:pPr>
                        <w:r>
                          <w:rPr>
                            <w:sz w:val="21"/>
                          </w:rPr>
                          <w:t>样一次。随事故控制减</w:t>
                        </w:r>
                      </w:p>
                    </w:tc>
                  </w:tr>
                  <w:tr>
                    <w:trPr>
                      <w:trHeight w:val="199" w:hRule="atLeast"/>
                    </w:trPr>
                    <w:tc>
                      <w:tcPr>
                        <w:tcW w:w="727" w:type="dxa"/>
                        <w:tcBorders>
                          <w:bottom w:val="nil"/>
                        </w:tcBorders>
                      </w:tcPr>
                      <w:p>
                        <w:pPr>
                          <w:pStyle w:val="TableParagraph"/>
                          <w:jc w:val="left"/>
                          <w:rPr>
                            <w:rFonts w:ascii="Times New Roman"/>
                            <w:sz w:val="12"/>
                          </w:rPr>
                        </w:pPr>
                      </w:p>
                    </w:tc>
                    <w:tc>
                      <w:tcPr>
                        <w:tcW w:w="2756" w:type="dxa"/>
                        <w:tcBorders>
                          <w:bottom w:val="nil"/>
                        </w:tcBorders>
                      </w:tcPr>
                      <w:p>
                        <w:pPr>
                          <w:pStyle w:val="TableParagraph"/>
                          <w:jc w:val="left"/>
                          <w:rPr>
                            <w:rFonts w:ascii="Times New Roman"/>
                            <w:sz w:val="12"/>
                          </w:rPr>
                        </w:pPr>
                      </w:p>
                    </w:tc>
                    <w:tc>
                      <w:tcPr>
                        <w:tcW w:w="2777" w:type="dxa"/>
                        <w:vMerge/>
                        <w:tcBorders>
                          <w:top w:val="nil"/>
                          <w:bottom w:val="nil"/>
                        </w:tcBorders>
                      </w:tcPr>
                      <w:p>
                        <w:pPr>
                          <w:rPr>
                            <w:sz w:val="2"/>
                            <w:szCs w:val="2"/>
                          </w:rPr>
                        </w:pPr>
                      </w:p>
                    </w:tc>
                    <w:tc>
                      <w:tcPr>
                        <w:tcW w:w="2506" w:type="dxa"/>
                        <w:vMerge/>
                        <w:tcBorders>
                          <w:top w:val="nil"/>
                          <w:bottom w:val="nil"/>
                        </w:tcBorders>
                      </w:tcPr>
                      <w:p>
                        <w:pPr>
                          <w:rPr>
                            <w:sz w:val="2"/>
                            <w:szCs w:val="2"/>
                          </w:rPr>
                        </w:pPr>
                      </w:p>
                    </w:tc>
                  </w:tr>
                  <w:tr>
                    <w:trPr>
                      <w:trHeight w:val="544" w:hRule="atLeast"/>
                    </w:trPr>
                    <w:tc>
                      <w:tcPr>
                        <w:tcW w:w="727" w:type="dxa"/>
                        <w:tcBorders>
                          <w:top w:val="nil"/>
                          <w:bottom w:val="nil"/>
                        </w:tcBorders>
                      </w:tcPr>
                      <w:p>
                        <w:pPr>
                          <w:pStyle w:val="TableParagraph"/>
                          <w:spacing w:before="74"/>
                          <w:ind w:left="7"/>
                          <w:rPr>
                            <w:sz w:val="21"/>
                          </w:rPr>
                        </w:pPr>
                        <w:r>
                          <w:rPr>
                            <w:w w:val="90"/>
                            <w:sz w:val="21"/>
                          </w:rPr>
                          <w:t>2</w:t>
                        </w:r>
                      </w:p>
                    </w:tc>
                    <w:tc>
                      <w:tcPr>
                        <w:tcW w:w="2756" w:type="dxa"/>
                        <w:tcBorders>
                          <w:top w:val="nil"/>
                          <w:bottom w:val="nil"/>
                        </w:tcBorders>
                      </w:tcPr>
                      <w:p>
                        <w:pPr>
                          <w:pStyle w:val="TableParagraph"/>
                          <w:spacing w:before="74"/>
                          <w:ind w:left="936" w:right="930"/>
                          <w:rPr>
                            <w:sz w:val="21"/>
                          </w:rPr>
                        </w:pPr>
                        <w:r>
                          <w:rPr>
                            <w:sz w:val="21"/>
                          </w:rPr>
                          <w:t>中柴沟村</w:t>
                        </w:r>
                      </w:p>
                    </w:tc>
                    <w:tc>
                      <w:tcPr>
                        <w:tcW w:w="2777" w:type="dxa"/>
                        <w:tcBorders>
                          <w:top w:val="nil"/>
                          <w:bottom w:val="nil"/>
                        </w:tcBorders>
                      </w:tcPr>
                      <w:p>
                        <w:pPr>
                          <w:pStyle w:val="TableParagraph"/>
                          <w:spacing w:line="260" w:lineRule="exact"/>
                          <w:ind w:left="107"/>
                          <w:jc w:val="left"/>
                          <w:rPr>
                            <w:sz w:val="21"/>
                          </w:rPr>
                        </w:pPr>
                        <w:r>
                          <w:rPr>
                            <w:sz w:val="21"/>
                          </w:rPr>
                          <w:t>甲醛、氧化苯乙烯、硝酸、</w:t>
                        </w:r>
                      </w:p>
                      <w:p>
                        <w:pPr>
                          <w:pStyle w:val="TableParagraph"/>
                          <w:spacing w:line="265" w:lineRule="exact"/>
                          <w:ind w:left="107" w:right="-15"/>
                          <w:jc w:val="left"/>
                          <w:rPr>
                            <w:sz w:val="21"/>
                          </w:rPr>
                        </w:pPr>
                        <w:r>
                          <w:rPr>
                            <w:spacing w:val="-9"/>
                            <w:sz w:val="21"/>
                          </w:rPr>
                          <w:t>呋喃、氯仿、氯乙酸、醋酸、</w:t>
                        </w:r>
                      </w:p>
                    </w:tc>
                    <w:tc>
                      <w:tcPr>
                        <w:tcW w:w="2506" w:type="dxa"/>
                        <w:tcBorders>
                          <w:top w:val="nil"/>
                          <w:bottom w:val="nil"/>
                        </w:tcBorders>
                      </w:tcPr>
                      <w:p>
                        <w:pPr>
                          <w:pStyle w:val="TableParagraph"/>
                          <w:spacing w:line="347" w:lineRule="exact"/>
                          <w:ind w:left="126" w:right="112"/>
                          <w:rPr>
                            <w:sz w:val="21"/>
                          </w:rPr>
                        </w:pPr>
                        <w:r>
                          <w:rPr>
                            <w:sz w:val="21"/>
                          </w:rPr>
                          <w:t>弱，适当减少监测频次</w:t>
                        </w:r>
                      </w:p>
                    </w:tc>
                  </w:tr>
                  <w:tr>
                    <w:trPr>
                      <w:trHeight w:val="274" w:hRule="atLeast"/>
                    </w:trPr>
                    <w:tc>
                      <w:tcPr>
                        <w:tcW w:w="727" w:type="dxa"/>
                        <w:tcBorders>
                          <w:top w:val="nil"/>
                        </w:tcBorders>
                      </w:tcPr>
                      <w:p>
                        <w:pPr>
                          <w:pStyle w:val="TableParagraph"/>
                          <w:jc w:val="left"/>
                          <w:rPr>
                            <w:rFonts w:ascii="Times New Roman"/>
                            <w:sz w:val="20"/>
                          </w:rPr>
                        </w:pPr>
                      </w:p>
                    </w:tc>
                    <w:tc>
                      <w:tcPr>
                        <w:tcW w:w="2756" w:type="dxa"/>
                        <w:tcBorders>
                          <w:top w:val="nil"/>
                        </w:tcBorders>
                      </w:tcPr>
                      <w:p>
                        <w:pPr>
                          <w:pStyle w:val="TableParagraph"/>
                          <w:jc w:val="left"/>
                          <w:rPr>
                            <w:rFonts w:ascii="Times New Roman"/>
                            <w:sz w:val="20"/>
                          </w:rPr>
                        </w:pPr>
                      </w:p>
                    </w:tc>
                    <w:tc>
                      <w:tcPr>
                        <w:tcW w:w="2777" w:type="dxa"/>
                        <w:tcBorders>
                          <w:top w:val="nil"/>
                        </w:tcBorders>
                      </w:tcPr>
                      <w:p>
                        <w:pPr>
                          <w:pStyle w:val="TableParagraph"/>
                          <w:spacing w:line="255" w:lineRule="exact"/>
                          <w:ind w:left="107"/>
                          <w:jc w:val="left"/>
                          <w:rPr>
                            <w:sz w:val="21"/>
                          </w:rPr>
                        </w:pPr>
                        <w:r>
                          <w:rPr>
                            <w:sz w:val="21"/>
                          </w:rPr>
                          <w:t>苯甲醛等</w:t>
                        </w:r>
                      </w:p>
                    </w:tc>
                    <w:tc>
                      <w:tcPr>
                        <w:tcW w:w="2506" w:type="dxa"/>
                        <w:tcBorders>
                          <w:top w:val="nil"/>
                        </w:tcBorders>
                      </w:tcPr>
                      <w:p>
                        <w:pPr>
                          <w:pStyle w:val="TableParagraph"/>
                          <w:jc w:val="left"/>
                          <w:rPr>
                            <w:rFonts w:ascii="Times New Roman"/>
                            <w:sz w:val="20"/>
                          </w:rPr>
                        </w:pPr>
                      </w:p>
                    </w:tc>
                  </w:tr>
                </w:tbl>
                <w:p>
                  <w:pPr>
                    <w:pStyle w:val="BodyText"/>
                  </w:pPr>
                </w:p>
              </w:txbxContent>
            </v:textbox>
            <w10:wrap type="none"/>
          </v:shape>
        </w:pict>
      </w:r>
      <w:r>
        <w:rPr/>
        <w:t>表 10.2-4 大气环境污染应急监测点位表</w:t>
      </w:r>
    </w:p>
    <w:p>
      <w:pPr>
        <w:pStyle w:val="BodyText"/>
      </w:pPr>
    </w:p>
    <w:p>
      <w:pPr>
        <w:pStyle w:val="BodyText"/>
      </w:pPr>
    </w:p>
    <w:p>
      <w:pPr>
        <w:pStyle w:val="BodyText"/>
      </w:pPr>
    </w:p>
    <w:p>
      <w:pPr>
        <w:pStyle w:val="BodyText"/>
        <w:spacing w:before="20"/>
        <w:rPr>
          <w:sz w:val="35"/>
        </w:rPr>
      </w:pPr>
    </w:p>
    <w:p>
      <w:pPr>
        <w:pStyle w:val="BodyText"/>
        <w:spacing w:line="220" w:lineRule="auto" w:before="1"/>
        <w:ind w:left="580" w:right="757" w:firstLine="479"/>
      </w:pPr>
      <w:r>
        <w:rPr>
          <w:spacing w:val="-7"/>
        </w:rPr>
        <w:t>污染源监测数据按《污染源监测管理办法》上报当地环保主管部门。所有监测数据一律归档保存。</w:t>
      </w:r>
    </w:p>
    <w:p>
      <w:pPr>
        <w:pStyle w:val="Heading5"/>
        <w:numPr>
          <w:ilvl w:val="2"/>
          <w:numId w:val="20"/>
        </w:numPr>
        <w:tabs>
          <w:tab w:pos="1560" w:val="left" w:leader="none"/>
        </w:tabs>
        <w:spacing w:line="542" w:lineRule="exact" w:before="0" w:after="0"/>
        <w:ind w:left="1559" w:right="0" w:hanging="979"/>
        <w:jc w:val="left"/>
      </w:pPr>
      <w:r>
        <w:rPr>
          <w:spacing w:val="-1"/>
        </w:rPr>
        <w:t>环境监测站配置</w:t>
      </w:r>
    </w:p>
    <w:p>
      <w:pPr>
        <w:pStyle w:val="BodyText"/>
        <w:spacing w:line="220" w:lineRule="auto" w:before="79"/>
        <w:ind w:left="580" w:right="757" w:firstLine="479"/>
      </w:pPr>
      <w:r>
        <w:rPr>
          <w:spacing w:val="-6"/>
        </w:rPr>
        <w:t>为满足监测工作的要求，环保监测站需要配备以下监测仪器、设备，监测仪器、设备配置具体要求见表 </w:t>
      </w:r>
      <w:r>
        <w:rPr/>
        <w:t>10.2-5。</w:t>
      </w:r>
    </w:p>
    <w:p>
      <w:pPr>
        <w:pStyle w:val="BodyText"/>
        <w:tabs>
          <w:tab w:pos="3444" w:val="left" w:leader="none"/>
        </w:tabs>
        <w:spacing w:before="48"/>
        <w:ind w:left="2183"/>
      </w:pPr>
      <w:r>
        <w:rPr/>
        <w:pict>
          <v:shape style="position:absolute;margin-left:74.183998pt;margin-top:23.640003pt;width:447.2pt;height:298.150pt;mso-position-horizontal-relative:page;mso-position-vertical-relative:paragraph;z-index:220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0"/>
                    <w:gridCol w:w="5433"/>
                    <w:gridCol w:w="2169"/>
                  </w:tblGrid>
                  <w:tr>
                    <w:trPr>
                      <w:trHeight w:val="340" w:hRule="atLeast"/>
                    </w:trPr>
                    <w:tc>
                      <w:tcPr>
                        <w:tcW w:w="1330" w:type="dxa"/>
                      </w:tcPr>
                      <w:p>
                        <w:pPr>
                          <w:pStyle w:val="TableParagraph"/>
                          <w:spacing w:line="320" w:lineRule="exact"/>
                          <w:ind w:left="434" w:right="425"/>
                          <w:rPr>
                            <w:sz w:val="21"/>
                          </w:rPr>
                        </w:pPr>
                        <w:r>
                          <w:rPr>
                            <w:sz w:val="21"/>
                          </w:rPr>
                          <w:t>序号</w:t>
                        </w:r>
                      </w:p>
                    </w:tc>
                    <w:tc>
                      <w:tcPr>
                        <w:tcW w:w="5433" w:type="dxa"/>
                      </w:tcPr>
                      <w:p>
                        <w:pPr>
                          <w:pStyle w:val="TableParagraph"/>
                          <w:spacing w:line="320" w:lineRule="exact"/>
                          <w:ind w:left="69" w:right="61"/>
                          <w:rPr>
                            <w:sz w:val="21"/>
                          </w:rPr>
                        </w:pPr>
                        <w:r>
                          <w:rPr>
                            <w:sz w:val="21"/>
                          </w:rPr>
                          <w:t>仪器名称</w:t>
                        </w:r>
                      </w:p>
                    </w:tc>
                    <w:tc>
                      <w:tcPr>
                        <w:tcW w:w="2169" w:type="dxa"/>
                      </w:tcPr>
                      <w:p>
                        <w:pPr>
                          <w:pStyle w:val="TableParagraph"/>
                          <w:spacing w:line="320" w:lineRule="exact"/>
                          <w:ind w:left="393" w:right="385"/>
                          <w:rPr>
                            <w:sz w:val="21"/>
                          </w:rPr>
                        </w:pPr>
                        <w:r>
                          <w:rPr>
                            <w:w w:val="110"/>
                            <w:sz w:val="21"/>
                          </w:rPr>
                          <w:t>数量</w:t>
                        </w:r>
                        <w:r>
                          <w:rPr>
                            <w:w w:val="130"/>
                            <w:sz w:val="21"/>
                          </w:rPr>
                          <w:t>(</w:t>
                        </w:r>
                        <w:r>
                          <w:rPr>
                            <w:w w:val="110"/>
                            <w:sz w:val="21"/>
                          </w:rPr>
                          <w:t>台、套</w:t>
                        </w:r>
                        <w:r>
                          <w:rPr>
                            <w:w w:val="130"/>
                            <w:sz w:val="21"/>
                          </w:rPr>
                          <w:t>)</w:t>
                        </w:r>
                      </w:p>
                    </w:tc>
                  </w:tr>
                  <w:tr>
                    <w:trPr>
                      <w:trHeight w:val="340" w:hRule="atLeast"/>
                    </w:trPr>
                    <w:tc>
                      <w:tcPr>
                        <w:tcW w:w="8932" w:type="dxa"/>
                        <w:gridSpan w:val="3"/>
                      </w:tcPr>
                      <w:p>
                        <w:pPr>
                          <w:pStyle w:val="TableParagraph"/>
                          <w:spacing w:line="320" w:lineRule="exact"/>
                          <w:ind w:left="3920" w:right="3911"/>
                          <w:rPr>
                            <w:sz w:val="21"/>
                          </w:rPr>
                        </w:pPr>
                        <w:r>
                          <w:rPr>
                            <w:sz w:val="21"/>
                          </w:rPr>
                          <w:t>原有仪器</w:t>
                        </w:r>
                      </w:p>
                    </w:tc>
                  </w:tr>
                  <w:tr>
                    <w:trPr>
                      <w:trHeight w:val="340" w:hRule="atLeast"/>
                    </w:trPr>
                    <w:tc>
                      <w:tcPr>
                        <w:tcW w:w="1330" w:type="dxa"/>
                      </w:tcPr>
                      <w:p>
                        <w:pPr>
                          <w:pStyle w:val="TableParagraph"/>
                          <w:spacing w:line="321" w:lineRule="exact"/>
                          <w:ind w:left="4"/>
                          <w:rPr>
                            <w:sz w:val="21"/>
                          </w:rPr>
                        </w:pPr>
                        <w:r>
                          <w:rPr>
                            <w:w w:val="90"/>
                            <w:sz w:val="21"/>
                          </w:rPr>
                          <w:t>1</w:t>
                        </w:r>
                      </w:p>
                    </w:tc>
                    <w:tc>
                      <w:tcPr>
                        <w:tcW w:w="5433" w:type="dxa"/>
                      </w:tcPr>
                      <w:p>
                        <w:pPr>
                          <w:pStyle w:val="TableParagraph"/>
                          <w:spacing w:line="321" w:lineRule="exact"/>
                          <w:ind w:left="69" w:right="61"/>
                          <w:rPr>
                            <w:sz w:val="21"/>
                          </w:rPr>
                        </w:pPr>
                        <w:r>
                          <w:rPr>
                            <w:sz w:val="21"/>
                          </w:rPr>
                          <w:t>电子天平</w:t>
                        </w:r>
                      </w:p>
                    </w:tc>
                    <w:tc>
                      <w:tcPr>
                        <w:tcW w:w="2169" w:type="dxa"/>
                      </w:tcPr>
                      <w:p>
                        <w:pPr>
                          <w:pStyle w:val="TableParagraph"/>
                          <w:spacing w:line="321"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2</w:t>
                        </w:r>
                      </w:p>
                    </w:tc>
                    <w:tc>
                      <w:tcPr>
                        <w:tcW w:w="5433" w:type="dxa"/>
                      </w:tcPr>
                      <w:p>
                        <w:pPr>
                          <w:pStyle w:val="TableParagraph"/>
                          <w:spacing w:line="320" w:lineRule="exact"/>
                          <w:ind w:left="71" w:right="61"/>
                          <w:rPr>
                            <w:sz w:val="21"/>
                          </w:rPr>
                        </w:pPr>
                        <w:r>
                          <w:rPr>
                            <w:sz w:val="21"/>
                          </w:rPr>
                          <w:t>噪声统计分析仪</w:t>
                        </w:r>
                      </w:p>
                    </w:tc>
                    <w:tc>
                      <w:tcPr>
                        <w:tcW w:w="2169" w:type="dxa"/>
                      </w:tcPr>
                      <w:p>
                        <w:pPr>
                          <w:pStyle w:val="TableParagraph"/>
                          <w:spacing w:line="320" w:lineRule="exact"/>
                          <w:ind w:left="4"/>
                          <w:rPr>
                            <w:sz w:val="21"/>
                          </w:rPr>
                        </w:pPr>
                        <w:r>
                          <w:rPr>
                            <w:w w:val="90"/>
                            <w:sz w:val="21"/>
                          </w:rPr>
                          <w:t>1</w:t>
                        </w:r>
                      </w:p>
                    </w:tc>
                  </w:tr>
                  <w:tr>
                    <w:trPr>
                      <w:trHeight w:val="338" w:hRule="atLeast"/>
                    </w:trPr>
                    <w:tc>
                      <w:tcPr>
                        <w:tcW w:w="1330" w:type="dxa"/>
                      </w:tcPr>
                      <w:p>
                        <w:pPr>
                          <w:pStyle w:val="TableParagraph"/>
                          <w:spacing w:line="318" w:lineRule="exact"/>
                          <w:ind w:left="4"/>
                          <w:rPr>
                            <w:sz w:val="21"/>
                          </w:rPr>
                        </w:pPr>
                        <w:r>
                          <w:rPr>
                            <w:w w:val="90"/>
                            <w:sz w:val="21"/>
                          </w:rPr>
                          <w:t>3</w:t>
                        </w:r>
                      </w:p>
                    </w:tc>
                    <w:tc>
                      <w:tcPr>
                        <w:tcW w:w="5433" w:type="dxa"/>
                      </w:tcPr>
                      <w:p>
                        <w:pPr>
                          <w:pStyle w:val="TableParagraph"/>
                          <w:spacing w:line="318" w:lineRule="exact"/>
                          <w:ind w:left="71" w:right="61"/>
                          <w:rPr>
                            <w:sz w:val="21"/>
                          </w:rPr>
                        </w:pPr>
                        <w:r>
                          <w:rPr>
                            <w:sz w:val="21"/>
                          </w:rPr>
                          <w:t>pH 计</w:t>
                        </w:r>
                      </w:p>
                    </w:tc>
                    <w:tc>
                      <w:tcPr>
                        <w:tcW w:w="2169" w:type="dxa"/>
                      </w:tcPr>
                      <w:p>
                        <w:pPr>
                          <w:pStyle w:val="TableParagraph"/>
                          <w:spacing w:line="318"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4</w:t>
                        </w:r>
                      </w:p>
                    </w:tc>
                    <w:tc>
                      <w:tcPr>
                        <w:tcW w:w="5433" w:type="dxa"/>
                      </w:tcPr>
                      <w:p>
                        <w:pPr>
                          <w:pStyle w:val="TableParagraph"/>
                          <w:spacing w:line="320" w:lineRule="exact"/>
                          <w:ind w:left="69" w:right="61"/>
                          <w:rPr>
                            <w:sz w:val="21"/>
                          </w:rPr>
                        </w:pPr>
                        <w:r>
                          <w:rPr>
                            <w:sz w:val="21"/>
                          </w:rPr>
                          <w:t>COD 测定仪</w:t>
                        </w:r>
                      </w:p>
                    </w:tc>
                    <w:tc>
                      <w:tcPr>
                        <w:tcW w:w="2169" w:type="dxa"/>
                      </w:tcPr>
                      <w:p>
                        <w:pPr>
                          <w:pStyle w:val="TableParagraph"/>
                          <w:spacing w:line="320"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5</w:t>
                        </w:r>
                      </w:p>
                    </w:tc>
                    <w:tc>
                      <w:tcPr>
                        <w:tcW w:w="5433" w:type="dxa"/>
                      </w:tcPr>
                      <w:p>
                        <w:pPr>
                          <w:pStyle w:val="TableParagraph"/>
                          <w:spacing w:line="320" w:lineRule="exact"/>
                          <w:ind w:left="71" w:right="61"/>
                          <w:rPr>
                            <w:sz w:val="21"/>
                          </w:rPr>
                        </w:pPr>
                        <w:r>
                          <w:rPr>
                            <w:sz w:val="21"/>
                          </w:rPr>
                          <w:t>测油仪</w:t>
                        </w:r>
                      </w:p>
                    </w:tc>
                    <w:tc>
                      <w:tcPr>
                        <w:tcW w:w="2169" w:type="dxa"/>
                      </w:tcPr>
                      <w:p>
                        <w:pPr>
                          <w:pStyle w:val="TableParagraph"/>
                          <w:spacing w:line="320"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6</w:t>
                        </w:r>
                      </w:p>
                    </w:tc>
                    <w:tc>
                      <w:tcPr>
                        <w:tcW w:w="5433" w:type="dxa"/>
                      </w:tcPr>
                      <w:p>
                        <w:pPr>
                          <w:pStyle w:val="TableParagraph"/>
                          <w:spacing w:line="320" w:lineRule="exact"/>
                          <w:ind w:left="69" w:right="61"/>
                          <w:rPr>
                            <w:sz w:val="21"/>
                          </w:rPr>
                        </w:pPr>
                        <w:r>
                          <w:rPr>
                            <w:sz w:val="21"/>
                          </w:rPr>
                          <w:t>分光光度计</w:t>
                        </w:r>
                      </w:p>
                    </w:tc>
                    <w:tc>
                      <w:tcPr>
                        <w:tcW w:w="2169" w:type="dxa"/>
                      </w:tcPr>
                      <w:p>
                        <w:pPr>
                          <w:pStyle w:val="TableParagraph"/>
                          <w:spacing w:line="320"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7</w:t>
                        </w:r>
                      </w:p>
                    </w:tc>
                    <w:tc>
                      <w:tcPr>
                        <w:tcW w:w="5433" w:type="dxa"/>
                      </w:tcPr>
                      <w:p>
                        <w:pPr>
                          <w:pStyle w:val="TableParagraph"/>
                          <w:spacing w:line="320" w:lineRule="exact"/>
                          <w:ind w:left="69" w:right="61"/>
                          <w:rPr>
                            <w:sz w:val="21"/>
                          </w:rPr>
                        </w:pPr>
                        <w:r>
                          <w:rPr>
                            <w:sz w:val="21"/>
                          </w:rPr>
                          <w:t>声级校准仪</w:t>
                        </w:r>
                      </w:p>
                    </w:tc>
                    <w:tc>
                      <w:tcPr>
                        <w:tcW w:w="2169" w:type="dxa"/>
                      </w:tcPr>
                      <w:p>
                        <w:pPr>
                          <w:pStyle w:val="TableParagraph"/>
                          <w:spacing w:line="320" w:lineRule="exact"/>
                          <w:ind w:left="4"/>
                          <w:rPr>
                            <w:sz w:val="21"/>
                          </w:rPr>
                        </w:pPr>
                        <w:r>
                          <w:rPr>
                            <w:w w:val="90"/>
                            <w:sz w:val="21"/>
                          </w:rPr>
                          <w:t>2</w:t>
                        </w:r>
                      </w:p>
                    </w:tc>
                  </w:tr>
                  <w:tr>
                    <w:trPr>
                      <w:trHeight w:val="340" w:hRule="atLeast"/>
                    </w:trPr>
                    <w:tc>
                      <w:tcPr>
                        <w:tcW w:w="1330" w:type="dxa"/>
                      </w:tcPr>
                      <w:p>
                        <w:pPr>
                          <w:pStyle w:val="TableParagraph"/>
                          <w:spacing w:line="320" w:lineRule="exact"/>
                          <w:ind w:left="4"/>
                          <w:rPr>
                            <w:sz w:val="21"/>
                          </w:rPr>
                        </w:pPr>
                        <w:r>
                          <w:rPr>
                            <w:w w:val="90"/>
                            <w:sz w:val="21"/>
                          </w:rPr>
                          <w:t>8</w:t>
                        </w:r>
                      </w:p>
                    </w:tc>
                    <w:tc>
                      <w:tcPr>
                        <w:tcW w:w="5433" w:type="dxa"/>
                      </w:tcPr>
                      <w:p>
                        <w:pPr>
                          <w:pStyle w:val="TableParagraph"/>
                          <w:spacing w:line="320" w:lineRule="exact"/>
                          <w:ind w:left="71" w:right="61"/>
                          <w:rPr>
                            <w:sz w:val="21"/>
                          </w:rPr>
                        </w:pPr>
                        <w:r>
                          <w:rPr>
                            <w:sz w:val="21"/>
                          </w:rPr>
                          <w:t>吸管、滴定管、移液管、量筒、烧杯、锥形瓶等常规仪器</w:t>
                        </w:r>
                      </w:p>
                    </w:tc>
                    <w:tc>
                      <w:tcPr>
                        <w:tcW w:w="2169" w:type="dxa"/>
                      </w:tcPr>
                      <w:p>
                        <w:pPr>
                          <w:pStyle w:val="TableParagraph"/>
                          <w:spacing w:line="320" w:lineRule="exact"/>
                          <w:ind w:left="393" w:right="385"/>
                          <w:rPr>
                            <w:sz w:val="21"/>
                          </w:rPr>
                        </w:pPr>
                        <w:r>
                          <w:rPr>
                            <w:sz w:val="21"/>
                          </w:rPr>
                          <w:t>若干</w:t>
                        </w:r>
                      </w:p>
                    </w:tc>
                  </w:tr>
                  <w:tr>
                    <w:trPr>
                      <w:trHeight w:val="338" w:hRule="atLeast"/>
                    </w:trPr>
                    <w:tc>
                      <w:tcPr>
                        <w:tcW w:w="8932" w:type="dxa"/>
                        <w:gridSpan w:val="3"/>
                      </w:tcPr>
                      <w:p>
                        <w:pPr>
                          <w:pStyle w:val="TableParagraph"/>
                          <w:spacing w:line="318" w:lineRule="exact"/>
                          <w:ind w:left="3920" w:right="3911"/>
                          <w:rPr>
                            <w:sz w:val="21"/>
                          </w:rPr>
                        </w:pPr>
                        <w:r>
                          <w:rPr>
                            <w:sz w:val="21"/>
                          </w:rPr>
                          <w:t>应增加仪器</w:t>
                        </w:r>
                      </w:p>
                    </w:tc>
                  </w:tr>
                  <w:tr>
                    <w:trPr>
                      <w:trHeight w:val="340" w:hRule="atLeast"/>
                    </w:trPr>
                    <w:tc>
                      <w:tcPr>
                        <w:tcW w:w="1330" w:type="dxa"/>
                      </w:tcPr>
                      <w:p>
                        <w:pPr>
                          <w:pStyle w:val="TableParagraph"/>
                          <w:spacing w:line="320" w:lineRule="exact"/>
                          <w:ind w:left="4"/>
                          <w:rPr>
                            <w:sz w:val="21"/>
                          </w:rPr>
                        </w:pPr>
                        <w:r>
                          <w:rPr>
                            <w:w w:val="90"/>
                            <w:sz w:val="21"/>
                          </w:rPr>
                          <w:t>1</w:t>
                        </w:r>
                      </w:p>
                    </w:tc>
                    <w:tc>
                      <w:tcPr>
                        <w:tcW w:w="5433" w:type="dxa"/>
                      </w:tcPr>
                      <w:p>
                        <w:pPr>
                          <w:pStyle w:val="TableParagraph"/>
                          <w:spacing w:line="320" w:lineRule="exact"/>
                          <w:ind w:left="71" w:right="61"/>
                          <w:rPr>
                            <w:sz w:val="21"/>
                          </w:rPr>
                        </w:pPr>
                        <w:r>
                          <w:rPr>
                            <w:sz w:val="21"/>
                          </w:rPr>
                          <w:t>干燥箱</w:t>
                        </w:r>
                      </w:p>
                    </w:tc>
                    <w:tc>
                      <w:tcPr>
                        <w:tcW w:w="2169" w:type="dxa"/>
                      </w:tcPr>
                      <w:p>
                        <w:pPr>
                          <w:pStyle w:val="TableParagraph"/>
                          <w:spacing w:line="320" w:lineRule="exact"/>
                          <w:ind w:left="4"/>
                          <w:rPr>
                            <w:sz w:val="21"/>
                          </w:rPr>
                        </w:pPr>
                        <w:r>
                          <w:rPr>
                            <w:w w:val="90"/>
                            <w:sz w:val="21"/>
                          </w:rPr>
                          <w:t>1</w:t>
                        </w:r>
                      </w:p>
                    </w:tc>
                  </w:tr>
                  <w:tr>
                    <w:trPr>
                      <w:trHeight w:val="340" w:hRule="atLeast"/>
                    </w:trPr>
                    <w:tc>
                      <w:tcPr>
                        <w:tcW w:w="1330" w:type="dxa"/>
                      </w:tcPr>
                      <w:p>
                        <w:pPr>
                          <w:pStyle w:val="TableParagraph"/>
                          <w:spacing w:line="321" w:lineRule="exact"/>
                          <w:ind w:left="4"/>
                          <w:rPr>
                            <w:sz w:val="21"/>
                          </w:rPr>
                        </w:pPr>
                        <w:r>
                          <w:rPr>
                            <w:w w:val="90"/>
                            <w:sz w:val="21"/>
                          </w:rPr>
                          <w:t>2</w:t>
                        </w:r>
                      </w:p>
                    </w:tc>
                    <w:tc>
                      <w:tcPr>
                        <w:tcW w:w="5433" w:type="dxa"/>
                      </w:tcPr>
                      <w:p>
                        <w:pPr>
                          <w:pStyle w:val="TableParagraph"/>
                          <w:spacing w:line="321" w:lineRule="exact"/>
                          <w:ind w:left="71" w:right="61"/>
                          <w:rPr>
                            <w:sz w:val="21"/>
                          </w:rPr>
                        </w:pPr>
                        <w:r>
                          <w:rPr>
                            <w:sz w:val="21"/>
                          </w:rPr>
                          <w:t>烟尘连续监测仪</w:t>
                        </w:r>
                      </w:p>
                    </w:tc>
                    <w:tc>
                      <w:tcPr>
                        <w:tcW w:w="2169" w:type="dxa"/>
                      </w:tcPr>
                      <w:p>
                        <w:pPr>
                          <w:pStyle w:val="TableParagraph"/>
                          <w:spacing w:line="321"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3</w:t>
                        </w:r>
                      </w:p>
                    </w:tc>
                    <w:tc>
                      <w:tcPr>
                        <w:tcW w:w="5433" w:type="dxa"/>
                      </w:tcPr>
                      <w:p>
                        <w:pPr>
                          <w:pStyle w:val="TableParagraph"/>
                          <w:spacing w:line="320" w:lineRule="exact"/>
                          <w:ind w:left="69" w:right="61"/>
                          <w:rPr>
                            <w:sz w:val="21"/>
                          </w:rPr>
                        </w:pPr>
                        <w:r>
                          <w:rPr>
                            <w:sz w:val="21"/>
                          </w:rPr>
                          <w:t>CP3800 气相色谱仪（可监测甲苯等）</w:t>
                        </w:r>
                      </w:p>
                    </w:tc>
                    <w:tc>
                      <w:tcPr>
                        <w:tcW w:w="2169" w:type="dxa"/>
                      </w:tcPr>
                      <w:p>
                        <w:pPr>
                          <w:pStyle w:val="TableParagraph"/>
                          <w:spacing w:line="320"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4</w:t>
                        </w:r>
                      </w:p>
                    </w:tc>
                    <w:tc>
                      <w:tcPr>
                        <w:tcW w:w="5433" w:type="dxa"/>
                      </w:tcPr>
                      <w:p>
                        <w:pPr>
                          <w:pStyle w:val="TableParagraph"/>
                          <w:spacing w:line="320" w:lineRule="exact"/>
                          <w:ind w:left="69" w:right="61"/>
                          <w:rPr>
                            <w:sz w:val="21"/>
                          </w:rPr>
                        </w:pPr>
                        <w:r>
                          <w:rPr>
                            <w:sz w:val="21"/>
                          </w:rPr>
                          <w:t>离子色谱仪（可监测氯化氢等）</w:t>
                        </w:r>
                      </w:p>
                    </w:tc>
                    <w:tc>
                      <w:tcPr>
                        <w:tcW w:w="2169" w:type="dxa"/>
                      </w:tcPr>
                      <w:p>
                        <w:pPr>
                          <w:pStyle w:val="TableParagraph"/>
                          <w:spacing w:line="320"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5</w:t>
                        </w:r>
                      </w:p>
                    </w:tc>
                    <w:tc>
                      <w:tcPr>
                        <w:tcW w:w="5433" w:type="dxa"/>
                      </w:tcPr>
                      <w:p>
                        <w:pPr>
                          <w:pStyle w:val="TableParagraph"/>
                          <w:spacing w:line="320" w:lineRule="exact"/>
                          <w:ind w:left="69" w:right="61"/>
                          <w:rPr>
                            <w:sz w:val="21"/>
                          </w:rPr>
                        </w:pPr>
                        <w:r>
                          <w:rPr>
                            <w:sz w:val="21"/>
                          </w:rPr>
                          <w:t>754 紫外分光光度计</w:t>
                        </w:r>
                      </w:p>
                    </w:tc>
                    <w:tc>
                      <w:tcPr>
                        <w:tcW w:w="2169" w:type="dxa"/>
                      </w:tcPr>
                      <w:p>
                        <w:pPr>
                          <w:pStyle w:val="TableParagraph"/>
                          <w:spacing w:line="320" w:lineRule="exact"/>
                          <w:ind w:left="4"/>
                          <w:rPr>
                            <w:sz w:val="21"/>
                          </w:rPr>
                        </w:pPr>
                        <w:r>
                          <w:rPr>
                            <w:w w:val="90"/>
                            <w:sz w:val="21"/>
                          </w:rPr>
                          <w:t>1</w:t>
                        </w:r>
                      </w:p>
                    </w:tc>
                  </w:tr>
                  <w:tr>
                    <w:trPr>
                      <w:trHeight w:val="340" w:hRule="atLeast"/>
                    </w:trPr>
                    <w:tc>
                      <w:tcPr>
                        <w:tcW w:w="1330" w:type="dxa"/>
                      </w:tcPr>
                      <w:p>
                        <w:pPr>
                          <w:pStyle w:val="TableParagraph"/>
                          <w:spacing w:line="320" w:lineRule="exact"/>
                          <w:ind w:left="4"/>
                          <w:rPr>
                            <w:sz w:val="21"/>
                          </w:rPr>
                        </w:pPr>
                        <w:r>
                          <w:rPr>
                            <w:w w:val="90"/>
                            <w:sz w:val="21"/>
                          </w:rPr>
                          <w:t>6</w:t>
                        </w:r>
                      </w:p>
                    </w:tc>
                    <w:tc>
                      <w:tcPr>
                        <w:tcW w:w="5433" w:type="dxa"/>
                      </w:tcPr>
                      <w:p>
                        <w:pPr>
                          <w:pStyle w:val="TableParagraph"/>
                          <w:spacing w:line="320" w:lineRule="exact"/>
                          <w:ind w:left="69" w:right="61"/>
                          <w:rPr>
                            <w:sz w:val="21"/>
                          </w:rPr>
                        </w:pPr>
                        <w:r>
                          <w:rPr>
                            <w:sz w:val="21"/>
                          </w:rPr>
                          <w:t>2101 分光光度计</w:t>
                        </w:r>
                      </w:p>
                    </w:tc>
                    <w:tc>
                      <w:tcPr>
                        <w:tcW w:w="2169" w:type="dxa"/>
                      </w:tcPr>
                      <w:p>
                        <w:pPr>
                          <w:pStyle w:val="TableParagraph"/>
                          <w:spacing w:line="320" w:lineRule="exact"/>
                          <w:ind w:left="4"/>
                          <w:rPr>
                            <w:sz w:val="21"/>
                          </w:rPr>
                        </w:pPr>
                        <w:r>
                          <w:rPr>
                            <w:w w:val="90"/>
                            <w:sz w:val="21"/>
                          </w:rPr>
                          <w:t>1</w:t>
                        </w:r>
                      </w:p>
                    </w:tc>
                  </w:tr>
                </w:tbl>
                <w:p>
                  <w:pPr>
                    <w:pStyle w:val="BodyText"/>
                  </w:pPr>
                </w:p>
              </w:txbxContent>
            </v:textbox>
            <w10:wrap type="none"/>
          </v:shape>
        </w:pict>
      </w:r>
      <w:r>
        <w:rPr/>
        <w:t>表</w:t>
      </w:r>
      <w:r>
        <w:rPr>
          <w:spacing w:val="13"/>
        </w:rPr>
        <w:t> </w:t>
      </w:r>
      <w:r>
        <w:rPr/>
        <w:t>10.2-5</w:t>
        <w:tab/>
        <w:t>环境监测配备主要仪器、设备一览表</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2"/>
        </w:rPr>
      </w:pPr>
    </w:p>
    <w:p>
      <w:pPr>
        <w:pStyle w:val="Heading4"/>
        <w:spacing w:line="625" w:lineRule="exact"/>
        <w:ind w:left="580" w:firstLine="0"/>
      </w:pPr>
      <w:r>
        <w:rPr>
          <w:w w:val="105"/>
        </w:rPr>
        <w:t>10.3 监测要求</w:t>
      </w:r>
    </w:p>
    <w:p>
      <w:pPr>
        <w:pStyle w:val="BodyText"/>
        <w:spacing w:line="220" w:lineRule="auto" w:before="18"/>
        <w:ind w:left="580" w:right="760" w:firstLine="479"/>
      </w:pPr>
      <w:r>
        <w:rPr/>
        <w:t>（1）在污水排放口、噪声排放源设置环境保护图形标注，便于污染源的监督管理和常规监测工作。</w:t>
      </w:r>
    </w:p>
    <w:p>
      <w:pPr>
        <w:pStyle w:val="BodyText"/>
        <w:spacing w:line="481" w:lineRule="exact"/>
        <w:ind w:left="1060"/>
      </w:pPr>
      <w:r>
        <w:rPr/>
        <w:t>（2）污染源监测严格按照国家有关标准和技术规范进行。</w:t>
      </w:r>
    </w:p>
    <w:p>
      <w:pPr>
        <w:spacing w:after="0" w:line="481" w:lineRule="exact"/>
        <w:sectPr>
          <w:pgSz w:w="11910" w:h="16840"/>
          <w:pgMar w:header="877" w:footer="973" w:top="1340" w:bottom="1160" w:left="1220" w:right="1040"/>
        </w:sectPr>
      </w:pPr>
    </w:p>
    <w:p>
      <w:pPr>
        <w:pStyle w:val="BodyText"/>
        <w:spacing w:before="48"/>
        <w:ind w:left="1060"/>
      </w:pPr>
      <w:r>
        <w:rPr/>
        <w:t>（3）其它：按当地环保部门的规定和要求进行监测。</w:t>
      </w:r>
    </w:p>
    <w:p>
      <w:pPr>
        <w:spacing w:after="0"/>
        <w:sectPr>
          <w:pgSz w:w="11910" w:h="16840"/>
          <w:pgMar w:header="877" w:footer="973" w:top="1340" w:bottom="1160" w:left="1220" w:right="1040"/>
        </w:sectPr>
      </w:pPr>
    </w:p>
    <w:p>
      <w:pPr>
        <w:pStyle w:val="BodyText"/>
        <w:spacing w:before="5"/>
        <w:rPr>
          <w:sz w:val="10"/>
        </w:rPr>
      </w:pPr>
    </w:p>
    <w:p>
      <w:pPr>
        <w:pStyle w:val="Heading1"/>
        <w:numPr>
          <w:ilvl w:val="0"/>
          <w:numId w:val="20"/>
        </w:numPr>
        <w:tabs>
          <w:tab w:pos="1240" w:val="left" w:leader="none"/>
          <w:tab w:pos="1241" w:val="left" w:leader="none"/>
        </w:tabs>
        <w:spacing w:line="725" w:lineRule="exact" w:before="0" w:after="0"/>
        <w:ind w:left="1240" w:right="0" w:hanging="660"/>
        <w:jc w:val="left"/>
        <w:rPr>
          <w:rFonts w:ascii="Times New Roman" w:eastAsia="Times New Roman"/>
        </w:rPr>
      </w:pPr>
      <w:r>
        <w:rPr/>
        <w:t>项目建设可行性分析</w:t>
      </w:r>
    </w:p>
    <w:p>
      <w:pPr>
        <w:pStyle w:val="Heading2"/>
        <w:numPr>
          <w:ilvl w:val="1"/>
          <w:numId w:val="21"/>
        </w:numPr>
        <w:tabs>
          <w:tab w:pos="1392" w:val="left" w:leader="none"/>
        </w:tabs>
        <w:spacing w:line="240" w:lineRule="auto" w:before="48" w:after="0"/>
        <w:ind w:left="1391" w:right="0" w:hanging="811"/>
        <w:jc w:val="left"/>
        <w:rPr>
          <w:rFonts w:ascii="Times New Roman" w:eastAsia="Times New Roman"/>
        </w:rPr>
      </w:pPr>
      <w:r>
        <w:rPr/>
        <w:t>政策符合性</w:t>
      </w:r>
    </w:p>
    <w:p>
      <w:pPr>
        <w:pStyle w:val="Heading3"/>
        <w:numPr>
          <w:ilvl w:val="2"/>
          <w:numId w:val="21"/>
        </w:numPr>
        <w:tabs>
          <w:tab w:pos="1541" w:val="left" w:leader="none"/>
        </w:tabs>
        <w:spacing w:line="240" w:lineRule="auto" w:before="134" w:after="0"/>
        <w:ind w:left="1540" w:right="0" w:hanging="960"/>
        <w:jc w:val="left"/>
        <w:rPr>
          <w:rFonts w:ascii="Times New Roman" w:eastAsia="Times New Roman"/>
        </w:rPr>
      </w:pPr>
      <w:r>
        <w:rPr/>
        <w:t>产业政策符合性分析</w:t>
      </w:r>
    </w:p>
    <w:p>
      <w:pPr>
        <w:pStyle w:val="BodyText"/>
        <w:spacing w:line="220" w:lineRule="auto" w:before="197"/>
        <w:ind w:left="580" w:right="754" w:firstLine="482"/>
        <w:jc w:val="both"/>
      </w:pPr>
      <w:r>
        <w:rPr/>
        <w:t>根据《产业结构调整指导目录</w:t>
      </w:r>
      <w:r>
        <w:rPr>
          <w:rFonts w:ascii="Times New Roman" w:hAnsi="Times New Roman" w:eastAsia="Times New Roman"/>
        </w:rPr>
        <w:t>(20</w:t>
      </w:r>
      <w:r>
        <w:rPr>
          <w:rFonts w:ascii="Times New Roman" w:hAnsi="Times New Roman" w:eastAsia="Times New Roman"/>
          <w:spacing w:val="-11"/>
        </w:rPr>
        <w:t>1</w:t>
      </w:r>
      <w:r>
        <w:rPr>
          <w:rFonts w:ascii="Times New Roman" w:hAnsi="Times New Roman" w:eastAsia="Times New Roman"/>
        </w:rPr>
        <w:t>1</w:t>
      </w:r>
      <w:r>
        <w:rPr>
          <w:rFonts w:ascii="Times New Roman" w:hAnsi="Times New Roman" w:eastAsia="Times New Roman"/>
          <w:spacing w:val="-1"/>
        </w:rPr>
        <w:t>  </w:t>
      </w:r>
      <w:r>
        <w:rPr/>
        <w:t>年本</w:t>
      </w:r>
      <w:r>
        <w:rPr>
          <w:rFonts w:ascii="Times New Roman" w:hAnsi="Times New Roman" w:eastAsia="Times New Roman"/>
          <w:spacing w:val="-1"/>
        </w:rPr>
        <w:t>)</w:t>
      </w:r>
      <w:r>
        <w:rPr>
          <w:spacing w:val="-120"/>
        </w:rPr>
        <w:t>》</w:t>
      </w:r>
      <w:r>
        <w:rPr/>
        <w:t>（</w:t>
      </w:r>
      <w:r>
        <w:rPr>
          <w:rFonts w:ascii="Times New Roman" w:hAnsi="Times New Roman" w:eastAsia="Times New Roman"/>
          <w:spacing w:val="2"/>
        </w:rPr>
        <w:t>2</w:t>
      </w:r>
      <w:r>
        <w:rPr>
          <w:rFonts w:ascii="Times New Roman" w:hAnsi="Times New Roman" w:eastAsia="Times New Roman"/>
        </w:rPr>
        <w:t>013</w:t>
      </w:r>
      <w:r>
        <w:rPr>
          <w:rFonts w:ascii="Times New Roman" w:hAnsi="Times New Roman" w:eastAsia="Times New Roman"/>
          <w:spacing w:val="-2"/>
        </w:rPr>
        <w:t>  </w:t>
      </w:r>
      <w:r>
        <w:rPr/>
        <w:t>年修订</w:t>
      </w:r>
      <w:r>
        <w:rPr>
          <w:spacing w:val="-120"/>
        </w:rPr>
        <w:t>）</w:t>
      </w:r>
      <w:r>
        <w:rPr/>
        <w:t>，项目不属于国</w:t>
      </w:r>
      <w:r>
        <w:rPr>
          <w:spacing w:val="-3"/>
        </w:rPr>
        <w:t>家《产业结构调整指导目录</w:t>
      </w:r>
      <w:r>
        <w:rPr/>
        <w:t>（</w:t>
      </w:r>
      <w:r>
        <w:rPr>
          <w:rFonts w:ascii="Times New Roman" w:hAnsi="Times New Roman" w:eastAsia="Times New Roman"/>
        </w:rPr>
        <w:t>20</w:t>
      </w:r>
      <w:r>
        <w:rPr>
          <w:rFonts w:ascii="Times New Roman" w:hAnsi="Times New Roman" w:eastAsia="Times New Roman"/>
          <w:spacing w:val="-10"/>
        </w:rPr>
        <w:t>1</w:t>
      </w:r>
      <w:r>
        <w:rPr>
          <w:rFonts w:ascii="Times New Roman" w:hAnsi="Times New Roman" w:eastAsia="Times New Roman"/>
        </w:rPr>
        <w:t>1 </w:t>
      </w:r>
      <w:r>
        <w:rPr/>
        <w:t>年本</w:t>
      </w:r>
      <w:r>
        <w:rPr>
          <w:spacing w:val="-3"/>
        </w:rPr>
        <w:t>）修正版》中</w:t>
      </w:r>
      <w:r>
        <w:rPr>
          <w:w w:val="115"/>
        </w:rPr>
        <w:t>“淘汰类</w:t>
      </w:r>
      <w:r>
        <w:rPr>
          <w:spacing w:val="-120"/>
          <w:w w:val="210"/>
        </w:rPr>
        <w:t>”</w:t>
      </w:r>
      <w:r>
        <w:rPr>
          <w:spacing w:val="-123"/>
        </w:rPr>
        <w:t>、</w:t>
      </w:r>
      <w:r>
        <w:rPr>
          <w:spacing w:val="-2"/>
          <w:w w:val="135"/>
        </w:rPr>
        <w:t>“限</w:t>
      </w:r>
      <w:r>
        <w:rPr/>
        <w:t>制类</w:t>
      </w:r>
      <w:r>
        <w:rPr>
          <w:spacing w:val="-120"/>
          <w:w w:val="210"/>
        </w:rPr>
        <w:t>”</w:t>
      </w:r>
      <w:r>
        <w:rPr>
          <w:spacing w:val="-2"/>
        </w:rPr>
        <w:t>，属</w:t>
      </w:r>
      <w:r>
        <w:rPr>
          <w:spacing w:val="-2"/>
          <w:w w:val="105"/>
        </w:rPr>
        <w:t>于允许建设项目，符合国家产业政策要求。</w:t>
      </w:r>
    </w:p>
    <w:p>
      <w:pPr>
        <w:pStyle w:val="Heading3"/>
        <w:numPr>
          <w:ilvl w:val="2"/>
          <w:numId w:val="21"/>
        </w:numPr>
        <w:tabs>
          <w:tab w:pos="1541" w:val="left" w:leader="none"/>
        </w:tabs>
        <w:spacing w:line="240" w:lineRule="auto" w:before="151" w:after="0"/>
        <w:ind w:left="1540" w:right="0" w:hanging="960"/>
        <w:jc w:val="left"/>
        <w:rPr>
          <w:rFonts w:ascii="Times New Roman" w:eastAsia="Times New Roman"/>
        </w:rPr>
      </w:pPr>
      <w:r>
        <w:rPr/>
        <w:t>与其他政策符合性分析</w:t>
      </w:r>
    </w:p>
    <w:p>
      <w:pPr>
        <w:pStyle w:val="BodyText"/>
        <w:spacing w:line="488" w:lineRule="exact" w:before="168"/>
        <w:ind w:left="1060"/>
      </w:pPr>
      <w:r>
        <w:rPr>
          <w:rFonts w:ascii="Times New Roman" w:hAnsi="Times New Roman" w:eastAsia="Times New Roman"/>
          <w:w w:val="110"/>
        </w:rPr>
        <w:t>1</w:t>
      </w:r>
      <w:r>
        <w:rPr>
          <w:w w:val="110"/>
        </w:rPr>
        <w:t>、“三线一单”符合性分析</w:t>
      </w:r>
    </w:p>
    <w:p>
      <w:pPr>
        <w:pStyle w:val="BodyText"/>
        <w:spacing w:line="468" w:lineRule="exact"/>
        <w:ind w:left="1060"/>
      </w:pPr>
      <w:r>
        <w:rPr/>
        <w:t>（</w:t>
      </w:r>
      <w:r>
        <w:rPr>
          <w:rFonts w:ascii="Times New Roman" w:eastAsia="Times New Roman"/>
        </w:rPr>
        <w:t>1</w:t>
      </w:r>
      <w:r>
        <w:rPr/>
        <w:t>）生态红线</w:t>
      </w:r>
    </w:p>
    <w:p>
      <w:pPr>
        <w:pStyle w:val="BodyText"/>
        <w:spacing w:line="220" w:lineRule="auto" w:before="8"/>
        <w:ind w:left="580" w:right="759" w:firstLine="479"/>
        <w:jc w:val="both"/>
      </w:pPr>
      <w:r>
        <w:rPr>
          <w:spacing w:val="-5"/>
        </w:rPr>
        <w:t>项目位于山东莒南经济开发区化工工业区内，淮海路西段路南，莒南经济开</w:t>
      </w:r>
      <w:r>
        <w:rPr>
          <w:spacing w:val="-11"/>
        </w:rPr>
        <w:t>发区污水处理厂西侧，根据《山东省生态保护红线规划》，项目位置不在临沂市生态保护红线区范围内，符合《山东省生态保护红线规划》，具体见图</w:t>
      </w:r>
      <w:r>
        <w:rPr>
          <w:rFonts w:ascii="Times New Roman" w:eastAsia="Times New Roman"/>
          <w:spacing w:val="-11"/>
        </w:rPr>
        <w:t>11.1-1</w:t>
      </w:r>
      <w:r>
        <w:rPr>
          <w:spacing w:val="-11"/>
        </w:rPr>
        <w:t>。</w:t>
      </w:r>
    </w:p>
    <w:p>
      <w:pPr>
        <w:pStyle w:val="BodyText"/>
        <w:spacing w:line="460" w:lineRule="exact"/>
        <w:ind w:left="1060"/>
      </w:pPr>
      <w:r>
        <w:rPr/>
        <w:t>（</w:t>
      </w:r>
      <w:r>
        <w:rPr>
          <w:rFonts w:ascii="Times New Roman" w:eastAsia="Times New Roman"/>
        </w:rPr>
        <w:t>2</w:t>
      </w:r>
      <w:r>
        <w:rPr/>
        <w:t>）环境质量底线</w:t>
      </w:r>
    </w:p>
    <w:p>
      <w:pPr>
        <w:pStyle w:val="BodyText"/>
        <w:spacing w:line="468" w:lineRule="exact"/>
        <w:ind w:left="1060"/>
      </w:pPr>
      <w:r>
        <w:rPr/>
        <w:t>①大气环境质量底线</w:t>
      </w:r>
    </w:p>
    <w:p>
      <w:pPr>
        <w:pStyle w:val="BodyText"/>
        <w:spacing w:line="220" w:lineRule="auto" w:before="8"/>
        <w:ind w:left="580" w:right="757" w:firstLine="479"/>
        <w:jc w:val="both"/>
      </w:pPr>
      <w:r>
        <w:rPr>
          <w:spacing w:val="-5"/>
        </w:rPr>
        <w:t>项目有组织废气主要为原料药生产过程工艺废气、回收车间不凝废气、燃气</w:t>
      </w:r>
      <w:r>
        <w:rPr>
          <w:spacing w:val="-11"/>
        </w:rPr>
        <w:t>锅炉燃烧废气。项目原料药生产过程工艺废气、回收车间不凝废气中污染物排放浓度、排放速率均能达到相应的标准要求，排气筒设置满足《大气污染物综合排</w:t>
      </w:r>
      <w:r>
        <w:rPr>
          <w:spacing w:val="-6"/>
        </w:rPr>
        <w:t>放标准》</w:t>
      </w:r>
      <w:r>
        <w:rPr/>
        <w:t>（</w:t>
      </w:r>
      <w:r>
        <w:rPr>
          <w:rFonts w:ascii="Times New Roman" w:eastAsia="Times New Roman"/>
        </w:rPr>
        <w:t>GB16297-1996</w:t>
      </w:r>
      <w:r>
        <w:rPr/>
        <w:t>）的要求；项目燃气锅炉废气能够满足《锅炉大气污染物排放标准》（</w:t>
      </w:r>
      <w:r>
        <w:rPr>
          <w:rFonts w:ascii="Times New Roman" w:eastAsia="Times New Roman"/>
        </w:rPr>
        <w:t>DB37/2374-2018</w:t>
      </w:r>
      <w:r>
        <w:rPr/>
        <w:t>）表</w:t>
      </w:r>
      <w:r>
        <w:rPr>
          <w:rFonts w:ascii="Times New Roman" w:eastAsia="Times New Roman"/>
        </w:rPr>
        <w:t>2</w:t>
      </w:r>
      <w:r>
        <w:rPr/>
        <w:t>一般控制区浓度限值要求。</w:t>
      </w:r>
    </w:p>
    <w:p>
      <w:pPr>
        <w:pStyle w:val="BodyText"/>
        <w:spacing w:line="220" w:lineRule="auto" w:before="1"/>
        <w:ind w:left="580" w:right="758" w:firstLine="479"/>
      </w:pPr>
      <w:r>
        <w:rPr>
          <w:spacing w:val="-10"/>
        </w:rPr>
        <w:t>根据预测结果表明，项目各污染物对敏感的的贡献值均满足环境质量标准要求。</w:t>
      </w:r>
    </w:p>
    <w:p>
      <w:pPr>
        <w:pStyle w:val="BodyText"/>
        <w:spacing w:line="460" w:lineRule="exact"/>
        <w:ind w:left="1060"/>
      </w:pPr>
      <w:r>
        <w:rPr/>
        <w:t>②水环境质量底线</w:t>
      </w:r>
    </w:p>
    <w:p>
      <w:pPr>
        <w:pStyle w:val="BodyText"/>
        <w:spacing w:line="220" w:lineRule="auto" w:before="8"/>
        <w:ind w:left="580" w:right="635" w:firstLine="479"/>
        <w:jc w:val="both"/>
      </w:pPr>
      <w:r>
        <w:rPr>
          <w:spacing w:val="-6"/>
        </w:rPr>
        <w:t>项目废水包括：各化学原料药生产工艺废水</w:t>
      </w:r>
      <w:r>
        <w:rPr/>
        <w:t>（</w:t>
      </w:r>
      <w:r>
        <w:rPr>
          <w:spacing w:val="-6"/>
        </w:rPr>
        <w:t>含分层废水、洗涤废水、离心母液等</w:t>
      </w:r>
      <w:r>
        <w:rPr>
          <w:spacing w:val="-20"/>
        </w:rPr>
        <w:t>），</w:t>
      </w:r>
      <w:r>
        <w:rPr>
          <w:spacing w:val="-5"/>
        </w:rPr>
        <w:t>白葡菌生产发酵废水，真空泵废水，废气处理装置产生废水，生产车</w:t>
      </w:r>
      <w:r>
        <w:rPr>
          <w:spacing w:val="-17"/>
        </w:rPr>
        <w:t>间地面冲洗水、设备冲洗水，循环冷却水系统排污水，软水制备浓水；生活污水。</w:t>
      </w:r>
      <w:r>
        <w:rPr>
          <w:spacing w:val="17"/>
        </w:rPr>
        <w:t>项目废水经厂区污水处理站处理后满足《污水排入城镇下水道水质标准》</w:t>
      </w:r>
    </w:p>
    <w:p>
      <w:pPr>
        <w:spacing w:after="0" w:line="220" w:lineRule="auto"/>
        <w:jc w:val="both"/>
        <w:sectPr>
          <w:footerReference w:type="default" r:id="rId70"/>
          <w:pgSz w:w="11910" w:h="16840"/>
          <w:pgMar w:footer="973" w:header="877" w:top="1340" w:bottom="1160" w:left="1220" w:right="1040"/>
        </w:sectPr>
      </w:pPr>
    </w:p>
    <w:p>
      <w:pPr>
        <w:pStyle w:val="BodyText"/>
        <w:spacing w:line="220" w:lineRule="auto" w:before="77"/>
        <w:ind w:left="580" w:right="636"/>
        <w:jc w:val="both"/>
      </w:pPr>
      <w:r>
        <w:rPr>
          <w:spacing w:val="-1"/>
        </w:rPr>
        <w:t>（</w:t>
      </w:r>
      <w:r>
        <w:rPr>
          <w:rFonts w:ascii="Times New Roman" w:eastAsia="Times New Roman"/>
          <w:spacing w:val="-1"/>
        </w:rPr>
        <w:t>GB/T31962-2015</w:t>
      </w:r>
      <w:r>
        <w:rPr>
          <w:spacing w:val="-1"/>
        </w:rPr>
        <w:t>）表</w:t>
      </w:r>
      <w:r>
        <w:rPr>
          <w:rFonts w:ascii="Times New Roman" w:eastAsia="Times New Roman"/>
          <w:spacing w:val="-1"/>
        </w:rPr>
        <w:t>1</w:t>
      </w:r>
      <w:r>
        <w:rPr>
          <w:spacing w:val="-1"/>
        </w:rPr>
        <w:t>中</w:t>
      </w:r>
      <w:r>
        <w:rPr>
          <w:rFonts w:ascii="Times New Roman" w:eastAsia="Times New Roman"/>
          <w:spacing w:val="-1"/>
        </w:rPr>
        <w:t>A</w:t>
      </w:r>
      <w:r>
        <w:rPr>
          <w:spacing w:val="-6"/>
        </w:rPr>
        <w:t>等级标准，进入莒南卓澳水质净化有限公司处理后， </w:t>
      </w:r>
      <w:r>
        <w:rPr>
          <w:spacing w:val="-7"/>
        </w:rPr>
        <w:t>满足《城镇污水处理厂污染物排放标准》</w:t>
      </w:r>
      <w:r>
        <w:rPr/>
        <w:t>（</w:t>
      </w:r>
      <w:r>
        <w:rPr>
          <w:rFonts w:ascii="Times New Roman" w:eastAsia="Times New Roman"/>
        </w:rPr>
        <w:t>GB18918-2002</w:t>
      </w:r>
      <w:r>
        <w:rPr/>
        <w:t>）</w:t>
      </w:r>
      <w:r>
        <w:rPr>
          <w:spacing w:val="1"/>
        </w:rPr>
        <w:t>中一级</w:t>
      </w:r>
      <w:r>
        <w:rPr>
          <w:rFonts w:ascii="Times New Roman" w:eastAsia="Times New Roman"/>
        </w:rPr>
        <w:t>A</w:t>
      </w:r>
      <w:r>
        <w:rPr>
          <w:spacing w:val="-4"/>
        </w:rPr>
        <w:t>标准，排入白马河，而后汇入鸡龙河。</w:t>
      </w:r>
    </w:p>
    <w:p>
      <w:pPr>
        <w:pStyle w:val="BodyText"/>
        <w:spacing w:line="460" w:lineRule="exact"/>
        <w:ind w:left="1060"/>
      </w:pPr>
      <w:r>
        <w:rPr/>
        <w:t>③土壤环境质量底线</w:t>
      </w:r>
    </w:p>
    <w:p>
      <w:pPr>
        <w:pStyle w:val="BodyText"/>
        <w:spacing w:line="220" w:lineRule="auto" w:before="8"/>
        <w:ind w:left="580" w:right="756" w:firstLine="479"/>
      </w:pPr>
      <w:r>
        <w:rPr>
          <w:spacing w:val="-6"/>
        </w:rPr>
        <w:t>项目环保治理设施完善，正常运行条件下，项目废气达标排放；废水经污水处理站处理后满足《污水排入城镇下水道水质标准》（</w:t>
      </w:r>
      <w:r>
        <w:rPr>
          <w:rFonts w:ascii="Times New Roman" w:eastAsia="Times New Roman"/>
          <w:spacing w:val="-6"/>
        </w:rPr>
        <w:t>GB/T31962-2015</w:t>
      </w:r>
      <w:r>
        <w:rPr>
          <w:spacing w:val="-6"/>
        </w:rPr>
        <w:t>）表</w:t>
      </w:r>
      <w:r>
        <w:rPr>
          <w:rFonts w:ascii="Times New Roman" w:eastAsia="Times New Roman"/>
          <w:spacing w:val="-6"/>
        </w:rPr>
        <w:t>1</w:t>
      </w:r>
      <w:r>
        <w:rPr>
          <w:spacing w:val="-6"/>
        </w:rPr>
        <w:t>中</w:t>
      </w:r>
    </w:p>
    <w:p>
      <w:pPr>
        <w:pStyle w:val="BodyText"/>
        <w:spacing w:line="220" w:lineRule="auto"/>
        <w:ind w:left="580" w:right="634"/>
        <w:jc w:val="both"/>
      </w:pPr>
      <w:r>
        <w:rPr>
          <w:rFonts w:ascii="Times New Roman" w:eastAsia="Times New Roman"/>
        </w:rPr>
        <w:t>A</w:t>
      </w:r>
      <w:r>
        <w:rPr>
          <w:spacing w:val="-4"/>
        </w:rPr>
        <w:t>等级标准，进入莒南卓澳水质净化有限公司处理后，满足《城镇污水处理厂污</w:t>
      </w:r>
      <w:r>
        <w:rPr>
          <w:spacing w:val="-16"/>
        </w:rPr>
        <w:t>染物排放标准》</w:t>
      </w:r>
      <w:r>
        <w:rPr>
          <w:spacing w:val="-3"/>
        </w:rPr>
        <w:t>（</w:t>
      </w:r>
      <w:r>
        <w:rPr>
          <w:rFonts w:ascii="Times New Roman" w:eastAsia="Times New Roman"/>
          <w:spacing w:val="-3"/>
        </w:rPr>
        <w:t>GB18918-2002</w:t>
      </w:r>
      <w:r>
        <w:rPr>
          <w:spacing w:val="-3"/>
        </w:rPr>
        <w:t>）</w:t>
      </w:r>
      <w:r>
        <w:rPr/>
        <w:t>中一级</w:t>
      </w:r>
      <w:r>
        <w:rPr>
          <w:rFonts w:ascii="Times New Roman" w:eastAsia="Times New Roman"/>
        </w:rPr>
        <w:t>A</w:t>
      </w:r>
      <w:r>
        <w:rPr>
          <w:spacing w:val="-10"/>
        </w:rPr>
        <w:t>标准，排入白马河，而后汇入鸡龙河； </w:t>
      </w:r>
      <w:r>
        <w:rPr>
          <w:spacing w:val="-18"/>
        </w:rPr>
        <w:t>针对环境风险事故，具有较为完善的风险防范措施和风险管理制度，事故状态下， </w:t>
      </w:r>
      <w:r>
        <w:rPr/>
        <w:t>建立完善的三级防控体系和事故应急响应体系，最大程度降低污染物排入外环境。</w:t>
      </w:r>
    </w:p>
    <w:p>
      <w:pPr>
        <w:pStyle w:val="BodyText"/>
        <w:spacing w:line="460" w:lineRule="exact"/>
        <w:ind w:left="1060"/>
      </w:pPr>
      <w:r>
        <w:rPr/>
        <w:t>（</w:t>
      </w:r>
      <w:r>
        <w:rPr>
          <w:rFonts w:ascii="Times New Roman" w:eastAsia="Times New Roman"/>
        </w:rPr>
        <w:t>3</w:t>
      </w:r>
      <w:r>
        <w:rPr/>
        <w:t>）资源利用上限</w:t>
      </w:r>
    </w:p>
    <w:p>
      <w:pPr>
        <w:pStyle w:val="BodyText"/>
        <w:spacing w:line="220" w:lineRule="auto" w:before="7"/>
        <w:ind w:left="580" w:right="756" w:firstLine="479"/>
        <w:jc w:val="both"/>
      </w:pPr>
      <w:r>
        <w:rPr>
          <w:spacing w:val="-7"/>
        </w:rPr>
        <w:t>项目资源消耗主要为水、电，依托莒南经济开发区化工工业区市政，根据目</w:t>
      </w:r>
      <w:r>
        <w:rPr>
          <w:spacing w:val="-12"/>
        </w:rPr>
        <w:t>前各资源供应情况，可以满足本项目要求；项目废水经厂区污水处理站处理后排</w:t>
      </w:r>
      <w:r>
        <w:rPr>
          <w:spacing w:val="-17"/>
        </w:rPr>
        <w:t>入莒南卓澳水质净化有限公司深度处理；项目资源利用不会突破当地资源利用上限。</w:t>
      </w:r>
    </w:p>
    <w:p>
      <w:pPr>
        <w:pStyle w:val="BodyText"/>
        <w:spacing w:line="460" w:lineRule="exact"/>
        <w:ind w:left="1060"/>
      </w:pPr>
      <w:r>
        <w:rPr/>
        <w:t>（</w:t>
      </w:r>
      <w:r>
        <w:rPr>
          <w:rFonts w:ascii="Times New Roman" w:eastAsia="Times New Roman"/>
        </w:rPr>
        <w:t>4</w:t>
      </w:r>
      <w:r>
        <w:rPr/>
        <w:t>）环境准入负面清单</w:t>
      </w:r>
    </w:p>
    <w:p>
      <w:pPr>
        <w:pStyle w:val="BodyText"/>
        <w:spacing w:line="220" w:lineRule="auto" w:before="8"/>
        <w:ind w:left="580" w:right="756" w:firstLine="479"/>
      </w:pPr>
      <w:r>
        <w:rPr>
          <w:spacing w:val="-10"/>
        </w:rPr>
        <w:t>对照《莒南县化工园园区环境准入负面清单》，项目不属于负面清单列表项目，莒南县化工园区负面清单见表</w:t>
      </w:r>
      <w:r>
        <w:rPr>
          <w:rFonts w:ascii="Times New Roman" w:eastAsia="Times New Roman"/>
          <w:spacing w:val="-10"/>
        </w:rPr>
        <w:t>11.1-1</w:t>
      </w:r>
      <w:r>
        <w:rPr>
          <w:spacing w:val="-10"/>
        </w:rPr>
        <w:t>。</w:t>
      </w:r>
    </w:p>
    <w:p>
      <w:pPr>
        <w:tabs>
          <w:tab w:pos="2496" w:val="left" w:leader="none"/>
        </w:tabs>
        <w:spacing w:before="7" w:after="24"/>
        <w:ind w:left="1490" w:right="0" w:firstLine="0"/>
        <w:jc w:val="left"/>
        <w:rPr>
          <w:sz w:val="21"/>
        </w:rPr>
      </w:pPr>
      <w:r>
        <w:rPr>
          <w:sz w:val="21"/>
        </w:rPr>
        <w:t>表</w:t>
      </w:r>
      <w:r>
        <w:rPr>
          <w:spacing w:val="9"/>
          <w:sz w:val="21"/>
        </w:rPr>
        <w:t> </w:t>
      </w:r>
      <w:r>
        <w:rPr>
          <w:rFonts w:ascii="Times New Roman" w:eastAsia="Times New Roman"/>
          <w:b/>
          <w:spacing w:val="-3"/>
          <w:sz w:val="21"/>
        </w:rPr>
        <w:t>11.1-1</w:t>
        <w:tab/>
      </w:r>
      <w:r>
        <w:rPr>
          <w:sz w:val="21"/>
        </w:rPr>
        <w:t>项目与《莒</w:t>
      </w:r>
      <w:r>
        <w:rPr>
          <w:spacing w:val="-3"/>
          <w:sz w:val="21"/>
        </w:rPr>
        <w:t>南</w:t>
      </w:r>
      <w:r>
        <w:rPr>
          <w:sz w:val="21"/>
        </w:rPr>
        <w:t>县化工园园区环境</w:t>
      </w:r>
      <w:r>
        <w:rPr>
          <w:spacing w:val="-3"/>
          <w:sz w:val="21"/>
        </w:rPr>
        <w:t>准</w:t>
      </w:r>
      <w:r>
        <w:rPr>
          <w:sz w:val="21"/>
        </w:rPr>
        <w:t>入</w:t>
      </w:r>
      <w:r>
        <w:rPr>
          <w:spacing w:val="-3"/>
          <w:sz w:val="21"/>
        </w:rPr>
        <w:t>负</w:t>
      </w:r>
      <w:r>
        <w:rPr>
          <w:sz w:val="21"/>
        </w:rPr>
        <w:t>面清单》符合性分析</w:t>
      </w:r>
    </w:p>
    <w:tbl>
      <w:tblPr>
        <w:tblW w:w="0" w:type="auto"/>
        <w:jc w:val="left"/>
        <w:tblInd w:w="4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
        <w:gridCol w:w="4309"/>
        <w:gridCol w:w="2127"/>
        <w:gridCol w:w="1610"/>
      </w:tblGrid>
      <w:tr>
        <w:trPr>
          <w:trHeight w:val="623" w:hRule="atLeast"/>
        </w:trPr>
        <w:tc>
          <w:tcPr>
            <w:tcW w:w="478" w:type="dxa"/>
            <w:tcBorders>
              <w:bottom w:val="single" w:sz="6" w:space="0" w:color="000000"/>
              <w:right w:val="single" w:sz="6" w:space="0" w:color="000000"/>
            </w:tcBorders>
          </w:tcPr>
          <w:p>
            <w:pPr>
              <w:pStyle w:val="TableParagraph"/>
              <w:spacing w:line="300" w:lineRule="exact"/>
              <w:ind w:left="131"/>
              <w:jc w:val="left"/>
              <w:rPr>
                <w:sz w:val="21"/>
              </w:rPr>
            </w:pPr>
            <w:r>
              <w:rPr>
                <w:w w:val="100"/>
                <w:sz w:val="21"/>
              </w:rPr>
              <w:t>序</w:t>
            </w:r>
          </w:p>
          <w:p>
            <w:pPr>
              <w:pStyle w:val="TableParagraph"/>
              <w:spacing w:line="303" w:lineRule="exact"/>
              <w:ind w:left="131"/>
              <w:jc w:val="left"/>
              <w:rPr>
                <w:sz w:val="21"/>
              </w:rPr>
            </w:pPr>
            <w:r>
              <w:rPr>
                <w:w w:val="100"/>
                <w:sz w:val="21"/>
              </w:rPr>
              <w:t>号</w:t>
            </w:r>
          </w:p>
        </w:tc>
        <w:tc>
          <w:tcPr>
            <w:tcW w:w="4309" w:type="dxa"/>
            <w:tcBorders>
              <w:left w:val="single" w:sz="6" w:space="0" w:color="000000"/>
              <w:bottom w:val="single" w:sz="6" w:space="0" w:color="000000"/>
              <w:right w:val="single" w:sz="6" w:space="0" w:color="000000"/>
            </w:tcBorders>
          </w:tcPr>
          <w:p>
            <w:pPr>
              <w:pStyle w:val="TableParagraph"/>
              <w:spacing w:before="77"/>
              <w:ind w:left="92" w:right="64"/>
              <w:rPr>
                <w:sz w:val="21"/>
              </w:rPr>
            </w:pPr>
            <w:r>
              <w:rPr>
                <w:sz w:val="21"/>
              </w:rPr>
              <w:t>行业类别</w:t>
            </w:r>
          </w:p>
        </w:tc>
        <w:tc>
          <w:tcPr>
            <w:tcW w:w="2127" w:type="dxa"/>
            <w:tcBorders>
              <w:left w:val="single" w:sz="6" w:space="0" w:color="000000"/>
              <w:bottom w:val="single" w:sz="6" w:space="0" w:color="000000"/>
              <w:right w:val="single" w:sz="6" w:space="0" w:color="000000"/>
            </w:tcBorders>
          </w:tcPr>
          <w:p>
            <w:pPr>
              <w:pStyle w:val="TableParagraph"/>
              <w:spacing w:before="77"/>
              <w:ind w:left="143" w:right="116"/>
              <w:rPr>
                <w:sz w:val="21"/>
              </w:rPr>
            </w:pPr>
            <w:r>
              <w:rPr>
                <w:sz w:val="21"/>
              </w:rPr>
              <w:t>依据</w:t>
            </w:r>
          </w:p>
        </w:tc>
        <w:tc>
          <w:tcPr>
            <w:tcW w:w="1610" w:type="dxa"/>
            <w:tcBorders>
              <w:left w:val="single" w:sz="6" w:space="0" w:color="000000"/>
              <w:bottom w:val="single" w:sz="6" w:space="0" w:color="000000"/>
            </w:tcBorders>
          </w:tcPr>
          <w:p>
            <w:pPr>
              <w:pStyle w:val="TableParagraph"/>
              <w:spacing w:before="77"/>
              <w:ind w:left="284"/>
              <w:jc w:val="left"/>
              <w:rPr>
                <w:sz w:val="21"/>
              </w:rPr>
            </w:pPr>
            <w:r>
              <w:rPr>
                <w:sz w:val="21"/>
              </w:rPr>
              <w:t>符合性分析</w:t>
            </w:r>
          </w:p>
        </w:tc>
      </w:tr>
      <w:tr>
        <w:trPr>
          <w:trHeight w:val="306" w:hRule="atLeast"/>
        </w:trPr>
        <w:tc>
          <w:tcPr>
            <w:tcW w:w="478" w:type="dxa"/>
            <w:tcBorders>
              <w:top w:val="single" w:sz="6" w:space="0" w:color="000000"/>
              <w:bottom w:val="single" w:sz="6" w:space="0" w:color="000000"/>
              <w:right w:val="single" w:sz="6" w:space="0" w:color="000000"/>
            </w:tcBorders>
          </w:tcPr>
          <w:p>
            <w:pPr>
              <w:pStyle w:val="TableParagraph"/>
              <w:spacing w:before="37"/>
              <w:ind w:left="18"/>
              <w:rPr>
                <w:rFonts w:ascii="Times New Roman"/>
                <w:sz w:val="21"/>
              </w:rPr>
            </w:pPr>
            <w:r>
              <w:rPr>
                <w:rFonts w:ascii="Times New Roman"/>
                <w:w w:val="100"/>
                <w:sz w:val="21"/>
              </w:rPr>
              <w:t>1</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87" w:lineRule="exact"/>
              <w:ind w:left="91" w:right="64"/>
              <w:rPr>
                <w:sz w:val="21"/>
              </w:rPr>
            </w:pPr>
            <w:r>
              <w:rPr>
                <w:rFonts w:ascii="Times New Roman" w:eastAsia="Times New Roman"/>
                <w:sz w:val="21"/>
              </w:rPr>
              <w:t>B06</w:t>
            </w:r>
            <w:r>
              <w:rPr>
                <w:rFonts w:ascii="Times New Roman" w:eastAsia="Times New Roman"/>
                <w:spacing w:val="51"/>
                <w:sz w:val="21"/>
              </w:rPr>
              <w:t> </w:t>
            </w:r>
            <w:r>
              <w:rPr>
                <w:spacing w:val="-3"/>
                <w:sz w:val="21"/>
              </w:rPr>
              <w:t>煤炭开采和洗选业</w:t>
            </w:r>
          </w:p>
        </w:tc>
        <w:tc>
          <w:tcPr>
            <w:tcW w:w="2127"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2"/>
              <w:jc w:val="left"/>
              <w:rPr>
                <w:sz w:val="26"/>
              </w:rPr>
            </w:pPr>
          </w:p>
          <w:p>
            <w:pPr>
              <w:pStyle w:val="TableParagraph"/>
              <w:spacing w:line="146" w:lineRule="auto"/>
              <w:ind w:left="121" w:right="94" w:firstLine="211"/>
              <w:jc w:val="left"/>
              <w:rPr>
                <w:sz w:val="21"/>
              </w:rPr>
            </w:pPr>
            <w:r>
              <w:rPr>
                <w:spacing w:val="-2"/>
                <w:sz w:val="21"/>
              </w:rPr>
              <w:t>莒南县化工园区 </w:t>
            </w:r>
            <w:r>
              <w:rPr>
                <w:spacing w:val="-3"/>
                <w:sz w:val="21"/>
              </w:rPr>
              <w:t>产业定位及《国民经</w:t>
            </w:r>
          </w:p>
          <w:p>
            <w:pPr>
              <w:pStyle w:val="TableParagraph"/>
              <w:spacing w:line="239" w:lineRule="exact"/>
              <w:ind w:left="143" w:right="11"/>
              <w:rPr>
                <w:sz w:val="21"/>
              </w:rPr>
            </w:pPr>
            <w:r>
              <w:rPr>
                <w:sz w:val="21"/>
              </w:rPr>
              <w:t>济行业分类》</w:t>
            </w:r>
          </w:p>
          <w:p>
            <w:pPr>
              <w:pStyle w:val="TableParagraph"/>
              <w:spacing w:line="358" w:lineRule="exact"/>
              <w:ind w:left="143" w:right="119"/>
              <w:rPr>
                <w:sz w:val="21"/>
              </w:rPr>
            </w:pPr>
            <w:r>
              <w:rPr>
                <w:sz w:val="21"/>
              </w:rPr>
              <w:t>（</w:t>
            </w:r>
            <w:r>
              <w:rPr>
                <w:rFonts w:ascii="Times New Roman" w:eastAsia="Times New Roman"/>
                <w:sz w:val="21"/>
              </w:rPr>
              <w:t>GB/T4754-2017</w:t>
            </w:r>
            <w:r>
              <w:rPr>
                <w:sz w:val="21"/>
              </w:rPr>
              <w:t>）</w:t>
            </w:r>
          </w:p>
        </w:tc>
        <w:tc>
          <w:tcPr>
            <w:tcW w:w="1610" w:type="dxa"/>
            <w:vMerge w:val="restart"/>
            <w:tcBorders>
              <w:top w:val="single" w:sz="6" w:space="0" w:color="000000"/>
              <w:left w:val="single" w:sz="6" w:space="0" w:color="000000"/>
            </w:tcBorders>
          </w:tcPr>
          <w:p>
            <w:pPr>
              <w:pStyle w:val="TableParagraph"/>
              <w:spacing w:before="20"/>
              <w:jc w:val="left"/>
              <w:rPr>
                <w:sz w:val="27"/>
              </w:rPr>
            </w:pPr>
          </w:p>
          <w:p>
            <w:pPr>
              <w:pStyle w:val="TableParagraph"/>
              <w:spacing w:line="146" w:lineRule="auto"/>
              <w:ind w:left="114" w:right="1" w:firstLine="67"/>
              <w:jc w:val="left"/>
              <w:rPr>
                <w:sz w:val="21"/>
              </w:rPr>
            </w:pPr>
            <w:r>
              <w:rPr>
                <w:spacing w:val="-2"/>
                <w:sz w:val="21"/>
              </w:rPr>
              <w:t>本项目包含化</w:t>
            </w:r>
            <w:r>
              <w:rPr>
                <w:spacing w:val="-27"/>
                <w:sz w:val="21"/>
              </w:rPr>
              <w:t>学医药</w:t>
            </w:r>
            <w:r>
              <w:rPr>
                <w:spacing w:val="-3"/>
                <w:sz w:val="21"/>
              </w:rPr>
              <w:t>（</w:t>
            </w:r>
            <w:r>
              <w:rPr>
                <w:spacing w:val="-2"/>
                <w:sz w:val="21"/>
              </w:rPr>
              <w:t>化学药</w:t>
            </w:r>
            <w:r>
              <w:rPr>
                <w:spacing w:val="-3"/>
                <w:sz w:val="21"/>
              </w:rPr>
              <w:t>品原料药制造</w:t>
            </w:r>
            <w:r>
              <w:rPr>
                <w:sz w:val="21"/>
              </w:rPr>
              <w:t>） </w:t>
            </w:r>
            <w:r>
              <w:rPr>
                <w:spacing w:val="-17"/>
                <w:sz w:val="21"/>
              </w:rPr>
              <w:t>及生物工程</w:t>
            </w:r>
            <w:r>
              <w:rPr>
                <w:spacing w:val="-3"/>
                <w:sz w:val="21"/>
              </w:rPr>
              <w:t>（</w:t>
            </w:r>
            <w:r>
              <w:rPr>
                <w:sz w:val="21"/>
              </w:rPr>
              <w:t>生</w:t>
            </w:r>
            <w:r>
              <w:rPr>
                <w:spacing w:val="-2"/>
                <w:sz w:val="21"/>
              </w:rPr>
              <w:t>物药品制品制造</w:t>
            </w:r>
            <w:r>
              <w:rPr>
                <w:spacing w:val="-106"/>
                <w:w w:val="100"/>
                <w:sz w:val="21"/>
              </w:rPr>
              <w:t>）</w:t>
            </w:r>
            <w:r>
              <w:rPr>
                <w:spacing w:val="-3"/>
                <w:w w:val="100"/>
                <w:sz w:val="21"/>
              </w:rPr>
              <w:t>，属于准入进</w:t>
            </w:r>
            <w:r>
              <w:rPr>
                <w:spacing w:val="-13"/>
                <w:sz w:val="21"/>
              </w:rPr>
              <w:t>入行业，不在莒</w:t>
            </w:r>
            <w:r>
              <w:rPr>
                <w:spacing w:val="-5"/>
                <w:sz w:val="21"/>
              </w:rPr>
              <w:t>南县化工园区环</w:t>
            </w:r>
            <w:r>
              <w:rPr>
                <w:spacing w:val="-3"/>
                <w:sz w:val="21"/>
              </w:rPr>
              <w:t>境准入负面清单</w:t>
            </w:r>
            <w:r>
              <w:rPr>
                <w:sz w:val="21"/>
              </w:rPr>
              <w:t>内</w:t>
            </w:r>
            <w:r>
              <w:rPr>
                <w:color w:val="00AF50"/>
                <w:sz w:val="21"/>
              </w:rPr>
              <w:t>。</w:t>
            </w:r>
          </w:p>
        </w:tc>
      </w:tr>
      <w:tr>
        <w:trPr>
          <w:trHeight w:val="296" w:hRule="atLeast"/>
        </w:trPr>
        <w:tc>
          <w:tcPr>
            <w:tcW w:w="478" w:type="dxa"/>
            <w:tcBorders>
              <w:top w:val="single" w:sz="6" w:space="0" w:color="000000"/>
              <w:bottom w:val="single" w:sz="6" w:space="0" w:color="000000"/>
              <w:right w:val="single" w:sz="6" w:space="0" w:color="000000"/>
            </w:tcBorders>
          </w:tcPr>
          <w:p>
            <w:pPr>
              <w:pStyle w:val="TableParagraph"/>
              <w:spacing w:before="26"/>
              <w:ind w:left="18"/>
              <w:rPr>
                <w:rFonts w:ascii="Times New Roman"/>
                <w:sz w:val="21"/>
              </w:rPr>
            </w:pPr>
            <w:r>
              <w:rPr>
                <w:rFonts w:ascii="Times New Roman"/>
                <w:w w:val="100"/>
                <w:sz w:val="21"/>
              </w:rPr>
              <w:t>2</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94" w:right="64"/>
              <w:rPr>
                <w:sz w:val="21"/>
              </w:rPr>
            </w:pPr>
            <w:r>
              <w:rPr>
                <w:rFonts w:ascii="Times New Roman" w:eastAsia="Times New Roman"/>
                <w:sz w:val="21"/>
              </w:rPr>
              <w:t>B07</w:t>
            </w:r>
            <w:r>
              <w:rPr>
                <w:rFonts w:ascii="Times New Roman" w:eastAsia="Times New Roman"/>
                <w:spacing w:val="51"/>
                <w:sz w:val="21"/>
              </w:rPr>
              <w:t> </w:t>
            </w:r>
            <w:r>
              <w:rPr>
                <w:spacing w:val="-3"/>
                <w:sz w:val="21"/>
              </w:rPr>
              <w:t>石油和天然气开采业</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96" w:hRule="atLeast"/>
        </w:trPr>
        <w:tc>
          <w:tcPr>
            <w:tcW w:w="478" w:type="dxa"/>
            <w:tcBorders>
              <w:top w:val="single" w:sz="6" w:space="0" w:color="000000"/>
              <w:bottom w:val="single" w:sz="6" w:space="0" w:color="000000"/>
              <w:right w:val="single" w:sz="6" w:space="0" w:color="000000"/>
            </w:tcBorders>
          </w:tcPr>
          <w:p>
            <w:pPr>
              <w:pStyle w:val="TableParagraph"/>
              <w:spacing w:before="26"/>
              <w:ind w:left="18"/>
              <w:rPr>
                <w:rFonts w:ascii="Times New Roman"/>
                <w:sz w:val="21"/>
              </w:rPr>
            </w:pPr>
            <w:r>
              <w:rPr>
                <w:rFonts w:ascii="Times New Roman"/>
                <w:w w:val="100"/>
                <w:sz w:val="21"/>
              </w:rPr>
              <w:t>3</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91" w:right="64"/>
              <w:rPr>
                <w:sz w:val="21"/>
              </w:rPr>
            </w:pPr>
            <w:r>
              <w:rPr>
                <w:rFonts w:ascii="Times New Roman" w:eastAsia="Times New Roman"/>
                <w:sz w:val="21"/>
              </w:rPr>
              <w:t>B08</w:t>
            </w:r>
            <w:r>
              <w:rPr>
                <w:rFonts w:ascii="Times New Roman" w:eastAsia="Times New Roman"/>
                <w:spacing w:val="51"/>
                <w:sz w:val="21"/>
              </w:rPr>
              <w:t> </w:t>
            </w:r>
            <w:r>
              <w:rPr>
                <w:spacing w:val="-3"/>
                <w:sz w:val="21"/>
              </w:rPr>
              <w:t>黑色金属矿采选业</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96" w:hRule="atLeast"/>
        </w:trPr>
        <w:tc>
          <w:tcPr>
            <w:tcW w:w="478" w:type="dxa"/>
            <w:tcBorders>
              <w:top w:val="single" w:sz="6" w:space="0" w:color="000000"/>
              <w:bottom w:val="single" w:sz="6" w:space="0" w:color="000000"/>
              <w:right w:val="single" w:sz="6" w:space="0" w:color="000000"/>
            </w:tcBorders>
          </w:tcPr>
          <w:p>
            <w:pPr>
              <w:pStyle w:val="TableParagraph"/>
              <w:spacing w:before="26"/>
              <w:ind w:left="18"/>
              <w:rPr>
                <w:rFonts w:ascii="Times New Roman"/>
                <w:sz w:val="21"/>
              </w:rPr>
            </w:pPr>
            <w:r>
              <w:rPr>
                <w:rFonts w:ascii="Times New Roman"/>
                <w:w w:val="100"/>
                <w:sz w:val="21"/>
              </w:rPr>
              <w:t>4</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91" w:right="64"/>
              <w:rPr>
                <w:sz w:val="21"/>
              </w:rPr>
            </w:pPr>
            <w:r>
              <w:rPr>
                <w:rFonts w:ascii="Times New Roman" w:eastAsia="Times New Roman"/>
                <w:sz w:val="21"/>
              </w:rPr>
              <w:t>B09</w:t>
            </w:r>
            <w:r>
              <w:rPr>
                <w:rFonts w:ascii="Times New Roman" w:eastAsia="Times New Roman"/>
                <w:spacing w:val="51"/>
                <w:sz w:val="21"/>
              </w:rPr>
              <w:t> </w:t>
            </w:r>
            <w:r>
              <w:rPr>
                <w:spacing w:val="-3"/>
                <w:sz w:val="21"/>
              </w:rPr>
              <w:t>有色金属矿采选业</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922" w:hRule="atLeast"/>
        </w:trPr>
        <w:tc>
          <w:tcPr>
            <w:tcW w:w="478" w:type="dxa"/>
            <w:tcBorders>
              <w:top w:val="single" w:sz="6" w:space="0" w:color="000000"/>
              <w:bottom w:val="single" w:sz="6" w:space="0" w:color="000000"/>
              <w:right w:val="single" w:sz="6" w:space="0" w:color="000000"/>
            </w:tcBorders>
          </w:tcPr>
          <w:p>
            <w:pPr>
              <w:pStyle w:val="TableParagraph"/>
              <w:spacing w:before="1"/>
              <w:jc w:val="left"/>
              <w:rPr>
                <w:sz w:val="16"/>
              </w:rPr>
            </w:pPr>
          </w:p>
          <w:p>
            <w:pPr>
              <w:pStyle w:val="TableParagraph"/>
              <w:ind w:left="18"/>
              <w:rPr>
                <w:rFonts w:ascii="Times New Roman"/>
                <w:sz w:val="21"/>
              </w:rPr>
            </w:pPr>
            <w:r>
              <w:rPr>
                <w:rFonts w:ascii="Times New Roman"/>
                <w:w w:val="100"/>
                <w:sz w:val="21"/>
              </w:rPr>
              <w:t>5</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0"/>
              <w:ind w:left="128" w:right="98" w:firstLine="33"/>
              <w:jc w:val="left"/>
              <w:rPr>
                <w:sz w:val="21"/>
              </w:rPr>
            </w:pPr>
            <w:r>
              <w:rPr>
                <w:rFonts w:ascii="Times New Roman" w:eastAsia="Times New Roman"/>
                <w:sz w:val="21"/>
              </w:rPr>
              <w:t>C13 </w:t>
            </w:r>
            <w:r>
              <w:rPr>
                <w:sz w:val="21"/>
              </w:rPr>
              <w:t>农副食品加工（</w:t>
            </w:r>
            <w:r>
              <w:rPr>
                <w:rFonts w:ascii="Times New Roman" w:eastAsia="Times New Roman"/>
                <w:sz w:val="21"/>
              </w:rPr>
              <w:t>C131 </w:t>
            </w:r>
            <w:r>
              <w:rPr>
                <w:sz w:val="21"/>
              </w:rPr>
              <w:t>谷物磨制、</w:t>
            </w:r>
            <w:r>
              <w:rPr>
                <w:rFonts w:ascii="Times New Roman" w:eastAsia="Times New Roman"/>
                <w:sz w:val="21"/>
              </w:rPr>
              <w:t>C133 </w:t>
            </w:r>
            <w:r>
              <w:rPr>
                <w:sz w:val="21"/>
              </w:rPr>
              <w:t>植物油加工、</w:t>
            </w:r>
            <w:r>
              <w:rPr>
                <w:rFonts w:ascii="Times New Roman" w:eastAsia="Times New Roman"/>
                <w:sz w:val="21"/>
              </w:rPr>
              <w:t>C134 </w:t>
            </w:r>
            <w:r>
              <w:rPr>
                <w:sz w:val="21"/>
              </w:rPr>
              <w:t>制糖业、</w:t>
            </w:r>
            <w:r>
              <w:rPr>
                <w:rFonts w:ascii="Times New Roman" w:eastAsia="Times New Roman"/>
                <w:sz w:val="21"/>
              </w:rPr>
              <w:t>C135 </w:t>
            </w:r>
            <w:r>
              <w:rPr>
                <w:sz w:val="21"/>
              </w:rPr>
              <w:t>屠宰及肉</w:t>
            </w:r>
          </w:p>
          <w:p>
            <w:pPr>
              <w:pStyle w:val="TableParagraph"/>
              <w:spacing w:line="270" w:lineRule="exact"/>
              <w:ind w:left="114" w:right="-29"/>
              <w:jc w:val="left"/>
              <w:rPr>
                <w:sz w:val="21"/>
              </w:rPr>
            </w:pPr>
            <w:r>
              <w:rPr>
                <w:spacing w:val="-11"/>
                <w:sz w:val="21"/>
              </w:rPr>
              <w:t>类加工、</w:t>
            </w:r>
            <w:r>
              <w:rPr>
                <w:rFonts w:ascii="Times New Roman" w:eastAsia="Times New Roman"/>
                <w:sz w:val="21"/>
              </w:rPr>
              <w:t>C136</w:t>
            </w:r>
            <w:r>
              <w:rPr>
                <w:rFonts w:ascii="Times New Roman" w:eastAsia="Times New Roman"/>
                <w:spacing w:val="6"/>
                <w:sz w:val="21"/>
              </w:rPr>
              <w:t> </w:t>
            </w:r>
            <w:r>
              <w:rPr>
                <w:spacing w:val="-9"/>
                <w:sz w:val="21"/>
              </w:rPr>
              <w:t>水产品加工、</w:t>
            </w:r>
            <w:r>
              <w:rPr>
                <w:rFonts w:ascii="Times New Roman" w:eastAsia="Times New Roman"/>
                <w:sz w:val="21"/>
              </w:rPr>
              <w:t>C137</w:t>
            </w:r>
            <w:r>
              <w:rPr>
                <w:rFonts w:ascii="Times New Roman" w:eastAsia="Times New Roman"/>
                <w:spacing w:val="6"/>
                <w:sz w:val="21"/>
              </w:rPr>
              <w:t> </w:t>
            </w:r>
            <w:r>
              <w:rPr>
                <w:spacing w:val="-2"/>
                <w:sz w:val="21"/>
              </w:rPr>
              <w:t>蔬菜加工</w:t>
            </w:r>
            <w:r>
              <w:rPr>
                <w:sz w:val="21"/>
              </w:rPr>
              <w:t>）</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96" w:hRule="atLeast"/>
        </w:trPr>
        <w:tc>
          <w:tcPr>
            <w:tcW w:w="478" w:type="dxa"/>
            <w:tcBorders>
              <w:top w:val="single" w:sz="6" w:space="0" w:color="000000"/>
              <w:bottom w:val="single" w:sz="6" w:space="0" w:color="000000"/>
              <w:right w:val="single" w:sz="6" w:space="0" w:color="000000"/>
            </w:tcBorders>
          </w:tcPr>
          <w:p>
            <w:pPr>
              <w:pStyle w:val="TableParagraph"/>
              <w:spacing w:before="26"/>
              <w:ind w:left="18"/>
              <w:rPr>
                <w:rFonts w:ascii="Times New Roman"/>
                <w:sz w:val="21"/>
              </w:rPr>
            </w:pPr>
            <w:r>
              <w:rPr>
                <w:rFonts w:ascii="Times New Roman"/>
                <w:w w:val="100"/>
                <w:sz w:val="21"/>
              </w:rPr>
              <w:t>6</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94" w:right="64"/>
              <w:rPr>
                <w:sz w:val="21"/>
              </w:rPr>
            </w:pPr>
            <w:r>
              <w:rPr>
                <w:rFonts w:ascii="Times New Roman" w:eastAsia="Times New Roman"/>
                <w:sz w:val="21"/>
              </w:rPr>
              <w:t>C14 </w:t>
            </w:r>
            <w:r>
              <w:rPr>
                <w:sz w:val="21"/>
              </w:rPr>
              <w:t>食品制造业（新建）</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96" w:hRule="atLeast"/>
        </w:trPr>
        <w:tc>
          <w:tcPr>
            <w:tcW w:w="478" w:type="dxa"/>
            <w:tcBorders>
              <w:top w:val="single" w:sz="6" w:space="0" w:color="000000"/>
              <w:bottom w:val="single" w:sz="6" w:space="0" w:color="000000"/>
              <w:right w:val="single" w:sz="6" w:space="0" w:color="000000"/>
            </w:tcBorders>
          </w:tcPr>
          <w:p>
            <w:pPr>
              <w:pStyle w:val="TableParagraph"/>
              <w:spacing w:before="26"/>
              <w:ind w:left="18"/>
              <w:rPr>
                <w:rFonts w:ascii="Times New Roman"/>
                <w:sz w:val="21"/>
              </w:rPr>
            </w:pPr>
            <w:r>
              <w:rPr>
                <w:rFonts w:ascii="Times New Roman"/>
                <w:w w:val="100"/>
                <w:sz w:val="21"/>
              </w:rPr>
              <w:t>7</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91" w:right="64"/>
              <w:rPr>
                <w:sz w:val="21"/>
              </w:rPr>
            </w:pPr>
            <w:r>
              <w:rPr>
                <w:rFonts w:ascii="Times New Roman" w:eastAsia="Times New Roman"/>
                <w:sz w:val="21"/>
              </w:rPr>
              <w:t>C15</w:t>
            </w:r>
            <w:r>
              <w:rPr>
                <w:rFonts w:ascii="Times New Roman" w:eastAsia="Times New Roman"/>
                <w:spacing w:val="52"/>
                <w:sz w:val="21"/>
              </w:rPr>
              <w:t> </w:t>
            </w:r>
            <w:r>
              <w:rPr>
                <w:spacing w:val="-3"/>
                <w:sz w:val="21"/>
              </w:rPr>
              <w:t>酒、饮料和精制茶制造业</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96" w:hRule="atLeast"/>
        </w:trPr>
        <w:tc>
          <w:tcPr>
            <w:tcW w:w="478" w:type="dxa"/>
            <w:tcBorders>
              <w:top w:val="single" w:sz="6" w:space="0" w:color="000000"/>
              <w:bottom w:val="single" w:sz="6" w:space="0" w:color="000000"/>
              <w:right w:val="single" w:sz="6" w:space="0" w:color="000000"/>
            </w:tcBorders>
          </w:tcPr>
          <w:p>
            <w:pPr>
              <w:pStyle w:val="TableParagraph"/>
              <w:spacing w:before="26"/>
              <w:ind w:left="18"/>
              <w:rPr>
                <w:rFonts w:ascii="Times New Roman"/>
                <w:sz w:val="21"/>
              </w:rPr>
            </w:pPr>
            <w:r>
              <w:rPr>
                <w:rFonts w:ascii="Times New Roman"/>
                <w:w w:val="100"/>
                <w:sz w:val="21"/>
              </w:rPr>
              <w:t>8</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94" w:right="64"/>
              <w:rPr>
                <w:sz w:val="21"/>
              </w:rPr>
            </w:pPr>
            <w:r>
              <w:rPr>
                <w:rFonts w:ascii="Times New Roman" w:eastAsia="Times New Roman"/>
                <w:sz w:val="21"/>
              </w:rPr>
              <w:t>C16 </w:t>
            </w:r>
            <w:r>
              <w:rPr>
                <w:sz w:val="21"/>
              </w:rPr>
              <w:t>烟草制品业</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615" w:hRule="atLeast"/>
        </w:trPr>
        <w:tc>
          <w:tcPr>
            <w:tcW w:w="478" w:type="dxa"/>
            <w:tcBorders>
              <w:top w:val="single" w:sz="6" w:space="0" w:color="000000"/>
              <w:right w:val="single" w:sz="6" w:space="0" w:color="000000"/>
            </w:tcBorders>
          </w:tcPr>
          <w:p>
            <w:pPr>
              <w:pStyle w:val="TableParagraph"/>
              <w:spacing w:before="185"/>
              <w:ind w:left="18"/>
              <w:rPr>
                <w:rFonts w:ascii="Times New Roman"/>
                <w:sz w:val="21"/>
              </w:rPr>
            </w:pPr>
            <w:r>
              <w:rPr>
                <w:rFonts w:ascii="Times New Roman"/>
                <w:w w:val="100"/>
                <w:sz w:val="21"/>
              </w:rPr>
              <w:t>9</w:t>
            </w:r>
          </w:p>
        </w:tc>
        <w:tc>
          <w:tcPr>
            <w:tcW w:w="4309" w:type="dxa"/>
            <w:tcBorders>
              <w:top w:val="single" w:sz="6" w:space="0" w:color="000000"/>
              <w:left w:val="single" w:sz="6" w:space="0" w:color="000000"/>
              <w:right w:val="single" w:sz="6" w:space="0" w:color="000000"/>
            </w:tcBorders>
          </w:tcPr>
          <w:p>
            <w:pPr>
              <w:pStyle w:val="TableParagraph"/>
              <w:spacing w:line="296" w:lineRule="exact"/>
              <w:ind w:left="181"/>
              <w:jc w:val="left"/>
              <w:rPr>
                <w:sz w:val="21"/>
              </w:rPr>
            </w:pPr>
            <w:r>
              <w:rPr>
                <w:rFonts w:ascii="Times New Roman" w:eastAsia="Times New Roman"/>
                <w:sz w:val="21"/>
              </w:rPr>
              <w:t>C17 </w:t>
            </w:r>
            <w:r>
              <w:rPr>
                <w:sz w:val="21"/>
              </w:rPr>
              <w:t>纺织业（</w:t>
            </w:r>
            <w:r>
              <w:rPr>
                <w:rFonts w:ascii="Times New Roman" w:eastAsia="Times New Roman"/>
                <w:sz w:val="21"/>
              </w:rPr>
              <w:t>C171 </w:t>
            </w:r>
            <w:r>
              <w:rPr>
                <w:sz w:val="21"/>
              </w:rPr>
              <w:t>棉纺纱及印染精加工、</w:t>
            </w:r>
          </w:p>
          <w:p>
            <w:pPr>
              <w:pStyle w:val="TableParagraph"/>
              <w:spacing w:line="300" w:lineRule="exact"/>
              <w:ind w:left="128"/>
              <w:jc w:val="left"/>
              <w:rPr>
                <w:sz w:val="21"/>
              </w:rPr>
            </w:pPr>
            <w:r>
              <w:rPr>
                <w:rFonts w:ascii="Times New Roman" w:eastAsia="Times New Roman"/>
                <w:sz w:val="21"/>
              </w:rPr>
              <w:t>C172 </w:t>
            </w:r>
            <w:r>
              <w:rPr>
                <w:sz w:val="21"/>
              </w:rPr>
              <w:t>毛纺织及染整精加工、</w:t>
            </w:r>
            <w:r>
              <w:rPr>
                <w:rFonts w:ascii="Times New Roman" w:eastAsia="Times New Roman"/>
                <w:sz w:val="21"/>
              </w:rPr>
              <w:t>C173 </w:t>
            </w:r>
            <w:r>
              <w:rPr>
                <w:sz w:val="21"/>
              </w:rPr>
              <w:t>麻纺织及</w:t>
            </w:r>
          </w:p>
        </w:tc>
        <w:tc>
          <w:tcPr>
            <w:tcW w:w="2127" w:type="dxa"/>
            <w:vMerge/>
            <w:tcBorders>
              <w:top w:val="nil"/>
              <w:left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bl>
    <w:p>
      <w:pPr>
        <w:spacing w:after="0"/>
        <w:rPr>
          <w:sz w:val="2"/>
          <w:szCs w:val="2"/>
        </w:rPr>
        <w:sectPr>
          <w:footerReference w:type="default" r:id="rId71"/>
          <w:pgSz w:w="11910" w:h="16840"/>
          <w:pgMar w:footer="973" w:header="877" w:top="1340" w:bottom="1160" w:left="1220" w:right="1040"/>
          <w:pgNumType w:start="2"/>
        </w:sectPr>
      </w:pPr>
    </w:p>
    <w:p>
      <w:pPr>
        <w:pStyle w:val="BodyText"/>
        <w:spacing w:before="20"/>
        <w:rPr>
          <w:sz w:val="3"/>
        </w:rPr>
      </w:pPr>
    </w:p>
    <w:tbl>
      <w:tblPr>
        <w:tblW w:w="0" w:type="auto"/>
        <w:jc w:val="left"/>
        <w:tblInd w:w="4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
        <w:gridCol w:w="4309"/>
        <w:gridCol w:w="2127"/>
        <w:gridCol w:w="1610"/>
      </w:tblGrid>
      <w:tr>
        <w:trPr>
          <w:trHeight w:val="304" w:hRule="atLeast"/>
        </w:trPr>
        <w:tc>
          <w:tcPr>
            <w:tcW w:w="478" w:type="dxa"/>
            <w:tcBorders>
              <w:bottom w:val="single" w:sz="6" w:space="0" w:color="000000"/>
              <w:right w:val="single" w:sz="6" w:space="0" w:color="000000"/>
            </w:tcBorders>
          </w:tcPr>
          <w:p>
            <w:pPr>
              <w:pStyle w:val="TableParagraph"/>
              <w:jc w:val="left"/>
              <w:rPr>
                <w:rFonts w:ascii="Times New Roman"/>
                <w:sz w:val="20"/>
              </w:rPr>
            </w:pPr>
          </w:p>
        </w:tc>
        <w:tc>
          <w:tcPr>
            <w:tcW w:w="4309" w:type="dxa"/>
            <w:tcBorders>
              <w:left w:val="single" w:sz="6" w:space="0" w:color="000000"/>
              <w:bottom w:val="single" w:sz="6" w:space="0" w:color="000000"/>
              <w:right w:val="single" w:sz="6" w:space="0" w:color="000000"/>
            </w:tcBorders>
          </w:tcPr>
          <w:p>
            <w:pPr>
              <w:pStyle w:val="TableParagraph"/>
              <w:spacing w:line="284" w:lineRule="exact"/>
              <w:ind w:left="94" w:right="64"/>
              <w:rPr>
                <w:sz w:val="21"/>
              </w:rPr>
            </w:pPr>
            <w:r>
              <w:rPr>
                <w:sz w:val="21"/>
              </w:rPr>
              <w:t>染整精加工）</w:t>
            </w:r>
          </w:p>
        </w:tc>
        <w:tc>
          <w:tcPr>
            <w:tcW w:w="2127"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610" w:type="dxa"/>
            <w:vMerge w:val="restart"/>
            <w:tcBorders>
              <w:left w:val="single" w:sz="6" w:space="0" w:color="000000"/>
            </w:tcBorders>
          </w:tcPr>
          <w:p>
            <w:pPr>
              <w:pStyle w:val="TableParagraph"/>
              <w:jc w:val="left"/>
              <w:rPr>
                <w:rFonts w:ascii="Times New Roman"/>
                <w:sz w:val="20"/>
              </w:rPr>
            </w:pPr>
          </w:p>
        </w:tc>
      </w:tr>
      <w:tr>
        <w:trPr>
          <w:trHeight w:val="298" w:hRule="atLeast"/>
        </w:trPr>
        <w:tc>
          <w:tcPr>
            <w:tcW w:w="478" w:type="dxa"/>
            <w:tcBorders>
              <w:top w:val="single" w:sz="6" w:space="0" w:color="000000"/>
              <w:bottom w:val="single" w:sz="6" w:space="0" w:color="000000"/>
              <w:right w:val="single" w:sz="6" w:space="0" w:color="000000"/>
            </w:tcBorders>
          </w:tcPr>
          <w:p>
            <w:pPr>
              <w:pStyle w:val="TableParagraph"/>
              <w:spacing w:before="29"/>
              <w:ind w:left="18"/>
              <w:rPr>
                <w:rFonts w:ascii="Times New Roman"/>
                <w:sz w:val="21"/>
              </w:rPr>
            </w:pPr>
            <w:r>
              <w:rPr>
                <w:rFonts w:ascii="Times New Roman"/>
                <w:sz w:val="21"/>
              </w:rPr>
              <w:t>10</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91" w:right="64"/>
              <w:rPr>
                <w:sz w:val="21"/>
              </w:rPr>
            </w:pPr>
            <w:r>
              <w:rPr>
                <w:rFonts w:ascii="Times New Roman" w:eastAsia="Times New Roman"/>
                <w:sz w:val="21"/>
              </w:rPr>
              <w:t>C18 </w:t>
            </w:r>
            <w:r>
              <w:rPr>
                <w:sz w:val="21"/>
              </w:rPr>
              <w:t>纺织服装、服饰业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96" w:hRule="atLeast"/>
        </w:trPr>
        <w:tc>
          <w:tcPr>
            <w:tcW w:w="478" w:type="dxa"/>
            <w:tcBorders>
              <w:top w:val="single" w:sz="6" w:space="0" w:color="000000"/>
              <w:bottom w:val="single" w:sz="6" w:space="0" w:color="000000"/>
              <w:right w:val="single" w:sz="6" w:space="0" w:color="000000"/>
            </w:tcBorders>
          </w:tcPr>
          <w:p>
            <w:pPr>
              <w:pStyle w:val="TableParagraph"/>
              <w:spacing w:before="26"/>
              <w:ind w:left="13"/>
              <w:rPr>
                <w:rFonts w:ascii="Times New Roman"/>
                <w:sz w:val="21"/>
              </w:rPr>
            </w:pPr>
            <w:r>
              <w:rPr>
                <w:rFonts w:ascii="Times New Roman"/>
                <w:sz w:val="21"/>
              </w:rPr>
              <w:t>11</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91" w:right="64"/>
              <w:rPr>
                <w:sz w:val="21"/>
              </w:rPr>
            </w:pPr>
            <w:r>
              <w:rPr>
                <w:rFonts w:ascii="Times New Roman" w:eastAsia="Times New Roman"/>
                <w:sz w:val="21"/>
              </w:rPr>
              <w:t>C19 </w:t>
            </w:r>
            <w:r>
              <w:rPr>
                <w:sz w:val="21"/>
              </w:rPr>
              <w:t>皮革、毛皮、羽毛及其制品和制鞋业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608" w:hRule="atLeast"/>
        </w:trPr>
        <w:tc>
          <w:tcPr>
            <w:tcW w:w="478" w:type="dxa"/>
            <w:tcBorders>
              <w:top w:val="single" w:sz="6" w:space="0" w:color="000000"/>
              <w:bottom w:val="single" w:sz="6" w:space="0" w:color="000000"/>
              <w:right w:val="single" w:sz="6" w:space="0" w:color="000000"/>
            </w:tcBorders>
          </w:tcPr>
          <w:p>
            <w:pPr>
              <w:pStyle w:val="TableParagraph"/>
              <w:spacing w:before="182"/>
              <w:ind w:left="18"/>
              <w:rPr>
                <w:rFonts w:ascii="Times New Roman"/>
                <w:sz w:val="21"/>
              </w:rPr>
            </w:pPr>
            <w:r>
              <w:rPr>
                <w:rFonts w:ascii="Times New Roman"/>
                <w:sz w:val="21"/>
              </w:rPr>
              <w:t>12</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93" w:lineRule="exact"/>
              <w:ind w:left="94" w:right="64"/>
              <w:rPr>
                <w:rFonts w:ascii="Times New Roman" w:eastAsia="Times New Roman"/>
                <w:sz w:val="21"/>
              </w:rPr>
            </w:pPr>
            <w:r>
              <w:rPr>
                <w:rFonts w:ascii="Times New Roman" w:eastAsia="Times New Roman"/>
                <w:sz w:val="21"/>
              </w:rPr>
              <w:t>C21 </w:t>
            </w:r>
            <w:r>
              <w:rPr>
                <w:sz w:val="21"/>
              </w:rPr>
              <w:t>家具制造业（</w:t>
            </w:r>
            <w:r>
              <w:rPr>
                <w:rFonts w:ascii="Times New Roman" w:eastAsia="Times New Roman"/>
                <w:sz w:val="21"/>
              </w:rPr>
              <w:t>C213 </w:t>
            </w:r>
            <w:r>
              <w:rPr>
                <w:sz w:val="21"/>
              </w:rPr>
              <w:t>金属家具制造、</w:t>
            </w:r>
            <w:r>
              <w:rPr>
                <w:rFonts w:ascii="Times New Roman" w:eastAsia="Times New Roman"/>
                <w:sz w:val="21"/>
              </w:rPr>
              <w:t>C214</w:t>
            </w:r>
          </w:p>
          <w:p>
            <w:pPr>
              <w:pStyle w:val="TableParagraph"/>
              <w:spacing w:line="296" w:lineRule="exact"/>
              <w:ind w:left="94" w:right="64"/>
              <w:rPr>
                <w:sz w:val="21"/>
              </w:rPr>
            </w:pPr>
            <w:r>
              <w:rPr>
                <w:sz w:val="21"/>
              </w:rPr>
              <w:t>塑料家具制造）</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58" w:hRule="atLeast"/>
        </w:trPr>
        <w:tc>
          <w:tcPr>
            <w:tcW w:w="478" w:type="dxa"/>
            <w:tcBorders>
              <w:top w:val="single" w:sz="6" w:space="0" w:color="000000"/>
              <w:bottom w:val="single" w:sz="6" w:space="0" w:color="000000"/>
              <w:right w:val="single" w:sz="6" w:space="0" w:color="000000"/>
            </w:tcBorders>
          </w:tcPr>
          <w:p>
            <w:pPr>
              <w:pStyle w:val="TableParagraph"/>
              <w:spacing w:line="235" w:lineRule="exact" w:before="2"/>
              <w:ind w:left="18"/>
              <w:rPr>
                <w:rFonts w:ascii="Times New Roman"/>
                <w:sz w:val="21"/>
              </w:rPr>
            </w:pPr>
            <w:r>
              <w:rPr>
                <w:rFonts w:ascii="Times New Roman"/>
                <w:sz w:val="21"/>
              </w:rPr>
              <w:t>13</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91" w:right="64"/>
              <w:rPr>
                <w:sz w:val="21"/>
              </w:rPr>
            </w:pPr>
            <w:r>
              <w:rPr>
                <w:rFonts w:ascii="Times New Roman" w:eastAsia="Times New Roman"/>
                <w:sz w:val="21"/>
              </w:rPr>
              <w:t>C22</w:t>
            </w:r>
            <w:r>
              <w:rPr>
                <w:rFonts w:ascii="Times New Roman" w:eastAsia="Times New Roman"/>
                <w:spacing w:val="52"/>
                <w:sz w:val="21"/>
              </w:rPr>
              <w:t> </w:t>
            </w:r>
            <w:r>
              <w:rPr>
                <w:spacing w:val="-3"/>
                <w:sz w:val="21"/>
              </w:rPr>
              <w:t>造纸和纸制品业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57" w:hRule="atLeast"/>
        </w:trPr>
        <w:tc>
          <w:tcPr>
            <w:tcW w:w="478" w:type="dxa"/>
            <w:tcBorders>
              <w:top w:val="single" w:sz="6" w:space="0" w:color="000000"/>
              <w:bottom w:val="single" w:sz="6" w:space="0" w:color="000000"/>
              <w:right w:val="single" w:sz="6" w:space="0" w:color="000000"/>
            </w:tcBorders>
          </w:tcPr>
          <w:p>
            <w:pPr>
              <w:pStyle w:val="TableParagraph"/>
              <w:spacing w:line="235" w:lineRule="exact" w:before="2"/>
              <w:ind w:left="18"/>
              <w:rPr>
                <w:rFonts w:ascii="Times New Roman"/>
                <w:sz w:val="21"/>
              </w:rPr>
            </w:pPr>
            <w:r>
              <w:rPr>
                <w:rFonts w:ascii="Times New Roman"/>
                <w:sz w:val="21"/>
              </w:rPr>
              <w:t>14</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91" w:right="64"/>
              <w:rPr>
                <w:sz w:val="21"/>
              </w:rPr>
            </w:pPr>
            <w:r>
              <w:rPr>
                <w:rFonts w:ascii="Times New Roman" w:eastAsia="Times New Roman"/>
                <w:sz w:val="21"/>
              </w:rPr>
              <w:t>C24 </w:t>
            </w:r>
            <w:r>
              <w:rPr>
                <w:sz w:val="21"/>
              </w:rPr>
              <w:t>文教、工美、体育和娱乐用品制造业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55" w:hRule="atLeast"/>
        </w:trPr>
        <w:tc>
          <w:tcPr>
            <w:tcW w:w="478"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sz w:val="21"/>
              </w:rPr>
              <w:t>15</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94" w:right="64"/>
              <w:rPr>
                <w:sz w:val="21"/>
              </w:rPr>
            </w:pPr>
            <w:r>
              <w:rPr>
                <w:rFonts w:ascii="Times New Roman" w:eastAsia="Times New Roman"/>
                <w:sz w:val="21"/>
              </w:rPr>
              <w:t>C25 </w:t>
            </w:r>
            <w:r>
              <w:rPr>
                <w:sz w:val="21"/>
              </w:rPr>
              <w:t>石油、煤炭及其他燃料加工业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57" w:hRule="atLeast"/>
        </w:trPr>
        <w:tc>
          <w:tcPr>
            <w:tcW w:w="478" w:type="dxa"/>
            <w:tcBorders>
              <w:top w:val="single" w:sz="6" w:space="0" w:color="000000"/>
              <w:bottom w:val="single" w:sz="6" w:space="0" w:color="000000"/>
              <w:right w:val="single" w:sz="6" w:space="0" w:color="000000"/>
            </w:tcBorders>
          </w:tcPr>
          <w:p>
            <w:pPr>
              <w:pStyle w:val="TableParagraph"/>
              <w:spacing w:line="235" w:lineRule="exact" w:before="2"/>
              <w:ind w:left="18"/>
              <w:rPr>
                <w:rFonts w:ascii="Times New Roman"/>
                <w:sz w:val="21"/>
              </w:rPr>
            </w:pPr>
            <w:r>
              <w:rPr>
                <w:rFonts w:ascii="Times New Roman"/>
                <w:sz w:val="21"/>
              </w:rPr>
              <w:t>16</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91" w:right="64"/>
              <w:rPr>
                <w:sz w:val="21"/>
              </w:rPr>
            </w:pPr>
            <w:r>
              <w:rPr>
                <w:rFonts w:ascii="Times New Roman" w:eastAsia="Times New Roman"/>
                <w:sz w:val="21"/>
              </w:rPr>
              <w:t>C30 </w:t>
            </w:r>
            <w:r>
              <w:rPr>
                <w:sz w:val="21"/>
              </w:rPr>
              <w:t>非金属矿物制品业（新建）</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803" w:hRule="atLeast"/>
        </w:trPr>
        <w:tc>
          <w:tcPr>
            <w:tcW w:w="478" w:type="dxa"/>
            <w:tcBorders>
              <w:top w:val="single" w:sz="6" w:space="0" w:color="000000"/>
              <w:bottom w:val="single" w:sz="6" w:space="0" w:color="000000"/>
              <w:right w:val="single" w:sz="6" w:space="0" w:color="000000"/>
            </w:tcBorders>
          </w:tcPr>
          <w:p>
            <w:pPr>
              <w:pStyle w:val="TableParagraph"/>
              <w:spacing w:before="19"/>
              <w:jc w:val="left"/>
              <w:rPr>
                <w:sz w:val="12"/>
              </w:rPr>
            </w:pPr>
          </w:p>
          <w:p>
            <w:pPr>
              <w:pStyle w:val="TableParagraph"/>
              <w:ind w:left="18"/>
              <w:rPr>
                <w:rFonts w:ascii="Times New Roman"/>
                <w:sz w:val="21"/>
              </w:rPr>
            </w:pPr>
            <w:r>
              <w:rPr>
                <w:rFonts w:ascii="Times New Roman"/>
                <w:sz w:val="21"/>
              </w:rPr>
              <w:t>17</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14" w:right="82"/>
              <w:rPr>
                <w:sz w:val="21"/>
              </w:rPr>
            </w:pPr>
            <w:r>
              <w:rPr>
                <w:rFonts w:ascii="Times New Roman" w:eastAsia="Times New Roman"/>
                <w:sz w:val="21"/>
              </w:rPr>
              <w:t>C36 </w:t>
            </w:r>
            <w:r>
              <w:rPr>
                <w:sz w:val="21"/>
              </w:rPr>
              <w:t>汽车制造业（</w:t>
            </w:r>
            <w:r>
              <w:rPr>
                <w:rFonts w:ascii="Times New Roman" w:eastAsia="Times New Roman"/>
                <w:sz w:val="21"/>
              </w:rPr>
              <w:t>C361 </w:t>
            </w:r>
            <w:r>
              <w:rPr>
                <w:sz w:val="21"/>
              </w:rPr>
              <w:t>汽车整车制造、</w:t>
            </w:r>
            <w:r>
              <w:rPr>
                <w:rFonts w:ascii="Times New Roman" w:eastAsia="Times New Roman"/>
                <w:sz w:val="21"/>
              </w:rPr>
              <w:t>C362 </w:t>
            </w:r>
            <w:r>
              <w:rPr>
                <w:sz w:val="21"/>
              </w:rPr>
              <w:t>汽车用发动机制造、</w:t>
            </w:r>
            <w:r>
              <w:rPr>
                <w:rFonts w:ascii="Times New Roman" w:eastAsia="Times New Roman"/>
                <w:sz w:val="21"/>
              </w:rPr>
              <w:t>C366 </w:t>
            </w:r>
            <w:r>
              <w:rPr>
                <w:sz w:val="21"/>
              </w:rPr>
              <w:t>汽车车身、挂车制</w:t>
            </w:r>
          </w:p>
          <w:p>
            <w:pPr>
              <w:pStyle w:val="TableParagraph"/>
              <w:spacing w:line="226" w:lineRule="exact"/>
              <w:ind w:left="94" w:right="64"/>
              <w:rPr>
                <w:sz w:val="21"/>
              </w:rPr>
            </w:pPr>
            <w:r>
              <w:rPr>
                <w:sz w:val="21"/>
              </w:rPr>
              <w:t>造）</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529" w:hRule="atLeast"/>
        </w:trPr>
        <w:tc>
          <w:tcPr>
            <w:tcW w:w="478" w:type="dxa"/>
            <w:tcBorders>
              <w:top w:val="single" w:sz="6" w:space="0" w:color="000000"/>
              <w:bottom w:val="single" w:sz="6" w:space="0" w:color="000000"/>
              <w:right w:val="single" w:sz="6" w:space="0" w:color="000000"/>
            </w:tcBorders>
          </w:tcPr>
          <w:p>
            <w:pPr>
              <w:pStyle w:val="TableParagraph"/>
              <w:spacing w:before="137"/>
              <w:ind w:left="18"/>
              <w:rPr>
                <w:rFonts w:ascii="Times New Roman"/>
                <w:sz w:val="21"/>
              </w:rPr>
            </w:pPr>
            <w:r>
              <w:rPr>
                <w:rFonts w:ascii="Times New Roman"/>
                <w:sz w:val="21"/>
              </w:rPr>
              <w:t>18</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3" w:right="64"/>
              <w:rPr>
                <w:sz w:val="21"/>
              </w:rPr>
            </w:pPr>
            <w:r>
              <w:rPr>
                <w:rFonts w:ascii="Times New Roman" w:eastAsia="Times New Roman"/>
                <w:sz w:val="21"/>
              </w:rPr>
              <w:t>C37 </w:t>
            </w:r>
            <w:r>
              <w:rPr>
                <w:sz w:val="21"/>
              </w:rPr>
              <w:t>铁路、船舶、航空航天和其他运输设备</w:t>
            </w:r>
          </w:p>
          <w:p>
            <w:pPr>
              <w:pStyle w:val="TableParagraph"/>
              <w:spacing w:line="257" w:lineRule="exact"/>
              <w:ind w:left="94" w:right="64"/>
              <w:rPr>
                <w:sz w:val="21"/>
              </w:rPr>
            </w:pPr>
            <w:r>
              <w:rPr>
                <w:sz w:val="21"/>
              </w:rPr>
              <w:t>制造业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529" w:hRule="atLeast"/>
        </w:trPr>
        <w:tc>
          <w:tcPr>
            <w:tcW w:w="478" w:type="dxa"/>
            <w:tcBorders>
              <w:top w:val="single" w:sz="6" w:space="0" w:color="000000"/>
              <w:bottom w:val="single" w:sz="6" w:space="0" w:color="000000"/>
              <w:right w:val="single" w:sz="6" w:space="0" w:color="000000"/>
            </w:tcBorders>
          </w:tcPr>
          <w:p>
            <w:pPr>
              <w:pStyle w:val="TableParagraph"/>
              <w:spacing w:before="137"/>
              <w:ind w:left="18"/>
              <w:rPr>
                <w:rFonts w:ascii="Times New Roman"/>
                <w:sz w:val="21"/>
              </w:rPr>
            </w:pPr>
            <w:r>
              <w:rPr>
                <w:rFonts w:ascii="Times New Roman"/>
                <w:sz w:val="21"/>
              </w:rPr>
              <w:t>19</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14"/>
              <w:jc w:val="left"/>
              <w:rPr>
                <w:sz w:val="21"/>
              </w:rPr>
            </w:pPr>
            <w:r>
              <w:rPr>
                <w:rFonts w:ascii="Times New Roman" w:eastAsia="Times New Roman"/>
                <w:sz w:val="21"/>
              </w:rPr>
              <w:t>C38 </w:t>
            </w:r>
            <w:r>
              <w:rPr>
                <w:sz w:val="21"/>
              </w:rPr>
              <w:t>电气机械和器材制造业（</w:t>
            </w:r>
            <w:r>
              <w:rPr>
                <w:rFonts w:ascii="Times New Roman" w:eastAsia="Times New Roman"/>
                <w:sz w:val="21"/>
              </w:rPr>
              <w:t>C383 </w:t>
            </w:r>
            <w:r>
              <w:rPr>
                <w:sz w:val="21"/>
              </w:rPr>
              <w:t>电线、电</w:t>
            </w:r>
          </w:p>
          <w:p>
            <w:pPr>
              <w:pStyle w:val="TableParagraph"/>
              <w:spacing w:line="257" w:lineRule="exact"/>
              <w:ind w:left="114"/>
              <w:jc w:val="left"/>
              <w:rPr>
                <w:sz w:val="21"/>
              </w:rPr>
            </w:pPr>
            <w:r>
              <w:rPr>
                <w:sz w:val="21"/>
              </w:rPr>
              <w:t>缆、光缆及电工器材制造、</w:t>
            </w:r>
            <w:r>
              <w:rPr>
                <w:rFonts w:ascii="Times New Roman" w:eastAsia="Times New Roman"/>
                <w:sz w:val="21"/>
              </w:rPr>
              <w:t>C384 </w:t>
            </w:r>
            <w:r>
              <w:rPr>
                <w:sz w:val="21"/>
              </w:rPr>
              <w:t>电池制造）</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57" w:hRule="atLeast"/>
        </w:trPr>
        <w:tc>
          <w:tcPr>
            <w:tcW w:w="478" w:type="dxa"/>
            <w:tcBorders>
              <w:top w:val="single" w:sz="6" w:space="0" w:color="000000"/>
              <w:bottom w:val="single" w:sz="6" w:space="0" w:color="000000"/>
              <w:right w:val="single" w:sz="6" w:space="0" w:color="000000"/>
            </w:tcBorders>
          </w:tcPr>
          <w:p>
            <w:pPr>
              <w:pStyle w:val="TableParagraph"/>
              <w:spacing w:line="235" w:lineRule="exact" w:before="2"/>
              <w:ind w:left="18"/>
              <w:rPr>
                <w:rFonts w:ascii="Times New Roman"/>
                <w:sz w:val="21"/>
              </w:rPr>
            </w:pPr>
            <w:r>
              <w:rPr>
                <w:rFonts w:ascii="Times New Roman"/>
                <w:sz w:val="21"/>
              </w:rPr>
              <w:t>20</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91" w:right="64"/>
              <w:rPr>
                <w:sz w:val="21"/>
              </w:rPr>
            </w:pPr>
            <w:r>
              <w:rPr>
                <w:rFonts w:ascii="Times New Roman" w:eastAsia="Times New Roman"/>
                <w:sz w:val="21"/>
              </w:rPr>
              <w:t>C39 </w:t>
            </w:r>
            <w:r>
              <w:rPr>
                <w:sz w:val="21"/>
              </w:rPr>
              <w:t>计算机、通信和其他电子设备制造业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58" w:hRule="atLeast"/>
        </w:trPr>
        <w:tc>
          <w:tcPr>
            <w:tcW w:w="478" w:type="dxa"/>
            <w:tcBorders>
              <w:top w:val="single" w:sz="6" w:space="0" w:color="000000"/>
              <w:bottom w:val="single" w:sz="6" w:space="0" w:color="000000"/>
              <w:right w:val="single" w:sz="6" w:space="0" w:color="000000"/>
            </w:tcBorders>
          </w:tcPr>
          <w:p>
            <w:pPr>
              <w:pStyle w:val="TableParagraph"/>
              <w:spacing w:line="235" w:lineRule="exact" w:before="2"/>
              <w:ind w:left="18"/>
              <w:rPr>
                <w:rFonts w:ascii="Times New Roman"/>
                <w:sz w:val="21"/>
              </w:rPr>
            </w:pPr>
            <w:r>
              <w:rPr>
                <w:rFonts w:ascii="Times New Roman"/>
                <w:sz w:val="21"/>
              </w:rPr>
              <w:t>21</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93" w:right="64"/>
              <w:rPr>
                <w:sz w:val="21"/>
              </w:rPr>
            </w:pPr>
            <w:r>
              <w:rPr>
                <w:rFonts w:ascii="Times New Roman" w:eastAsia="Times New Roman"/>
                <w:sz w:val="21"/>
              </w:rPr>
              <w:t>C43 </w:t>
            </w:r>
            <w:r>
              <w:rPr>
                <w:sz w:val="21"/>
              </w:rPr>
              <w:t>金属制品、机械和设备修理业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255" w:hRule="atLeast"/>
        </w:trPr>
        <w:tc>
          <w:tcPr>
            <w:tcW w:w="478" w:type="dxa"/>
            <w:tcBorders>
              <w:top w:val="single" w:sz="6" w:space="0" w:color="000000"/>
              <w:bottom w:val="single" w:sz="6" w:space="0" w:color="000000"/>
              <w:right w:val="single" w:sz="6" w:space="0" w:color="000000"/>
            </w:tcBorders>
          </w:tcPr>
          <w:p>
            <w:pPr>
              <w:pStyle w:val="TableParagraph"/>
              <w:spacing w:line="235" w:lineRule="exact"/>
              <w:ind w:left="18"/>
              <w:rPr>
                <w:rFonts w:ascii="Times New Roman"/>
                <w:sz w:val="21"/>
              </w:rPr>
            </w:pPr>
            <w:r>
              <w:rPr>
                <w:rFonts w:ascii="Times New Roman"/>
                <w:sz w:val="21"/>
              </w:rPr>
              <w:t>22</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94" w:right="64"/>
              <w:rPr>
                <w:sz w:val="21"/>
              </w:rPr>
            </w:pPr>
            <w:r>
              <w:rPr>
                <w:rFonts w:ascii="Times New Roman" w:eastAsia="Times New Roman"/>
                <w:sz w:val="21"/>
              </w:rPr>
              <w:t>D44</w:t>
            </w:r>
            <w:r>
              <w:rPr>
                <w:rFonts w:ascii="Times New Roman" w:eastAsia="Times New Roman"/>
                <w:spacing w:val="52"/>
                <w:sz w:val="21"/>
              </w:rPr>
              <w:t> </w:t>
            </w:r>
            <w:r>
              <w:rPr>
                <w:spacing w:val="-3"/>
                <w:sz w:val="21"/>
              </w:rPr>
              <w:t>电力、热力生产和供应业</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1073" w:hRule="atLeast"/>
        </w:trPr>
        <w:tc>
          <w:tcPr>
            <w:tcW w:w="478" w:type="dxa"/>
            <w:tcBorders>
              <w:top w:val="single" w:sz="6" w:space="0" w:color="000000"/>
              <w:bottom w:val="single" w:sz="6" w:space="0" w:color="000000"/>
              <w:right w:val="single" w:sz="6" w:space="0" w:color="000000"/>
            </w:tcBorders>
          </w:tcPr>
          <w:p>
            <w:pPr>
              <w:pStyle w:val="TableParagraph"/>
              <w:spacing w:before="12"/>
              <w:jc w:val="left"/>
              <w:rPr>
                <w:sz w:val="19"/>
              </w:rPr>
            </w:pPr>
          </w:p>
          <w:p>
            <w:pPr>
              <w:pStyle w:val="TableParagraph"/>
              <w:ind w:left="18"/>
              <w:rPr>
                <w:rFonts w:ascii="Times New Roman"/>
                <w:sz w:val="21"/>
              </w:rPr>
            </w:pPr>
            <w:r>
              <w:rPr>
                <w:rFonts w:ascii="Times New Roman"/>
                <w:sz w:val="21"/>
              </w:rPr>
              <w:t>23</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sz w:val="11"/>
              </w:rPr>
            </w:pPr>
          </w:p>
          <w:p>
            <w:pPr>
              <w:pStyle w:val="TableParagraph"/>
              <w:spacing w:line="168" w:lineRule="auto"/>
              <w:ind w:left="1110" w:right="-29" w:hanging="996"/>
              <w:jc w:val="left"/>
              <w:rPr>
                <w:sz w:val="21"/>
              </w:rPr>
            </w:pPr>
            <w:r>
              <w:rPr>
                <w:rFonts w:ascii="Times New Roman" w:eastAsia="Times New Roman"/>
                <w:sz w:val="21"/>
              </w:rPr>
              <w:t>C26</w:t>
            </w:r>
            <w:r>
              <w:rPr>
                <w:rFonts w:ascii="Times New Roman" w:eastAsia="Times New Roman"/>
                <w:spacing w:val="13"/>
                <w:sz w:val="21"/>
              </w:rPr>
              <w:t> </w:t>
            </w:r>
            <w:r>
              <w:rPr>
                <w:spacing w:val="-12"/>
                <w:sz w:val="21"/>
              </w:rPr>
              <w:t>化学原料和化学制品制造业</w:t>
            </w:r>
            <w:r>
              <w:rPr>
                <w:sz w:val="21"/>
              </w:rPr>
              <w:t>（</w:t>
            </w:r>
            <w:r>
              <w:rPr>
                <w:rFonts w:ascii="Times New Roman" w:eastAsia="Times New Roman"/>
                <w:sz w:val="21"/>
              </w:rPr>
              <w:t>C267</w:t>
            </w:r>
            <w:r>
              <w:rPr>
                <w:rFonts w:ascii="Times New Roman" w:eastAsia="Times New Roman"/>
                <w:spacing w:val="-18"/>
                <w:sz w:val="21"/>
              </w:rPr>
              <w:t> </w:t>
            </w:r>
            <w:r>
              <w:rPr>
                <w:spacing w:val="-2"/>
                <w:sz w:val="21"/>
              </w:rPr>
              <w:t>炸药、</w:t>
            </w:r>
            <w:r>
              <w:rPr>
                <w:spacing w:val="-3"/>
                <w:sz w:val="21"/>
              </w:rPr>
              <w:t>火工及焰火产品制造</w:t>
            </w:r>
            <w:r>
              <w:rPr>
                <w:sz w:val="21"/>
              </w:rPr>
              <w:t>）</w:t>
            </w:r>
          </w:p>
        </w:tc>
        <w:tc>
          <w:tcPr>
            <w:tcW w:w="2127"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68" w:lineRule="auto" w:before="10"/>
              <w:ind w:left="114" w:right="84" w:hanging="3"/>
              <w:rPr>
                <w:sz w:val="21"/>
              </w:rPr>
            </w:pPr>
            <w:r>
              <w:rPr>
                <w:spacing w:val="-3"/>
                <w:sz w:val="21"/>
              </w:rPr>
              <w:t>莒南县化工园区产业定位</w:t>
            </w:r>
            <w:r>
              <w:rPr>
                <w:spacing w:val="-28"/>
                <w:sz w:val="21"/>
              </w:rPr>
              <w:t>、《产业结构调整</w:t>
            </w:r>
            <w:r>
              <w:rPr>
                <w:spacing w:val="-34"/>
                <w:sz w:val="21"/>
              </w:rPr>
              <w:t>指导目录》</w:t>
            </w:r>
            <w:r>
              <w:rPr>
                <w:sz w:val="21"/>
              </w:rPr>
              <w:t>（</w:t>
            </w:r>
            <w:r>
              <w:rPr>
                <w:rFonts w:ascii="Times New Roman" w:eastAsia="Times New Roman"/>
                <w:sz w:val="21"/>
              </w:rPr>
              <w:t>2013 </w:t>
            </w:r>
            <w:r>
              <w:rPr>
                <w:sz w:val="21"/>
              </w:rPr>
              <w:t>年修订</w:t>
            </w:r>
            <w:r>
              <w:rPr>
                <w:spacing w:val="-106"/>
                <w:sz w:val="21"/>
              </w:rPr>
              <w:t>）</w:t>
            </w:r>
            <w:r>
              <w:rPr>
                <w:spacing w:val="-18"/>
                <w:sz w:val="21"/>
              </w:rPr>
              <w:t>、《临沂市现代</w:t>
            </w:r>
            <w:r>
              <w:rPr>
                <w:spacing w:val="-7"/>
                <w:sz w:val="21"/>
              </w:rPr>
              <w:t>产业发展指导目录》</w:t>
            </w:r>
            <w:r>
              <w:rPr>
                <w:spacing w:val="-5"/>
                <w:sz w:val="21"/>
              </w:rPr>
              <w:t>以及《国民经济行业分类》</w:t>
            </w:r>
          </w:p>
          <w:p>
            <w:pPr>
              <w:pStyle w:val="TableParagraph"/>
              <w:spacing w:line="272" w:lineRule="exact"/>
              <w:ind w:left="143" w:right="119"/>
              <w:rPr>
                <w:sz w:val="21"/>
              </w:rPr>
            </w:pPr>
            <w:r>
              <w:rPr>
                <w:sz w:val="21"/>
              </w:rPr>
              <w:t>（</w:t>
            </w:r>
            <w:r>
              <w:rPr>
                <w:rFonts w:ascii="Times New Roman" w:eastAsia="Times New Roman"/>
                <w:sz w:val="21"/>
              </w:rPr>
              <w:t>GB/T4754-2017</w:t>
            </w:r>
            <w:r>
              <w:rPr>
                <w:sz w:val="21"/>
              </w:rPr>
              <w:t>）</w:t>
            </w:r>
          </w:p>
        </w:tc>
        <w:tc>
          <w:tcPr>
            <w:tcW w:w="1610" w:type="dxa"/>
            <w:vMerge/>
            <w:tcBorders>
              <w:top w:val="nil"/>
              <w:left w:val="single" w:sz="6" w:space="0" w:color="000000"/>
            </w:tcBorders>
          </w:tcPr>
          <w:p>
            <w:pPr>
              <w:rPr>
                <w:sz w:val="2"/>
                <w:szCs w:val="2"/>
              </w:rPr>
            </w:pPr>
          </w:p>
        </w:tc>
      </w:tr>
      <w:tr>
        <w:trPr>
          <w:trHeight w:val="1379" w:hRule="atLeast"/>
        </w:trPr>
        <w:tc>
          <w:tcPr>
            <w:tcW w:w="478" w:type="dxa"/>
            <w:tcBorders>
              <w:top w:val="single" w:sz="6" w:space="0" w:color="000000"/>
              <w:bottom w:val="single" w:sz="6" w:space="0" w:color="000000"/>
              <w:right w:val="single" w:sz="6" w:space="0" w:color="000000"/>
            </w:tcBorders>
          </w:tcPr>
          <w:p>
            <w:pPr>
              <w:pStyle w:val="TableParagraph"/>
              <w:spacing w:before="15"/>
              <w:jc w:val="left"/>
              <w:rPr>
                <w:sz w:val="26"/>
              </w:rPr>
            </w:pPr>
          </w:p>
          <w:p>
            <w:pPr>
              <w:pStyle w:val="TableParagraph"/>
              <w:ind w:left="18"/>
              <w:rPr>
                <w:rFonts w:ascii="Times New Roman"/>
                <w:sz w:val="21"/>
              </w:rPr>
            </w:pPr>
            <w:r>
              <w:rPr>
                <w:rFonts w:ascii="Times New Roman"/>
                <w:sz w:val="21"/>
              </w:rPr>
              <w:t>24</w:t>
            </w:r>
          </w:p>
        </w:tc>
        <w:tc>
          <w:tcPr>
            <w:tcW w:w="4309"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80"/>
              <w:ind w:left="114" w:right="82"/>
              <w:jc w:val="both"/>
              <w:rPr>
                <w:sz w:val="21"/>
              </w:rPr>
            </w:pPr>
            <w:r>
              <w:rPr>
                <w:rFonts w:ascii="Times New Roman" w:eastAsia="Times New Roman"/>
                <w:sz w:val="21"/>
              </w:rPr>
              <w:t>C27 </w:t>
            </w:r>
            <w:r>
              <w:rPr>
                <w:spacing w:val="-14"/>
                <w:sz w:val="21"/>
              </w:rPr>
              <w:t>医药制造业</w:t>
            </w:r>
            <w:r>
              <w:rPr>
                <w:sz w:val="21"/>
              </w:rPr>
              <w:t>（</w:t>
            </w:r>
            <w:r>
              <w:rPr>
                <w:rFonts w:ascii="Times New Roman" w:eastAsia="Times New Roman"/>
                <w:sz w:val="21"/>
              </w:rPr>
              <w:t>C273 </w:t>
            </w:r>
            <w:r>
              <w:rPr>
                <w:spacing w:val="-11"/>
                <w:sz w:val="21"/>
              </w:rPr>
              <w:t>中药饮品加工、</w:t>
            </w:r>
            <w:r>
              <w:rPr>
                <w:rFonts w:ascii="Times New Roman" w:eastAsia="Times New Roman"/>
                <w:sz w:val="21"/>
              </w:rPr>
              <w:t>C274 </w:t>
            </w:r>
            <w:r>
              <w:rPr>
                <w:spacing w:val="-3"/>
                <w:sz w:val="21"/>
              </w:rPr>
              <w:t>中成药生产、</w:t>
            </w:r>
            <w:r>
              <w:rPr>
                <w:rFonts w:ascii="Times New Roman" w:eastAsia="Times New Roman"/>
                <w:sz w:val="21"/>
              </w:rPr>
              <w:t>C275 </w:t>
            </w:r>
            <w:r>
              <w:rPr>
                <w:spacing w:val="-3"/>
                <w:sz w:val="21"/>
              </w:rPr>
              <w:t>兽用医药制造、</w:t>
            </w:r>
            <w:r>
              <w:rPr>
                <w:rFonts w:ascii="Times New Roman" w:eastAsia="Times New Roman"/>
                <w:sz w:val="21"/>
              </w:rPr>
              <w:t>C276 </w:t>
            </w:r>
            <w:r>
              <w:rPr>
                <w:sz w:val="21"/>
              </w:rPr>
              <w:t>生</w:t>
            </w:r>
            <w:r>
              <w:rPr>
                <w:spacing w:val="-7"/>
                <w:sz w:val="21"/>
              </w:rPr>
              <w:t>物药品制品制造、</w:t>
            </w:r>
            <w:r>
              <w:rPr>
                <w:rFonts w:ascii="Times New Roman" w:eastAsia="Times New Roman"/>
                <w:sz w:val="21"/>
              </w:rPr>
              <w:t>C277 </w:t>
            </w:r>
            <w:r>
              <w:rPr>
                <w:spacing w:val="-3"/>
                <w:sz w:val="21"/>
              </w:rPr>
              <w:t>卫生材料及医药用品制造、</w:t>
            </w:r>
            <w:r>
              <w:rPr>
                <w:rFonts w:ascii="Times New Roman" w:eastAsia="Times New Roman"/>
                <w:sz w:val="21"/>
              </w:rPr>
              <w:t>C278</w:t>
            </w:r>
            <w:r>
              <w:rPr>
                <w:rFonts w:ascii="Times New Roman" w:eastAsia="Times New Roman"/>
                <w:spacing w:val="52"/>
                <w:sz w:val="21"/>
              </w:rPr>
              <w:t> </w:t>
            </w:r>
            <w:r>
              <w:rPr>
                <w:spacing w:val="-3"/>
                <w:sz w:val="21"/>
              </w:rPr>
              <w:t>药用辅料及包装材料</w:t>
            </w:r>
            <w:r>
              <w:rPr>
                <w:sz w:val="21"/>
              </w:rPr>
              <w:t>）</w:t>
            </w:r>
          </w:p>
        </w:tc>
        <w:tc>
          <w:tcPr>
            <w:tcW w:w="2127"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tcBorders>
          </w:tcPr>
          <w:p>
            <w:pPr>
              <w:rPr>
                <w:sz w:val="2"/>
                <w:szCs w:val="2"/>
              </w:rPr>
            </w:pPr>
          </w:p>
        </w:tc>
      </w:tr>
      <w:tr>
        <w:trPr>
          <w:trHeight w:val="303" w:hRule="atLeast"/>
        </w:trPr>
        <w:tc>
          <w:tcPr>
            <w:tcW w:w="6914" w:type="dxa"/>
            <w:gridSpan w:val="3"/>
            <w:tcBorders>
              <w:top w:val="single" w:sz="6" w:space="0" w:color="000000"/>
              <w:right w:val="single" w:sz="6" w:space="0" w:color="000000"/>
            </w:tcBorders>
          </w:tcPr>
          <w:p>
            <w:pPr>
              <w:pStyle w:val="TableParagraph"/>
              <w:spacing w:line="284" w:lineRule="exact"/>
              <w:ind w:left="107"/>
              <w:jc w:val="left"/>
              <w:rPr>
                <w:sz w:val="21"/>
              </w:rPr>
            </w:pPr>
            <w:r>
              <w:rPr>
                <w:sz w:val="21"/>
              </w:rPr>
              <w:t>注：公共基础设施建设项目除外。</w:t>
            </w:r>
          </w:p>
        </w:tc>
        <w:tc>
          <w:tcPr>
            <w:tcW w:w="1610" w:type="dxa"/>
            <w:vMerge/>
            <w:tcBorders>
              <w:top w:val="nil"/>
              <w:left w:val="single" w:sz="6" w:space="0" w:color="000000"/>
            </w:tcBorders>
          </w:tcPr>
          <w:p>
            <w:pPr>
              <w:rPr>
                <w:sz w:val="2"/>
                <w:szCs w:val="2"/>
              </w:rPr>
            </w:pPr>
          </w:p>
        </w:tc>
      </w:tr>
    </w:tbl>
    <w:p>
      <w:pPr>
        <w:pStyle w:val="BodyText"/>
        <w:spacing w:line="220" w:lineRule="auto"/>
        <w:ind w:left="580" w:right="756" w:firstLine="479"/>
        <w:jc w:val="both"/>
      </w:pPr>
      <w:r>
        <w:rPr>
          <w:color w:val="00AF50"/>
          <w:spacing w:val="-4"/>
        </w:rPr>
        <w:t>本项目包含化学医药</w:t>
      </w:r>
      <w:r>
        <w:rPr>
          <w:color w:val="00AF50"/>
        </w:rPr>
        <w:t>（化学药品原料药制造</w:t>
      </w:r>
      <w:r>
        <w:rPr>
          <w:color w:val="00AF50"/>
          <w:spacing w:val="-32"/>
        </w:rPr>
        <w:t>）</w:t>
      </w:r>
      <w:r>
        <w:rPr>
          <w:color w:val="00AF50"/>
          <w:spacing w:val="-7"/>
        </w:rPr>
        <w:t>及生物工程</w:t>
      </w:r>
      <w:r>
        <w:rPr>
          <w:color w:val="00AF50"/>
        </w:rPr>
        <w:t>（生物药品制品制造</w:t>
      </w:r>
      <w:r>
        <w:rPr>
          <w:color w:val="00AF50"/>
          <w:spacing w:val="-20"/>
        </w:rPr>
        <w:t>），</w:t>
      </w:r>
      <w:r>
        <w:rPr>
          <w:color w:val="00AF50"/>
          <w:spacing w:val="-5"/>
        </w:rPr>
        <w:t>属于准入进入行业，不在莒南县化工园区环境准入负面清单内，因此，项目符合园区行业准入要求。</w:t>
      </w:r>
    </w:p>
    <w:p>
      <w:pPr>
        <w:pStyle w:val="BodyText"/>
        <w:spacing w:line="460" w:lineRule="exact"/>
        <w:ind w:left="1060"/>
      </w:pPr>
      <w:r>
        <w:rPr>
          <w:rFonts w:ascii="Times New Roman" w:eastAsia="Times New Roman"/>
        </w:rPr>
        <w:t>2</w:t>
      </w:r>
      <w:r>
        <w:rPr/>
        <w:t>、与《关于以改善环境质量为核心加强环境影响评价管理的通知》</w:t>
      </w:r>
      <w:r>
        <w:rPr>
          <w:rFonts w:ascii="Times New Roman" w:eastAsia="Times New Roman"/>
        </w:rPr>
        <w:t>(</w:t>
      </w:r>
      <w:r>
        <w:rPr/>
        <w:t>环环评</w:t>
      </w:r>
    </w:p>
    <w:p>
      <w:pPr>
        <w:pStyle w:val="BodyText"/>
        <w:spacing w:line="468" w:lineRule="exact"/>
        <w:ind w:left="580"/>
      </w:pPr>
      <w:r>
        <w:rPr>
          <w:rFonts w:ascii="Times New Roman" w:eastAsia="Times New Roman"/>
        </w:rPr>
        <w:t>[2016]150</w:t>
      </w:r>
      <w:r>
        <w:rPr/>
        <w:t>号</w:t>
      </w:r>
      <w:r>
        <w:rPr>
          <w:rFonts w:ascii="Times New Roman" w:eastAsia="Times New Roman"/>
        </w:rPr>
        <w:t>)</w:t>
      </w:r>
      <w:r>
        <w:rPr/>
        <w:t>符合性分析</w:t>
      </w:r>
    </w:p>
    <w:p>
      <w:pPr>
        <w:pStyle w:val="BodyText"/>
        <w:spacing w:line="220" w:lineRule="auto" w:before="1"/>
        <w:ind w:left="580" w:right="751" w:firstLine="479"/>
        <w:jc w:val="both"/>
      </w:pPr>
      <w:r>
        <w:rPr/>
        <w:t>项目与《关于以改善环境质量为核心加强环境影响评价管理的通知》</w:t>
      </w:r>
      <w:r>
        <w:rPr>
          <w:rFonts w:ascii="Times New Roman" w:eastAsia="Times New Roman"/>
        </w:rPr>
        <w:t>(</w:t>
      </w:r>
      <w:r>
        <w:rPr/>
        <w:t>环环评</w:t>
      </w:r>
      <w:r>
        <w:rPr>
          <w:rFonts w:ascii="Times New Roman" w:eastAsia="Times New Roman"/>
        </w:rPr>
        <w:t>[2016]150</w:t>
      </w:r>
      <w:r>
        <w:rPr/>
        <w:t>号</w:t>
      </w:r>
      <w:r>
        <w:rPr>
          <w:rFonts w:ascii="Times New Roman" w:eastAsia="Times New Roman"/>
        </w:rPr>
        <w:t>)</w:t>
      </w:r>
      <w:r>
        <w:rPr/>
        <w:t>符合性分析见表</w:t>
      </w:r>
      <w:r>
        <w:rPr>
          <w:rFonts w:ascii="Times New Roman" w:eastAsia="Times New Roman"/>
        </w:rPr>
        <w:t>11.1-2</w:t>
      </w:r>
      <w:r>
        <w:rPr/>
        <w:t>。</w:t>
      </w:r>
    </w:p>
    <w:p>
      <w:pPr>
        <w:tabs>
          <w:tab w:pos="3086" w:val="left" w:leader="none"/>
        </w:tabs>
        <w:spacing w:line="353" w:lineRule="exact" w:before="0"/>
        <w:ind w:left="2080" w:right="0" w:firstLine="0"/>
        <w:jc w:val="left"/>
        <w:rPr>
          <w:sz w:val="21"/>
        </w:rPr>
      </w:pPr>
      <w:r>
        <w:rPr>
          <w:sz w:val="21"/>
        </w:rPr>
        <w:t>表</w:t>
      </w:r>
      <w:r>
        <w:rPr>
          <w:spacing w:val="9"/>
          <w:sz w:val="21"/>
        </w:rPr>
        <w:t> </w:t>
      </w:r>
      <w:r>
        <w:rPr>
          <w:rFonts w:ascii="Times New Roman" w:hAnsi="Times New Roman" w:eastAsia="Times New Roman"/>
          <w:b/>
          <w:spacing w:val="-3"/>
          <w:sz w:val="21"/>
        </w:rPr>
        <w:t>11.1-2</w:t>
        <w:tab/>
      </w:r>
      <w:r>
        <w:rPr>
          <w:sz w:val="21"/>
        </w:rPr>
        <w:t>项目与</w:t>
      </w:r>
      <w:r>
        <w:rPr>
          <w:rFonts w:ascii="Times New Roman" w:hAnsi="Times New Roman" w:eastAsia="Times New Roman"/>
          <w:b/>
          <w:spacing w:val="-3"/>
          <w:sz w:val="21"/>
        </w:rPr>
        <w:t>“</w:t>
      </w:r>
      <w:r>
        <w:rPr>
          <w:sz w:val="21"/>
        </w:rPr>
        <w:t>环环评</w:t>
      </w:r>
      <w:r>
        <w:rPr>
          <w:rFonts w:ascii="Times New Roman" w:hAnsi="Times New Roman" w:eastAsia="Times New Roman"/>
          <w:b/>
          <w:sz w:val="21"/>
        </w:rPr>
        <w:t>[2016]150</w:t>
      </w:r>
      <w:r>
        <w:rPr>
          <w:rFonts w:ascii="Times New Roman" w:hAnsi="Times New Roman" w:eastAsia="Times New Roman"/>
          <w:b/>
          <w:spacing w:val="-2"/>
          <w:sz w:val="21"/>
        </w:rPr>
        <w:t> </w:t>
      </w:r>
      <w:r>
        <w:rPr>
          <w:sz w:val="21"/>
        </w:rPr>
        <w:t>号</w:t>
      </w:r>
      <w:r>
        <w:rPr>
          <w:rFonts w:ascii="Times New Roman" w:hAnsi="Times New Roman" w:eastAsia="Times New Roman"/>
          <w:b/>
          <w:spacing w:val="-3"/>
          <w:sz w:val="21"/>
        </w:rPr>
        <w:t>”</w:t>
      </w:r>
      <w:r>
        <w:rPr>
          <w:sz w:val="21"/>
        </w:rPr>
        <w:t>符合性情况</w:t>
      </w:r>
      <w:r>
        <w:rPr>
          <w:spacing w:val="-3"/>
          <w:sz w:val="21"/>
        </w:rPr>
        <w:t>一</w:t>
      </w:r>
      <w:r>
        <w:rPr>
          <w:sz w:val="21"/>
        </w:rPr>
        <w:t>览表</w:t>
      </w:r>
    </w:p>
    <w:p>
      <w:pPr>
        <w:pStyle w:val="BodyText"/>
        <w:spacing w:before="1"/>
        <w:rPr>
          <w:sz w:val="3"/>
        </w:rPr>
      </w:pPr>
    </w:p>
    <w:tbl>
      <w:tblPr>
        <w:tblW w:w="0" w:type="auto"/>
        <w:jc w:val="left"/>
        <w:tblInd w:w="4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4397"/>
        <w:gridCol w:w="2541"/>
        <w:gridCol w:w="908"/>
      </w:tblGrid>
      <w:tr>
        <w:trPr>
          <w:trHeight w:val="272" w:hRule="atLeast"/>
        </w:trPr>
        <w:tc>
          <w:tcPr>
            <w:tcW w:w="674" w:type="dxa"/>
            <w:tcBorders>
              <w:bottom w:val="single" w:sz="6" w:space="0" w:color="000000"/>
              <w:right w:val="single" w:sz="6" w:space="0" w:color="000000"/>
            </w:tcBorders>
          </w:tcPr>
          <w:p>
            <w:pPr>
              <w:pStyle w:val="TableParagraph"/>
              <w:spacing w:line="253" w:lineRule="exact"/>
              <w:ind w:left="105" w:right="81"/>
              <w:rPr>
                <w:sz w:val="21"/>
              </w:rPr>
            </w:pPr>
            <w:r>
              <w:rPr>
                <w:sz w:val="21"/>
              </w:rPr>
              <w:t>序号</w:t>
            </w:r>
          </w:p>
        </w:tc>
        <w:tc>
          <w:tcPr>
            <w:tcW w:w="4397" w:type="dxa"/>
            <w:tcBorders>
              <w:left w:val="single" w:sz="6" w:space="0" w:color="000000"/>
              <w:bottom w:val="single" w:sz="6" w:space="0" w:color="000000"/>
              <w:right w:val="single" w:sz="8" w:space="0" w:color="000000"/>
            </w:tcBorders>
          </w:tcPr>
          <w:p>
            <w:pPr>
              <w:pStyle w:val="TableParagraph"/>
              <w:spacing w:line="253" w:lineRule="exact"/>
              <w:ind w:left="1164"/>
              <w:jc w:val="left"/>
              <w:rPr>
                <w:sz w:val="21"/>
              </w:rPr>
            </w:pPr>
            <w:r>
              <w:rPr>
                <w:sz w:val="21"/>
              </w:rPr>
              <w:t>环环评</w:t>
            </w:r>
            <w:r>
              <w:rPr>
                <w:rFonts w:ascii="Times New Roman" w:eastAsia="Times New Roman"/>
                <w:sz w:val="21"/>
              </w:rPr>
              <w:t>[2016]50 </w:t>
            </w:r>
            <w:r>
              <w:rPr>
                <w:sz w:val="21"/>
              </w:rPr>
              <w:t>号要求</w:t>
            </w:r>
          </w:p>
        </w:tc>
        <w:tc>
          <w:tcPr>
            <w:tcW w:w="2541" w:type="dxa"/>
            <w:tcBorders>
              <w:left w:val="single" w:sz="8" w:space="0" w:color="000000"/>
              <w:bottom w:val="single" w:sz="6" w:space="0" w:color="000000"/>
              <w:right w:val="single" w:sz="6" w:space="0" w:color="000000"/>
            </w:tcBorders>
          </w:tcPr>
          <w:p>
            <w:pPr>
              <w:pStyle w:val="TableParagraph"/>
              <w:spacing w:line="253" w:lineRule="exact"/>
              <w:ind w:left="749"/>
              <w:jc w:val="left"/>
              <w:rPr>
                <w:sz w:val="21"/>
              </w:rPr>
            </w:pPr>
            <w:r>
              <w:rPr>
                <w:sz w:val="21"/>
              </w:rPr>
              <w:t>本项目情况</w:t>
            </w:r>
          </w:p>
        </w:tc>
        <w:tc>
          <w:tcPr>
            <w:tcW w:w="908" w:type="dxa"/>
            <w:tcBorders>
              <w:left w:val="single" w:sz="6" w:space="0" w:color="000000"/>
              <w:bottom w:val="single" w:sz="6" w:space="0" w:color="000000"/>
            </w:tcBorders>
          </w:tcPr>
          <w:p>
            <w:pPr>
              <w:pStyle w:val="TableParagraph"/>
              <w:spacing w:line="253" w:lineRule="exact"/>
              <w:ind w:left="129" w:right="85"/>
              <w:rPr>
                <w:sz w:val="21"/>
              </w:rPr>
            </w:pPr>
            <w:r>
              <w:rPr>
                <w:sz w:val="21"/>
              </w:rPr>
              <w:t>符合性</w:t>
            </w:r>
          </w:p>
        </w:tc>
      </w:tr>
      <w:tr>
        <w:trPr>
          <w:trHeight w:val="270" w:hRule="atLeast"/>
        </w:trPr>
        <w:tc>
          <w:tcPr>
            <w:tcW w:w="674" w:type="dxa"/>
            <w:tcBorders>
              <w:top w:val="single" w:sz="6" w:space="0" w:color="000000"/>
              <w:bottom w:val="single" w:sz="6" w:space="0" w:color="000000"/>
              <w:right w:val="single" w:sz="6" w:space="0" w:color="000000"/>
            </w:tcBorders>
          </w:tcPr>
          <w:p>
            <w:pPr>
              <w:pStyle w:val="TableParagraph"/>
              <w:spacing w:line="251" w:lineRule="exact"/>
              <w:ind w:left="19"/>
              <w:rPr>
                <w:sz w:val="21"/>
              </w:rPr>
            </w:pPr>
            <w:r>
              <w:rPr>
                <w:w w:val="100"/>
                <w:sz w:val="21"/>
              </w:rPr>
              <w:t>一</w:t>
            </w:r>
          </w:p>
        </w:tc>
        <w:tc>
          <w:tcPr>
            <w:tcW w:w="7846" w:type="dxa"/>
            <w:gridSpan w:val="3"/>
            <w:tcBorders>
              <w:top w:val="single" w:sz="6" w:space="0" w:color="000000"/>
              <w:left w:val="single" w:sz="6" w:space="0" w:color="000000"/>
              <w:bottom w:val="single" w:sz="6" w:space="0" w:color="000000"/>
            </w:tcBorders>
          </w:tcPr>
          <w:p>
            <w:pPr>
              <w:pStyle w:val="TableParagraph"/>
              <w:spacing w:line="251" w:lineRule="exact"/>
              <w:ind w:left="115"/>
              <w:jc w:val="left"/>
              <w:rPr>
                <w:sz w:val="21"/>
              </w:rPr>
            </w:pPr>
            <w:r>
              <w:rPr>
                <w:w w:val="115"/>
                <w:sz w:val="21"/>
              </w:rPr>
              <w:t>强化“三线一单</w:t>
            </w:r>
            <w:r>
              <w:rPr>
                <w:w w:val="120"/>
                <w:sz w:val="21"/>
              </w:rPr>
              <w:t>”约</w:t>
            </w:r>
            <w:r>
              <w:rPr>
                <w:w w:val="115"/>
                <w:sz w:val="21"/>
              </w:rPr>
              <w:t>束作用</w:t>
            </w:r>
          </w:p>
        </w:tc>
      </w:tr>
      <w:tr>
        <w:trPr>
          <w:trHeight w:val="546" w:hRule="atLeast"/>
        </w:trPr>
        <w:tc>
          <w:tcPr>
            <w:tcW w:w="674" w:type="dxa"/>
            <w:tcBorders>
              <w:top w:val="single" w:sz="6" w:space="0" w:color="000000"/>
              <w:bottom w:val="single" w:sz="6" w:space="0" w:color="000000"/>
              <w:right w:val="single" w:sz="6" w:space="0" w:color="000000"/>
            </w:tcBorders>
          </w:tcPr>
          <w:p>
            <w:pPr>
              <w:pStyle w:val="TableParagraph"/>
              <w:spacing w:before="147"/>
              <w:ind w:left="19"/>
              <w:rPr>
                <w:rFonts w:ascii="Times New Roman"/>
                <w:sz w:val="21"/>
              </w:rPr>
            </w:pPr>
            <w:r>
              <w:rPr>
                <w:rFonts w:ascii="Times New Roman"/>
                <w:w w:val="100"/>
                <w:sz w:val="21"/>
              </w:rPr>
              <w:t>1</w:t>
            </w:r>
          </w:p>
        </w:tc>
        <w:tc>
          <w:tcPr>
            <w:tcW w:w="4397" w:type="dxa"/>
            <w:tcBorders>
              <w:top w:val="single" w:sz="6" w:space="0" w:color="000000"/>
              <w:left w:val="single" w:sz="6" w:space="0" w:color="000000"/>
              <w:bottom w:val="single" w:sz="6" w:space="0" w:color="000000"/>
              <w:right w:val="single" w:sz="8" w:space="0" w:color="000000"/>
            </w:tcBorders>
          </w:tcPr>
          <w:p>
            <w:pPr>
              <w:pStyle w:val="TableParagraph"/>
              <w:spacing w:line="261" w:lineRule="exact"/>
              <w:ind w:left="115"/>
              <w:jc w:val="left"/>
              <w:rPr>
                <w:sz w:val="21"/>
              </w:rPr>
            </w:pPr>
            <w:r>
              <w:rPr>
                <w:spacing w:val="7"/>
                <w:sz w:val="21"/>
              </w:rPr>
              <w:t>生态保护红线是生态空间范围内具有特殊重</w:t>
            </w:r>
          </w:p>
          <w:p>
            <w:pPr>
              <w:pStyle w:val="TableParagraph"/>
              <w:spacing w:line="266" w:lineRule="exact"/>
              <w:ind w:left="115"/>
              <w:jc w:val="left"/>
              <w:rPr>
                <w:sz w:val="21"/>
              </w:rPr>
            </w:pPr>
            <w:r>
              <w:rPr>
                <w:spacing w:val="-3"/>
                <w:sz w:val="21"/>
              </w:rPr>
              <w:t>要生态功能必须实行强制性严格保护的区域。</w:t>
            </w:r>
          </w:p>
        </w:tc>
        <w:tc>
          <w:tcPr>
            <w:tcW w:w="2541" w:type="dxa"/>
            <w:tcBorders>
              <w:top w:val="single" w:sz="6" w:space="0" w:color="000000"/>
              <w:left w:val="single" w:sz="8" w:space="0" w:color="000000"/>
              <w:bottom w:val="single" w:sz="6" w:space="0" w:color="000000"/>
              <w:right w:val="single" w:sz="6" w:space="0" w:color="000000"/>
            </w:tcBorders>
          </w:tcPr>
          <w:p>
            <w:pPr>
              <w:pStyle w:val="TableParagraph"/>
              <w:spacing w:line="261" w:lineRule="exact"/>
              <w:ind w:left="113"/>
              <w:jc w:val="left"/>
              <w:rPr>
                <w:sz w:val="21"/>
              </w:rPr>
            </w:pPr>
            <w:r>
              <w:rPr>
                <w:sz w:val="21"/>
              </w:rPr>
              <w:t>项目所在不涉及生态保护</w:t>
            </w:r>
          </w:p>
          <w:p>
            <w:pPr>
              <w:pStyle w:val="TableParagraph"/>
              <w:spacing w:line="266" w:lineRule="exact"/>
              <w:ind w:left="113"/>
              <w:jc w:val="left"/>
              <w:rPr>
                <w:sz w:val="21"/>
              </w:rPr>
            </w:pPr>
            <w:r>
              <w:rPr>
                <w:sz w:val="21"/>
              </w:rPr>
              <w:t>红线</w:t>
            </w:r>
          </w:p>
        </w:tc>
        <w:tc>
          <w:tcPr>
            <w:tcW w:w="908" w:type="dxa"/>
            <w:tcBorders>
              <w:top w:val="single" w:sz="6" w:space="0" w:color="000000"/>
              <w:left w:val="single" w:sz="6" w:space="0" w:color="000000"/>
              <w:bottom w:val="single" w:sz="6" w:space="0" w:color="000000"/>
            </w:tcBorders>
          </w:tcPr>
          <w:p>
            <w:pPr>
              <w:pStyle w:val="TableParagraph"/>
              <w:spacing w:before="37"/>
              <w:ind w:left="129" w:right="85"/>
              <w:rPr>
                <w:sz w:val="21"/>
              </w:rPr>
            </w:pPr>
            <w:r>
              <w:rPr>
                <w:sz w:val="21"/>
              </w:rPr>
              <w:t>符合</w:t>
            </w:r>
          </w:p>
        </w:tc>
      </w:tr>
      <w:tr>
        <w:trPr>
          <w:trHeight w:val="544" w:hRule="atLeast"/>
        </w:trPr>
        <w:tc>
          <w:tcPr>
            <w:tcW w:w="674" w:type="dxa"/>
            <w:tcBorders>
              <w:top w:val="single" w:sz="6" w:space="0" w:color="000000"/>
              <w:right w:val="single" w:sz="6" w:space="0" w:color="000000"/>
            </w:tcBorders>
          </w:tcPr>
          <w:p>
            <w:pPr>
              <w:pStyle w:val="TableParagraph"/>
              <w:spacing w:before="145"/>
              <w:ind w:left="19"/>
              <w:rPr>
                <w:rFonts w:ascii="Times New Roman"/>
                <w:sz w:val="21"/>
              </w:rPr>
            </w:pPr>
            <w:r>
              <w:rPr>
                <w:rFonts w:ascii="Times New Roman"/>
                <w:w w:val="100"/>
                <w:sz w:val="21"/>
              </w:rPr>
              <w:t>2</w:t>
            </w:r>
          </w:p>
        </w:tc>
        <w:tc>
          <w:tcPr>
            <w:tcW w:w="4397" w:type="dxa"/>
            <w:tcBorders>
              <w:top w:val="single" w:sz="6" w:space="0" w:color="000000"/>
              <w:left w:val="single" w:sz="6" w:space="0" w:color="000000"/>
              <w:right w:val="single" w:sz="8" w:space="0" w:color="000000"/>
            </w:tcBorders>
          </w:tcPr>
          <w:p>
            <w:pPr>
              <w:pStyle w:val="TableParagraph"/>
              <w:spacing w:line="259" w:lineRule="exact"/>
              <w:ind w:left="115"/>
              <w:jc w:val="left"/>
              <w:rPr>
                <w:sz w:val="21"/>
              </w:rPr>
            </w:pPr>
            <w:r>
              <w:rPr>
                <w:spacing w:val="-4"/>
                <w:sz w:val="21"/>
              </w:rPr>
              <w:t>环境质量底线是国家和地方设置的大气、水和</w:t>
            </w:r>
          </w:p>
          <w:p>
            <w:pPr>
              <w:pStyle w:val="TableParagraph"/>
              <w:spacing w:line="266" w:lineRule="exact"/>
              <w:ind w:left="115"/>
              <w:jc w:val="left"/>
              <w:rPr>
                <w:sz w:val="21"/>
              </w:rPr>
            </w:pPr>
            <w:r>
              <w:rPr>
                <w:spacing w:val="-5"/>
                <w:sz w:val="21"/>
              </w:rPr>
              <w:t>土壤环境质量目标，也是改善环境质量的基准</w:t>
            </w:r>
          </w:p>
        </w:tc>
        <w:tc>
          <w:tcPr>
            <w:tcW w:w="2541" w:type="dxa"/>
            <w:tcBorders>
              <w:top w:val="single" w:sz="6" w:space="0" w:color="000000"/>
              <w:left w:val="single" w:sz="8" w:space="0" w:color="000000"/>
              <w:right w:val="single" w:sz="6" w:space="0" w:color="000000"/>
            </w:tcBorders>
          </w:tcPr>
          <w:p>
            <w:pPr>
              <w:pStyle w:val="TableParagraph"/>
              <w:spacing w:line="259" w:lineRule="exact"/>
              <w:ind w:left="113"/>
              <w:jc w:val="left"/>
              <w:rPr>
                <w:sz w:val="21"/>
              </w:rPr>
            </w:pPr>
            <w:r>
              <w:rPr>
                <w:sz w:val="21"/>
              </w:rPr>
              <w:t>本次环评分析了项目建设</w:t>
            </w:r>
          </w:p>
          <w:p>
            <w:pPr>
              <w:pStyle w:val="TableParagraph"/>
              <w:spacing w:line="266" w:lineRule="exact"/>
              <w:ind w:left="113"/>
              <w:jc w:val="left"/>
              <w:rPr>
                <w:sz w:val="21"/>
              </w:rPr>
            </w:pPr>
            <w:r>
              <w:rPr>
                <w:sz w:val="21"/>
              </w:rPr>
              <w:t>对大气、地表水、地下水</w:t>
            </w:r>
          </w:p>
        </w:tc>
        <w:tc>
          <w:tcPr>
            <w:tcW w:w="908" w:type="dxa"/>
            <w:tcBorders>
              <w:top w:val="single" w:sz="6" w:space="0" w:color="000000"/>
              <w:left w:val="single" w:sz="6" w:space="0" w:color="000000"/>
            </w:tcBorders>
          </w:tcPr>
          <w:p>
            <w:pPr>
              <w:pStyle w:val="TableParagraph"/>
              <w:spacing w:before="35"/>
              <w:ind w:left="129" w:right="85"/>
              <w:rPr>
                <w:sz w:val="21"/>
              </w:rPr>
            </w:pPr>
            <w:r>
              <w:rPr>
                <w:sz w:val="21"/>
              </w:rPr>
              <w:t>符合</w:t>
            </w:r>
          </w:p>
        </w:tc>
      </w:tr>
    </w:tbl>
    <w:p>
      <w:pPr>
        <w:spacing w:after="0"/>
        <w:rPr>
          <w:sz w:val="21"/>
        </w:rPr>
        <w:sectPr>
          <w:pgSz w:w="11910" w:h="16840"/>
          <w:pgMar w:header="877" w:footer="973" w:top="1340" w:bottom="1160" w:left="1220" w:right="1040"/>
        </w:sectPr>
      </w:pPr>
    </w:p>
    <w:p>
      <w:pPr>
        <w:pStyle w:val="BodyText"/>
        <w:spacing w:before="20"/>
        <w:rPr>
          <w:sz w:val="3"/>
        </w:rPr>
      </w:pPr>
    </w:p>
    <w:tbl>
      <w:tblPr>
        <w:tblW w:w="0" w:type="auto"/>
        <w:jc w:val="left"/>
        <w:tblInd w:w="4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4397"/>
        <w:gridCol w:w="2541"/>
        <w:gridCol w:w="908"/>
      </w:tblGrid>
      <w:tr>
        <w:trPr>
          <w:trHeight w:val="817" w:hRule="atLeast"/>
        </w:trPr>
        <w:tc>
          <w:tcPr>
            <w:tcW w:w="674" w:type="dxa"/>
            <w:tcBorders>
              <w:bottom w:val="single" w:sz="6" w:space="0" w:color="000000"/>
              <w:right w:val="single" w:sz="6" w:space="0" w:color="000000"/>
            </w:tcBorders>
          </w:tcPr>
          <w:p>
            <w:pPr>
              <w:pStyle w:val="TableParagraph"/>
              <w:jc w:val="left"/>
              <w:rPr>
                <w:rFonts w:ascii="Times New Roman"/>
                <w:sz w:val="20"/>
              </w:rPr>
            </w:pPr>
          </w:p>
        </w:tc>
        <w:tc>
          <w:tcPr>
            <w:tcW w:w="4397" w:type="dxa"/>
            <w:tcBorders>
              <w:left w:val="single" w:sz="6" w:space="0" w:color="000000"/>
              <w:bottom w:val="single" w:sz="6" w:space="0" w:color="000000"/>
              <w:right w:val="single" w:sz="8" w:space="0" w:color="000000"/>
            </w:tcBorders>
          </w:tcPr>
          <w:p>
            <w:pPr>
              <w:pStyle w:val="TableParagraph"/>
              <w:spacing w:line="146" w:lineRule="auto" w:before="24"/>
              <w:ind w:left="115" w:right="32"/>
              <w:jc w:val="left"/>
              <w:rPr>
                <w:sz w:val="21"/>
              </w:rPr>
            </w:pPr>
            <w:r>
              <w:rPr>
                <w:sz w:val="21"/>
              </w:rPr>
              <w:t>线。项目环评应对照区域环境质量目标，深入分析预测项目建设对环境质量的影响，强化污</w:t>
            </w:r>
          </w:p>
          <w:p>
            <w:pPr>
              <w:pStyle w:val="TableParagraph"/>
              <w:spacing w:line="231" w:lineRule="exact"/>
              <w:ind w:left="115"/>
              <w:jc w:val="left"/>
              <w:rPr>
                <w:sz w:val="21"/>
              </w:rPr>
            </w:pPr>
            <w:r>
              <w:rPr>
                <w:sz w:val="21"/>
              </w:rPr>
              <w:t>染防治措施和污染物排放控制要求。</w:t>
            </w:r>
          </w:p>
        </w:tc>
        <w:tc>
          <w:tcPr>
            <w:tcW w:w="2541" w:type="dxa"/>
            <w:tcBorders>
              <w:left w:val="single" w:sz="8" w:space="0" w:color="000000"/>
              <w:bottom w:val="single" w:sz="6" w:space="0" w:color="000000"/>
              <w:right w:val="single" w:sz="6" w:space="0" w:color="000000"/>
            </w:tcBorders>
          </w:tcPr>
          <w:p>
            <w:pPr>
              <w:pStyle w:val="TableParagraph"/>
              <w:spacing w:line="146" w:lineRule="auto" w:before="24"/>
              <w:ind w:left="113" w:right="79"/>
              <w:jc w:val="left"/>
              <w:rPr>
                <w:sz w:val="21"/>
              </w:rPr>
            </w:pPr>
            <w:r>
              <w:rPr>
                <w:sz w:val="21"/>
              </w:rPr>
              <w:t>噪声等环境质量的影响， 强化了污染防治措施和污</w:t>
            </w:r>
          </w:p>
          <w:p>
            <w:pPr>
              <w:pStyle w:val="TableParagraph"/>
              <w:spacing w:line="231" w:lineRule="exact"/>
              <w:ind w:left="113"/>
              <w:jc w:val="left"/>
              <w:rPr>
                <w:sz w:val="21"/>
              </w:rPr>
            </w:pPr>
            <w:r>
              <w:rPr>
                <w:sz w:val="21"/>
              </w:rPr>
              <w:t>染物排放控制要求。</w:t>
            </w:r>
          </w:p>
        </w:tc>
        <w:tc>
          <w:tcPr>
            <w:tcW w:w="908" w:type="dxa"/>
            <w:tcBorders>
              <w:left w:val="single" w:sz="6" w:space="0" w:color="000000"/>
              <w:bottom w:val="single" w:sz="6" w:space="0" w:color="000000"/>
            </w:tcBorders>
          </w:tcPr>
          <w:p>
            <w:pPr>
              <w:pStyle w:val="TableParagraph"/>
              <w:jc w:val="left"/>
              <w:rPr>
                <w:rFonts w:ascii="Times New Roman"/>
                <w:sz w:val="20"/>
              </w:rPr>
            </w:pPr>
          </w:p>
        </w:tc>
      </w:tr>
      <w:tr>
        <w:trPr>
          <w:trHeight w:val="273" w:hRule="atLeast"/>
        </w:trPr>
        <w:tc>
          <w:tcPr>
            <w:tcW w:w="674" w:type="dxa"/>
            <w:tcBorders>
              <w:top w:val="single" w:sz="6" w:space="0" w:color="000000"/>
              <w:bottom w:val="single" w:sz="6" w:space="0" w:color="000000"/>
              <w:right w:val="single" w:sz="6" w:space="0" w:color="000000"/>
            </w:tcBorders>
          </w:tcPr>
          <w:p>
            <w:pPr>
              <w:pStyle w:val="TableParagraph"/>
              <w:spacing w:line="253" w:lineRule="exact"/>
              <w:ind w:left="229"/>
              <w:jc w:val="left"/>
              <w:rPr>
                <w:sz w:val="21"/>
              </w:rPr>
            </w:pPr>
            <w:r>
              <w:rPr>
                <w:w w:val="100"/>
                <w:sz w:val="21"/>
              </w:rPr>
              <w:t>二</w:t>
            </w:r>
          </w:p>
        </w:tc>
        <w:tc>
          <w:tcPr>
            <w:tcW w:w="7846" w:type="dxa"/>
            <w:gridSpan w:val="3"/>
            <w:tcBorders>
              <w:top w:val="single" w:sz="6" w:space="0" w:color="000000"/>
              <w:left w:val="single" w:sz="6" w:space="0" w:color="000000"/>
              <w:bottom w:val="single" w:sz="6" w:space="0" w:color="000000"/>
            </w:tcBorders>
          </w:tcPr>
          <w:p>
            <w:pPr>
              <w:pStyle w:val="TableParagraph"/>
              <w:spacing w:line="253" w:lineRule="exact"/>
              <w:ind w:left="115"/>
              <w:jc w:val="left"/>
              <w:rPr>
                <w:sz w:val="21"/>
              </w:rPr>
            </w:pPr>
            <w:r>
              <w:rPr>
                <w:w w:val="115"/>
                <w:sz w:val="21"/>
              </w:rPr>
              <w:t>建立“三挂</w:t>
            </w:r>
            <w:r>
              <w:rPr>
                <w:w w:val="120"/>
                <w:sz w:val="21"/>
              </w:rPr>
              <w:t>钩”</w:t>
            </w:r>
            <w:r>
              <w:rPr>
                <w:w w:val="115"/>
                <w:sz w:val="21"/>
              </w:rPr>
              <w:t>机制</w:t>
            </w:r>
          </w:p>
        </w:tc>
      </w:tr>
      <w:tr>
        <w:trPr>
          <w:trHeight w:val="2178" w:hRule="atLeast"/>
        </w:trPr>
        <w:tc>
          <w:tcPr>
            <w:tcW w:w="674" w:type="dxa"/>
            <w:tcBorders>
              <w:top w:val="single" w:sz="6" w:space="0" w:color="000000"/>
              <w:right w:val="single" w:sz="6" w:space="0" w:color="000000"/>
            </w:tcBorders>
          </w:tcPr>
          <w:p>
            <w:pPr>
              <w:pStyle w:val="TableParagraph"/>
              <w:jc w:val="left"/>
              <w:rPr>
                <w:sz w:val="22"/>
              </w:rPr>
            </w:pPr>
          </w:p>
          <w:p>
            <w:pPr>
              <w:pStyle w:val="TableParagraph"/>
              <w:spacing w:before="8"/>
              <w:jc w:val="left"/>
              <w:rPr>
                <w:sz w:val="23"/>
              </w:rPr>
            </w:pPr>
          </w:p>
          <w:p>
            <w:pPr>
              <w:pStyle w:val="TableParagraph"/>
              <w:spacing w:before="1"/>
              <w:ind w:left="282"/>
              <w:jc w:val="left"/>
              <w:rPr>
                <w:rFonts w:ascii="Times New Roman"/>
                <w:sz w:val="21"/>
              </w:rPr>
            </w:pPr>
            <w:r>
              <w:rPr>
                <w:rFonts w:ascii="Times New Roman"/>
                <w:w w:val="100"/>
                <w:sz w:val="21"/>
              </w:rPr>
              <w:t>1</w:t>
            </w:r>
          </w:p>
        </w:tc>
        <w:tc>
          <w:tcPr>
            <w:tcW w:w="4397" w:type="dxa"/>
            <w:tcBorders>
              <w:top w:val="single" w:sz="6" w:space="0" w:color="000000"/>
              <w:left w:val="single" w:sz="6" w:space="0" w:color="000000"/>
              <w:right w:val="single" w:sz="8" w:space="0" w:color="000000"/>
            </w:tcBorders>
          </w:tcPr>
          <w:p>
            <w:pPr>
              <w:pStyle w:val="TableParagraph"/>
              <w:spacing w:line="146" w:lineRule="auto" w:before="21"/>
              <w:ind w:left="115" w:right="78"/>
              <w:jc w:val="both"/>
              <w:rPr>
                <w:sz w:val="21"/>
              </w:rPr>
            </w:pPr>
            <w:r>
              <w:rPr>
                <w:spacing w:val="-5"/>
                <w:sz w:val="21"/>
              </w:rPr>
              <w:t>加强规划环评与建设项目环评联动。规划环评</w:t>
            </w:r>
            <w:r>
              <w:rPr>
                <w:spacing w:val="-6"/>
                <w:sz w:val="21"/>
              </w:rPr>
              <w:t>要探索清单式管理，在结论和审查意见中明确</w:t>
            </w:r>
          </w:p>
          <w:p>
            <w:pPr>
              <w:pStyle w:val="TableParagraph"/>
              <w:spacing w:line="146" w:lineRule="auto" w:before="2"/>
              <w:ind w:left="115" w:right="78"/>
              <w:jc w:val="both"/>
              <w:rPr>
                <w:sz w:val="21"/>
              </w:rPr>
            </w:pPr>
            <w:r>
              <w:rPr>
                <w:spacing w:val="-5"/>
                <w:w w:val="105"/>
                <w:sz w:val="21"/>
              </w:rPr>
              <w:t>“三线一单”相关管控要求，并推动将管控要</w:t>
            </w:r>
            <w:r>
              <w:rPr>
                <w:spacing w:val="-6"/>
                <w:sz w:val="21"/>
              </w:rPr>
              <w:t>求纳入规划。规划环评要作为规划所包含项目</w:t>
            </w:r>
            <w:r>
              <w:rPr>
                <w:spacing w:val="-7"/>
                <w:sz w:val="21"/>
              </w:rPr>
              <w:t>环评的重要依据，对于不符合规划环评结论及审查意见的项目环评，依法不予审批。规划所包含项目的环评内容，应当根据规划环评结论</w:t>
            </w:r>
          </w:p>
          <w:p>
            <w:pPr>
              <w:pStyle w:val="TableParagraph"/>
              <w:spacing w:line="234" w:lineRule="exact"/>
              <w:ind w:left="115"/>
              <w:jc w:val="both"/>
              <w:rPr>
                <w:sz w:val="21"/>
              </w:rPr>
            </w:pPr>
            <w:r>
              <w:rPr>
                <w:sz w:val="21"/>
              </w:rPr>
              <w:t>和审查意见予以简化。</w:t>
            </w:r>
          </w:p>
        </w:tc>
        <w:tc>
          <w:tcPr>
            <w:tcW w:w="2541" w:type="dxa"/>
            <w:tcBorders>
              <w:top w:val="single" w:sz="6" w:space="0" w:color="000000"/>
              <w:left w:val="single" w:sz="8" w:space="0" w:color="000000"/>
              <w:right w:val="single" w:sz="6" w:space="0" w:color="000000"/>
            </w:tcBorders>
          </w:tcPr>
          <w:p>
            <w:pPr>
              <w:pStyle w:val="TableParagraph"/>
              <w:jc w:val="left"/>
              <w:rPr>
                <w:rFonts w:ascii="Times New Roman"/>
                <w:sz w:val="20"/>
              </w:rPr>
            </w:pPr>
          </w:p>
        </w:tc>
        <w:tc>
          <w:tcPr>
            <w:tcW w:w="908" w:type="dxa"/>
            <w:tcBorders>
              <w:top w:val="single" w:sz="6" w:space="0" w:color="000000"/>
              <w:left w:val="single" w:sz="6" w:space="0" w:color="000000"/>
            </w:tcBorders>
          </w:tcPr>
          <w:p>
            <w:pPr>
              <w:pStyle w:val="TableParagraph"/>
              <w:jc w:val="left"/>
              <w:rPr>
                <w:rFonts w:ascii="Times New Roman"/>
                <w:sz w:val="20"/>
              </w:rPr>
            </w:pPr>
          </w:p>
        </w:tc>
      </w:tr>
    </w:tbl>
    <w:p>
      <w:pPr>
        <w:pStyle w:val="BodyText"/>
        <w:spacing w:line="453" w:lineRule="exact"/>
        <w:ind w:left="1060"/>
      </w:pPr>
      <w:r>
        <w:rPr>
          <w:rFonts w:ascii="Times New Roman" w:eastAsia="Times New Roman"/>
        </w:rPr>
        <w:t>3</w:t>
      </w:r>
      <w:r>
        <w:rPr/>
        <w:t>、与《制药建设项目环境影响评价文件审批原则》的符合性分析</w:t>
      </w:r>
    </w:p>
    <w:p>
      <w:pPr>
        <w:pStyle w:val="BodyText"/>
        <w:spacing w:line="468" w:lineRule="exact"/>
        <w:ind w:left="1060"/>
      </w:pPr>
      <w:r>
        <w:rPr/>
        <w:t>项目与《制药建设项目环境影响评价文件审批原则》的符合性分析见表</w:t>
      </w:r>
    </w:p>
    <w:p>
      <w:pPr>
        <w:pStyle w:val="BodyText"/>
        <w:spacing w:line="488" w:lineRule="exact"/>
        <w:ind w:left="580"/>
      </w:pPr>
      <w:r>
        <w:rPr>
          <w:rFonts w:ascii="Times New Roman" w:eastAsia="Times New Roman"/>
        </w:rPr>
        <w:t>11.1-3</w:t>
      </w:r>
      <w:r>
        <w:rPr/>
        <w:t>。由表</w:t>
      </w:r>
      <w:r>
        <w:rPr>
          <w:rFonts w:ascii="Times New Roman" w:eastAsia="Times New Roman"/>
        </w:rPr>
        <w:t>11.1-3</w:t>
      </w:r>
      <w:r>
        <w:rPr/>
        <w:t>可知，项目建设符合审批原则要求。</w:t>
      </w:r>
    </w:p>
    <w:p>
      <w:pPr>
        <w:spacing w:after="0" w:line="488" w:lineRule="exact"/>
        <w:sectPr>
          <w:pgSz w:w="11910" w:h="16840"/>
          <w:pgMar w:header="877" w:footer="973" w:top="1340" w:bottom="1160" w:left="1220" w:right="1040"/>
        </w:sectPr>
      </w:pPr>
    </w:p>
    <w:p>
      <w:pPr>
        <w:pStyle w:val="BodyText"/>
        <w:spacing w:before="5"/>
        <w:rPr>
          <w:sz w:val="13"/>
        </w:rPr>
      </w:pPr>
    </w:p>
    <w:p>
      <w:pPr>
        <w:tabs>
          <w:tab w:pos="4775" w:val="left" w:leader="none"/>
        </w:tabs>
        <w:spacing w:line="423" w:lineRule="exact" w:before="0" w:after="24"/>
        <w:ind w:left="3769" w:right="0" w:firstLine="0"/>
        <w:jc w:val="left"/>
        <w:rPr>
          <w:sz w:val="21"/>
        </w:rPr>
      </w:pPr>
      <w:r>
        <w:rPr>
          <w:sz w:val="21"/>
        </w:rPr>
        <w:t>表</w:t>
      </w:r>
      <w:r>
        <w:rPr>
          <w:spacing w:val="9"/>
          <w:sz w:val="21"/>
        </w:rPr>
        <w:t> </w:t>
      </w:r>
      <w:r>
        <w:rPr>
          <w:rFonts w:ascii="Times New Roman" w:eastAsia="Times New Roman"/>
          <w:b/>
          <w:spacing w:val="-3"/>
          <w:sz w:val="21"/>
        </w:rPr>
        <w:t>11.1-3</w:t>
        <w:tab/>
      </w:r>
      <w:r>
        <w:rPr>
          <w:sz w:val="21"/>
        </w:rPr>
        <w:t>项目与《制</w:t>
      </w:r>
      <w:r>
        <w:rPr>
          <w:spacing w:val="-3"/>
          <w:sz w:val="21"/>
        </w:rPr>
        <w:t>药</w:t>
      </w:r>
      <w:r>
        <w:rPr>
          <w:sz w:val="21"/>
        </w:rPr>
        <w:t>建设项目环境影响</w:t>
      </w:r>
      <w:r>
        <w:rPr>
          <w:spacing w:val="-3"/>
          <w:sz w:val="21"/>
        </w:rPr>
        <w:t>评</w:t>
      </w:r>
      <w:r>
        <w:rPr>
          <w:sz w:val="21"/>
        </w:rPr>
        <w:t>价</w:t>
      </w:r>
      <w:r>
        <w:rPr>
          <w:spacing w:val="-3"/>
          <w:sz w:val="21"/>
        </w:rPr>
        <w:t>文</w:t>
      </w:r>
      <w:r>
        <w:rPr>
          <w:sz w:val="21"/>
        </w:rPr>
        <w:t>件审批原则》符合</w:t>
      </w:r>
      <w:r>
        <w:rPr>
          <w:spacing w:val="-3"/>
          <w:sz w:val="21"/>
        </w:rPr>
        <w:t>性</w:t>
      </w:r>
      <w:r>
        <w:rPr>
          <w:sz w:val="21"/>
        </w:rPr>
        <w:t>分</w:t>
      </w:r>
      <w:r>
        <w:rPr>
          <w:spacing w:val="-3"/>
          <w:sz w:val="21"/>
        </w:rPr>
        <w:t>析</w:t>
      </w:r>
      <w:r>
        <w:rPr>
          <w:sz w:val="21"/>
        </w:rPr>
        <w:t>一览表</w:t>
      </w:r>
    </w:p>
    <w:tbl>
      <w:tblPr>
        <w:tblW w:w="0" w:type="auto"/>
        <w:jc w:val="left"/>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1"/>
        <w:gridCol w:w="6942"/>
        <w:gridCol w:w="6102"/>
        <w:gridCol w:w="1153"/>
      </w:tblGrid>
      <w:tr>
        <w:trPr>
          <w:trHeight w:val="339" w:hRule="atLeast"/>
        </w:trPr>
        <w:tc>
          <w:tcPr>
            <w:tcW w:w="651" w:type="dxa"/>
            <w:tcBorders>
              <w:bottom w:val="single" w:sz="6" w:space="0" w:color="000000"/>
              <w:right w:val="single" w:sz="8" w:space="0" w:color="000000"/>
            </w:tcBorders>
          </w:tcPr>
          <w:p>
            <w:pPr>
              <w:pStyle w:val="TableParagraph"/>
              <w:spacing w:line="320" w:lineRule="exact"/>
              <w:ind w:left="95" w:right="70"/>
              <w:rPr>
                <w:sz w:val="21"/>
              </w:rPr>
            </w:pPr>
            <w:r>
              <w:rPr>
                <w:sz w:val="21"/>
              </w:rPr>
              <w:t>序号</w:t>
            </w:r>
          </w:p>
        </w:tc>
        <w:tc>
          <w:tcPr>
            <w:tcW w:w="6942" w:type="dxa"/>
            <w:tcBorders>
              <w:left w:val="single" w:sz="8" w:space="0" w:color="000000"/>
              <w:bottom w:val="single" w:sz="6" w:space="0" w:color="000000"/>
              <w:right w:val="single" w:sz="6" w:space="0" w:color="000000"/>
            </w:tcBorders>
          </w:tcPr>
          <w:p>
            <w:pPr>
              <w:pStyle w:val="TableParagraph"/>
              <w:spacing w:line="320" w:lineRule="exact"/>
              <w:ind w:left="3244" w:right="3219"/>
              <w:rPr>
                <w:sz w:val="21"/>
              </w:rPr>
            </w:pPr>
            <w:r>
              <w:rPr>
                <w:sz w:val="21"/>
              </w:rPr>
              <w:t>要求</w:t>
            </w:r>
          </w:p>
        </w:tc>
        <w:tc>
          <w:tcPr>
            <w:tcW w:w="6102" w:type="dxa"/>
            <w:tcBorders>
              <w:left w:val="single" w:sz="6" w:space="0" w:color="000000"/>
              <w:bottom w:val="single" w:sz="6" w:space="0" w:color="000000"/>
              <w:right w:val="single" w:sz="6" w:space="0" w:color="000000"/>
            </w:tcBorders>
          </w:tcPr>
          <w:p>
            <w:pPr>
              <w:pStyle w:val="TableParagraph"/>
              <w:spacing w:line="320" w:lineRule="exact"/>
              <w:ind w:left="2093" w:right="2064"/>
              <w:rPr>
                <w:sz w:val="21"/>
              </w:rPr>
            </w:pPr>
            <w:r>
              <w:rPr>
                <w:sz w:val="21"/>
              </w:rPr>
              <w:t>本项目情况</w:t>
            </w:r>
          </w:p>
        </w:tc>
        <w:tc>
          <w:tcPr>
            <w:tcW w:w="1153" w:type="dxa"/>
            <w:tcBorders>
              <w:left w:val="single" w:sz="6" w:space="0" w:color="000000"/>
              <w:bottom w:val="single" w:sz="6" w:space="0" w:color="000000"/>
            </w:tcBorders>
          </w:tcPr>
          <w:p>
            <w:pPr>
              <w:pStyle w:val="TableParagraph"/>
              <w:spacing w:line="320" w:lineRule="exact"/>
              <w:ind w:left="247" w:right="213"/>
              <w:rPr>
                <w:sz w:val="21"/>
              </w:rPr>
            </w:pPr>
            <w:r>
              <w:rPr>
                <w:sz w:val="21"/>
              </w:rPr>
              <w:t>符合性</w:t>
            </w:r>
          </w:p>
        </w:tc>
      </w:tr>
      <w:tr>
        <w:trPr>
          <w:trHeight w:val="623" w:hRule="atLeast"/>
        </w:trPr>
        <w:tc>
          <w:tcPr>
            <w:tcW w:w="651" w:type="dxa"/>
            <w:tcBorders>
              <w:top w:val="single" w:sz="6" w:space="0" w:color="000000"/>
              <w:bottom w:val="single" w:sz="6" w:space="0" w:color="000000"/>
              <w:right w:val="single" w:sz="8" w:space="0" w:color="000000"/>
            </w:tcBorders>
          </w:tcPr>
          <w:p>
            <w:pPr>
              <w:pStyle w:val="TableParagraph"/>
              <w:spacing w:before="190"/>
              <w:ind w:left="20"/>
              <w:rPr>
                <w:rFonts w:ascii="Times New Roman"/>
                <w:sz w:val="21"/>
              </w:rPr>
            </w:pPr>
            <w:r>
              <w:rPr>
                <w:rFonts w:ascii="Times New Roman"/>
                <w:w w:val="100"/>
                <w:sz w:val="21"/>
              </w:rPr>
              <w:t>1</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300" w:lineRule="exact"/>
              <w:ind w:left="112"/>
              <w:jc w:val="left"/>
              <w:rPr>
                <w:sz w:val="21"/>
              </w:rPr>
            </w:pPr>
            <w:r>
              <w:rPr>
                <w:sz w:val="21"/>
              </w:rPr>
              <w:t>本原则适用于化学药品</w:t>
            </w:r>
            <w:r>
              <w:rPr>
                <w:rFonts w:ascii="Times New Roman" w:eastAsia="Times New Roman"/>
                <w:sz w:val="21"/>
              </w:rPr>
              <w:t>(</w:t>
            </w:r>
            <w:r>
              <w:rPr>
                <w:sz w:val="21"/>
              </w:rPr>
              <w:t>包括医药中间体</w:t>
            </w:r>
            <w:r>
              <w:rPr>
                <w:rFonts w:ascii="Times New Roman" w:eastAsia="Times New Roman"/>
                <w:sz w:val="21"/>
              </w:rPr>
              <w:t>)</w:t>
            </w:r>
            <w:r>
              <w:rPr>
                <w:sz w:val="21"/>
              </w:rPr>
              <w:t>、生物生化制品、有提取工艺的</w:t>
            </w:r>
          </w:p>
          <w:p>
            <w:pPr>
              <w:pStyle w:val="TableParagraph"/>
              <w:spacing w:line="303" w:lineRule="exact"/>
              <w:ind w:left="112" w:right="-29"/>
              <w:jc w:val="left"/>
              <w:rPr>
                <w:sz w:val="21"/>
              </w:rPr>
            </w:pPr>
            <w:r>
              <w:rPr>
                <w:spacing w:val="-13"/>
                <w:sz w:val="21"/>
              </w:rPr>
              <w:t>中成药制造、中药饮片加工、医药制剂建设项目环境影响评价文件的审批。</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spacing w:before="77"/>
              <w:ind w:left="2093" w:right="2064"/>
              <w:rPr>
                <w:sz w:val="21"/>
              </w:rPr>
            </w:pPr>
            <w:r>
              <w:rPr>
                <w:sz w:val="21"/>
              </w:rPr>
              <w:t>本项目属于化学药品</w:t>
            </w:r>
          </w:p>
        </w:tc>
        <w:tc>
          <w:tcPr>
            <w:tcW w:w="1153" w:type="dxa"/>
            <w:tcBorders>
              <w:top w:val="single" w:sz="6" w:space="0" w:color="000000"/>
              <w:left w:val="single" w:sz="6" w:space="0" w:color="000000"/>
              <w:bottom w:val="single" w:sz="6" w:space="0" w:color="000000"/>
            </w:tcBorders>
          </w:tcPr>
          <w:p>
            <w:pPr>
              <w:pStyle w:val="TableParagraph"/>
              <w:spacing w:before="77"/>
              <w:ind w:left="247" w:right="213"/>
              <w:rPr>
                <w:sz w:val="21"/>
              </w:rPr>
            </w:pPr>
            <w:r>
              <w:rPr>
                <w:sz w:val="21"/>
              </w:rPr>
              <w:t>符合</w:t>
            </w:r>
          </w:p>
        </w:tc>
      </w:tr>
      <w:tr>
        <w:trPr>
          <w:trHeight w:val="626" w:hRule="atLeast"/>
        </w:trPr>
        <w:tc>
          <w:tcPr>
            <w:tcW w:w="651" w:type="dxa"/>
            <w:tcBorders>
              <w:top w:val="single" w:sz="6" w:space="0" w:color="000000"/>
              <w:bottom w:val="single" w:sz="6" w:space="0" w:color="000000"/>
              <w:right w:val="single" w:sz="8" w:space="0" w:color="000000"/>
            </w:tcBorders>
          </w:tcPr>
          <w:p>
            <w:pPr>
              <w:pStyle w:val="TableParagraph"/>
              <w:spacing w:before="192"/>
              <w:ind w:left="20"/>
              <w:rPr>
                <w:rFonts w:ascii="Times New Roman"/>
                <w:sz w:val="21"/>
              </w:rPr>
            </w:pPr>
            <w:r>
              <w:rPr>
                <w:rFonts w:ascii="Times New Roman"/>
                <w:w w:val="100"/>
                <w:sz w:val="21"/>
              </w:rPr>
              <w:t>2</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303" w:lineRule="exact"/>
              <w:ind w:left="112" w:right="-29"/>
              <w:jc w:val="left"/>
              <w:rPr>
                <w:sz w:val="21"/>
              </w:rPr>
            </w:pPr>
            <w:r>
              <w:rPr>
                <w:spacing w:val="-9"/>
                <w:sz w:val="21"/>
              </w:rPr>
              <w:t>项目符合环境保护相关法律法规和政策要求，符合医药行业产业结构调整、</w:t>
            </w:r>
          </w:p>
          <w:p>
            <w:pPr>
              <w:pStyle w:val="TableParagraph"/>
              <w:spacing w:line="304" w:lineRule="exact"/>
              <w:ind w:left="112"/>
              <w:jc w:val="left"/>
              <w:rPr>
                <w:sz w:val="21"/>
              </w:rPr>
            </w:pPr>
            <w:r>
              <w:rPr>
                <w:sz w:val="21"/>
              </w:rPr>
              <w:t>落后产能淘汰等相关要求</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64"/>
              <w:jc w:val="left"/>
              <w:rPr>
                <w:sz w:val="21"/>
              </w:rPr>
            </w:pPr>
            <w:r>
              <w:rPr>
                <w:spacing w:val="-10"/>
                <w:sz w:val="21"/>
              </w:rPr>
              <w:t>项目符合国家产业政策、符合医药行业产业结构调整、落后产能淘</w:t>
            </w:r>
          </w:p>
          <w:p>
            <w:pPr>
              <w:pStyle w:val="TableParagraph"/>
              <w:spacing w:line="304" w:lineRule="exact"/>
              <w:ind w:left="64"/>
              <w:jc w:val="left"/>
              <w:rPr>
                <w:sz w:val="21"/>
              </w:rPr>
            </w:pPr>
            <w:r>
              <w:rPr>
                <w:sz w:val="21"/>
              </w:rPr>
              <w:t>汰等相关要求。</w:t>
            </w:r>
          </w:p>
        </w:tc>
        <w:tc>
          <w:tcPr>
            <w:tcW w:w="1153" w:type="dxa"/>
            <w:tcBorders>
              <w:top w:val="single" w:sz="6" w:space="0" w:color="000000"/>
              <w:left w:val="single" w:sz="6" w:space="0" w:color="000000"/>
              <w:bottom w:val="single" w:sz="6" w:space="0" w:color="000000"/>
            </w:tcBorders>
          </w:tcPr>
          <w:p>
            <w:pPr>
              <w:pStyle w:val="TableParagraph"/>
              <w:spacing w:before="80"/>
              <w:ind w:left="247" w:right="213"/>
              <w:rPr>
                <w:sz w:val="21"/>
              </w:rPr>
            </w:pPr>
            <w:r>
              <w:rPr>
                <w:sz w:val="21"/>
              </w:rPr>
              <w:t>符合</w:t>
            </w:r>
          </w:p>
        </w:tc>
      </w:tr>
      <w:tr>
        <w:trPr>
          <w:trHeight w:val="2519" w:hRule="atLeast"/>
        </w:trPr>
        <w:tc>
          <w:tcPr>
            <w:tcW w:w="651" w:type="dxa"/>
            <w:tcBorders>
              <w:top w:val="single" w:sz="6" w:space="0" w:color="000000"/>
              <w:bottom w:val="single" w:sz="6" w:space="0" w:color="000000"/>
              <w:right w:val="single" w:sz="8" w:space="0" w:color="000000"/>
            </w:tcBorders>
          </w:tcPr>
          <w:p>
            <w:pPr>
              <w:pStyle w:val="TableParagraph"/>
              <w:jc w:val="left"/>
              <w:rPr>
                <w:sz w:val="22"/>
              </w:rPr>
            </w:pPr>
          </w:p>
          <w:p>
            <w:pPr>
              <w:pStyle w:val="TableParagraph"/>
              <w:spacing w:before="14"/>
              <w:jc w:val="left"/>
              <w:rPr>
                <w:sz w:val="31"/>
              </w:rPr>
            </w:pPr>
          </w:p>
          <w:p>
            <w:pPr>
              <w:pStyle w:val="TableParagraph"/>
              <w:ind w:left="20"/>
              <w:rPr>
                <w:rFonts w:ascii="Times New Roman"/>
                <w:sz w:val="21"/>
              </w:rPr>
            </w:pPr>
            <w:r>
              <w:rPr>
                <w:rFonts w:ascii="Times New Roman"/>
                <w:w w:val="100"/>
                <w:sz w:val="21"/>
              </w:rPr>
              <w:t>3</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before="13"/>
              <w:jc w:val="left"/>
              <w:rPr>
                <w:sz w:val="8"/>
              </w:rPr>
            </w:pPr>
          </w:p>
          <w:p>
            <w:pPr>
              <w:pStyle w:val="TableParagraph"/>
              <w:spacing w:line="168" w:lineRule="auto"/>
              <w:ind w:left="112" w:right="84"/>
              <w:jc w:val="both"/>
              <w:rPr>
                <w:sz w:val="21"/>
              </w:rPr>
            </w:pPr>
            <w:r>
              <w:rPr>
                <w:sz w:val="21"/>
              </w:rPr>
              <w:t>项目符合国家和地方的主体功能区规划、环境保护规划、产业发展规划、环境功能区划、生态保护红线、生物多样性保护优先区域规划等的相关要求。</w:t>
            </w:r>
          </w:p>
          <w:p>
            <w:pPr>
              <w:pStyle w:val="TableParagraph"/>
              <w:spacing w:line="168" w:lineRule="auto" w:before="1"/>
              <w:ind w:left="112" w:right="-29"/>
              <w:jc w:val="left"/>
              <w:rPr>
                <w:sz w:val="21"/>
              </w:rPr>
            </w:pPr>
            <w:r>
              <w:rPr>
                <w:spacing w:val="-12"/>
                <w:sz w:val="21"/>
              </w:rPr>
              <w:t>新建、扩建、搬迁的化学原料药和生物生化制品建设项目应位于产业园区， </w:t>
            </w:r>
            <w:r>
              <w:rPr>
                <w:spacing w:val="-6"/>
                <w:sz w:val="21"/>
              </w:rPr>
              <w:t>并符合园区产业定位、园区规划、规划环评及审查意见要求。</w:t>
            </w:r>
          </w:p>
          <w:p>
            <w:pPr>
              <w:pStyle w:val="TableParagraph"/>
              <w:spacing w:line="168" w:lineRule="auto" w:before="1"/>
              <w:ind w:left="112" w:right="84"/>
              <w:jc w:val="both"/>
              <w:rPr>
                <w:sz w:val="21"/>
              </w:rPr>
            </w:pPr>
            <w:r>
              <w:rPr>
                <w:sz w:val="21"/>
              </w:rPr>
              <w:t>不予批准选址在自然保护区、风景名胜区、饮用水水源保护区等法律法规禁止建设区域的项目。</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spacing w:line="194" w:lineRule="auto" w:before="48"/>
              <w:ind w:left="64" w:right="29"/>
              <w:jc w:val="both"/>
              <w:rPr>
                <w:sz w:val="21"/>
              </w:rPr>
            </w:pPr>
            <w:r>
              <w:rPr>
                <w:spacing w:val="-9"/>
                <w:sz w:val="21"/>
              </w:rPr>
              <w:t>项目符合主体功能区规划、环境保护规划、产业发展规划、环境功</w:t>
            </w:r>
            <w:r>
              <w:rPr>
                <w:spacing w:val="-5"/>
                <w:sz w:val="21"/>
              </w:rPr>
              <w:t>能区划要求，不位于生态保护红线内。</w:t>
            </w:r>
          </w:p>
          <w:p>
            <w:pPr>
              <w:pStyle w:val="TableParagraph"/>
              <w:spacing w:line="194" w:lineRule="auto"/>
              <w:ind w:left="64" w:right="29"/>
              <w:jc w:val="both"/>
              <w:rPr>
                <w:sz w:val="21"/>
              </w:rPr>
            </w:pPr>
            <w:r>
              <w:rPr>
                <w:spacing w:val="-17"/>
                <w:sz w:val="21"/>
              </w:rPr>
              <w:t>项目属于化学原料药项目，位于莒南县化工园区，园区产业定位为</w:t>
            </w:r>
            <w:r>
              <w:rPr>
                <w:spacing w:val="-14"/>
                <w:sz w:val="21"/>
              </w:rPr>
              <w:t>重点发展精细化工、生物工程、化学制药和专用与日用化学品制造</w:t>
            </w:r>
            <w:r>
              <w:rPr>
                <w:spacing w:val="-7"/>
                <w:sz w:val="21"/>
              </w:rPr>
              <w:t>业。项目符合园区产业定位及规划环评要求。</w:t>
            </w:r>
          </w:p>
          <w:p>
            <w:pPr>
              <w:pStyle w:val="TableParagraph"/>
              <w:spacing w:line="342" w:lineRule="exact"/>
              <w:ind w:left="64"/>
              <w:jc w:val="both"/>
              <w:rPr>
                <w:sz w:val="21"/>
              </w:rPr>
            </w:pPr>
            <w:r>
              <w:rPr>
                <w:spacing w:val="-11"/>
                <w:sz w:val="21"/>
              </w:rPr>
              <w:t>项目不位于自然保护区、风景名胜区、饮用水水源保护区等法律法</w:t>
            </w:r>
          </w:p>
          <w:p>
            <w:pPr>
              <w:pStyle w:val="TableParagraph"/>
              <w:spacing w:line="308" w:lineRule="exact"/>
              <w:ind w:left="64"/>
              <w:jc w:val="both"/>
              <w:rPr>
                <w:sz w:val="21"/>
              </w:rPr>
            </w:pPr>
            <w:r>
              <w:rPr>
                <w:sz w:val="21"/>
              </w:rPr>
              <w:t>规禁止建设区域</w:t>
            </w:r>
          </w:p>
        </w:tc>
        <w:tc>
          <w:tcPr>
            <w:tcW w:w="1153" w:type="dxa"/>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9"/>
              <w:jc w:val="left"/>
              <w:rPr>
                <w:sz w:val="13"/>
              </w:rPr>
            </w:pPr>
          </w:p>
          <w:p>
            <w:pPr>
              <w:pStyle w:val="TableParagraph"/>
              <w:spacing w:line="381" w:lineRule="exact"/>
              <w:ind w:left="-153"/>
              <w:jc w:val="left"/>
              <w:rPr>
                <w:sz w:val="21"/>
              </w:rPr>
            </w:pPr>
            <w:r>
              <w:rPr>
                <w:w w:val="100"/>
                <w:sz w:val="21"/>
              </w:rPr>
              <w:t>：</w:t>
            </w:r>
          </w:p>
          <w:p>
            <w:pPr>
              <w:pStyle w:val="TableParagraph"/>
              <w:spacing w:line="381" w:lineRule="exact"/>
              <w:ind w:left="371"/>
              <w:jc w:val="left"/>
              <w:rPr>
                <w:sz w:val="21"/>
              </w:rPr>
            </w:pPr>
            <w:r>
              <w:rPr>
                <w:sz w:val="21"/>
              </w:rPr>
              <w:t>符合</w:t>
            </w:r>
          </w:p>
        </w:tc>
      </w:tr>
      <w:tr>
        <w:trPr>
          <w:trHeight w:val="719" w:hRule="atLeast"/>
        </w:trPr>
        <w:tc>
          <w:tcPr>
            <w:tcW w:w="651" w:type="dxa"/>
            <w:tcBorders>
              <w:top w:val="single" w:sz="6" w:space="0" w:color="000000"/>
              <w:bottom w:val="single" w:sz="6" w:space="0" w:color="000000"/>
              <w:right w:val="single" w:sz="8" w:space="0" w:color="000000"/>
            </w:tcBorders>
          </w:tcPr>
          <w:p>
            <w:pPr>
              <w:pStyle w:val="TableParagraph"/>
              <w:spacing w:before="4"/>
              <w:jc w:val="left"/>
              <w:rPr>
                <w:sz w:val="11"/>
              </w:rPr>
            </w:pPr>
          </w:p>
          <w:p>
            <w:pPr>
              <w:pStyle w:val="TableParagraph"/>
              <w:spacing w:before="1"/>
              <w:ind w:left="20"/>
              <w:rPr>
                <w:rFonts w:ascii="Times New Roman"/>
                <w:sz w:val="21"/>
              </w:rPr>
            </w:pPr>
            <w:r>
              <w:rPr>
                <w:rFonts w:ascii="Times New Roman"/>
                <w:w w:val="100"/>
                <w:sz w:val="21"/>
              </w:rPr>
              <w:t>4</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360" w:lineRule="exact" w:before="11"/>
              <w:ind w:left="112" w:right="84"/>
              <w:jc w:val="left"/>
              <w:rPr>
                <w:sz w:val="21"/>
              </w:rPr>
            </w:pPr>
            <w:r>
              <w:rPr>
                <w:sz w:val="21"/>
              </w:rPr>
              <w:t>采用先进适用的技术、工艺和装备，单位产品物耗、能耗、水耗和污染物产生情况等清洁生产指标满足国内清洁生产先进水平。</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spacing w:before="125"/>
              <w:ind w:left="64"/>
              <w:jc w:val="left"/>
              <w:rPr>
                <w:sz w:val="21"/>
              </w:rPr>
            </w:pPr>
            <w:r>
              <w:rPr>
                <w:sz w:val="21"/>
              </w:rPr>
              <w:t>项目采用先进技术、工艺和装备，满足国内清洁生产先进水平</w:t>
            </w:r>
          </w:p>
        </w:tc>
        <w:tc>
          <w:tcPr>
            <w:tcW w:w="1153" w:type="dxa"/>
            <w:tcBorders>
              <w:top w:val="single" w:sz="6" w:space="0" w:color="000000"/>
              <w:left w:val="single" w:sz="6" w:space="0" w:color="000000"/>
              <w:bottom w:val="single" w:sz="6" w:space="0" w:color="000000"/>
            </w:tcBorders>
          </w:tcPr>
          <w:p>
            <w:pPr>
              <w:pStyle w:val="TableParagraph"/>
              <w:spacing w:before="125"/>
              <w:ind w:left="247" w:right="213"/>
              <w:rPr>
                <w:sz w:val="21"/>
              </w:rPr>
            </w:pPr>
            <w:r>
              <w:rPr>
                <w:sz w:val="21"/>
              </w:rPr>
              <w:t>符合</w:t>
            </w:r>
          </w:p>
        </w:tc>
      </w:tr>
      <w:tr>
        <w:trPr>
          <w:trHeight w:val="611" w:hRule="atLeast"/>
        </w:trPr>
        <w:tc>
          <w:tcPr>
            <w:tcW w:w="651" w:type="dxa"/>
            <w:tcBorders>
              <w:top w:val="single" w:sz="6" w:space="0" w:color="000000"/>
              <w:bottom w:val="single" w:sz="6" w:space="0" w:color="000000"/>
              <w:right w:val="single" w:sz="8" w:space="0" w:color="000000"/>
            </w:tcBorders>
          </w:tcPr>
          <w:p>
            <w:pPr>
              <w:pStyle w:val="TableParagraph"/>
              <w:spacing w:before="178"/>
              <w:ind w:left="20"/>
              <w:rPr>
                <w:rFonts w:ascii="Times New Roman"/>
                <w:sz w:val="21"/>
              </w:rPr>
            </w:pPr>
            <w:r>
              <w:rPr>
                <w:rFonts w:ascii="Times New Roman"/>
                <w:w w:val="100"/>
                <w:sz w:val="21"/>
              </w:rPr>
              <w:t>5</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289" w:lineRule="exact"/>
              <w:ind w:left="112"/>
              <w:jc w:val="left"/>
              <w:rPr>
                <w:sz w:val="21"/>
              </w:rPr>
            </w:pPr>
            <w:r>
              <w:rPr>
                <w:sz w:val="21"/>
              </w:rPr>
              <w:t>主要污染物排放总量满足国家和地方相关要求。暂停审批未完成环境质量</w:t>
            </w:r>
          </w:p>
          <w:p>
            <w:pPr>
              <w:pStyle w:val="TableParagraph"/>
              <w:spacing w:line="303" w:lineRule="exact"/>
              <w:ind w:left="112"/>
              <w:jc w:val="left"/>
              <w:rPr>
                <w:sz w:val="21"/>
              </w:rPr>
            </w:pPr>
            <w:r>
              <w:rPr>
                <w:sz w:val="21"/>
              </w:rPr>
              <w:t>改善目标地区新增重点污染物排放的项目</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spacing w:before="66"/>
              <w:ind w:left="64"/>
              <w:jc w:val="left"/>
              <w:rPr>
                <w:sz w:val="21"/>
              </w:rPr>
            </w:pPr>
            <w:r>
              <w:rPr>
                <w:sz w:val="21"/>
              </w:rPr>
              <w:t>项目污染物排放总量满足国家和地方相关要求。</w:t>
            </w:r>
          </w:p>
        </w:tc>
        <w:tc>
          <w:tcPr>
            <w:tcW w:w="1153" w:type="dxa"/>
            <w:tcBorders>
              <w:top w:val="single" w:sz="6" w:space="0" w:color="000000"/>
              <w:left w:val="single" w:sz="6" w:space="0" w:color="000000"/>
              <w:bottom w:val="single" w:sz="6" w:space="0" w:color="000000"/>
            </w:tcBorders>
          </w:tcPr>
          <w:p>
            <w:pPr>
              <w:pStyle w:val="TableParagraph"/>
              <w:spacing w:before="66"/>
              <w:ind w:left="247" w:right="213"/>
              <w:rPr>
                <w:sz w:val="21"/>
              </w:rPr>
            </w:pPr>
            <w:r>
              <w:rPr>
                <w:sz w:val="21"/>
              </w:rPr>
              <w:t>符合</w:t>
            </w:r>
          </w:p>
        </w:tc>
      </w:tr>
      <w:tr>
        <w:trPr>
          <w:trHeight w:val="2882" w:hRule="atLeast"/>
        </w:trPr>
        <w:tc>
          <w:tcPr>
            <w:tcW w:w="651" w:type="dxa"/>
            <w:tcBorders>
              <w:top w:val="single" w:sz="6"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6"/>
              <w:jc w:val="left"/>
              <w:rPr>
                <w:sz w:val="18"/>
              </w:rPr>
            </w:pPr>
          </w:p>
          <w:p>
            <w:pPr>
              <w:pStyle w:val="TableParagraph"/>
              <w:ind w:left="20"/>
              <w:rPr>
                <w:rFonts w:ascii="Times New Roman"/>
                <w:sz w:val="21"/>
              </w:rPr>
            </w:pPr>
            <w:r>
              <w:rPr>
                <w:rFonts w:ascii="Times New Roman"/>
                <w:w w:val="100"/>
                <w:sz w:val="21"/>
              </w:rPr>
              <w:t>6</w:t>
            </w:r>
          </w:p>
        </w:tc>
        <w:tc>
          <w:tcPr>
            <w:tcW w:w="6942" w:type="dxa"/>
            <w:tcBorders>
              <w:top w:val="single" w:sz="6" w:space="0" w:color="000000"/>
              <w:left w:val="single" w:sz="8" w:space="0" w:color="000000"/>
              <w:right w:val="single" w:sz="6" w:space="0" w:color="000000"/>
            </w:tcBorders>
          </w:tcPr>
          <w:p>
            <w:pPr>
              <w:pStyle w:val="TableParagraph"/>
              <w:spacing w:line="194" w:lineRule="auto" w:before="50"/>
              <w:ind w:left="112" w:right="84"/>
              <w:jc w:val="both"/>
              <w:rPr>
                <w:sz w:val="21"/>
              </w:rPr>
            </w:pPr>
            <w:r>
              <w:rPr>
                <w:sz w:val="21"/>
              </w:rPr>
              <w:t>强化节水措施，减少新鲜水用量。严格控制取用地下水。取用地表水不得挤占生态用水、生活用水和农业用水。</w:t>
            </w:r>
          </w:p>
          <w:p>
            <w:pPr>
              <w:pStyle w:val="TableParagraph"/>
              <w:spacing w:line="194" w:lineRule="auto"/>
              <w:ind w:left="112" w:right="84"/>
              <w:jc w:val="both"/>
              <w:rPr>
                <w:sz w:val="21"/>
              </w:rPr>
            </w:pPr>
            <w:r>
              <w:rPr>
                <w:spacing w:val="-3"/>
                <w:sz w:val="21"/>
              </w:rPr>
              <w:t>按照“清污分流、雨污分流、分类收集、分质处理”原则，设立完善的废  水收集、处理系统。第一类污染物排放浓度在车间或车间处理设施排放口达标；实验室废水、动物房废水等含有药物活性成份的废水，应单独收集并进行灭菌、灭活预处理；毒性大、难降解及高含盐等废水应单独收集、</w:t>
            </w:r>
            <w:r>
              <w:rPr>
                <w:spacing w:val="-3"/>
                <w:w w:val="105"/>
                <w:sz w:val="21"/>
              </w:rPr>
              <w:t>处理后，再与其他废水一并进入污水处理系统处理。</w:t>
            </w:r>
          </w:p>
          <w:p>
            <w:pPr>
              <w:pStyle w:val="TableParagraph"/>
              <w:spacing w:line="288" w:lineRule="exact"/>
              <w:ind w:left="112"/>
              <w:jc w:val="both"/>
              <w:rPr>
                <w:sz w:val="21"/>
              </w:rPr>
            </w:pPr>
            <w:r>
              <w:rPr>
                <w:sz w:val="21"/>
              </w:rPr>
              <w:t>依托公共污水处理系统的项目，在厂内进行预处理，常规污染物和特征污</w:t>
            </w:r>
          </w:p>
        </w:tc>
        <w:tc>
          <w:tcPr>
            <w:tcW w:w="6102" w:type="dxa"/>
            <w:tcBorders>
              <w:top w:val="single" w:sz="6" w:space="0" w:color="000000"/>
              <w:left w:val="single" w:sz="6" w:space="0" w:color="000000"/>
              <w:right w:val="single" w:sz="6" w:space="0" w:color="000000"/>
            </w:tcBorders>
          </w:tcPr>
          <w:p>
            <w:pPr>
              <w:pStyle w:val="TableParagraph"/>
              <w:spacing w:before="17"/>
              <w:jc w:val="left"/>
              <w:rPr>
                <w:sz w:val="27"/>
              </w:rPr>
            </w:pPr>
          </w:p>
          <w:p>
            <w:pPr>
              <w:pStyle w:val="TableParagraph"/>
              <w:spacing w:line="194" w:lineRule="auto" w:before="1"/>
              <w:ind w:left="64" w:right="29"/>
              <w:jc w:val="both"/>
              <w:rPr>
                <w:sz w:val="21"/>
              </w:rPr>
            </w:pPr>
            <w:r>
              <w:rPr>
                <w:spacing w:val="-9"/>
                <w:sz w:val="21"/>
              </w:rPr>
              <w:t>项目废水经经厂区污水处理站处理后满足《污水排入城镇下水道水</w:t>
            </w:r>
            <w:r>
              <w:rPr>
                <w:spacing w:val="-35"/>
                <w:sz w:val="21"/>
              </w:rPr>
              <w:t>质标准》</w:t>
            </w:r>
            <w:r>
              <w:rPr>
                <w:sz w:val="21"/>
              </w:rPr>
              <w:t>（</w:t>
            </w:r>
            <w:r>
              <w:rPr>
                <w:rFonts w:ascii="Times New Roman" w:eastAsia="Times New Roman"/>
                <w:sz w:val="21"/>
              </w:rPr>
              <w:t>GB/T31962-2015</w:t>
            </w:r>
            <w:r>
              <w:rPr>
                <w:sz w:val="21"/>
              </w:rPr>
              <w:t>）</w:t>
            </w:r>
            <w:r>
              <w:rPr>
                <w:rFonts w:ascii="Times New Roman" w:eastAsia="Times New Roman"/>
                <w:sz w:val="21"/>
              </w:rPr>
              <w:t>A </w:t>
            </w:r>
            <w:r>
              <w:rPr>
                <w:spacing w:val="-4"/>
                <w:sz w:val="21"/>
              </w:rPr>
              <w:t>等级标准，通过官网排入莒南卓澳</w:t>
            </w:r>
            <w:r>
              <w:rPr>
                <w:spacing w:val="-12"/>
                <w:sz w:val="21"/>
              </w:rPr>
              <w:t>水质净化有限公司，经处理后满足《城镇污水处理厂污染物排放标</w:t>
            </w:r>
            <w:r>
              <w:rPr>
                <w:spacing w:val="-71"/>
                <w:sz w:val="21"/>
              </w:rPr>
              <w:t>准》</w:t>
            </w:r>
            <w:r>
              <w:rPr>
                <w:spacing w:val="-3"/>
                <w:sz w:val="21"/>
              </w:rPr>
              <w:t>（</w:t>
            </w:r>
            <w:r>
              <w:rPr>
                <w:rFonts w:ascii="Times New Roman" w:eastAsia="Times New Roman"/>
                <w:spacing w:val="-3"/>
                <w:sz w:val="21"/>
              </w:rPr>
              <w:t>GB18918-2002</w:t>
            </w:r>
            <w:r>
              <w:rPr>
                <w:spacing w:val="-3"/>
                <w:sz w:val="21"/>
              </w:rPr>
              <w:t>）</w:t>
            </w:r>
            <w:r>
              <w:rPr>
                <w:spacing w:val="3"/>
                <w:sz w:val="21"/>
              </w:rPr>
              <w:t>中一级 </w:t>
            </w:r>
            <w:r>
              <w:rPr>
                <w:rFonts w:ascii="Times New Roman" w:eastAsia="Times New Roman"/>
                <w:sz w:val="21"/>
              </w:rPr>
              <w:t>A </w:t>
            </w:r>
            <w:r>
              <w:rPr>
                <w:spacing w:val="-9"/>
                <w:sz w:val="21"/>
              </w:rPr>
              <w:t>标准，排入白马河，而后汇入鸡龙河。</w:t>
            </w:r>
          </w:p>
        </w:tc>
        <w:tc>
          <w:tcPr>
            <w:tcW w:w="1153" w:type="dxa"/>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jc w:val="left"/>
              <w:rPr>
                <w:sz w:val="17"/>
              </w:rPr>
            </w:pPr>
          </w:p>
          <w:p>
            <w:pPr>
              <w:pStyle w:val="TableParagraph"/>
              <w:ind w:left="247" w:right="213"/>
              <w:rPr>
                <w:sz w:val="21"/>
              </w:rPr>
            </w:pPr>
            <w:r>
              <w:rPr>
                <w:sz w:val="21"/>
              </w:rPr>
              <w:t>符合</w:t>
            </w:r>
          </w:p>
        </w:tc>
      </w:tr>
    </w:tbl>
    <w:p>
      <w:pPr>
        <w:spacing w:after="0"/>
        <w:rPr>
          <w:sz w:val="21"/>
        </w:rPr>
        <w:sectPr>
          <w:headerReference w:type="default" r:id="rId72"/>
          <w:footerReference w:type="default" r:id="rId73"/>
          <w:pgSz w:w="16840" w:h="11910" w:orient="landscape"/>
          <w:pgMar w:header="877" w:footer="973" w:top="1180" w:bottom="1160" w:left="880" w:right="860"/>
          <w:pgNumType w:start="5"/>
        </w:sectPr>
      </w:pPr>
    </w:p>
    <w:p>
      <w:pPr>
        <w:pStyle w:val="BodyText"/>
        <w:spacing w:before="6"/>
        <w:rPr>
          <w:rFonts w:ascii="Times New Roman"/>
          <w:sz w:val="22"/>
        </w:rPr>
      </w:pPr>
    </w:p>
    <w:tbl>
      <w:tblPr>
        <w:tblW w:w="0" w:type="auto"/>
        <w:jc w:val="left"/>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1"/>
        <w:gridCol w:w="6942"/>
        <w:gridCol w:w="6102"/>
        <w:gridCol w:w="1153"/>
      </w:tblGrid>
      <w:tr>
        <w:trPr>
          <w:trHeight w:val="721" w:hRule="atLeast"/>
        </w:trPr>
        <w:tc>
          <w:tcPr>
            <w:tcW w:w="651" w:type="dxa"/>
            <w:tcBorders>
              <w:bottom w:val="single" w:sz="6" w:space="0" w:color="000000"/>
              <w:right w:val="single" w:sz="8" w:space="0" w:color="000000"/>
            </w:tcBorders>
          </w:tcPr>
          <w:p>
            <w:pPr>
              <w:pStyle w:val="TableParagraph"/>
              <w:jc w:val="left"/>
              <w:rPr>
                <w:rFonts w:ascii="Times New Roman"/>
                <w:sz w:val="20"/>
              </w:rPr>
            </w:pPr>
          </w:p>
        </w:tc>
        <w:tc>
          <w:tcPr>
            <w:tcW w:w="6942" w:type="dxa"/>
            <w:tcBorders>
              <w:left w:val="single" w:sz="8" w:space="0" w:color="000000"/>
              <w:bottom w:val="single" w:sz="6" w:space="0" w:color="000000"/>
              <w:right w:val="single" w:sz="6" w:space="0" w:color="000000"/>
            </w:tcBorders>
          </w:tcPr>
          <w:p>
            <w:pPr>
              <w:pStyle w:val="TableParagraph"/>
              <w:spacing w:line="360" w:lineRule="exact" w:before="14"/>
              <w:ind w:left="112" w:right="84"/>
              <w:jc w:val="left"/>
              <w:rPr>
                <w:sz w:val="21"/>
              </w:rPr>
            </w:pPr>
            <w:r>
              <w:rPr>
                <w:sz w:val="21"/>
              </w:rPr>
              <w:t>染物排放应满足相应排放标准和公共污水处理系统纳管要求。直排外环境的废水须满足国家和地方相关排放标准要求。</w:t>
            </w:r>
          </w:p>
        </w:tc>
        <w:tc>
          <w:tcPr>
            <w:tcW w:w="6102"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153" w:type="dxa"/>
            <w:tcBorders>
              <w:left w:val="single" w:sz="6" w:space="0" w:color="000000"/>
              <w:bottom w:val="single" w:sz="6" w:space="0" w:color="000000"/>
            </w:tcBorders>
          </w:tcPr>
          <w:p>
            <w:pPr>
              <w:pStyle w:val="TableParagraph"/>
              <w:jc w:val="left"/>
              <w:rPr>
                <w:rFonts w:ascii="Times New Roman"/>
                <w:sz w:val="20"/>
              </w:rPr>
            </w:pPr>
          </w:p>
        </w:tc>
      </w:tr>
      <w:tr>
        <w:trPr>
          <w:trHeight w:val="2508" w:hRule="atLeast"/>
        </w:trPr>
        <w:tc>
          <w:tcPr>
            <w:tcW w:w="651" w:type="dxa"/>
            <w:tcBorders>
              <w:top w:val="single" w:sz="6" w:space="0" w:color="000000"/>
              <w:bottom w:val="single" w:sz="6"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0"/>
              <w:jc w:val="left"/>
              <w:rPr>
                <w:rFonts w:ascii="Times New Roman"/>
                <w:sz w:val="31"/>
              </w:rPr>
            </w:pPr>
          </w:p>
          <w:p>
            <w:pPr>
              <w:pStyle w:val="TableParagraph"/>
              <w:ind w:left="270"/>
              <w:jc w:val="left"/>
              <w:rPr>
                <w:rFonts w:ascii="Times New Roman"/>
                <w:sz w:val="21"/>
              </w:rPr>
            </w:pPr>
            <w:r>
              <w:rPr>
                <w:rFonts w:ascii="Times New Roman"/>
                <w:w w:val="100"/>
                <w:sz w:val="21"/>
              </w:rPr>
              <w:t>7</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194" w:lineRule="auto" w:before="35"/>
              <w:ind w:left="112" w:right="-29"/>
              <w:jc w:val="both"/>
              <w:rPr>
                <w:sz w:val="21"/>
              </w:rPr>
            </w:pPr>
            <w:r>
              <w:rPr>
                <w:spacing w:val="-3"/>
                <w:sz w:val="21"/>
              </w:rPr>
              <w:t>优化生产设备选型，密闭输送物料，采取有效措施收集并处理车间产生的无组织废气。发酵和消毒尾气、干燥废气、反应釜</w:t>
            </w:r>
            <w:r>
              <w:rPr>
                <w:rFonts w:ascii="Times New Roman" w:eastAsia="Times New Roman"/>
                <w:spacing w:val="-4"/>
                <w:sz w:val="21"/>
              </w:rPr>
              <w:t>(</w:t>
            </w:r>
            <w:r>
              <w:rPr>
                <w:sz w:val="21"/>
              </w:rPr>
              <w:t>罐</w:t>
            </w:r>
            <w:r>
              <w:rPr>
                <w:rFonts w:ascii="Times New Roman" w:eastAsia="Times New Roman"/>
                <w:sz w:val="21"/>
              </w:rPr>
              <w:t>)</w:t>
            </w:r>
            <w:r>
              <w:rPr>
                <w:spacing w:val="-3"/>
                <w:sz w:val="21"/>
              </w:rPr>
              <w:t>排气等有组织废气 经处理后，污染物排放须满足相应国家和地方排放标准要求。对于挥发性有机物</w:t>
            </w:r>
            <w:r>
              <w:rPr>
                <w:rFonts w:ascii="Times New Roman" w:eastAsia="Times New Roman"/>
                <w:spacing w:val="-3"/>
                <w:sz w:val="21"/>
              </w:rPr>
              <w:t>(VOCs)</w:t>
            </w:r>
            <w:r>
              <w:rPr>
                <w:spacing w:val="-13"/>
                <w:sz w:val="21"/>
              </w:rPr>
              <w:t>排放量较大的项目，应根据国家 </w:t>
            </w:r>
            <w:r>
              <w:rPr>
                <w:rFonts w:ascii="Times New Roman" w:eastAsia="Times New Roman"/>
                <w:sz w:val="21"/>
              </w:rPr>
              <w:t>VOCs </w:t>
            </w:r>
            <w:r>
              <w:rPr>
                <w:spacing w:val="-3"/>
                <w:sz w:val="21"/>
              </w:rPr>
              <w:t>治理技术及管理要求， </w:t>
            </w:r>
            <w:r>
              <w:rPr>
                <w:spacing w:val="-1"/>
                <w:sz w:val="21"/>
              </w:rPr>
              <w:t>采取有效措施减少 </w:t>
            </w:r>
            <w:r>
              <w:rPr>
                <w:rFonts w:ascii="Times New Roman" w:eastAsia="Times New Roman"/>
                <w:sz w:val="21"/>
              </w:rPr>
              <w:t>VOCs </w:t>
            </w:r>
            <w:r>
              <w:rPr>
                <w:spacing w:val="-12"/>
                <w:sz w:val="21"/>
              </w:rPr>
              <w:t>排放。动物房应封闭，设置集中通风、除臭设施。</w:t>
            </w:r>
            <w:r>
              <w:rPr>
                <w:spacing w:val="-6"/>
                <w:sz w:val="21"/>
              </w:rPr>
              <w:t>产生恶臭的生产车间应设置除臭设施，恶臭污染物满足《恶臭污染物排放</w:t>
            </w:r>
          </w:p>
          <w:p>
            <w:pPr>
              <w:pStyle w:val="TableParagraph"/>
              <w:spacing w:line="288" w:lineRule="exact"/>
              <w:ind w:left="112"/>
              <w:jc w:val="both"/>
              <w:rPr>
                <w:sz w:val="21"/>
              </w:rPr>
            </w:pPr>
            <w:r>
              <w:rPr>
                <w:sz w:val="21"/>
              </w:rPr>
              <w:t>标准》（</w:t>
            </w:r>
            <w:r>
              <w:rPr>
                <w:rFonts w:ascii="Times New Roman" w:eastAsia="Times New Roman"/>
                <w:sz w:val="21"/>
              </w:rPr>
              <w:t>GB14554</w:t>
            </w:r>
            <w:r>
              <w:rPr>
                <w:sz w:val="21"/>
              </w:rPr>
              <w:t>）要求。</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
              <w:jc w:val="left"/>
              <w:rPr>
                <w:rFonts w:ascii="Times New Roman"/>
                <w:sz w:val="28"/>
              </w:rPr>
            </w:pPr>
          </w:p>
          <w:p>
            <w:pPr>
              <w:pStyle w:val="TableParagraph"/>
              <w:spacing w:before="1"/>
              <w:ind w:left="64"/>
              <w:jc w:val="left"/>
              <w:rPr>
                <w:sz w:val="21"/>
              </w:rPr>
            </w:pPr>
            <w:r>
              <w:rPr>
                <w:sz w:val="21"/>
              </w:rPr>
              <w:t>项目污染物排放满足国家和地方排放标准要求。</w:t>
            </w:r>
          </w:p>
        </w:tc>
        <w:tc>
          <w:tcPr>
            <w:tcW w:w="1153"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
              <w:jc w:val="left"/>
              <w:rPr>
                <w:rFonts w:ascii="Times New Roman"/>
                <w:sz w:val="28"/>
              </w:rPr>
            </w:pPr>
          </w:p>
          <w:p>
            <w:pPr>
              <w:pStyle w:val="TableParagraph"/>
              <w:spacing w:before="1"/>
              <w:ind w:left="371"/>
              <w:jc w:val="left"/>
              <w:rPr>
                <w:sz w:val="21"/>
              </w:rPr>
            </w:pPr>
            <w:r>
              <w:rPr>
                <w:sz w:val="21"/>
              </w:rPr>
              <w:t>符合</w:t>
            </w:r>
          </w:p>
        </w:tc>
      </w:tr>
      <w:tr>
        <w:trPr>
          <w:trHeight w:val="2879" w:hRule="atLeast"/>
        </w:trPr>
        <w:tc>
          <w:tcPr>
            <w:tcW w:w="651" w:type="dxa"/>
            <w:tcBorders>
              <w:top w:val="single" w:sz="6" w:space="0" w:color="000000"/>
              <w:bottom w:val="single" w:sz="6"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7"/>
              <w:jc w:val="left"/>
              <w:rPr>
                <w:rFonts w:ascii="Times New Roman"/>
                <w:sz w:val="26"/>
              </w:rPr>
            </w:pPr>
          </w:p>
          <w:p>
            <w:pPr>
              <w:pStyle w:val="TableParagraph"/>
              <w:ind w:left="270"/>
              <w:jc w:val="left"/>
              <w:rPr>
                <w:rFonts w:ascii="Times New Roman"/>
                <w:sz w:val="21"/>
              </w:rPr>
            </w:pPr>
            <w:r>
              <w:rPr>
                <w:rFonts w:ascii="Times New Roman"/>
                <w:w w:val="100"/>
                <w:sz w:val="21"/>
              </w:rPr>
              <w:t>8</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194" w:lineRule="auto" w:before="48"/>
              <w:ind w:left="112" w:right="84"/>
              <w:jc w:val="both"/>
              <w:rPr>
                <w:sz w:val="21"/>
              </w:rPr>
            </w:pPr>
            <w:r>
              <w:rPr>
                <w:spacing w:val="-1"/>
                <w:w w:val="115"/>
                <w:sz w:val="21"/>
              </w:rPr>
              <w:t>按照“</w:t>
            </w:r>
            <w:r>
              <w:rPr>
                <w:spacing w:val="-3"/>
                <w:sz w:val="21"/>
              </w:rPr>
              <w:t>减量化、资源化、无害化</w:t>
            </w:r>
            <w:r>
              <w:rPr>
                <w:spacing w:val="-2"/>
                <w:w w:val="115"/>
                <w:sz w:val="21"/>
              </w:rPr>
              <w:t>”的</w:t>
            </w:r>
            <w:r>
              <w:rPr>
                <w:spacing w:val="-3"/>
                <w:sz w:val="21"/>
              </w:rPr>
              <w:t>原则，对固体废物进行处理处置。固体废物贮存、处置设施、场所须满足《一般工业固体废物贮存、处置场污染控制标准》</w:t>
            </w:r>
            <w:r>
              <w:rPr>
                <w:rFonts w:ascii="Times New Roman" w:hAnsi="Times New Roman" w:eastAsia="Times New Roman"/>
                <w:sz w:val="21"/>
              </w:rPr>
              <w:t>(GB18599)</w:t>
            </w:r>
            <w:r>
              <w:rPr>
                <w:spacing w:val="-13"/>
                <w:sz w:val="21"/>
              </w:rPr>
              <w:t>、《危险废物贮存污染控制标准》</w:t>
            </w:r>
            <w:r>
              <w:rPr>
                <w:rFonts w:ascii="Times New Roman" w:hAnsi="Times New Roman" w:eastAsia="Times New Roman"/>
                <w:sz w:val="21"/>
              </w:rPr>
              <w:t>(GB18597)</w:t>
            </w:r>
            <w:r>
              <w:rPr>
                <w:spacing w:val="-3"/>
                <w:sz w:val="21"/>
              </w:rPr>
              <w:t>及其修改单和《危险废物焚烧污染控制标准》</w:t>
            </w:r>
            <w:r>
              <w:rPr>
                <w:rFonts w:ascii="Times New Roman" w:hAnsi="Times New Roman" w:eastAsia="Times New Roman"/>
                <w:sz w:val="21"/>
              </w:rPr>
              <w:t>(GB18484)</w:t>
            </w:r>
            <w:r>
              <w:rPr>
                <w:spacing w:val="-2"/>
                <w:sz w:val="21"/>
              </w:rPr>
              <w:t>的有关要求。</w:t>
            </w:r>
          </w:p>
          <w:p>
            <w:pPr>
              <w:pStyle w:val="TableParagraph"/>
              <w:spacing w:line="194" w:lineRule="auto"/>
              <w:ind w:left="112" w:right="84"/>
              <w:jc w:val="both"/>
              <w:rPr>
                <w:sz w:val="21"/>
              </w:rPr>
            </w:pPr>
            <w:r>
              <w:rPr>
                <w:sz w:val="21"/>
              </w:rPr>
              <w:t>含有药物活性成份的污泥，须进行灭活预处理。中药渣按一般工业固体废物处置。对未明确是否具有危险特性的动植物提取残渣、制药污水处理产生的污泥等，应进行危险废物鉴别，在鉴别结论出来之前暂按危险废物管</w:t>
            </w:r>
          </w:p>
          <w:p>
            <w:pPr>
              <w:pStyle w:val="TableParagraph"/>
              <w:spacing w:line="290" w:lineRule="exact"/>
              <w:ind w:left="112"/>
              <w:jc w:val="both"/>
              <w:rPr>
                <w:sz w:val="21"/>
              </w:rPr>
            </w:pPr>
            <w:r>
              <w:rPr>
                <w:sz w:val="21"/>
              </w:rPr>
              <w:t>理。</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9"/>
              <w:jc w:val="left"/>
              <w:rPr>
                <w:rFonts w:ascii="Times New Roman"/>
                <w:sz w:val="19"/>
              </w:rPr>
            </w:pPr>
          </w:p>
          <w:p>
            <w:pPr>
              <w:pStyle w:val="TableParagraph"/>
              <w:spacing w:line="168" w:lineRule="auto"/>
              <w:ind w:left="64" w:right="135"/>
              <w:jc w:val="left"/>
              <w:rPr>
                <w:sz w:val="21"/>
              </w:rPr>
            </w:pPr>
            <w:r>
              <w:rPr>
                <w:spacing w:val="-18"/>
                <w:sz w:val="21"/>
              </w:rPr>
              <w:t>项目固体废物贮存、处置设施、场所满足《一般工业固体废物贮存</w:t>
            </w:r>
            <w:r>
              <w:rPr>
                <w:spacing w:val="-7"/>
                <w:sz w:val="21"/>
              </w:rPr>
              <w:t>处置场污染控制标准》</w:t>
            </w:r>
            <w:r>
              <w:rPr>
                <w:rFonts w:ascii="Times New Roman" w:eastAsia="Times New Roman"/>
                <w:sz w:val="21"/>
              </w:rPr>
              <w:t>(GB18599)</w:t>
            </w:r>
            <w:r>
              <w:rPr>
                <w:spacing w:val="-13"/>
                <w:sz w:val="21"/>
              </w:rPr>
              <w:t>、《危险废物贮存污染控制标准</w:t>
            </w:r>
          </w:p>
          <w:p>
            <w:pPr>
              <w:pStyle w:val="TableParagraph"/>
              <w:spacing w:line="353" w:lineRule="exact"/>
              <w:ind w:left="64"/>
              <w:jc w:val="left"/>
              <w:rPr>
                <w:sz w:val="21"/>
              </w:rPr>
            </w:pPr>
            <w:r>
              <w:rPr>
                <w:rFonts w:ascii="Times New Roman" w:eastAsia="Times New Roman"/>
                <w:sz w:val="21"/>
              </w:rPr>
              <w:t>(GB18597)</w:t>
            </w:r>
            <w:r>
              <w:rPr>
                <w:sz w:val="21"/>
              </w:rPr>
              <w:t>及其修改单有关要求。</w:t>
            </w:r>
          </w:p>
        </w:tc>
        <w:tc>
          <w:tcPr>
            <w:tcW w:w="1153"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8"/>
              <w:jc w:val="left"/>
              <w:rPr>
                <w:rFonts w:ascii="Times New Roman"/>
                <w:sz w:val="17"/>
              </w:rPr>
            </w:pPr>
          </w:p>
          <w:p>
            <w:pPr>
              <w:pStyle w:val="TableParagraph"/>
              <w:spacing w:line="379" w:lineRule="exact"/>
              <w:ind w:left="-155"/>
              <w:jc w:val="left"/>
              <w:rPr>
                <w:sz w:val="21"/>
              </w:rPr>
            </w:pPr>
            <w:r>
              <w:rPr>
                <w:w w:val="100"/>
                <w:sz w:val="21"/>
              </w:rPr>
              <w:t>、</w:t>
            </w:r>
          </w:p>
          <w:p>
            <w:pPr>
              <w:pStyle w:val="TableParagraph"/>
              <w:tabs>
                <w:tab w:pos="371" w:val="left" w:leader="none"/>
              </w:tabs>
              <w:spacing w:line="379" w:lineRule="exact"/>
              <w:ind w:left="-155"/>
              <w:jc w:val="left"/>
              <w:rPr>
                <w:sz w:val="21"/>
              </w:rPr>
            </w:pPr>
            <w:r>
              <w:rPr>
                <w:sz w:val="21"/>
              </w:rPr>
              <w:t>》</w:t>
              <w:tab/>
              <w:t>符合</w:t>
            </w:r>
          </w:p>
        </w:tc>
      </w:tr>
      <w:tr>
        <w:trPr>
          <w:trHeight w:val="1440" w:hRule="atLeast"/>
        </w:trPr>
        <w:tc>
          <w:tcPr>
            <w:tcW w:w="651" w:type="dxa"/>
            <w:tcBorders>
              <w:top w:val="single" w:sz="6" w:space="0" w:color="000000"/>
              <w:bottom w:val="single" w:sz="6"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30"/>
              </w:rPr>
            </w:pPr>
          </w:p>
          <w:p>
            <w:pPr>
              <w:pStyle w:val="TableParagraph"/>
              <w:ind w:left="270"/>
              <w:jc w:val="left"/>
              <w:rPr>
                <w:rFonts w:ascii="Times New Roman"/>
                <w:sz w:val="21"/>
              </w:rPr>
            </w:pPr>
            <w:r>
              <w:rPr>
                <w:rFonts w:ascii="Times New Roman"/>
                <w:w w:val="100"/>
                <w:sz w:val="21"/>
              </w:rPr>
              <w:t>9</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194" w:lineRule="auto" w:before="48"/>
              <w:ind w:left="112" w:right="-29"/>
              <w:jc w:val="both"/>
              <w:rPr>
                <w:sz w:val="21"/>
              </w:rPr>
            </w:pPr>
            <w:r>
              <w:rPr>
                <w:spacing w:val="-9"/>
                <w:sz w:val="21"/>
              </w:rPr>
              <w:t>有效防范对土壤和地下水环境的不利影响。根据环境保护目标的敏感程度、</w:t>
            </w:r>
            <w:r>
              <w:rPr>
                <w:spacing w:val="-5"/>
                <w:sz w:val="21"/>
              </w:rPr>
              <w:t>水文地质条件采取分区防渗措施，制定有效的地下水监控和应急方案。在</w:t>
            </w:r>
            <w:r>
              <w:rPr>
                <w:spacing w:val="-4"/>
                <w:sz w:val="21"/>
              </w:rPr>
              <w:t>厂区与下游饮用水水源地之间设置观测井，并定期实施监测、及时预警，</w:t>
            </w:r>
          </w:p>
          <w:p>
            <w:pPr>
              <w:pStyle w:val="TableParagraph"/>
              <w:spacing w:line="290" w:lineRule="exact"/>
              <w:ind w:left="112"/>
              <w:jc w:val="both"/>
              <w:rPr>
                <w:sz w:val="21"/>
              </w:rPr>
            </w:pPr>
            <w:r>
              <w:rPr>
                <w:sz w:val="21"/>
              </w:rPr>
              <w:t>保障饮用水水源地安全。</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3"/>
              <w:jc w:val="left"/>
              <w:rPr>
                <w:rFonts w:ascii="Times New Roman"/>
                <w:sz w:val="22"/>
              </w:rPr>
            </w:pPr>
          </w:p>
          <w:p>
            <w:pPr>
              <w:pStyle w:val="TableParagraph"/>
              <w:ind w:left="64"/>
              <w:jc w:val="left"/>
              <w:rPr>
                <w:sz w:val="21"/>
              </w:rPr>
            </w:pPr>
            <w:r>
              <w:rPr>
                <w:sz w:val="21"/>
              </w:rPr>
              <w:t>项目采取分区防渗，制定有效的地下监控及应急方案。</w:t>
            </w:r>
          </w:p>
        </w:tc>
        <w:tc>
          <w:tcPr>
            <w:tcW w:w="1153"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3"/>
              <w:jc w:val="left"/>
              <w:rPr>
                <w:rFonts w:ascii="Times New Roman"/>
                <w:sz w:val="22"/>
              </w:rPr>
            </w:pPr>
          </w:p>
          <w:p>
            <w:pPr>
              <w:pStyle w:val="TableParagraph"/>
              <w:ind w:left="371"/>
              <w:jc w:val="left"/>
              <w:rPr>
                <w:sz w:val="21"/>
              </w:rPr>
            </w:pPr>
            <w:r>
              <w:rPr>
                <w:sz w:val="21"/>
              </w:rPr>
              <w:t>符合</w:t>
            </w:r>
          </w:p>
        </w:tc>
      </w:tr>
      <w:tr>
        <w:trPr>
          <w:trHeight w:val="1081" w:hRule="atLeast"/>
        </w:trPr>
        <w:tc>
          <w:tcPr>
            <w:tcW w:w="651" w:type="dxa"/>
            <w:tcBorders>
              <w:top w:val="single" w:sz="6" w:space="0" w:color="000000"/>
              <w:right w:val="single" w:sz="8" w:space="0" w:color="000000"/>
            </w:tcBorders>
          </w:tcPr>
          <w:p>
            <w:pPr>
              <w:pStyle w:val="TableParagraph"/>
              <w:jc w:val="left"/>
              <w:rPr>
                <w:rFonts w:ascii="Times New Roman"/>
                <w:sz w:val="22"/>
              </w:rPr>
            </w:pPr>
          </w:p>
          <w:p>
            <w:pPr>
              <w:pStyle w:val="TableParagraph"/>
              <w:spacing w:before="165"/>
              <w:ind w:left="217"/>
              <w:jc w:val="left"/>
              <w:rPr>
                <w:rFonts w:ascii="Times New Roman"/>
                <w:sz w:val="21"/>
              </w:rPr>
            </w:pPr>
            <w:r>
              <w:rPr>
                <w:rFonts w:ascii="Times New Roman"/>
                <w:sz w:val="21"/>
              </w:rPr>
              <w:t>10</w:t>
            </w:r>
          </w:p>
        </w:tc>
        <w:tc>
          <w:tcPr>
            <w:tcW w:w="6942" w:type="dxa"/>
            <w:tcBorders>
              <w:top w:val="single" w:sz="6" w:space="0" w:color="000000"/>
              <w:left w:val="single" w:sz="8" w:space="0" w:color="000000"/>
              <w:right w:val="single" w:sz="6" w:space="0" w:color="000000"/>
            </w:tcBorders>
          </w:tcPr>
          <w:p>
            <w:pPr>
              <w:pStyle w:val="TableParagraph"/>
              <w:spacing w:line="194" w:lineRule="auto" w:before="50"/>
              <w:ind w:left="112" w:right="84"/>
              <w:jc w:val="left"/>
              <w:rPr>
                <w:sz w:val="21"/>
              </w:rPr>
            </w:pPr>
            <w:r>
              <w:rPr>
                <w:sz w:val="21"/>
              </w:rPr>
              <w:t>优化厂区平面布置，优先选用低噪声设备，高噪声设备采取隔声、消声、减振等降噪措施，厂界噪声满足《工业企业厂界环境噪声排放标准》</w:t>
            </w:r>
          </w:p>
          <w:p>
            <w:pPr>
              <w:pStyle w:val="TableParagraph"/>
              <w:spacing w:line="290" w:lineRule="exact"/>
              <w:ind w:left="112"/>
              <w:jc w:val="left"/>
              <w:rPr>
                <w:sz w:val="21"/>
              </w:rPr>
            </w:pPr>
            <w:r>
              <w:rPr>
                <w:rFonts w:ascii="Times New Roman" w:eastAsia="Times New Roman"/>
                <w:sz w:val="21"/>
              </w:rPr>
              <w:t>(GB12348)</w:t>
            </w:r>
            <w:r>
              <w:rPr>
                <w:sz w:val="21"/>
              </w:rPr>
              <w:t>要求。</w:t>
            </w:r>
          </w:p>
        </w:tc>
        <w:tc>
          <w:tcPr>
            <w:tcW w:w="6102" w:type="dxa"/>
            <w:tcBorders>
              <w:top w:val="single" w:sz="6" w:space="0" w:color="000000"/>
              <w:left w:val="single" w:sz="6" w:space="0" w:color="000000"/>
              <w:right w:val="single" w:sz="6" w:space="0" w:color="000000"/>
            </w:tcBorders>
          </w:tcPr>
          <w:p>
            <w:pPr>
              <w:pStyle w:val="TableParagraph"/>
              <w:spacing w:before="3"/>
              <w:jc w:val="left"/>
              <w:rPr>
                <w:rFonts w:ascii="Times New Roman"/>
                <w:sz w:val="21"/>
              </w:rPr>
            </w:pPr>
          </w:p>
          <w:p>
            <w:pPr>
              <w:pStyle w:val="TableParagraph"/>
              <w:spacing w:line="168" w:lineRule="auto" w:before="1"/>
              <w:ind w:left="64" w:right="29"/>
              <w:jc w:val="left"/>
              <w:rPr>
                <w:sz w:val="21"/>
              </w:rPr>
            </w:pPr>
            <w:r>
              <w:rPr>
                <w:spacing w:val="-11"/>
                <w:sz w:val="21"/>
              </w:rPr>
              <w:t>项目选用低噪声设备，厂界噪声满足《工业企业厂界环境噪声排放标准》</w:t>
            </w:r>
            <w:r>
              <w:rPr>
                <w:rFonts w:ascii="Times New Roman" w:eastAsia="Times New Roman"/>
                <w:spacing w:val="-11"/>
                <w:sz w:val="21"/>
              </w:rPr>
              <w:t>(GB12348)</w:t>
            </w:r>
            <w:r>
              <w:rPr>
                <w:spacing w:val="-2"/>
                <w:sz w:val="21"/>
              </w:rPr>
              <w:t>要求。</w:t>
            </w:r>
          </w:p>
        </w:tc>
        <w:tc>
          <w:tcPr>
            <w:tcW w:w="1153" w:type="dxa"/>
            <w:tcBorders>
              <w:top w:val="single" w:sz="6" w:space="0" w:color="000000"/>
              <w:left w:val="single" w:sz="6" w:space="0" w:color="000000"/>
            </w:tcBorders>
          </w:tcPr>
          <w:p>
            <w:pPr>
              <w:pStyle w:val="TableParagraph"/>
              <w:spacing w:before="6"/>
              <w:jc w:val="left"/>
              <w:rPr>
                <w:rFonts w:ascii="Times New Roman"/>
                <w:sz w:val="26"/>
              </w:rPr>
            </w:pPr>
          </w:p>
          <w:p>
            <w:pPr>
              <w:pStyle w:val="TableParagraph"/>
              <w:ind w:left="371"/>
              <w:jc w:val="left"/>
              <w:rPr>
                <w:sz w:val="21"/>
              </w:rPr>
            </w:pPr>
            <w:r>
              <w:rPr>
                <w:sz w:val="21"/>
              </w:rPr>
              <w:t>符合</w:t>
            </w:r>
          </w:p>
        </w:tc>
      </w:tr>
    </w:tbl>
    <w:p>
      <w:pPr>
        <w:spacing w:after="0"/>
        <w:jc w:val="left"/>
        <w:rPr>
          <w:sz w:val="21"/>
        </w:rPr>
        <w:sectPr>
          <w:pgSz w:w="16840" w:h="11910" w:orient="landscape"/>
          <w:pgMar w:header="877" w:footer="973" w:top="1180" w:bottom="1160" w:left="880" w:right="860"/>
        </w:sectPr>
      </w:pPr>
    </w:p>
    <w:p>
      <w:pPr>
        <w:pStyle w:val="BodyText"/>
        <w:spacing w:before="6"/>
        <w:rPr>
          <w:rFonts w:ascii="Times New Roman"/>
          <w:sz w:val="22"/>
        </w:rPr>
      </w:pPr>
    </w:p>
    <w:tbl>
      <w:tblPr>
        <w:tblW w:w="0" w:type="auto"/>
        <w:jc w:val="left"/>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1"/>
        <w:gridCol w:w="6942"/>
        <w:gridCol w:w="6102"/>
        <w:gridCol w:w="1153"/>
      </w:tblGrid>
      <w:tr>
        <w:trPr>
          <w:trHeight w:val="2162" w:hRule="atLeast"/>
        </w:trPr>
        <w:tc>
          <w:tcPr>
            <w:tcW w:w="651" w:type="dxa"/>
            <w:tcBorders>
              <w:bottom w:val="single" w:sz="6"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3"/>
              <w:jc w:val="left"/>
              <w:rPr>
                <w:rFonts w:ascii="Times New Roman"/>
                <w:sz w:val="17"/>
              </w:rPr>
            </w:pPr>
          </w:p>
          <w:p>
            <w:pPr>
              <w:pStyle w:val="TableParagraph"/>
              <w:ind w:left="86" w:right="70"/>
              <w:rPr>
                <w:rFonts w:ascii="Times New Roman"/>
                <w:sz w:val="21"/>
              </w:rPr>
            </w:pPr>
            <w:r>
              <w:rPr>
                <w:rFonts w:ascii="Times New Roman"/>
                <w:sz w:val="21"/>
              </w:rPr>
              <w:t>11</w:t>
            </w:r>
          </w:p>
        </w:tc>
        <w:tc>
          <w:tcPr>
            <w:tcW w:w="6942" w:type="dxa"/>
            <w:tcBorders>
              <w:left w:val="single" w:sz="8" w:space="0" w:color="000000"/>
              <w:bottom w:val="single" w:sz="6" w:space="0" w:color="000000"/>
              <w:right w:val="single" w:sz="6" w:space="0" w:color="000000"/>
            </w:tcBorders>
          </w:tcPr>
          <w:p>
            <w:pPr>
              <w:pStyle w:val="TableParagraph"/>
              <w:spacing w:line="194" w:lineRule="auto" w:before="50"/>
              <w:ind w:left="112" w:right="84"/>
              <w:jc w:val="both"/>
              <w:rPr>
                <w:sz w:val="21"/>
              </w:rPr>
            </w:pPr>
            <w:r>
              <w:rPr>
                <w:sz w:val="21"/>
              </w:rPr>
              <w:t>重大环境风险源合理布局，提出了合理有效的环境风险防范措施。车间、罐区、库房等区域因地制宜地设置容积合理的事故池，确保事故废水有效收集和妥善处理。提出了突发环境事件应急预案编制要求，制定有效的环境风险管理制度，合理配置环境风险防控及应对处置能力，与当地人民政府和相关部门以及周边企业、园区相衔接，建立区域突发环境事件应急联</w:t>
            </w:r>
          </w:p>
          <w:p>
            <w:pPr>
              <w:pStyle w:val="TableParagraph"/>
              <w:spacing w:line="289" w:lineRule="exact"/>
              <w:ind w:left="112"/>
              <w:jc w:val="both"/>
              <w:rPr>
                <w:sz w:val="21"/>
              </w:rPr>
            </w:pPr>
            <w:r>
              <w:rPr>
                <w:sz w:val="21"/>
              </w:rPr>
              <w:t>动机制。</w:t>
            </w:r>
          </w:p>
        </w:tc>
        <w:tc>
          <w:tcPr>
            <w:tcW w:w="6102" w:type="dxa"/>
            <w:tcBorders>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55"/>
              <w:ind w:left="64"/>
              <w:jc w:val="left"/>
              <w:rPr>
                <w:sz w:val="21"/>
              </w:rPr>
            </w:pPr>
            <w:r>
              <w:rPr>
                <w:sz w:val="21"/>
              </w:rPr>
              <w:t>厂区已制定突发环境应急预案，制定环境风险管理制度。</w:t>
            </w:r>
          </w:p>
        </w:tc>
        <w:tc>
          <w:tcPr>
            <w:tcW w:w="1153" w:type="dxa"/>
            <w:tcBorders>
              <w:left w:val="single" w:sz="6"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55"/>
              <w:ind w:left="371"/>
              <w:jc w:val="left"/>
              <w:rPr>
                <w:sz w:val="21"/>
              </w:rPr>
            </w:pPr>
            <w:r>
              <w:rPr>
                <w:sz w:val="21"/>
              </w:rPr>
              <w:t>符合</w:t>
            </w:r>
          </w:p>
        </w:tc>
      </w:tr>
      <w:tr>
        <w:trPr>
          <w:trHeight w:val="719" w:hRule="atLeast"/>
        </w:trPr>
        <w:tc>
          <w:tcPr>
            <w:tcW w:w="651" w:type="dxa"/>
            <w:tcBorders>
              <w:top w:val="single" w:sz="6" w:space="0" w:color="000000"/>
              <w:bottom w:val="single" w:sz="6" w:space="0" w:color="000000"/>
              <w:right w:val="single" w:sz="8" w:space="0" w:color="000000"/>
            </w:tcBorders>
          </w:tcPr>
          <w:p>
            <w:pPr>
              <w:pStyle w:val="TableParagraph"/>
              <w:spacing w:before="8"/>
              <w:jc w:val="left"/>
              <w:rPr>
                <w:rFonts w:ascii="Times New Roman"/>
                <w:sz w:val="20"/>
              </w:rPr>
            </w:pPr>
          </w:p>
          <w:p>
            <w:pPr>
              <w:pStyle w:val="TableParagraph"/>
              <w:ind w:left="90" w:right="70"/>
              <w:rPr>
                <w:rFonts w:ascii="Times New Roman"/>
                <w:sz w:val="21"/>
              </w:rPr>
            </w:pPr>
            <w:r>
              <w:rPr>
                <w:rFonts w:ascii="Times New Roman"/>
                <w:sz w:val="21"/>
              </w:rPr>
              <w:t>12</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360" w:lineRule="exact" w:before="11"/>
              <w:ind w:left="112" w:right="84"/>
              <w:jc w:val="left"/>
              <w:rPr>
                <w:sz w:val="21"/>
              </w:rPr>
            </w:pPr>
            <w:r>
              <w:rPr>
                <w:sz w:val="21"/>
              </w:rPr>
              <w:t>对生物生化制品类企业，废水、废气及固体废物的处置应考虑生物安全性因素。</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63"/>
              <w:ind w:left="64" w:right="29"/>
              <w:jc w:val="left"/>
              <w:rPr>
                <w:sz w:val="21"/>
              </w:rPr>
            </w:pPr>
            <w:r>
              <w:rPr>
                <w:spacing w:val="-12"/>
                <w:sz w:val="21"/>
              </w:rPr>
              <w:t>对生物生化制品类企业，废水、废气及固体废物的处置考虑生物安</w:t>
            </w:r>
            <w:r>
              <w:rPr>
                <w:spacing w:val="-6"/>
                <w:sz w:val="21"/>
              </w:rPr>
              <w:t>全性因素。</w:t>
            </w:r>
          </w:p>
        </w:tc>
        <w:tc>
          <w:tcPr>
            <w:tcW w:w="1153" w:type="dxa"/>
            <w:tcBorders>
              <w:top w:val="single" w:sz="6" w:space="0" w:color="000000"/>
              <w:left w:val="single" w:sz="6" w:space="0" w:color="000000"/>
              <w:bottom w:val="single" w:sz="6" w:space="0" w:color="000000"/>
            </w:tcBorders>
          </w:tcPr>
          <w:p>
            <w:pPr>
              <w:pStyle w:val="TableParagraph"/>
              <w:spacing w:before="125"/>
              <w:ind w:left="371"/>
              <w:jc w:val="left"/>
              <w:rPr>
                <w:sz w:val="21"/>
              </w:rPr>
            </w:pPr>
            <w:r>
              <w:rPr>
                <w:sz w:val="21"/>
              </w:rPr>
              <w:t>符合</w:t>
            </w:r>
          </w:p>
        </w:tc>
      </w:tr>
      <w:tr>
        <w:trPr>
          <w:trHeight w:val="2147" w:hRule="atLeast"/>
        </w:trPr>
        <w:tc>
          <w:tcPr>
            <w:tcW w:w="651" w:type="dxa"/>
            <w:tcBorders>
              <w:top w:val="single" w:sz="6" w:space="0" w:color="000000"/>
              <w:bottom w:val="single" w:sz="6"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87"/>
              <w:ind w:left="90" w:right="70"/>
              <w:rPr>
                <w:rFonts w:ascii="Times New Roman"/>
                <w:sz w:val="21"/>
              </w:rPr>
            </w:pPr>
            <w:r>
              <w:rPr>
                <w:rFonts w:ascii="Times New Roman"/>
                <w:sz w:val="21"/>
              </w:rPr>
              <w:t>13</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194" w:lineRule="auto" w:before="36"/>
              <w:ind w:left="112" w:right="84"/>
              <w:jc w:val="left"/>
              <w:rPr>
                <w:sz w:val="21"/>
              </w:rPr>
            </w:pPr>
            <w:r>
              <w:rPr>
                <w:sz w:val="21"/>
              </w:rPr>
              <w:t>关注特征污染物的累积环境影响。环境质量现状满足环境功能区要求的区域，项目实施后环境质量仍满足功能区要求。</w:t>
            </w:r>
          </w:p>
          <w:p>
            <w:pPr>
              <w:pStyle w:val="TableParagraph"/>
              <w:spacing w:line="194" w:lineRule="auto"/>
              <w:ind w:left="112" w:right="84"/>
              <w:jc w:val="left"/>
              <w:rPr>
                <w:sz w:val="21"/>
              </w:rPr>
            </w:pPr>
            <w:r>
              <w:rPr>
                <w:sz w:val="21"/>
              </w:rPr>
              <w:t>环境质量现状不能满足环境功能区要求的区域，进一步强化项目污染防治措施，提出有效的区域污染物削减措施，改善区域环境质量。</w:t>
            </w:r>
          </w:p>
          <w:p>
            <w:pPr>
              <w:pStyle w:val="TableParagraph"/>
              <w:spacing w:line="343" w:lineRule="exact"/>
              <w:ind w:left="112"/>
              <w:jc w:val="left"/>
              <w:rPr>
                <w:sz w:val="21"/>
              </w:rPr>
            </w:pPr>
            <w:r>
              <w:rPr>
                <w:sz w:val="21"/>
              </w:rPr>
              <w:t>合理设置环境防护距离，环境防护距离内不得设置居民区、学校、医院等</w:t>
            </w:r>
          </w:p>
          <w:p>
            <w:pPr>
              <w:pStyle w:val="TableParagraph"/>
              <w:spacing w:line="308" w:lineRule="exact"/>
              <w:ind w:left="112"/>
              <w:jc w:val="left"/>
              <w:rPr>
                <w:sz w:val="21"/>
              </w:rPr>
            </w:pPr>
            <w:r>
              <w:rPr>
                <w:sz w:val="21"/>
              </w:rPr>
              <w:t>环境敏感目标。</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4"/>
              <w:ind w:left="64"/>
              <w:jc w:val="left"/>
              <w:rPr>
                <w:sz w:val="21"/>
              </w:rPr>
            </w:pPr>
            <w:r>
              <w:rPr>
                <w:sz w:val="21"/>
              </w:rPr>
              <w:t>项目污染物采取污染防治措施后，满足相关排放标准后外排。</w:t>
            </w:r>
          </w:p>
        </w:tc>
        <w:tc>
          <w:tcPr>
            <w:tcW w:w="1153"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4"/>
              <w:ind w:left="371"/>
              <w:jc w:val="left"/>
              <w:rPr>
                <w:sz w:val="21"/>
              </w:rPr>
            </w:pPr>
            <w:r>
              <w:rPr>
                <w:sz w:val="21"/>
              </w:rPr>
              <w:t>符合</w:t>
            </w:r>
          </w:p>
        </w:tc>
      </w:tr>
      <w:tr>
        <w:trPr>
          <w:trHeight w:val="1799" w:hRule="atLeast"/>
        </w:trPr>
        <w:tc>
          <w:tcPr>
            <w:tcW w:w="651" w:type="dxa"/>
            <w:tcBorders>
              <w:top w:val="single" w:sz="6" w:space="0" w:color="000000"/>
              <w:bottom w:val="single" w:sz="6"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7"/>
              <w:jc w:val="left"/>
              <w:rPr>
                <w:rFonts w:ascii="Times New Roman"/>
                <w:sz w:val="23"/>
              </w:rPr>
            </w:pPr>
          </w:p>
          <w:p>
            <w:pPr>
              <w:pStyle w:val="TableParagraph"/>
              <w:ind w:left="90" w:right="70"/>
              <w:rPr>
                <w:rFonts w:ascii="Times New Roman"/>
                <w:sz w:val="21"/>
              </w:rPr>
            </w:pPr>
            <w:r>
              <w:rPr>
                <w:rFonts w:ascii="Times New Roman"/>
                <w:sz w:val="21"/>
              </w:rPr>
              <w:t>14</w:t>
            </w:r>
          </w:p>
        </w:tc>
        <w:tc>
          <w:tcPr>
            <w:tcW w:w="6942" w:type="dxa"/>
            <w:tcBorders>
              <w:top w:val="single" w:sz="6" w:space="0" w:color="000000"/>
              <w:left w:val="single" w:sz="8" w:space="0" w:color="000000"/>
              <w:bottom w:val="single" w:sz="6" w:space="0" w:color="000000"/>
              <w:right w:val="single" w:sz="6" w:space="0" w:color="000000"/>
            </w:tcBorders>
          </w:tcPr>
          <w:p>
            <w:pPr>
              <w:pStyle w:val="TableParagraph"/>
              <w:spacing w:line="360" w:lineRule="exact" w:before="11"/>
              <w:ind w:left="112" w:right="84"/>
              <w:jc w:val="both"/>
              <w:rPr>
                <w:sz w:val="21"/>
              </w:rPr>
            </w:pPr>
            <w:r>
              <w:rPr>
                <w:sz w:val="21"/>
              </w:rPr>
              <w:t>提出了项目实施后的环境管理要求，制定施工期和运营期污染物排放状况及其对周边环境质量的自行监测计划，明确网点布设、监测因子、监测频次和信息公开等要求。按照环境监测管理规定和技术规范要求设置永久采样口、采样测试平台，按规范设置污染物排放口、固体废物贮存（处置） 场，安装污染物排放连续自动监控设备并与环保部门联网。</w:t>
            </w:r>
          </w:p>
        </w:tc>
        <w:tc>
          <w:tcPr>
            <w:tcW w:w="610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line="168" w:lineRule="auto" w:before="143"/>
              <w:ind w:left="64" w:right="135"/>
              <w:jc w:val="left"/>
              <w:rPr>
                <w:sz w:val="21"/>
              </w:rPr>
            </w:pPr>
            <w:r>
              <w:rPr>
                <w:sz w:val="21"/>
              </w:rPr>
              <w:t>制定自行监测计划，按照环境监测管理规定和技术规范设置采样孔、采样平台。</w:t>
            </w:r>
          </w:p>
        </w:tc>
        <w:tc>
          <w:tcPr>
            <w:tcW w:w="1153"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10"/>
              <w:jc w:val="left"/>
              <w:rPr>
                <w:rFonts w:ascii="Times New Roman"/>
                <w:sz w:val="17"/>
              </w:rPr>
            </w:pPr>
          </w:p>
          <w:p>
            <w:pPr>
              <w:pStyle w:val="TableParagraph"/>
              <w:ind w:left="371"/>
              <w:jc w:val="left"/>
              <w:rPr>
                <w:sz w:val="21"/>
              </w:rPr>
            </w:pPr>
            <w:r>
              <w:rPr>
                <w:sz w:val="21"/>
              </w:rPr>
              <w:t>符合</w:t>
            </w:r>
          </w:p>
        </w:tc>
      </w:tr>
      <w:tr>
        <w:trPr>
          <w:trHeight w:val="350" w:hRule="atLeast"/>
        </w:trPr>
        <w:tc>
          <w:tcPr>
            <w:tcW w:w="651" w:type="dxa"/>
            <w:tcBorders>
              <w:top w:val="single" w:sz="6" w:space="0" w:color="000000"/>
              <w:right w:val="single" w:sz="8" w:space="0" w:color="000000"/>
            </w:tcBorders>
          </w:tcPr>
          <w:p>
            <w:pPr>
              <w:pStyle w:val="TableParagraph"/>
              <w:spacing w:before="47"/>
              <w:ind w:left="90" w:right="70"/>
              <w:rPr>
                <w:rFonts w:ascii="Times New Roman"/>
                <w:sz w:val="21"/>
              </w:rPr>
            </w:pPr>
            <w:r>
              <w:rPr>
                <w:rFonts w:ascii="Times New Roman"/>
                <w:sz w:val="21"/>
              </w:rPr>
              <w:t>15</w:t>
            </w:r>
          </w:p>
        </w:tc>
        <w:tc>
          <w:tcPr>
            <w:tcW w:w="6942" w:type="dxa"/>
            <w:tcBorders>
              <w:top w:val="single" w:sz="6" w:space="0" w:color="000000"/>
              <w:left w:val="single" w:sz="8" w:space="0" w:color="000000"/>
              <w:right w:val="single" w:sz="6" w:space="0" w:color="000000"/>
            </w:tcBorders>
          </w:tcPr>
          <w:p>
            <w:pPr>
              <w:pStyle w:val="TableParagraph"/>
              <w:spacing w:line="330" w:lineRule="exact"/>
              <w:ind w:left="112"/>
              <w:jc w:val="left"/>
              <w:rPr>
                <w:sz w:val="21"/>
              </w:rPr>
            </w:pPr>
            <w:r>
              <w:rPr>
                <w:sz w:val="21"/>
              </w:rPr>
              <w:t>按相关规定开展了信息公开和公众参与。</w:t>
            </w:r>
          </w:p>
        </w:tc>
        <w:tc>
          <w:tcPr>
            <w:tcW w:w="6102" w:type="dxa"/>
            <w:tcBorders>
              <w:top w:val="single" w:sz="6" w:space="0" w:color="000000"/>
              <w:left w:val="single" w:sz="6" w:space="0" w:color="000000"/>
              <w:right w:val="single" w:sz="6" w:space="0" w:color="000000"/>
            </w:tcBorders>
          </w:tcPr>
          <w:p>
            <w:pPr>
              <w:pStyle w:val="TableParagraph"/>
              <w:spacing w:line="330" w:lineRule="exact"/>
              <w:ind w:left="64"/>
              <w:jc w:val="left"/>
              <w:rPr>
                <w:sz w:val="21"/>
              </w:rPr>
            </w:pPr>
            <w:r>
              <w:rPr>
                <w:sz w:val="21"/>
              </w:rPr>
              <w:t>按相关规定开展信息公开和公众参与</w:t>
            </w:r>
          </w:p>
        </w:tc>
        <w:tc>
          <w:tcPr>
            <w:tcW w:w="1153" w:type="dxa"/>
            <w:tcBorders>
              <w:top w:val="single" w:sz="6" w:space="0" w:color="000000"/>
              <w:left w:val="single" w:sz="6" w:space="0" w:color="000000"/>
            </w:tcBorders>
          </w:tcPr>
          <w:p>
            <w:pPr>
              <w:pStyle w:val="TableParagraph"/>
              <w:spacing w:line="330" w:lineRule="exact"/>
              <w:ind w:left="371"/>
              <w:jc w:val="left"/>
              <w:rPr>
                <w:sz w:val="21"/>
              </w:rPr>
            </w:pPr>
            <w:r>
              <w:rPr>
                <w:sz w:val="21"/>
              </w:rPr>
              <w:t>符合</w:t>
            </w:r>
          </w:p>
        </w:tc>
      </w:tr>
    </w:tbl>
    <w:p>
      <w:pPr>
        <w:spacing w:after="0" w:line="330" w:lineRule="exact"/>
        <w:jc w:val="left"/>
        <w:rPr>
          <w:sz w:val="21"/>
        </w:rPr>
        <w:sectPr>
          <w:pgSz w:w="16840" w:h="11910" w:orient="landscape"/>
          <w:pgMar w:header="877" w:footer="973" w:top="1180" w:bottom="1160" w:left="880" w:right="860"/>
        </w:sectPr>
      </w:pPr>
    </w:p>
    <w:p>
      <w:pPr>
        <w:pStyle w:val="BodyText"/>
        <w:spacing w:line="483" w:lineRule="exact"/>
        <w:ind w:left="720"/>
      </w:pPr>
      <w:r>
        <w:rPr>
          <w:rFonts w:ascii="Times New Roman" w:hAnsi="Times New Roman" w:eastAsia="Times New Roman"/>
          <w:w w:val="110"/>
        </w:rPr>
        <w:t>4</w:t>
      </w:r>
      <w:r>
        <w:rPr>
          <w:w w:val="110"/>
        </w:rPr>
        <w:t>、与“气十条”“水十条”“土十条”现行管理要求的符合性分析</w:t>
      </w:r>
    </w:p>
    <w:p>
      <w:pPr>
        <w:pStyle w:val="BodyText"/>
        <w:spacing w:before="38"/>
        <w:ind w:left="720"/>
      </w:pPr>
      <w:r>
        <w:rPr>
          <w:w w:val="111"/>
        </w:rPr>
        <w:t>与“气十条</w:t>
      </w:r>
      <w:r>
        <w:rPr>
          <w:spacing w:val="-120"/>
          <w:w w:val="210"/>
        </w:rPr>
        <w:t>”</w:t>
      </w:r>
      <w:r>
        <w:rPr>
          <w:w w:val="115"/>
        </w:rPr>
        <w:t>“水十条</w:t>
      </w:r>
      <w:r>
        <w:rPr>
          <w:spacing w:val="-120"/>
          <w:w w:val="210"/>
        </w:rPr>
        <w:t>”</w:t>
      </w:r>
      <w:r>
        <w:rPr>
          <w:w w:val="108"/>
        </w:rPr>
        <w:t>“土十条”现行管理要求的符合</w:t>
      </w:r>
      <w:r>
        <w:rPr>
          <w:spacing w:val="1"/>
        </w:rPr>
        <w:t>性分析见表 </w:t>
      </w:r>
      <w:r>
        <w:rPr>
          <w:rFonts w:ascii="Times New Roman" w:hAnsi="Times New Roman" w:eastAsia="Times New Roman"/>
          <w:spacing w:val="-10"/>
        </w:rPr>
        <w:t>1</w:t>
      </w:r>
      <w:r>
        <w:rPr>
          <w:rFonts w:ascii="Times New Roman" w:hAnsi="Times New Roman" w:eastAsia="Times New Roman"/>
        </w:rPr>
        <w:t>1.1</w:t>
      </w:r>
      <w:r>
        <w:rPr>
          <w:rFonts w:ascii="Times New Roman" w:hAnsi="Times New Roman" w:eastAsia="Times New Roman"/>
          <w:spacing w:val="-1"/>
        </w:rPr>
        <w:t>-</w:t>
      </w:r>
      <w:r>
        <w:rPr>
          <w:rFonts w:ascii="Times New Roman" w:hAnsi="Times New Roman" w:eastAsia="Times New Roman"/>
        </w:rPr>
        <w:t>4</w:t>
      </w:r>
      <w:r>
        <w:rPr/>
        <w:t>。</w:t>
      </w:r>
    </w:p>
    <w:p>
      <w:pPr>
        <w:tabs>
          <w:tab w:pos="1944" w:val="left" w:leader="none"/>
        </w:tabs>
        <w:spacing w:line="440" w:lineRule="exact" w:before="71"/>
        <w:ind w:left="938" w:right="0" w:firstLine="0"/>
        <w:jc w:val="left"/>
        <w:rPr>
          <w:sz w:val="21"/>
        </w:rPr>
      </w:pPr>
      <w:r>
        <w:rPr/>
        <w:pict>
          <v:group style="position:absolute;margin-left:87.863998pt;margin-top:27.010008pt;width:419.75pt;height:602.4pt;mso-position-horizontal-relative:page;mso-position-vertical-relative:paragraph;z-index:-1113088" coordorigin="1757,540" coordsize="8395,12048">
            <v:shape style="position:absolute;left:1757;top:540;width:29;height:32" coordorigin="1757,540" coordsize="29,32" path="m1786,540l1757,540,1757,569,1757,571,1786,571,1786,569,1786,540e" filled="true" fillcolor="#000000" stroked="false">
              <v:path arrowok="t"/>
              <v:fill type="solid"/>
            </v:shape>
            <v:line style="position:absolute" from="1786,555" to="3212,555" stroked="true" strokeweight="1.44pt" strokecolor="#000000">
              <v:stroke dashstyle="solid"/>
            </v:line>
            <v:shape style="position:absolute;left:3211;top:540;width:29;height:32" coordorigin="3212,540" coordsize="29,32" path="m3240,540l3212,540,3212,569,3212,571,3226,571,3226,569,3240,569,3240,540e" filled="true" fillcolor="#000000" stroked="false">
              <v:path arrowok="t"/>
              <v:fill type="solid"/>
            </v:shape>
            <v:line style="position:absolute" from="3240,555" to="7182,555" stroked="true" strokeweight="1.44pt" strokecolor="#000000">
              <v:stroke dashstyle="solid"/>
            </v:line>
            <v:shape style="position:absolute;left:7182;top:540;width:29;height:32" coordorigin="7182,540" coordsize="29,32" path="m7211,540l7182,540,7182,569,7182,571,7197,571,7197,569,7211,569,7211,540e" filled="true" fillcolor="#000000" stroked="false">
              <v:path arrowok="t"/>
              <v:fill type="solid"/>
            </v:shape>
            <v:line style="position:absolute" from="7211,555" to="9307,555" stroked="true" strokeweight="1.44pt" strokecolor="#000000">
              <v:stroke dashstyle="solid"/>
            </v:line>
            <v:shape style="position:absolute;left:9306;top:540;width:29;height:32" coordorigin="9307,540" coordsize="29,32" path="m9336,540l9307,540,9307,569,9307,571,9321,571,9321,569,9336,569,9336,540e" filled="true" fillcolor="#000000" stroked="false">
              <v:path arrowok="t"/>
              <v:fill type="solid"/>
            </v:shape>
            <v:line style="position:absolute" from="9336,555" to="10123,555" stroked="true" strokeweight="1.44pt" strokecolor="#000000">
              <v:stroke dashstyle="solid"/>
            </v:line>
            <v:shape style="position:absolute;left:10122;top:540;width:29;height:32" coordorigin="10123,540" coordsize="29,32" path="m10152,540l10123,540,10123,569,10123,571,10152,571,10152,569,10152,540e" filled="true" fillcolor="#000000" stroked="false">
              <v:path arrowok="t"/>
              <v:fill type="solid"/>
            </v:shape>
            <v:line style="position:absolute" from="1786,917" to="3212,917" stroked="true" strokeweight=".72pt" strokecolor="#000000">
              <v:stroke dashstyle="solid"/>
            </v:line>
            <v:line style="position:absolute" from="3226,917" to="7182,917" stroked="true" strokeweight=".72pt" strokecolor="#000000">
              <v:stroke dashstyle="solid"/>
            </v:line>
            <v:line style="position:absolute" from="7197,917" to="9307,917" stroked="true" strokeweight=".72pt" strokecolor="#000000">
              <v:stroke dashstyle="solid"/>
            </v:line>
            <v:line style="position:absolute" from="9321,917" to="10123,917" stroked="true" strokeweight=".72pt" strokecolor="#000000">
              <v:stroke dashstyle="solid"/>
            </v:line>
            <v:line style="position:absolute" from="1786,6268" to="3212,6268" stroked="true" strokeweight=".72pt" strokecolor="#000000">
              <v:stroke dashstyle="solid"/>
            </v:line>
            <v:line style="position:absolute" from="3226,6268" to="7182,6268" stroked="true" strokeweight=".72pt" strokecolor="#000000">
              <v:stroke dashstyle="solid"/>
            </v:line>
            <v:line style="position:absolute" from="7197,6268" to="9307,6268" stroked="true" strokeweight=".72pt" strokecolor="#000000">
              <v:stroke dashstyle="solid"/>
            </v:line>
            <v:line style="position:absolute" from="9321,6268" to="10123,6268" stroked="true" strokeweight=".72pt" strokecolor="#000000">
              <v:stroke dashstyle="solid"/>
            </v:line>
            <v:line style="position:absolute" from="1772,571" to="1772,12588" stroked="true" strokeweight="1.44pt" strokecolor="#000000">
              <v:stroke dashstyle="solid"/>
            </v:line>
            <v:line style="position:absolute" from="1786,12573" to="3212,12573" stroked="true" strokeweight="1.44pt" strokecolor="#000000">
              <v:stroke dashstyle="solid"/>
            </v:line>
            <v:line style="position:absolute" from="3226,3428" to="7182,3428" stroked="true" strokeweight=".72pt" strokecolor="#000000">
              <v:stroke dashstyle="solid"/>
            </v:line>
            <v:line style="position:absolute" from="7197,3428" to="9307,3428" stroked="true" strokeweight=".72pt" strokecolor="#000000">
              <v:stroke dashstyle="solid"/>
            </v:line>
            <v:line style="position:absolute" from="9321,3428" to="10123,3428" stroked="true" strokeweight=".72pt" strokecolor="#000000">
              <v:stroke dashstyle="solid"/>
            </v:line>
            <v:line style="position:absolute" from="3226,5005" to="7182,5005" stroked="true" strokeweight=".72pt" strokecolor="#000000">
              <v:stroke dashstyle="solid"/>
            </v:line>
            <v:line style="position:absolute" from="7197,5005" to="9307,5005" stroked="true" strokeweight=".72pt" strokecolor="#000000">
              <v:stroke dashstyle="solid"/>
            </v:line>
            <v:line style="position:absolute" from="9321,5005" to="10123,5005" stroked="true" strokeweight=".72pt" strokecolor="#000000">
              <v:stroke dashstyle="solid"/>
            </v:line>
            <v:line style="position:absolute" from="3226,8154" to="7182,8154" stroked="true" strokeweight=".72003pt" strokecolor="#000000">
              <v:stroke dashstyle="solid"/>
            </v:line>
            <v:line style="position:absolute" from="7197,8154" to="9307,8154" stroked="true" strokeweight=".72003pt" strokecolor="#000000">
              <v:stroke dashstyle="solid"/>
            </v:line>
            <v:line style="position:absolute" from="9321,8154" to="10123,8154" stroked="true" strokeweight=".72003pt" strokecolor="#000000">
              <v:stroke dashstyle="solid"/>
            </v:line>
            <v:line style="position:absolute" from="3226,9729" to="7182,9729" stroked="true" strokeweight=".71997pt" strokecolor="#000000">
              <v:stroke dashstyle="solid"/>
            </v:line>
            <v:line style="position:absolute" from="7197,9729" to="9307,9729" stroked="true" strokeweight=".71997pt" strokecolor="#000000">
              <v:stroke dashstyle="solid"/>
            </v:line>
            <v:line style="position:absolute" from="9321,9729" to="10123,9729" stroked="true" strokeweight=".71997pt" strokecolor="#000000">
              <v:stroke dashstyle="solid"/>
            </v:line>
            <v:line style="position:absolute" from="3226,11306" to="7182,11306" stroked="true" strokeweight=".71997pt" strokecolor="#000000">
              <v:stroke dashstyle="solid"/>
            </v:line>
            <v:line style="position:absolute" from="7197,11306" to="9307,11306" stroked="true" strokeweight=".71997pt" strokecolor="#000000">
              <v:stroke dashstyle="solid"/>
            </v:line>
            <v:line style="position:absolute" from="9321,11306" to="10123,11306" stroked="true" strokeweight=".71997pt" strokecolor="#000000">
              <v:stroke dashstyle="solid"/>
            </v:line>
            <v:line style="position:absolute" from="3219,571" to="3219,12559" stroked="true" strokeweight=".72pt" strokecolor="#000000">
              <v:stroke dashstyle="solid"/>
            </v:line>
            <v:rect style="position:absolute;left:3211;top:12559;width:29;height:29" filled="true" fillcolor="#000000" stroked="false">
              <v:fill type="solid"/>
            </v:rect>
            <v:line style="position:absolute" from="3240,12573" to="7182,12573" stroked="true" strokeweight="1.44pt" strokecolor="#000000">
              <v:stroke dashstyle="solid"/>
            </v:line>
            <v:line style="position:absolute" from="7189,571" to="7189,12559" stroked="true" strokeweight=".72pt" strokecolor="#000000">
              <v:stroke dashstyle="solid"/>
            </v:line>
            <v:rect style="position:absolute;left:7182;top:12559;width:29;height:29" filled="true" fillcolor="#000000" stroked="false">
              <v:fill type="solid"/>
            </v:rect>
            <v:line style="position:absolute" from="7211,12573" to="9307,12573" stroked="true" strokeweight="1.44pt" strokecolor="#000000">
              <v:stroke dashstyle="solid"/>
            </v:line>
            <v:line style="position:absolute" from="9314,571" to="9314,12559" stroked="true" strokeweight=".72pt" strokecolor="#000000">
              <v:stroke dashstyle="solid"/>
            </v:line>
            <v:rect style="position:absolute;left:9306;top:12559;width:29;height:29" filled="true" fillcolor="#000000" stroked="false">
              <v:fill type="solid"/>
            </v:rect>
            <v:line style="position:absolute" from="9336,12573" to="10123,12573" stroked="true" strokeweight="1.44pt" strokecolor="#000000">
              <v:stroke dashstyle="solid"/>
            </v:line>
            <v:line style="position:absolute" from="10137,571" to="10137,12588" stroked="true" strokeweight="1.44pt" strokecolor="#000000">
              <v:stroke dashstyle="solid"/>
            </v:line>
            <w10:wrap type="none"/>
          </v:group>
        </w:pict>
      </w:r>
      <w:r>
        <w:rPr>
          <w:w w:val="100"/>
          <w:sz w:val="21"/>
        </w:rPr>
        <w:t>表</w:t>
      </w:r>
      <w:r>
        <w:rPr>
          <w:spacing w:val="8"/>
          <w:sz w:val="21"/>
        </w:rPr>
        <w:t> </w:t>
      </w:r>
      <w:r>
        <w:rPr>
          <w:rFonts w:ascii="Times New Roman" w:hAnsi="Times New Roman" w:eastAsia="Times New Roman"/>
          <w:b/>
          <w:spacing w:val="-15"/>
          <w:w w:val="100"/>
          <w:sz w:val="21"/>
        </w:rPr>
        <w:t>1</w:t>
      </w:r>
      <w:r>
        <w:rPr>
          <w:rFonts w:ascii="Times New Roman" w:hAnsi="Times New Roman" w:eastAsia="Times New Roman"/>
          <w:b/>
          <w:w w:val="100"/>
          <w:sz w:val="21"/>
        </w:rPr>
        <w:t>1.1</w:t>
      </w:r>
      <w:r>
        <w:rPr>
          <w:rFonts w:ascii="Times New Roman" w:hAnsi="Times New Roman" w:eastAsia="Times New Roman"/>
          <w:b/>
          <w:spacing w:val="-1"/>
          <w:w w:val="100"/>
          <w:sz w:val="21"/>
        </w:rPr>
        <w:t>-</w:t>
      </w:r>
      <w:r>
        <w:rPr>
          <w:rFonts w:ascii="Times New Roman" w:hAnsi="Times New Roman" w:eastAsia="Times New Roman"/>
          <w:b/>
          <w:w w:val="100"/>
          <w:sz w:val="21"/>
        </w:rPr>
        <w:t>4</w:t>
      </w:r>
      <w:r>
        <w:rPr>
          <w:rFonts w:ascii="Times New Roman" w:hAnsi="Times New Roman" w:eastAsia="Times New Roman"/>
          <w:b/>
          <w:sz w:val="21"/>
        </w:rPr>
        <w:tab/>
      </w:r>
      <w:r>
        <w:rPr>
          <w:w w:val="112"/>
          <w:sz w:val="21"/>
        </w:rPr>
        <w:t>与“气十条</w:t>
      </w:r>
      <w:r>
        <w:rPr>
          <w:spacing w:val="-106"/>
          <w:w w:val="211"/>
          <w:sz w:val="21"/>
        </w:rPr>
        <w:t>”</w:t>
      </w:r>
      <w:r>
        <w:rPr>
          <w:spacing w:val="-3"/>
          <w:w w:val="211"/>
          <w:sz w:val="21"/>
        </w:rPr>
        <w:t>“</w:t>
      </w:r>
      <w:r>
        <w:rPr>
          <w:w w:val="100"/>
          <w:sz w:val="21"/>
        </w:rPr>
        <w:t>水十条</w:t>
      </w:r>
      <w:r>
        <w:rPr>
          <w:spacing w:val="-106"/>
          <w:w w:val="211"/>
          <w:sz w:val="21"/>
        </w:rPr>
        <w:t>”</w:t>
      </w:r>
      <w:r>
        <w:rPr>
          <w:w w:val="121"/>
          <w:sz w:val="21"/>
        </w:rPr>
        <w:t>“土十条”</w:t>
      </w:r>
      <w:r>
        <w:rPr>
          <w:spacing w:val="-3"/>
          <w:w w:val="121"/>
          <w:sz w:val="21"/>
        </w:rPr>
        <w:t>现</w:t>
      </w:r>
      <w:r>
        <w:rPr>
          <w:w w:val="100"/>
          <w:sz w:val="21"/>
        </w:rPr>
        <w:t>行</w:t>
      </w:r>
      <w:r>
        <w:rPr>
          <w:spacing w:val="-3"/>
          <w:w w:val="100"/>
          <w:sz w:val="21"/>
        </w:rPr>
        <w:t>管</w:t>
      </w:r>
      <w:r>
        <w:rPr>
          <w:w w:val="100"/>
          <w:sz w:val="21"/>
        </w:rPr>
        <w:t>理要求的符合性分</w:t>
      </w:r>
      <w:r>
        <w:rPr>
          <w:spacing w:val="-2"/>
          <w:w w:val="100"/>
          <w:sz w:val="21"/>
        </w:rPr>
        <w:t>析</w:t>
      </w:r>
      <w:r>
        <w:rPr>
          <w:w w:val="100"/>
          <w:sz w:val="21"/>
        </w:rPr>
        <w:t>表</w:t>
      </w:r>
    </w:p>
    <w:p>
      <w:pPr>
        <w:tabs>
          <w:tab w:pos="3224" w:val="left" w:leader="none"/>
          <w:tab w:pos="6164" w:val="left" w:leader="none"/>
          <w:tab w:pos="7849" w:val="left" w:leader="none"/>
        </w:tabs>
        <w:spacing w:line="184" w:lineRule="auto" w:before="66"/>
        <w:ind w:left="1687" w:right="300" w:hanging="963"/>
        <w:jc w:val="left"/>
        <w:rPr>
          <w:sz w:val="21"/>
        </w:rPr>
      </w:pPr>
      <w:r>
        <w:rPr>
          <w:sz w:val="21"/>
        </w:rPr>
        <w:t>名称</w:t>
        <w:tab/>
        <w:tab/>
        <w:t>政策</w:t>
      </w:r>
      <w:r>
        <w:rPr>
          <w:spacing w:val="-3"/>
          <w:sz w:val="21"/>
        </w:rPr>
        <w:t>要</w:t>
      </w:r>
      <w:r>
        <w:rPr>
          <w:sz w:val="21"/>
        </w:rPr>
        <w:t>求</w:t>
        <w:tab/>
        <w:t>本项</w:t>
      </w:r>
      <w:r>
        <w:rPr>
          <w:spacing w:val="-3"/>
          <w:sz w:val="21"/>
        </w:rPr>
        <w:t>目</w:t>
      </w:r>
      <w:r>
        <w:rPr>
          <w:sz w:val="21"/>
        </w:rPr>
        <w:t>情况</w:t>
        <w:tab/>
        <w:t>符合性加强</w:t>
      </w:r>
      <w:r>
        <w:rPr>
          <w:spacing w:val="-3"/>
          <w:sz w:val="21"/>
        </w:rPr>
        <w:t>工</w:t>
      </w:r>
      <w:r>
        <w:rPr>
          <w:sz w:val="21"/>
        </w:rPr>
        <w:t>业</w:t>
      </w:r>
      <w:r>
        <w:rPr>
          <w:spacing w:val="-3"/>
          <w:sz w:val="21"/>
        </w:rPr>
        <w:t>企</w:t>
      </w:r>
      <w:r>
        <w:rPr>
          <w:sz w:val="21"/>
        </w:rPr>
        <w:t>业</w:t>
      </w:r>
      <w:r>
        <w:rPr>
          <w:spacing w:val="-3"/>
          <w:sz w:val="21"/>
        </w:rPr>
        <w:t>大</w:t>
      </w:r>
      <w:r>
        <w:rPr>
          <w:sz w:val="21"/>
        </w:rPr>
        <w:t>气</w:t>
      </w:r>
      <w:r>
        <w:rPr>
          <w:spacing w:val="-3"/>
          <w:sz w:val="21"/>
        </w:rPr>
        <w:t>污</w:t>
      </w:r>
      <w:r>
        <w:rPr>
          <w:sz w:val="21"/>
        </w:rPr>
        <w:t>染</w:t>
      </w:r>
      <w:r>
        <w:rPr>
          <w:spacing w:val="-3"/>
          <w:sz w:val="21"/>
        </w:rPr>
        <w:t>综</w:t>
      </w:r>
      <w:r>
        <w:rPr>
          <w:sz w:val="21"/>
        </w:rPr>
        <w:t>合治</w:t>
      </w:r>
      <w:r>
        <w:rPr>
          <w:spacing w:val="-3"/>
          <w:sz w:val="21"/>
        </w:rPr>
        <w:t>理</w:t>
      </w:r>
      <w:r>
        <w:rPr>
          <w:spacing w:val="-80"/>
          <w:sz w:val="21"/>
        </w:rPr>
        <w:t>。</w:t>
      </w:r>
      <w:r>
        <w:rPr>
          <w:sz w:val="21"/>
        </w:rPr>
        <w:t>全</w:t>
      </w:r>
      <w:r>
        <w:rPr>
          <w:spacing w:val="-3"/>
          <w:sz w:val="21"/>
        </w:rPr>
        <w:t>面</w:t>
      </w:r>
      <w:r>
        <w:rPr>
          <w:sz w:val="21"/>
        </w:rPr>
        <w:t>整治</w:t>
      </w:r>
    </w:p>
    <w:p>
      <w:pPr>
        <w:spacing w:line="274" w:lineRule="exact" w:before="0"/>
        <w:ind w:left="1687" w:right="0" w:firstLine="0"/>
        <w:jc w:val="left"/>
        <w:rPr>
          <w:sz w:val="21"/>
        </w:rPr>
      </w:pPr>
      <w:r>
        <w:rPr>
          <w:spacing w:val="-12"/>
          <w:w w:val="110"/>
          <w:sz w:val="21"/>
        </w:rPr>
        <w:t>燃煤小锅炉。加快推进集中供热</w:t>
      </w:r>
      <w:r>
        <w:rPr>
          <w:spacing w:val="-200"/>
          <w:w w:val="110"/>
          <w:sz w:val="21"/>
        </w:rPr>
        <w:t>、</w:t>
      </w:r>
      <w:r>
        <w:rPr>
          <w:spacing w:val="-2"/>
          <w:w w:val="125"/>
          <w:sz w:val="21"/>
        </w:rPr>
        <w:t>“煤</w:t>
      </w:r>
      <w:r>
        <w:rPr>
          <w:w w:val="110"/>
          <w:sz w:val="21"/>
        </w:rPr>
        <w:t>改气</w:t>
      </w:r>
      <w:r>
        <w:rPr>
          <w:spacing w:val="-108"/>
          <w:w w:val="190"/>
          <w:sz w:val="21"/>
        </w:rPr>
        <w:t>”</w:t>
      </w:r>
      <w:r>
        <w:rPr>
          <w:w w:val="110"/>
          <w:sz w:val="21"/>
        </w:rPr>
        <w:t>、</w:t>
      </w:r>
    </w:p>
    <w:p>
      <w:pPr>
        <w:spacing w:line="212" w:lineRule="exact" w:before="0"/>
        <w:ind w:left="1687" w:right="0" w:firstLine="0"/>
        <w:jc w:val="left"/>
        <w:rPr>
          <w:sz w:val="21"/>
        </w:rPr>
      </w:pPr>
      <w:r>
        <w:rPr>
          <w:w w:val="105"/>
          <w:sz w:val="21"/>
        </w:rPr>
        <w:t>“煤改</w:t>
      </w:r>
      <w:r>
        <w:rPr>
          <w:w w:val="115"/>
          <w:sz w:val="21"/>
        </w:rPr>
        <w:t>电”</w:t>
      </w:r>
      <w:r>
        <w:rPr>
          <w:w w:val="105"/>
          <w:sz w:val="21"/>
        </w:rPr>
        <w:t>工程建设，到 </w:t>
      </w:r>
      <w:r>
        <w:rPr>
          <w:rFonts w:ascii="Times New Roman" w:hAnsi="Times New Roman" w:eastAsia="Times New Roman"/>
          <w:w w:val="105"/>
          <w:sz w:val="21"/>
        </w:rPr>
        <w:t>2017 </w:t>
      </w:r>
      <w:r>
        <w:rPr>
          <w:w w:val="105"/>
          <w:sz w:val="21"/>
        </w:rPr>
        <w:t>年，除必须</w:t>
      </w:r>
    </w:p>
    <w:p>
      <w:pPr>
        <w:spacing w:after="0" w:line="212" w:lineRule="exact"/>
        <w:jc w:val="left"/>
        <w:rPr>
          <w:sz w:val="21"/>
        </w:rPr>
        <w:sectPr>
          <w:headerReference w:type="default" r:id="rId74"/>
          <w:footerReference w:type="default" r:id="rId75"/>
          <w:pgSz w:w="11910" w:h="16840"/>
          <w:pgMar w:header="877" w:footer="973" w:top="1420" w:bottom="1160" w:left="1560" w:right="1560"/>
          <w:pgNumType w:start="8"/>
        </w:sectPr>
      </w:pPr>
    </w:p>
    <w:p>
      <w:pPr>
        <w:pStyle w:val="BodyText"/>
        <w:rPr>
          <w:sz w:val="20"/>
        </w:rPr>
      </w:pPr>
    </w:p>
    <w:p>
      <w:pPr>
        <w:pStyle w:val="BodyText"/>
        <w:rPr>
          <w:sz w:val="20"/>
        </w:rPr>
      </w:pPr>
    </w:p>
    <w:p>
      <w:pPr>
        <w:pStyle w:val="BodyText"/>
        <w:spacing w:before="6"/>
        <w:rPr>
          <w:sz w:val="18"/>
        </w:rPr>
      </w:pPr>
    </w:p>
    <w:p>
      <w:pPr>
        <w:spacing w:line="168" w:lineRule="auto" w:before="0"/>
        <w:ind w:left="305" w:right="0" w:hanging="53"/>
        <w:jc w:val="center"/>
        <w:rPr>
          <w:sz w:val="21"/>
        </w:rPr>
      </w:pPr>
      <w:r>
        <w:rPr>
          <w:sz w:val="21"/>
        </w:rPr>
        <w:t>《大气污染防治行动计划》</w:t>
      </w:r>
    </w:p>
    <w:p>
      <w:pPr>
        <w:spacing w:line="193" w:lineRule="exact" w:before="0"/>
        <w:ind w:left="601" w:right="349" w:firstLine="0"/>
        <w:jc w:val="center"/>
        <w:rPr>
          <w:sz w:val="21"/>
        </w:rPr>
      </w:pPr>
      <w:r>
        <w:rPr>
          <w:sz w:val="21"/>
        </w:rPr>
        <w:t>（国发</w:t>
      </w:r>
    </w:p>
    <w:p>
      <w:pPr>
        <w:spacing w:line="168" w:lineRule="auto" w:before="127"/>
        <w:ind w:left="26" w:right="0" w:firstLine="0"/>
        <w:jc w:val="left"/>
        <w:rPr>
          <w:sz w:val="21"/>
        </w:rPr>
      </w:pPr>
      <w:r>
        <w:rPr/>
        <w:br w:type="column"/>
      </w:r>
      <w:r>
        <w:rPr>
          <w:spacing w:val="-11"/>
          <w:sz w:val="21"/>
        </w:rPr>
        <w:t>要保留的以外，地级及以上城市建成区基本</w:t>
      </w:r>
      <w:r>
        <w:rPr>
          <w:spacing w:val="-1"/>
          <w:sz w:val="21"/>
        </w:rPr>
        <w:t>淘汰每小时 </w:t>
      </w:r>
      <w:r>
        <w:rPr>
          <w:rFonts w:ascii="Times New Roman" w:eastAsia="Times New Roman"/>
          <w:sz w:val="21"/>
        </w:rPr>
        <w:t>10</w:t>
      </w:r>
      <w:r>
        <w:rPr>
          <w:rFonts w:ascii="Times New Roman" w:eastAsia="Times New Roman"/>
          <w:spacing w:val="23"/>
          <w:sz w:val="21"/>
        </w:rPr>
        <w:t> </w:t>
      </w:r>
      <w:r>
        <w:rPr>
          <w:spacing w:val="-3"/>
          <w:sz w:val="21"/>
        </w:rPr>
        <w:t>蒸吨及以下的燃煤锅炉，禁</w:t>
      </w:r>
    </w:p>
    <w:p>
      <w:pPr>
        <w:spacing w:line="287" w:lineRule="exact" w:before="0"/>
        <w:ind w:left="26" w:right="0" w:firstLine="0"/>
        <w:jc w:val="left"/>
        <w:rPr>
          <w:sz w:val="21"/>
        </w:rPr>
      </w:pPr>
      <w:r>
        <w:rPr>
          <w:spacing w:val="2"/>
          <w:sz w:val="21"/>
        </w:rPr>
        <w:t>止新建每小时 </w:t>
      </w:r>
      <w:r>
        <w:rPr>
          <w:rFonts w:ascii="Times New Roman" w:eastAsia="Times New Roman"/>
          <w:sz w:val="21"/>
        </w:rPr>
        <w:t>20</w:t>
      </w:r>
      <w:r>
        <w:rPr>
          <w:rFonts w:ascii="Times New Roman" w:eastAsia="Times New Roman"/>
          <w:spacing w:val="21"/>
          <w:sz w:val="21"/>
        </w:rPr>
        <w:t> </w:t>
      </w:r>
      <w:r>
        <w:rPr>
          <w:spacing w:val="-3"/>
          <w:sz w:val="21"/>
        </w:rPr>
        <w:t>蒸吨以下的燃煤锅炉：其</w:t>
      </w:r>
    </w:p>
    <w:p>
      <w:pPr>
        <w:spacing w:line="168" w:lineRule="auto" w:before="26"/>
        <w:ind w:left="26" w:right="0" w:firstLine="0"/>
        <w:jc w:val="left"/>
        <w:rPr>
          <w:sz w:val="21"/>
        </w:rPr>
      </w:pPr>
      <w:r>
        <w:rPr>
          <w:sz w:val="21"/>
        </w:rPr>
        <w:t>他地区原则上不再新建每小时 </w:t>
      </w:r>
      <w:r>
        <w:rPr>
          <w:rFonts w:ascii="Times New Roman" w:eastAsia="Times New Roman"/>
          <w:sz w:val="21"/>
        </w:rPr>
        <w:t>10 </w:t>
      </w:r>
      <w:r>
        <w:rPr>
          <w:sz w:val="21"/>
        </w:rPr>
        <w:t>蒸吨以下的燃煤锅炉。</w:t>
      </w:r>
    </w:p>
    <w:p>
      <w:pPr>
        <w:spacing w:line="366" w:lineRule="exact" w:before="0"/>
        <w:ind w:left="26" w:right="0" w:firstLine="0"/>
        <w:jc w:val="left"/>
        <w:rPr>
          <w:sz w:val="21"/>
        </w:rPr>
      </w:pPr>
      <w:r>
        <w:rPr>
          <w:spacing w:val="-9"/>
          <w:sz w:val="21"/>
        </w:rPr>
        <w:t>企业是大气污染治理的责任主体，要按照环</w:t>
      </w:r>
    </w:p>
    <w:p>
      <w:pPr>
        <w:spacing w:line="256" w:lineRule="exact" w:before="0"/>
        <w:ind w:left="10" w:right="0" w:firstLine="0"/>
        <w:jc w:val="left"/>
        <w:rPr>
          <w:sz w:val="21"/>
        </w:rPr>
      </w:pPr>
      <w:r>
        <w:rPr/>
        <w:br w:type="column"/>
      </w:r>
      <w:r>
        <w:rPr>
          <w:sz w:val="21"/>
        </w:rPr>
        <w:t>本项目建设 </w:t>
      </w:r>
      <w:r>
        <w:rPr>
          <w:rFonts w:ascii="Times New Roman" w:eastAsia="Times New Roman"/>
          <w:sz w:val="21"/>
        </w:rPr>
        <w:t>1 </w:t>
      </w:r>
      <w:r>
        <w:rPr>
          <w:sz w:val="21"/>
        </w:rPr>
        <w:t>台 </w:t>
      </w:r>
      <w:r>
        <w:rPr>
          <w:rFonts w:ascii="Times New Roman" w:eastAsia="Times New Roman"/>
          <w:sz w:val="21"/>
        </w:rPr>
        <w:t>4t/h </w:t>
      </w:r>
      <w:r>
        <w:rPr>
          <w:sz w:val="21"/>
        </w:rPr>
        <w:t>天</w:t>
      </w:r>
    </w:p>
    <w:p>
      <w:pPr>
        <w:tabs>
          <w:tab w:pos="2310" w:val="left" w:leader="none"/>
        </w:tabs>
        <w:spacing w:line="168" w:lineRule="auto" w:before="26"/>
        <w:ind w:left="10" w:right="406" w:firstLine="0"/>
        <w:jc w:val="left"/>
        <w:rPr>
          <w:sz w:val="21"/>
        </w:rPr>
      </w:pPr>
      <w:r>
        <w:rPr>
          <w:sz w:val="21"/>
        </w:rPr>
        <w:t>然气</w:t>
      </w:r>
      <w:r>
        <w:rPr>
          <w:spacing w:val="-3"/>
          <w:sz w:val="21"/>
        </w:rPr>
        <w:t>锅</w:t>
      </w:r>
      <w:r>
        <w:rPr>
          <w:sz w:val="21"/>
        </w:rPr>
        <w:t>炉</w:t>
      </w:r>
      <w:r>
        <w:rPr>
          <w:spacing w:val="-32"/>
          <w:sz w:val="21"/>
        </w:rPr>
        <w:t>，</w:t>
      </w:r>
      <w:r>
        <w:rPr>
          <w:spacing w:val="-3"/>
          <w:sz w:val="21"/>
        </w:rPr>
        <w:t>不</w:t>
      </w:r>
      <w:r>
        <w:rPr>
          <w:sz w:val="21"/>
        </w:rPr>
        <w:t>建</w:t>
      </w:r>
      <w:r>
        <w:rPr>
          <w:spacing w:val="-3"/>
          <w:sz w:val="21"/>
        </w:rPr>
        <w:t>设</w:t>
      </w:r>
      <w:r>
        <w:rPr>
          <w:sz w:val="21"/>
        </w:rPr>
        <w:t>燃煤</w:t>
        <w:tab/>
        <w:t>符合锅炉。</w:t>
      </w:r>
    </w:p>
    <w:p>
      <w:pPr>
        <w:spacing w:after="0" w:line="168" w:lineRule="auto"/>
        <w:jc w:val="left"/>
        <w:rPr>
          <w:sz w:val="21"/>
        </w:rPr>
        <w:sectPr>
          <w:type w:val="continuous"/>
          <w:pgSz w:w="11910" w:h="16840"/>
          <w:pgMar w:top="1180" w:bottom="1160" w:left="1560" w:right="1560"/>
          <w:cols w:num="3" w:equalWidth="0">
            <w:col w:w="1621" w:space="40"/>
            <w:col w:w="3945" w:space="39"/>
            <w:col w:w="3145"/>
          </w:cols>
        </w:sectPr>
      </w:pPr>
    </w:p>
    <w:p>
      <w:pPr>
        <w:spacing w:before="27"/>
        <w:ind w:left="312" w:right="0" w:firstLine="0"/>
        <w:jc w:val="left"/>
        <w:rPr>
          <w:sz w:val="21"/>
        </w:rPr>
      </w:pPr>
      <w:r>
        <w:rPr>
          <w:rFonts w:ascii="Times New Roman" w:eastAsia="Times New Roman"/>
          <w:sz w:val="21"/>
        </w:rPr>
        <w:t>[2013]37 </w:t>
      </w:r>
      <w:r>
        <w:rPr>
          <w:sz w:val="21"/>
        </w:rPr>
        <w:t>号）</w:t>
      </w:r>
    </w:p>
    <w:p>
      <w:pPr>
        <w:spacing w:line="172" w:lineRule="exact" w:before="0"/>
        <w:ind w:left="89" w:right="0" w:firstLine="0"/>
        <w:jc w:val="left"/>
        <w:rPr>
          <w:sz w:val="21"/>
        </w:rPr>
      </w:pPr>
      <w:r>
        <w:rPr/>
        <w:br w:type="column"/>
      </w:r>
      <w:r>
        <w:rPr>
          <w:sz w:val="21"/>
        </w:rPr>
        <w:t>保规范要求，加强内部管理，增加资金投入，</w:t>
      </w:r>
    </w:p>
    <w:p>
      <w:pPr>
        <w:spacing w:line="156" w:lineRule="exact" w:before="0"/>
        <w:ind w:left="4057" w:right="0" w:firstLine="0"/>
        <w:jc w:val="left"/>
        <w:rPr>
          <w:sz w:val="21"/>
        </w:rPr>
      </w:pPr>
      <w:r>
        <w:rPr>
          <w:sz w:val="21"/>
        </w:rPr>
        <w:t>项目废气经治理后达</w:t>
      </w:r>
    </w:p>
    <w:p>
      <w:pPr>
        <w:tabs>
          <w:tab w:pos="6357" w:val="left" w:leader="none"/>
        </w:tabs>
        <w:spacing w:line="156" w:lineRule="exact" w:before="0"/>
        <w:ind w:left="89" w:right="0" w:firstLine="0"/>
        <w:jc w:val="left"/>
        <w:rPr>
          <w:sz w:val="21"/>
        </w:rPr>
      </w:pPr>
      <w:r>
        <w:rPr>
          <w:sz w:val="21"/>
        </w:rPr>
        <w:t>采用</w:t>
      </w:r>
      <w:r>
        <w:rPr>
          <w:spacing w:val="-3"/>
          <w:sz w:val="21"/>
        </w:rPr>
        <w:t>先</w:t>
      </w:r>
      <w:r>
        <w:rPr>
          <w:sz w:val="21"/>
        </w:rPr>
        <w:t>进</w:t>
      </w:r>
      <w:r>
        <w:rPr>
          <w:spacing w:val="-3"/>
          <w:sz w:val="21"/>
        </w:rPr>
        <w:t>的</w:t>
      </w:r>
      <w:r>
        <w:rPr>
          <w:sz w:val="21"/>
        </w:rPr>
        <w:t>生</w:t>
      </w:r>
      <w:r>
        <w:rPr>
          <w:spacing w:val="-3"/>
          <w:sz w:val="21"/>
        </w:rPr>
        <w:t>产</w:t>
      </w:r>
      <w:r>
        <w:rPr>
          <w:sz w:val="21"/>
        </w:rPr>
        <w:t>工</w:t>
      </w:r>
      <w:r>
        <w:rPr>
          <w:spacing w:val="-3"/>
          <w:sz w:val="21"/>
        </w:rPr>
        <w:t>艺</w:t>
      </w:r>
      <w:r>
        <w:rPr>
          <w:sz w:val="21"/>
        </w:rPr>
        <w:t>和</w:t>
      </w:r>
      <w:r>
        <w:rPr>
          <w:spacing w:val="-3"/>
          <w:sz w:val="21"/>
        </w:rPr>
        <w:t>治</w:t>
      </w:r>
      <w:r>
        <w:rPr>
          <w:sz w:val="21"/>
        </w:rPr>
        <w:t>理技</w:t>
      </w:r>
      <w:r>
        <w:rPr>
          <w:spacing w:val="-3"/>
          <w:sz w:val="21"/>
        </w:rPr>
        <w:t>术</w:t>
      </w:r>
      <w:r>
        <w:rPr>
          <w:spacing w:val="-80"/>
          <w:sz w:val="21"/>
        </w:rPr>
        <w:t>，</w:t>
      </w:r>
      <w:r>
        <w:rPr>
          <w:sz w:val="21"/>
        </w:rPr>
        <w:t>确</w:t>
      </w:r>
      <w:r>
        <w:rPr>
          <w:spacing w:val="-3"/>
          <w:sz w:val="21"/>
        </w:rPr>
        <w:t>保</w:t>
      </w:r>
      <w:r>
        <w:rPr>
          <w:sz w:val="21"/>
        </w:rPr>
        <w:t>达标</w:t>
        <w:tab/>
        <w:t>符合</w:t>
      </w:r>
    </w:p>
    <w:p>
      <w:pPr>
        <w:spacing w:line="141" w:lineRule="exact" w:before="0"/>
        <w:ind w:left="4057" w:right="0" w:firstLine="0"/>
        <w:jc w:val="left"/>
        <w:rPr>
          <w:sz w:val="21"/>
        </w:rPr>
      </w:pPr>
      <w:r>
        <w:rPr>
          <w:sz w:val="21"/>
        </w:rPr>
        <w:t>标排放。</w:t>
      </w:r>
    </w:p>
    <w:p>
      <w:pPr>
        <w:spacing w:after="0" w:line="141" w:lineRule="exact"/>
        <w:jc w:val="left"/>
        <w:rPr>
          <w:sz w:val="21"/>
        </w:rPr>
        <w:sectPr>
          <w:type w:val="continuous"/>
          <w:pgSz w:w="11910" w:h="16840"/>
          <w:pgMar w:top="1180" w:bottom="1160" w:left="1560" w:right="1560"/>
          <w:cols w:num="2" w:equalWidth="0">
            <w:col w:w="1559" w:space="40"/>
            <w:col w:w="7191"/>
          </w:cols>
        </w:sectPr>
      </w:pPr>
    </w:p>
    <w:p>
      <w:pPr>
        <w:spacing w:line="249" w:lineRule="exact" w:before="0"/>
        <w:ind w:left="1687" w:right="0" w:firstLine="0"/>
        <w:jc w:val="left"/>
        <w:rPr>
          <w:sz w:val="21"/>
        </w:rPr>
      </w:pPr>
      <w:r>
        <w:rPr>
          <w:spacing w:val="-8"/>
          <w:w w:val="100"/>
          <w:sz w:val="21"/>
        </w:rPr>
        <w:t>排放，甚至达到</w:t>
      </w:r>
      <w:r>
        <w:rPr>
          <w:spacing w:val="-2"/>
          <w:w w:val="136"/>
          <w:sz w:val="21"/>
        </w:rPr>
        <w:t>“零</w:t>
      </w:r>
      <w:r>
        <w:rPr>
          <w:spacing w:val="-2"/>
          <w:w w:val="100"/>
          <w:sz w:val="21"/>
        </w:rPr>
        <w:t>排放</w:t>
      </w:r>
      <w:r>
        <w:rPr>
          <w:spacing w:val="-20"/>
          <w:w w:val="211"/>
          <w:sz w:val="21"/>
        </w:rPr>
        <w:t>”</w:t>
      </w:r>
      <w:r>
        <w:rPr>
          <w:spacing w:val="-6"/>
          <w:w w:val="100"/>
          <w:sz w:val="21"/>
        </w:rPr>
        <w:t>；自觉履行环境</w:t>
      </w:r>
    </w:p>
    <w:p>
      <w:pPr>
        <w:spacing w:line="319" w:lineRule="exact" w:before="0"/>
        <w:ind w:left="1687" w:right="0" w:firstLine="0"/>
        <w:jc w:val="left"/>
        <w:rPr>
          <w:sz w:val="21"/>
        </w:rPr>
      </w:pPr>
      <w:r>
        <w:rPr>
          <w:sz w:val="21"/>
        </w:rPr>
        <w:t>保护的社会责任，接受社会监督。</w:t>
      </w:r>
    </w:p>
    <w:p>
      <w:pPr>
        <w:spacing w:line="319" w:lineRule="exact" w:before="0"/>
        <w:ind w:left="1687" w:right="0" w:firstLine="0"/>
        <w:jc w:val="left"/>
        <w:rPr>
          <w:sz w:val="21"/>
        </w:rPr>
      </w:pPr>
      <w:r>
        <w:rPr>
          <w:sz w:val="21"/>
        </w:rPr>
        <w:t>严格实施污染物排放总量控制，将二氧化</w:t>
      </w:r>
    </w:p>
    <w:p>
      <w:pPr>
        <w:spacing w:line="234" w:lineRule="exact" w:before="0"/>
        <w:ind w:left="1687" w:right="0" w:firstLine="0"/>
        <w:jc w:val="left"/>
        <w:rPr>
          <w:sz w:val="21"/>
        </w:rPr>
      </w:pPr>
      <w:r>
        <w:rPr>
          <w:sz w:val="21"/>
        </w:rPr>
        <w:t>硫、氮氧化物、烟粉尘和挥发性有机物排放 项目污染物排放符合</w:t>
      </w:r>
    </w:p>
    <w:p>
      <w:pPr>
        <w:spacing w:line="156" w:lineRule="exact" w:before="0"/>
        <w:ind w:left="0" w:right="406" w:firstLine="0"/>
        <w:jc w:val="right"/>
        <w:rPr>
          <w:sz w:val="21"/>
        </w:rPr>
      </w:pPr>
      <w:r>
        <w:rPr>
          <w:sz w:val="21"/>
        </w:rPr>
        <w:t>符合</w:t>
      </w:r>
    </w:p>
    <w:p>
      <w:pPr>
        <w:spacing w:line="234" w:lineRule="exact" w:before="0"/>
        <w:ind w:left="1687" w:right="0" w:firstLine="0"/>
        <w:jc w:val="left"/>
        <w:rPr>
          <w:sz w:val="21"/>
        </w:rPr>
      </w:pPr>
      <w:r>
        <w:rPr>
          <w:sz w:val="21"/>
        </w:rPr>
        <w:t>是否符合总量控制要求作为建设项目环境 总量控制要求。</w:t>
      </w:r>
    </w:p>
    <w:p>
      <w:pPr>
        <w:spacing w:line="319" w:lineRule="exact" w:before="0"/>
        <w:ind w:left="1687" w:right="0" w:firstLine="0"/>
        <w:jc w:val="left"/>
        <w:rPr>
          <w:sz w:val="21"/>
        </w:rPr>
      </w:pPr>
      <w:r>
        <w:rPr>
          <w:sz w:val="21"/>
        </w:rPr>
        <w:t>影响评价审批的前置条件。</w:t>
      </w:r>
    </w:p>
    <w:p>
      <w:pPr>
        <w:spacing w:line="319" w:lineRule="exact" w:before="0"/>
        <w:ind w:left="1687" w:right="0" w:firstLine="0"/>
        <w:jc w:val="left"/>
        <w:rPr>
          <w:sz w:val="21"/>
        </w:rPr>
      </w:pPr>
      <w:r>
        <w:rPr>
          <w:sz w:val="21"/>
        </w:rPr>
        <w:t>专项整治十大重点行业。制定造纸、焦化、</w:t>
      </w:r>
    </w:p>
    <w:p>
      <w:pPr>
        <w:spacing w:line="219" w:lineRule="exact" w:before="0"/>
        <w:ind w:left="1687" w:right="0" w:firstLine="0"/>
        <w:jc w:val="left"/>
        <w:rPr>
          <w:sz w:val="21"/>
        </w:rPr>
      </w:pPr>
      <w:r>
        <w:rPr>
          <w:sz w:val="21"/>
        </w:rPr>
        <w:t>氮肥、有色金属、印染、农副食品加工、原</w:t>
      </w:r>
    </w:p>
    <w:p>
      <w:pPr>
        <w:spacing w:line="84" w:lineRule="auto" w:before="72"/>
        <w:ind w:left="1687" w:right="1023" w:firstLine="3968"/>
        <w:jc w:val="left"/>
        <w:rPr>
          <w:sz w:val="21"/>
        </w:rPr>
      </w:pPr>
      <w:r>
        <w:rPr>
          <w:sz w:val="21"/>
        </w:rPr>
        <w:t>项目已通过环评审批， 料药制造、制革、电镀等行业专项治理方案，</w:t>
      </w:r>
    </w:p>
    <w:p>
      <w:pPr>
        <w:tabs>
          <w:tab w:pos="7955" w:val="left" w:leader="none"/>
        </w:tabs>
        <w:spacing w:line="84" w:lineRule="exact" w:before="0"/>
        <w:ind w:left="5655" w:right="0" w:firstLine="0"/>
        <w:jc w:val="left"/>
        <w:rPr>
          <w:sz w:val="21"/>
        </w:rPr>
      </w:pPr>
      <w:r>
        <w:rPr>
          <w:sz w:val="21"/>
        </w:rPr>
        <w:t>目前</w:t>
      </w:r>
      <w:r>
        <w:rPr>
          <w:spacing w:val="-32"/>
          <w:sz w:val="21"/>
        </w:rPr>
        <w:t>，</w:t>
      </w:r>
      <w:r>
        <w:rPr>
          <w:spacing w:val="-3"/>
          <w:sz w:val="21"/>
        </w:rPr>
        <w:t>项</w:t>
      </w:r>
      <w:r>
        <w:rPr>
          <w:sz w:val="21"/>
        </w:rPr>
        <w:t>目</w:t>
      </w:r>
      <w:r>
        <w:rPr>
          <w:spacing w:val="-3"/>
          <w:sz w:val="21"/>
        </w:rPr>
        <w:t>发</w:t>
      </w:r>
      <w:r>
        <w:rPr>
          <w:sz w:val="21"/>
        </w:rPr>
        <w:t>生</w:t>
      </w:r>
      <w:r>
        <w:rPr>
          <w:spacing w:val="-3"/>
          <w:sz w:val="21"/>
        </w:rPr>
        <w:t>重</w:t>
      </w:r>
      <w:r>
        <w:rPr>
          <w:sz w:val="21"/>
        </w:rPr>
        <w:t>大变</w:t>
        <w:tab/>
        <w:t>符合</w:t>
      </w:r>
    </w:p>
    <w:p>
      <w:pPr>
        <w:spacing w:after="0" w:line="84" w:lineRule="exact"/>
        <w:jc w:val="left"/>
        <w:rPr>
          <w:sz w:val="21"/>
        </w:rPr>
        <w:sectPr>
          <w:type w:val="continuous"/>
          <w:pgSz w:w="11910" w:h="16840"/>
          <w:pgMar w:top="1180" w:bottom="1160" w:left="1560" w:right="1560"/>
        </w:sectPr>
      </w:pPr>
    </w:p>
    <w:p>
      <w:pPr>
        <w:spacing w:line="250" w:lineRule="exact" w:before="0"/>
        <w:ind w:left="1687" w:right="0" w:firstLine="0"/>
        <w:jc w:val="left"/>
        <w:rPr>
          <w:sz w:val="21"/>
        </w:rPr>
      </w:pPr>
      <w:r>
        <w:rPr>
          <w:spacing w:val="-11"/>
          <w:sz w:val="21"/>
        </w:rPr>
        <w:t>实施清洁化改造。新建、改建、扩建上述行</w:t>
      </w:r>
    </w:p>
    <w:p>
      <w:pPr>
        <w:spacing w:line="168" w:lineRule="auto" w:before="26"/>
        <w:ind w:left="1687" w:right="4" w:firstLine="0"/>
        <w:jc w:val="left"/>
        <w:rPr>
          <w:sz w:val="21"/>
        </w:rPr>
      </w:pPr>
      <w:r>
        <w:rPr>
          <w:sz w:val="21"/>
        </w:rPr>
        <w:t>业建设项目实行主要污染物排放等量或减量置换。</w:t>
      </w:r>
    </w:p>
    <w:p>
      <w:pPr>
        <w:spacing w:line="168" w:lineRule="auto" w:before="171"/>
        <w:ind w:left="1687" w:right="0" w:firstLine="0"/>
        <w:jc w:val="left"/>
        <w:rPr>
          <w:sz w:val="21"/>
        </w:rPr>
      </w:pPr>
      <w:r>
        <w:rPr>
          <w:spacing w:val="-11"/>
          <w:sz w:val="21"/>
        </w:rPr>
        <w:t>推进污泥处理处置。污水处理设施产生的污</w:t>
      </w:r>
      <w:r>
        <w:rPr>
          <w:spacing w:val="3"/>
          <w:sz w:val="21"/>
        </w:rPr>
        <w:t>泥应进行稳定化、无害化和资源化处理处</w:t>
      </w:r>
    </w:p>
    <w:p>
      <w:pPr>
        <w:spacing w:before="27"/>
        <w:ind w:left="10" w:right="0" w:firstLine="0"/>
        <w:jc w:val="left"/>
        <w:rPr>
          <w:sz w:val="21"/>
        </w:rPr>
      </w:pPr>
      <w:r>
        <w:rPr/>
        <w:br w:type="column"/>
      </w:r>
      <w:r>
        <w:rPr>
          <w:spacing w:val="-3"/>
          <w:sz w:val="21"/>
        </w:rPr>
        <w:t>更，需重新报批环评。</w:t>
      </w:r>
    </w:p>
    <w:p>
      <w:pPr>
        <w:pStyle w:val="BodyText"/>
        <w:spacing w:before="18"/>
        <w:rPr>
          <w:sz w:val="20"/>
        </w:rPr>
      </w:pPr>
    </w:p>
    <w:p>
      <w:pPr>
        <w:spacing w:line="168" w:lineRule="auto" w:before="1"/>
        <w:ind w:left="10" w:right="1033" w:firstLine="0"/>
        <w:jc w:val="left"/>
        <w:rPr>
          <w:sz w:val="21"/>
        </w:rPr>
      </w:pPr>
      <w:r>
        <w:rPr>
          <w:spacing w:val="21"/>
          <w:sz w:val="21"/>
        </w:rPr>
        <w:t>项目污泥进行特性鉴</w:t>
      </w:r>
      <w:r>
        <w:rPr>
          <w:spacing w:val="-7"/>
          <w:sz w:val="21"/>
        </w:rPr>
        <w:t>别，鉴别后属于危险废</w:t>
      </w:r>
    </w:p>
    <w:p>
      <w:pPr>
        <w:tabs>
          <w:tab w:pos="2310" w:val="left" w:leader="none"/>
        </w:tabs>
        <w:spacing w:line="193" w:lineRule="exact" w:before="0"/>
        <w:ind w:left="10" w:right="0" w:firstLine="0"/>
        <w:jc w:val="left"/>
        <w:rPr>
          <w:sz w:val="21"/>
        </w:rPr>
      </w:pPr>
      <w:r>
        <w:rPr>
          <w:spacing w:val="21"/>
          <w:sz w:val="21"/>
        </w:rPr>
        <w:t>物由有危废资质单</w:t>
      </w:r>
      <w:r>
        <w:rPr>
          <w:sz w:val="21"/>
        </w:rPr>
        <w:t>位</w:t>
        <w:tab/>
        <w:t>符合</w:t>
      </w:r>
    </w:p>
    <w:p>
      <w:pPr>
        <w:spacing w:after="0" w:line="193" w:lineRule="exact"/>
        <w:jc w:val="left"/>
        <w:rPr>
          <w:sz w:val="21"/>
        </w:rPr>
        <w:sectPr>
          <w:type w:val="continuous"/>
          <w:pgSz w:w="11910" w:h="16840"/>
          <w:pgMar w:top="1180" w:bottom="1160" w:left="1560" w:right="1560"/>
          <w:cols w:num="2" w:equalWidth="0">
            <w:col w:w="5605" w:space="40"/>
            <w:col w:w="3145"/>
          </w:cols>
        </w:sectPr>
      </w:pPr>
    </w:p>
    <w:p>
      <w:pPr>
        <w:spacing w:line="312" w:lineRule="exact" w:before="0"/>
        <w:ind w:left="305" w:right="0" w:firstLine="0"/>
        <w:jc w:val="left"/>
        <w:rPr>
          <w:sz w:val="21"/>
        </w:rPr>
      </w:pPr>
      <w:r>
        <w:rPr>
          <w:sz w:val="21"/>
        </w:rPr>
        <w:t>《水污染防治</w:t>
      </w:r>
    </w:p>
    <w:p>
      <w:pPr>
        <w:spacing w:line="171" w:lineRule="exact" w:before="0"/>
        <w:ind w:left="79" w:right="0" w:firstLine="0"/>
        <w:jc w:val="left"/>
        <w:rPr>
          <w:sz w:val="21"/>
        </w:rPr>
      </w:pPr>
      <w:r>
        <w:rPr/>
        <w:br w:type="column"/>
      </w:r>
      <w:r>
        <w:rPr>
          <w:sz w:val="21"/>
        </w:rPr>
        <w:t>置，禁止处理处置不达标的污泥进入耕地。</w:t>
      </w:r>
    </w:p>
    <w:p>
      <w:pPr>
        <w:spacing w:line="141" w:lineRule="exact" w:before="0"/>
        <w:ind w:left="4047" w:right="0" w:firstLine="0"/>
        <w:jc w:val="left"/>
        <w:rPr>
          <w:sz w:val="21"/>
        </w:rPr>
      </w:pPr>
      <w:r>
        <w:rPr>
          <w:sz w:val="21"/>
        </w:rPr>
        <w:t>处置，不属于危险废物</w:t>
      </w:r>
    </w:p>
    <w:p>
      <w:pPr>
        <w:spacing w:after="0" w:line="141" w:lineRule="exact"/>
        <w:jc w:val="left"/>
        <w:rPr>
          <w:sz w:val="21"/>
        </w:rPr>
        <w:sectPr>
          <w:type w:val="continuous"/>
          <w:pgSz w:w="11910" w:h="16840"/>
          <w:pgMar w:top="1180" w:bottom="1160" w:left="1560" w:right="1560"/>
          <w:cols w:num="2" w:equalWidth="0">
            <w:col w:w="1568" w:space="40"/>
            <w:col w:w="7182"/>
          </w:cols>
        </w:sectPr>
      </w:pPr>
    </w:p>
    <w:p>
      <w:pPr>
        <w:spacing w:line="117" w:lineRule="auto" w:before="25"/>
        <w:ind w:left="252" w:right="0" w:firstLine="0"/>
        <w:jc w:val="left"/>
        <w:rPr>
          <w:sz w:val="21"/>
        </w:rPr>
      </w:pPr>
      <w:r>
        <w:rPr>
          <w:sz w:val="21"/>
        </w:rPr>
        <w:t>行动计划》（国 </w:t>
      </w:r>
      <w:r>
        <w:rPr>
          <w:position w:val="1"/>
          <w:sz w:val="21"/>
        </w:rPr>
        <w:t>非法污泥堆放点一律予以取缔。</w:t>
      </w:r>
    </w:p>
    <w:p>
      <w:pPr>
        <w:spacing w:line="315" w:lineRule="exact" w:before="0"/>
        <w:ind w:left="240" w:right="0" w:firstLine="0"/>
        <w:jc w:val="left"/>
        <w:rPr>
          <w:sz w:val="21"/>
        </w:rPr>
      </w:pPr>
      <w:r>
        <w:rPr>
          <w:sz w:val="21"/>
        </w:rPr>
        <w:t>发</w:t>
      </w:r>
      <w:r>
        <w:rPr>
          <w:rFonts w:ascii="Times New Roman" w:eastAsia="Times New Roman"/>
          <w:sz w:val="21"/>
        </w:rPr>
        <w:t>[2015]17 </w:t>
      </w:r>
      <w:r>
        <w:rPr>
          <w:sz w:val="21"/>
        </w:rPr>
        <w:t>号）</w:t>
      </w:r>
    </w:p>
    <w:p>
      <w:pPr>
        <w:spacing w:line="379" w:lineRule="exact" w:before="0"/>
        <w:ind w:left="1687" w:right="0" w:firstLine="0"/>
        <w:jc w:val="left"/>
        <w:rPr>
          <w:sz w:val="21"/>
        </w:rPr>
      </w:pPr>
      <w:r>
        <w:rPr>
          <w:spacing w:val="-10"/>
          <w:sz w:val="21"/>
        </w:rPr>
        <w:t>七大重点流域干流沿岸，要严格控制石油加</w:t>
      </w:r>
    </w:p>
    <w:p>
      <w:pPr>
        <w:spacing w:line="177" w:lineRule="auto" w:before="107"/>
        <w:ind w:left="10" w:right="1023" w:firstLine="0"/>
        <w:jc w:val="left"/>
        <w:rPr>
          <w:sz w:val="21"/>
        </w:rPr>
      </w:pPr>
      <w:r>
        <w:rPr/>
        <w:br w:type="column"/>
      </w:r>
      <w:r>
        <w:rPr>
          <w:spacing w:val="-3"/>
          <w:sz w:val="21"/>
        </w:rPr>
        <w:t>按一般废物进行处置。</w:t>
      </w:r>
      <w:r>
        <w:rPr>
          <w:spacing w:val="21"/>
          <w:sz w:val="21"/>
        </w:rPr>
        <w:t>建设单位已进行突发</w:t>
      </w:r>
    </w:p>
    <w:p>
      <w:pPr>
        <w:spacing w:line="186" w:lineRule="exact" w:before="0"/>
        <w:ind w:left="10" w:right="0" w:firstLine="0"/>
        <w:jc w:val="left"/>
        <w:rPr>
          <w:sz w:val="21"/>
        </w:rPr>
      </w:pPr>
      <w:r>
        <w:rPr>
          <w:spacing w:val="21"/>
          <w:sz w:val="21"/>
        </w:rPr>
        <w:t>环境事件应急预案备</w:t>
      </w:r>
    </w:p>
    <w:p>
      <w:pPr>
        <w:spacing w:after="0" w:line="186" w:lineRule="exact"/>
        <w:jc w:val="left"/>
        <w:rPr>
          <w:sz w:val="21"/>
        </w:rPr>
        <w:sectPr>
          <w:type w:val="continuous"/>
          <w:pgSz w:w="11910" w:h="16840"/>
          <w:pgMar w:top="1180" w:bottom="1160" w:left="1560" w:right="1560"/>
          <w:cols w:num="2" w:equalWidth="0">
            <w:col w:w="5606" w:space="40"/>
            <w:col w:w="3144"/>
          </w:cols>
        </w:sectPr>
      </w:pPr>
    </w:p>
    <w:p>
      <w:pPr>
        <w:spacing w:line="172" w:lineRule="exact" w:before="0"/>
        <w:ind w:left="1687" w:right="0" w:firstLine="0"/>
        <w:jc w:val="left"/>
        <w:rPr>
          <w:sz w:val="21"/>
        </w:rPr>
      </w:pPr>
      <w:r>
        <w:rPr>
          <w:sz w:val="21"/>
        </w:rPr>
        <w:t>工、化学原料和化学制品制造、医药制造、</w:t>
      </w:r>
    </w:p>
    <w:p>
      <w:pPr>
        <w:tabs>
          <w:tab w:pos="7955" w:val="left" w:leader="none"/>
        </w:tabs>
        <w:spacing w:line="141" w:lineRule="exact" w:before="0"/>
        <w:ind w:left="5655" w:right="0" w:firstLine="0"/>
        <w:jc w:val="left"/>
        <w:rPr>
          <w:sz w:val="21"/>
        </w:rPr>
      </w:pPr>
      <w:r>
        <w:rPr>
          <w:sz w:val="21"/>
        </w:rPr>
        <w:t>案</w:t>
      </w:r>
      <w:r>
        <w:rPr>
          <w:spacing w:val="-32"/>
          <w:sz w:val="21"/>
        </w:rPr>
        <w:t>，</w:t>
      </w:r>
      <w:r>
        <w:rPr>
          <w:sz w:val="21"/>
        </w:rPr>
        <w:t>合</w:t>
      </w:r>
      <w:r>
        <w:rPr>
          <w:spacing w:val="-3"/>
          <w:sz w:val="21"/>
        </w:rPr>
        <w:t>理</w:t>
      </w:r>
      <w:r>
        <w:rPr>
          <w:sz w:val="21"/>
        </w:rPr>
        <w:t>布</w:t>
      </w:r>
      <w:r>
        <w:rPr>
          <w:spacing w:val="-3"/>
          <w:sz w:val="21"/>
        </w:rPr>
        <w:t>局</w:t>
      </w:r>
      <w:r>
        <w:rPr>
          <w:sz w:val="21"/>
        </w:rPr>
        <w:t>生</w:t>
      </w:r>
      <w:r>
        <w:rPr>
          <w:spacing w:val="-3"/>
          <w:sz w:val="21"/>
        </w:rPr>
        <w:t>产</w:t>
      </w:r>
      <w:r>
        <w:rPr>
          <w:sz w:val="21"/>
        </w:rPr>
        <w:t>装置</w:t>
        <w:tab/>
        <w:t>符合</w:t>
      </w:r>
    </w:p>
    <w:p>
      <w:pPr>
        <w:spacing w:after="0" w:line="141" w:lineRule="exact"/>
        <w:jc w:val="left"/>
        <w:rPr>
          <w:sz w:val="21"/>
        </w:rPr>
        <w:sectPr>
          <w:type w:val="continuous"/>
          <w:pgSz w:w="11910" w:h="16840"/>
          <w:pgMar w:top="1180" w:bottom="1160" w:left="1560" w:right="1560"/>
        </w:sectPr>
      </w:pPr>
    </w:p>
    <w:p>
      <w:pPr>
        <w:spacing w:line="249" w:lineRule="exact" w:before="0"/>
        <w:ind w:left="1687" w:right="0" w:firstLine="0"/>
        <w:jc w:val="left"/>
        <w:rPr>
          <w:sz w:val="21"/>
        </w:rPr>
      </w:pPr>
      <w:r>
        <w:rPr>
          <w:spacing w:val="-10"/>
          <w:sz w:val="21"/>
        </w:rPr>
        <w:t>化学纤维制造、有色金属冶炼、纺织印染等</w:t>
      </w:r>
    </w:p>
    <w:p>
      <w:pPr>
        <w:spacing w:line="379" w:lineRule="exact" w:before="0"/>
        <w:ind w:left="1687" w:right="0" w:firstLine="0"/>
        <w:jc w:val="left"/>
        <w:rPr>
          <w:sz w:val="21"/>
        </w:rPr>
      </w:pPr>
      <w:r>
        <w:rPr>
          <w:sz w:val="21"/>
        </w:rPr>
        <w:t>项目环境风险，合理布局。</w:t>
      </w:r>
    </w:p>
    <w:p>
      <w:pPr>
        <w:spacing w:line="168" w:lineRule="auto" w:before="120"/>
        <w:ind w:left="10" w:right="1033" w:firstLine="0"/>
        <w:jc w:val="left"/>
        <w:rPr>
          <w:sz w:val="21"/>
        </w:rPr>
      </w:pPr>
      <w:r>
        <w:rPr/>
        <w:br w:type="column"/>
      </w:r>
      <w:r>
        <w:rPr>
          <w:sz w:val="21"/>
        </w:rPr>
        <w:t>及危险化学品仓储等设施。</w:t>
      </w:r>
    </w:p>
    <w:p>
      <w:pPr>
        <w:spacing w:after="0" w:line="168" w:lineRule="auto"/>
        <w:jc w:val="left"/>
        <w:rPr>
          <w:sz w:val="21"/>
        </w:rPr>
        <w:sectPr>
          <w:type w:val="continuous"/>
          <w:pgSz w:w="11910" w:h="16840"/>
          <w:pgMar w:top="1180" w:bottom="1160" w:left="1560" w:right="1560"/>
          <w:cols w:num="2" w:equalWidth="0">
            <w:col w:w="5605" w:space="40"/>
            <w:col w:w="3145"/>
          </w:cols>
        </w:sectPr>
      </w:pPr>
    </w:p>
    <w:p>
      <w:pPr>
        <w:spacing w:line="168" w:lineRule="auto" w:before="15"/>
        <w:ind w:left="1687" w:right="1033" w:firstLine="0"/>
        <w:jc w:val="left"/>
        <w:rPr>
          <w:sz w:val="21"/>
        </w:rPr>
      </w:pPr>
      <w:r>
        <w:rPr>
          <w:sz w:val="21"/>
        </w:rPr>
        <w:t>推动污染企业推出。城市建成区内现有钢 本项目位于山东莒南铁、有色金属、造纸、印染、原料药制造、经济开发区化工工业</w:t>
      </w:r>
    </w:p>
    <w:p>
      <w:pPr>
        <w:spacing w:line="52" w:lineRule="exact" w:before="0"/>
        <w:ind w:left="0" w:right="406" w:firstLine="0"/>
        <w:jc w:val="right"/>
        <w:rPr>
          <w:sz w:val="21"/>
        </w:rPr>
      </w:pPr>
      <w:r>
        <w:rPr>
          <w:sz w:val="21"/>
        </w:rPr>
        <w:t>符合</w:t>
      </w:r>
    </w:p>
    <w:p>
      <w:pPr>
        <w:spacing w:line="297" w:lineRule="exact" w:before="0"/>
        <w:ind w:left="1687" w:right="0" w:firstLine="0"/>
        <w:jc w:val="left"/>
        <w:rPr>
          <w:sz w:val="21"/>
        </w:rPr>
      </w:pPr>
      <w:r>
        <w:rPr>
          <w:sz w:val="21"/>
        </w:rPr>
        <w:t>化工等污染较重的企业应有序搬迁改造或 区内，不在城市建成区</w:t>
      </w:r>
    </w:p>
    <w:p>
      <w:pPr>
        <w:tabs>
          <w:tab w:pos="5655" w:val="left" w:leader="none"/>
        </w:tabs>
        <w:spacing w:line="316" w:lineRule="exact" w:before="0"/>
        <w:ind w:left="1687" w:right="0" w:firstLine="0"/>
        <w:jc w:val="left"/>
        <w:rPr>
          <w:sz w:val="21"/>
        </w:rPr>
      </w:pPr>
      <w:r>
        <w:rPr>
          <w:sz w:val="21"/>
        </w:rPr>
        <w:t>依法</w:t>
      </w:r>
      <w:r>
        <w:rPr>
          <w:spacing w:val="-3"/>
          <w:sz w:val="21"/>
        </w:rPr>
        <w:t>关</w:t>
      </w:r>
      <w:r>
        <w:rPr>
          <w:sz w:val="21"/>
        </w:rPr>
        <w:t>闭。</w:t>
        <w:tab/>
        <w:t>内。</w:t>
      </w:r>
    </w:p>
    <w:p>
      <w:pPr>
        <w:spacing w:after="0" w:line="316" w:lineRule="exact"/>
        <w:jc w:val="left"/>
        <w:rPr>
          <w:sz w:val="21"/>
        </w:rPr>
        <w:sectPr>
          <w:type w:val="continuous"/>
          <w:pgSz w:w="11910" w:h="16840"/>
          <w:pgMar w:top="1180" w:bottom="1160" w:left="1560" w:right="1560"/>
        </w:sectPr>
      </w:pPr>
    </w:p>
    <w:tbl>
      <w:tblPr>
        <w:tblW w:w="0" w:type="auto"/>
        <w:jc w:val="left"/>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47"/>
        <w:gridCol w:w="3970"/>
        <w:gridCol w:w="2124"/>
        <w:gridCol w:w="823"/>
      </w:tblGrid>
      <w:tr>
        <w:trPr>
          <w:trHeight w:val="1240" w:hRule="atLeast"/>
        </w:trPr>
        <w:tc>
          <w:tcPr>
            <w:tcW w:w="1447" w:type="dxa"/>
            <w:vMerge w:val="restart"/>
            <w:tcBorders>
              <w:right w:val="single" w:sz="6" w:space="0" w:color="000000"/>
            </w:tcBorders>
          </w:tcPr>
          <w:p>
            <w:pPr>
              <w:pStyle w:val="TableParagraph"/>
              <w:jc w:val="left"/>
              <w:rPr>
                <w:sz w:val="20"/>
              </w:rPr>
            </w:pPr>
          </w:p>
          <w:p>
            <w:pPr>
              <w:pStyle w:val="TableParagraph"/>
              <w:spacing w:before="20"/>
              <w:jc w:val="left"/>
              <w:rPr>
                <w:sz w:val="17"/>
              </w:rPr>
            </w:pPr>
          </w:p>
          <w:p>
            <w:pPr>
              <w:pStyle w:val="TableParagraph"/>
              <w:spacing w:line="168" w:lineRule="auto"/>
              <w:ind w:left="92" w:right="14" w:hanging="53"/>
              <w:rPr>
                <w:sz w:val="21"/>
              </w:rPr>
            </w:pPr>
            <w:r>
              <w:rPr>
                <w:sz w:val="21"/>
              </w:rPr>
              <w:t>《土壤污染防治行动计划》</w:t>
            </w:r>
          </w:p>
          <w:p>
            <w:pPr>
              <w:pStyle w:val="TableParagraph"/>
              <w:spacing w:line="286" w:lineRule="exact"/>
              <w:ind w:left="81" w:right="58"/>
              <w:rPr>
                <w:sz w:val="21"/>
              </w:rPr>
            </w:pPr>
            <w:r>
              <w:rPr>
                <w:sz w:val="21"/>
              </w:rPr>
              <w:t>（国发</w:t>
            </w:r>
          </w:p>
          <w:p>
            <w:pPr>
              <w:pStyle w:val="TableParagraph"/>
              <w:spacing w:line="379" w:lineRule="exact"/>
              <w:ind w:left="81" w:right="60"/>
              <w:rPr>
                <w:sz w:val="21"/>
              </w:rPr>
            </w:pPr>
            <w:r>
              <w:rPr>
                <w:rFonts w:ascii="Times New Roman" w:eastAsia="Times New Roman"/>
                <w:sz w:val="21"/>
              </w:rPr>
              <w:t>[2016]31 </w:t>
            </w:r>
            <w:r>
              <w:rPr>
                <w:sz w:val="21"/>
              </w:rPr>
              <w:t>号）</w:t>
            </w:r>
          </w:p>
        </w:tc>
        <w:tc>
          <w:tcPr>
            <w:tcW w:w="3970" w:type="dxa"/>
            <w:tcBorders>
              <w:left w:val="single" w:sz="6" w:space="0" w:color="000000"/>
              <w:bottom w:val="single" w:sz="6" w:space="0" w:color="000000"/>
              <w:right w:val="single" w:sz="6" w:space="0" w:color="000000"/>
            </w:tcBorders>
          </w:tcPr>
          <w:p>
            <w:pPr>
              <w:pStyle w:val="TableParagraph"/>
              <w:spacing w:line="168" w:lineRule="auto" w:before="17"/>
              <w:ind w:left="35" w:right="1"/>
              <w:jc w:val="both"/>
              <w:rPr>
                <w:sz w:val="21"/>
              </w:rPr>
            </w:pPr>
            <w:r>
              <w:rPr>
                <w:spacing w:val="-8"/>
                <w:sz w:val="21"/>
              </w:rPr>
              <w:t>严厉打击非法排放有毒有害污染物、违法违</w:t>
            </w:r>
            <w:r>
              <w:rPr>
                <w:spacing w:val="-11"/>
                <w:sz w:val="21"/>
              </w:rPr>
              <w:t>规存放危险化学品、非法处置危险废物、不</w:t>
            </w:r>
            <w:r>
              <w:rPr>
                <w:spacing w:val="-12"/>
                <w:sz w:val="21"/>
              </w:rPr>
              <w:t>正常使用污染治理设施、监测数据弄虚作假</w:t>
            </w:r>
          </w:p>
          <w:p>
            <w:pPr>
              <w:pStyle w:val="TableParagraph"/>
              <w:spacing w:line="268" w:lineRule="exact"/>
              <w:ind w:left="35"/>
              <w:jc w:val="both"/>
              <w:rPr>
                <w:sz w:val="21"/>
              </w:rPr>
            </w:pPr>
            <w:r>
              <w:rPr>
                <w:sz w:val="21"/>
              </w:rPr>
              <w:t>等环境违法行为。</w:t>
            </w:r>
          </w:p>
        </w:tc>
        <w:tc>
          <w:tcPr>
            <w:tcW w:w="2124" w:type="dxa"/>
            <w:tcBorders>
              <w:left w:val="single" w:sz="6" w:space="0" w:color="000000"/>
              <w:bottom w:val="single" w:sz="6" w:space="0" w:color="000000"/>
              <w:right w:val="single" w:sz="6" w:space="0" w:color="000000"/>
            </w:tcBorders>
          </w:tcPr>
          <w:p>
            <w:pPr>
              <w:pStyle w:val="TableParagraph"/>
              <w:spacing w:before="9"/>
              <w:jc w:val="left"/>
              <w:rPr>
                <w:sz w:val="15"/>
              </w:rPr>
            </w:pPr>
          </w:p>
          <w:p>
            <w:pPr>
              <w:pStyle w:val="TableParagraph"/>
              <w:spacing w:line="168" w:lineRule="auto"/>
              <w:ind w:left="34" w:right="-29"/>
              <w:jc w:val="left"/>
              <w:rPr>
                <w:sz w:val="21"/>
              </w:rPr>
            </w:pPr>
            <w:r>
              <w:rPr>
                <w:spacing w:val="21"/>
                <w:sz w:val="21"/>
              </w:rPr>
              <w:t>建设单位不存在左侧</w:t>
            </w:r>
            <w:r>
              <w:rPr>
                <w:spacing w:val="-3"/>
                <w:sz w:val="21"/>
              </w:rPr>
              <w:t>中环境违法行为。</w:t>
            </w:r>
          </w:p>
        </w:tc>
        <w:tc>
          <w:tcPr>
            <w:tcW w:w="823" w:type="dxa"/>
            <w:tcBorders>
              <w:left w:val="single" w:sz="6" w:space="0" w:color="000000"/>
              <w:bottom w:val="single" w:sz="6" w:space="0" w:color="000000"/>
            </w:tcBorders>
          </w:tcPr>
          <w:p>
            <w:pPr>
              <w:pStyle w:val="TableParagraph"/>
              <w:spacing w:before="8"/>
              <w:jc w:val="left"/>
              <w:rPr>
                <w:sz w:val="18"/>
              </w:rPr>
            </w:pPr>
          </w:p>
          <w:p>
            <w:pPr>
              <w:pStyle w:val="TableParagraph"/>
              <w:ind w:left="190" w:right="149"/>
              <w:rPr>
                <w:sz w:val="21"/>
              </w:rPr>
            </w:pPr>
            <w:r>
              <w:rPr>
                <w:sz w:val="21"/>
              </w:rPr>
              <w:t>符合</w:t>
            </w:r>
          </w:p>
        </w:tc>
      </w:tr>
      <w:tr>
        <w:trPr>
          <w:trHeight w:val="1551" w:hRule="atLeast"/>
        </w:trPr>
        <w:tc>
          <w:tcPr>
            <w:tcW w:w="1447" w:type="dxa"/>
            <w:vMerge/>
            <w:tcBorders>
              <w:top w:val="nil"/>
              <w:right w:val="single" w:sz="6" w:space="0" w:color="000000"/>
            </w:tcBorders>
          </w:tcPr>
          <w:p>
            <w:pPr>
              <w:rPr>
                <w:sz w:val="2"/>
                <w:szCs w:val="2"/>
              </w:rPr>
            </w:pPr>
          </w:p>
        </w:tc>
        <w:tc>
          <w:tcPr>
            <w:tcW w:w="3970" w:type="dxa"/>
            <w:tcBorders>
              <w:top w:val="single" w:sz="6" w:space="0" w:color="000000"/>
              <w:left w:val="single" w:sz="6" w:space="0" w:color="000000"/>
              <w:right w:val="single" w:sz="6" w:space="0" w:color="000000"/>
            </w:tcBorders>
          </w:tcPr>
          <w:p>
            <w:pPr>
              <w:pStyle w:val="TableParagraph"/>
              <w:spacing w:line="168" w:lineRule="auto" w:before="10"/>
              <w:ind w:left="35" w:right="1"/>
              <w:jc w:val="both"/>
              <w:rPr>
                <w:sz w:val="21"/>
              </w:rPr>
            </w:pPr>
            <w:r>
              <w:rPr>
                <w:spacing w:val="-9"/>
                <w:sz w:val="21"/>
              </w:rPr>
              <w:t>排放重点污染物的建设项目，在开展环境影</w:t>
            </w:r>
            <w:r>
              <w:rPr>
                <w:spacing w:val="-12"/>
                <w:sz w:val="21"/>
              </w:rPr>
              <w:t>响评价时，要增加对土壤环境影响的评价内</w:t>
            </w:r>
            <w:r>
              <w:rPr>
                <w:spacing w:val="-10"/>
                <w:sz w:val="21"/>
              </w:rPr>
              <w:t>容，并提出防范土壤污染的具体措施；需要</w:t>
            </w:r>
            <w:r>
              <w:rPr>
                <w:spacing w:val="-12"/>
                <w:sz w:val="21"/>
              </w:rPr>
              <w:t>建设的土壤污染防治设施，要与主体工程同</w:t>
            </w:r>
          </w:p>
          <w:p>
            <w:pPr>
              <w:pStyle w:val="TableParagraph"/>
              <w:spacing w:line="275" w:lineRule="exact"/>
              <w:ind w:left="35"/>
              <w:jc w:val="both"/>
              <w:rPr>
                <w:sz w:val="21"/>
              </w:rPr>
            </w:pPr>
            <w:r>
              <w:rPr>
                <w:sz w:val="21"/>
              </w:rPr>
              <w:t>时设计、同时施工、同时投产使用。</w:t>
            </w:r>
          </w:p>
        </w:tc>
        <w:tc>
          <w:tcPr>
            <w:tcW w:w="2124" w:type="dxa"/>
            <w:tcBorders>
              <w:top w:val="single" w:sz="6" w:space="0" w:color="000000"/>
              <w:left w:val="single" w:sz="6" w:space="0" w:color="000000"/>
              <w:right w:val="single" w:sz="6" w:space="0" w:color="000000"/>
            </w:tcBorders>
          </w:tcPr>
          <w:p>
            <w:pPr>
              <w:pStyle w:val="TableParagraph"/>
              <w:spacing w:line="168" w:lineRule="auto" w:before="166"/>
              <w:ind w:left="34" w:right="-29"/>
              <w:jc w:val="both"/>
              <w:rPr>
                <w:sz w:val="21"/>
              </w:rPr>
            </w:pPr>
            <w:r>
              <w:rPr>
                <w:sz w:val="21"/>
              </w:rPr>
              <w:t>根据本次环评对土壤相关指标的检测，各指标都能满足相应标准要求。</w:t>
            </w:r>
          </w:p>
        </w:tc>
        <w:tc>
          <w:tcPr>
            <w:tcW w:w="823" w:type="dxa"/>
            <w:tcBorders>
              <w:top w:val="single" w:sz="6" w:space="0" w:color="000000"/>
              <w:left w:val="single" w:sz="6" w:space="0" w:color="000000"/>
            </w:tcBorders>
          </w:tcPr>
          <w:p>
            <w:pPr>
              <w:pStyle w:val="TableParagraph"/>
              <w:spacing w:before="10"/>
              <w:jc w:val="left"/>
              <w:rPr>
                <w:sz w:val="25"/>
              </w:rPr>
            </w:pPr>
          </w:p>
          <w:p>
            <w:pPr>
              <w:pStyle w:val="TableParagraph"/>
              <w:ind w:left="190" w:right="149"/>
              <w:rPr>
                <w:sz w:val="21"/>
              </w:rPr>
            </w:pPr>
            <w:r>
              <w:rPr>
                <w:sz w:val="21"/>
              </w:rPr>
              <w:t>符合</w:t>
            </w:r>
          </w:p>
        </w:tc>
      </w:tr>
    </w:tbl>
    <w:p>
      <w:pPr>
        <w:pStyle w:val="BodyText"/>
        <w:spacing w:line="465" w:lineRule="exact"/>
        <w:ind w:left="720"/>
        <w:rPr>
          <w:rFonts w:ascii="Times New Roman" w:eastAsia="Times New Roman"/>
        </w:rPr>
      </w:pPr>
      <w:r>
        <w:rPr>
          <w:rFonts w:ascii="Times New Roman" w:eastAsia="Times New Roman"/>
        </w:rPr>
        <w:t>5</w:t>
      </w:r>
      <w:r>
        <w:rPr>
          <w:spacing w:val="-15"/>
        </w:rPr>
        <w:t>、与《国务院关于印发打赢蓝天保卫战三年行动计划的通知</w:t>
      </w:r>
      <w:r>
        <w:rPr>
          <w:spacing w:val="-188"/>
        </w:rPr>
        <w:t>》</w:t>
      </w:r>
      <w:r>
        <w:rPr/>
        <w:t>（国发</w:t>
      </w:r>
      <w:r>
        <w:rPr>
          <w:rFonts w:ascii="Times New Roman" w:eastAsia="Times New Roman"/>
        </w:rPr>
        <w:t>[2018]22</w:t>
      </w:r>
    </w:p>
    <w:p>
      <w:pPr>
        <w:pStyle w:val="BodyText"/>
        <w:spacing w:line="468" w:lineRule="exact"/>
        <w:ind w:left="240"/>
      </w:pPr>
      <w:r>
        <w:rPr/>
        <w:t>号）的符合性分析</w:t>
      </w:r>
    </w:p>
    <w:p>
      <w:pPr>
        <w:pStyle w:val="BodyText"/>
        <w:spacing w:line="220" w:lineRule="auto" w:before="8"/>
        <w:ind w:left="240" w:right="194" w:firstLine="479"/>
      </w:pPr>
      <w:r>
        <w:rPr/>
        <w:t>本项目与国发</w:t>
      </w:r>
      <w:r>
        <w:rPr>
          <w:rFonts w:ascii="Times New Roman" w:eastAsia="Times New Roman"/>
        </w:rPr>
        <w:t>[2018]22</w:t>
      </w:r>
      <w:r>
        <w:rPr/>
        <w:t>号《国务院关于印发打赢蓝天保卫战三年行动计划的通知》的符合性分析见表</w:t>
      </w:r>
      <w:r>
        <w:rPr>
          <w:rFonts w:ascii="Times New Roman" w:eastAsia="Times New Roman"/>
        </w:rPr>
        <w:t>11.1-5</w:t>
      </w:r>
      <w:r>
        <w:rPr/>
        <w:t>。</w:t>
      </w:r>
    </w:p>
    <w:p>
      <w:pPr>
        <w:tabs>
          <w:tab w:pos="3008" w:val="left" w:leader="none"/>
        </w:tabs>
        <w:spacing w:before="6" w:after="24"/>
        <w:ind w:left="2055" w:right="0" w:firstLine="0"/>
        <w:jc w:val="left"/>
        <w:rPr>
          <w:sz w:val="21"/>
        </w:rPr>
      </w:pPr>
      <w:r>
        <w:rPr>
          <w:sz w:val="21"/>
        </w:rPr>
        <w:t>表</w:t>
      </w:r>
      <w:r>
        <w:rPr>
          <w:rFonts w:ascii="Times New Roman" w:eastAsia="Times New Roman"/>
          <w:b/>
          <w:spacing w:val="-3"/>
          <w:sz w:val="21"/>
        </w:rPr>
        <w:t>11.1-5</w:t>
        <w:tab/>
      </w:r>
      <w:r>
        <w:rPr>
          <w:sz w:val="21"/>
        </w:rPr>
        <w:t>本项目与国发</w:t>
      </w:r>
      <w:r>
        <w:rPr>
          <w:rFonts w:ascii="Times New Roman" w:eastAsia="Times New Roman"/>
          <w:b/>
          <w:sz w:val="21"/>
        </w:rPr>
        <w:t>[2018]22</w:t>
      </w:r>
      <w:r>
        <w:rPr>
          <w:sz w:val="21"/>
        </w:rPr>
        <w:t>号文的符合性分析</w:t>
      </w:r>
    </w:p>
    <w:tbl>
      <w:tblPr>
        <w:tblW w:w="0" w:type="auto"/>
        <w:jc w:val="left"/>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3"/>
        <w:gridCol w:w="4818"/>
        <w:gridCol w:w="2173"/>
        <w:gridCol w:w="704"/>
      </w:tblGrid>
      <w:tr>
        <w:trPr>
          <w:trHeight w:val="361" w:hRule="atLeast"/>
        </w:trPr>
        <w:tc>
          <w:tcPr>
            <w:tcW w:w="643" w:type="dxa"/>
            <w:tcBorders>
              <w:bottom w:val="single" w:sz="6" w:space="0" w:color="000000"/>
              <w:right w:val="single" w:sz="6" w:space="0" w:color="000000"/>
            </w:tcBorders>
          </w:tcPr>
          <w:p>
            <w:pPr>
              <w:pStyle w:val="TableParagraph"/>
              <w:spacing w:line="341" w:lineRule="exact"/>
              <w:ind w:left="95" w:right="64"/>
              <w:rPr>
                <w:sz w:val="21"/>
              </w:rPr>
            </w:pPr>
            <w:r>
              <w:rPr>
                <w:sz w:val="21"/>
              </w:rPr>
              <w:t>项目</w:t>
            </w:r>
          </w:p>
        </w:tc>
        <w:tc>
          <w:tcPr>
            <w:tcW w:w="4818" w:type="dxa"/>
            <w:tcBorders>
              <w:left w:val="single" w:sz="6" w:space="0" w:color="000000"/>
              <w:bottom w:val="single" w:sz="6" w:space="0" w:color="000000"/>
              <w:right w:val="single" w:sz="6" w:space="0" w:color="000000"/>
            </w:tcBorders>
          </w:tcPr>
          <w:p>
            <w:pPr>
              <w:pStyle w:val="TableParagraph"/>
              <w:spacing w:line="341" w:lineRule="exact"/>
              <w:ind w:left="1596"/>
              <w:jc w:val="left"/>
              <w:rPr>
                <w:sz w:val="21"/>
              </w:rPr>
            </w:pPr>
            <w:r>
              <w:rPr>
                <w:sz w:val="21"/>
              </w:rPr>
              <w:t>国发</w:t>
            </w:r>
            <w:r>
              <w:rPr>
                <w:rFonts w:ascii="Times New Roman" w:eastAsia="Times New Roman"/>
                <w:sz w:val="21"/>
              </w:rPr>
              <w:t>[2018]22 </w:t>
            </w:r>
            <w:r>
              <w:rPr>
                <w:sz w:val="21"/>
              </w:rPr>
              <w:t>号文</w:t>
            </w:r>
          </w:p>
        </w:tc>
        <w:tc>
          <w:tcPr>
            <w:tcW w:w="2173" w:type="dxa"/>
            <w:tcBorders>
              <w:left w:val="single" w:sz="6" w:space="0" w:color="000000"/>
              <w:bottom w:val="single" w:sz="6" w:space="0" w:color="000000"/>
              <w:right w:val="single" w:sz="6" w:space="0" w:color="000000"/>
            </w:tcBorders>
          </w:tcPr>
          <w:p>
            <w:pPr>
              <w:pStyle w:val="TableParagraph"/>
              <w:spacing w:line="341" w:lineRule="exact"/>
              <w:ind w:left="548" w:right="520"/>
              <w:rPr>
                <w:sz w:val="21"/>
              </w:rPr>
            </w:pPr>
            <w:r>
              <w:rPr>
                <w:sz w:val="21"/>
              </w:rPr>
              <w:t>本项目情况</w:t>
            </w:r>
          </w:p>
        </w:tc>
        <w:tc>
          <w:tcPr>
            <w:tcW w:w="704" w:type="dxa"/>
            <w:tcBorders>
              <w:left w:val="single" w:sz="6" w:space="0" w:color="000000"/>
              <w:bottom w:val="single" w:sz="6" w:space="0" w:color="000000"/>
            </w:tcBorders>
          </w:tcPr>
          <w:p>
            <w:pPr>
              <w:pStyle w:val="TableParagraph"/>
              <w:spacing w:line="341" w:lineRule="exact"/>
              <w:ind w:left="27"/>
              <w:rPr>
                <w:sz w:val="21"/>
              </w:rPr>
            </w:pPr>
            <w:r>
              <w:rPr>
                <w:sz w:val="21"/>
              </w:rPr>
              <w:t>符合性</w:t>
            </w:r>
          </w:p>
        </w:tc>
      </w:tr>
      <w:tr>
        <w:trPr>
          <w:trHeight w:val="359" w:hRule="atLeast"/>
        </w:trPr>
        <w:tc>
          <w:tcPr>
            <w:tcW w:w="643" w:type="dxa"/>
            <w:tcBorders>
              <w:top w:val="single" w:sz="6" w:space="0" w:color="000000"/>
              <w:bottom w:val="single" w:sz="6" w:space="0" w:color="000000"/>
              <w:right w:val="single" w:sz="6" w:space="0" w:color="000000"/>
            </w:tcBorders>
          </w:tcPr>
          <w:p>
            <w:pPr>
              <w:pStyle w:val="TableParagraph"/>
              <w:spacing w:line="339" w:lineRule="exact"/>
              <w:ind w:left="26"/>
              <w:rPr>
                <w:sz w:val="21"/>
              </w:rPr>
            </w:pPr>
            <w:r>
              <w:rPr>
                <w:w w:val="100"/>
                <w:sz w:val="21"/>
              </w:rPr>
              <w:t>一</w:t>
            </w:r>
          </w:p>
        </w:tc>
        <w:tc>
          <w:tcPr>
            <w:tcW w:w="7695" w:type="dxa"/>
            <w:gridSpan w:val="3"/>
            <w:tcBorders>
              <w:top w:val="single" w:sz="6" w:space="0" w:color="000000"/>
              <w:left w:val="single" w:sz="6" w:space="0" w:color="000000"/>
              <w:bottom w:val="single" w:sz="6" w:space="0" w:color="000000"/>
            </w:tcBorders>
          </w:tcPr>
          <w:p>
            <w:pPr>
              <w:pStyle w:val="TableParagraph"/>
              <w:spacing w:line="339" w:lineRule="exact"/>
              <w:ind w:left="14"/>
              <w:jc w:val="left"/>
              <w:rPr>
                <w:sz w:val="21"/>
              </w:rPr>
            </w:pPr>
            <w:r>
              <w:rPr>
                <w:sz w:val="21"/>
              </w:rPr>
              <w:t>总体要求</w:t>
            </w:r>
          </w:p>
        </w:tc>
      </w:tr>
      <w:tr>
        <w:trPr>
          <w:trHeight w:val="384" w:hRule="atLeast"/>
        </w:trPr>
        <w:tc>
          <w:tcPr>
            <w:tcW w:w="643" w:type="dxa"/>
            <w:tcBorders>
              <w:top w:val="single" w:sz="6" w:space="0" w:color="000000"/>
              <w:bottom w:val="nil"/>
              <w:right w:val="single" w:sz="6" w:space="0" w:color="000000"/>
            </w:tcBorders>
          </w:tcPr>
          <w:p>
            <w:pPr>
              <w:pStyle w:val="TableParagraph"/>
              <w:jc w:val="left"/>
              <w:rPr>
                <w:rFonts w:ascii="Times New Roman"/>
                <w:sz w:val="20"/>
              </w:rPr>
            </w:pPr>
          </w:p>
        </w:tc>
        <w:tc>
          <w:tcPr>
            <w:tcW w:w="4818" w:type="dxa"/>
            <w:tcBorders>
              <w:top w:val="single" w:sz="6" w:space="0" w:color="000000"/>
              <w:left w:val="single" w:sz="6" w:space="0" w:color="000000"/>
              <w:bottom w:val="nil"/>
              <w:right w:val="single" w:sz="6" w:space="0" w:color="000000"/>
            </w:tcBorders>
          </w:tcPr>
          <w:p>
            <w:pPr>
              <w:pStyle w:val="TableParagraph"/>
              <w:spacing w:line="364" w:lineRule="exact"/>
              <w:ind w:left="14" w:right="-29"/>
              <w:jc w:val="left"/>
              <w:rPr>
                <w:sz w:val="21"/>
              </w:rPr>
            </w:pPr>
            <w:r>
              <w:rPr>
                <w:spacing w:val="-3"/>
                <w:sz w:val="21"/>
              </w:rPr>
              <w:t>京津冀及周边地区，包含北京市，天津市，河北省石</w:t>
            </w:r>
          </w:p>
        </w:tc>
        <w:tc>
          <w:tcPr>
            <w:tcW w:w="217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3"/>
              <w:jc w:val="left"/>
              <w:rPr>
                <w:sz w:val="24"/>
              </w:rPr>
            </w:pPr>
          </w:p>
          <w:p>
            <w:pPr>
              <w:pStyle w:val="TableParagraph"/>
              <w:spacing w:line="194" w:lineRule="auto"/>
              <w:ind w:left="14" w:right="-29"/>
              <w:jc w:val="both"/>
              <w:rPr>
                <w:sz w:val="21"/>
              </w:rPr>
            </w:pPr>
            <w:r>
              <w:rPr>
                <w:sz w:val="21"/>
              </w:rPr>
              <w:t>本项目位于山东莒南经济开发区化工工业区内，属于一般控制区域范围</w:t>
            </w:r>
          </w:p>
        </w:tc>
        <w:tc>
          <w:tcPr>
            <w:tcW w:w="704"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3"/>
              <w:jc w:val="left"/>
              <w:rPr>
                <w:sz w:val="24"/>
              </w:rPr>
            </w:pPr>
          </w:p>
          <w:p>
            <w:pPr>
              <w:pStyle w:val="TableParagraph"/>
              <w:spacing w:line="194" w:lineRule="auto"/>
              <w:ind w:left="37" w:right="8"/>
              <w:jc w:val="both"/>
              <w:rPr>
                <w:sz w:val="21"/>
              </w:rPr>
            </w:pPr>
            <w:r>
              <w:rPr>
                <w:sz w:val="21"/>
              </w:rPr>
              <w:t>属于一般控制区域范围</w:t>
            </w:r>
          </w:p>
        </w:tc>
      </w:tr>
      <w:tr>
        <w:trPr>
          <w:trHeight w:val="345"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325" w:lineRule="exact"/>
              <w:ind w:left="14" w:right="-29"/>
              <w:jc w:val="left"/>
              <w:rPr>
                <w:sz w:val="21"/>
              </w:rPr>
            </w:pPr>
            <w:r>
              <w:rPr>
                <w:spacing w:val="-3"/>
                <w:sz w:val="21"/>
              </w:rPr>
              <w:t>家庄、唐山、邯郸、邢台、保定、沧州、廊坊、衡水</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vMerge/>
            <w:tcBorders>
              <w:top w:val="nil"/>
              <w:left w:val="single" w:sz="6" w:space="0" w:color="000000"/>
              <w:bottom w:val="single" w:sz="6" w:space="0" w:color="000000"/>
            </w:tcBorders>
          </w:tcPr>
          <w:p>
            <w:pPr>
              <w:rPr>
                <w:sz w:val="2"/>
                <w:szCs w:val="2"/>
              </w:rPr>
            </w:pPr>
          </w:p>
        </w:tc>
      </w:tr>
      <w:tr>
        <w:trPr>
          <w:trHeight w:val="345"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325" w:lineRule="exact"/>
              <w:ind w:left="14"/>
              <w:jc w:val="left"/>
              <w:rPr>
                <w:sz w:val="21"/>
              </w:rPr>
            </w:pPr>
            <w:r>
              <w:rPr>
                <w:spacing w:val="-11"/>
                <w:sz w:val="21"/>
              </w:rPr>
              <w:t>市以及雄安新区，山西省太原、阳泉、长治、晋城市</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vMerge/>
            <w:tcBorders>
              <w:top w:val="nil"/>
              <w:left w:val="single" w:sz="6" w:space="0" w:color="000000"/>
              <w:bottom w:val="single" w:sz="6" w:space="0" w:color="000000"/>
            </w:tcBorders>
          </w:tcPr>
          <w:p>
            <w:pPr>
              <w:rPr>
                <w:sz w:val="2"/>
                <w:szCs w:val="2"/>
              </w:rPr>
            </w:pPr>
          </w:p>
        </w:tc>
      </w:tr>
      <w:tr>
        <w:trPr>
          <w:trHeight w:val="1065" w:hRule="atLeast"/>
        </w:trPr>
        <w:tc>
          <w:tcPr>
            <w:tcW w:w="643" w:type="dxa"/>
            <w:tcBorders>
              <w:top w:val="nil"/>
              <w:bottom w:val="nil"/>
              <w:right w:val="single" w:sz="6" w:space="0" w:color="000000"/>
            </w:tcBorders>
          </w:tcPr>
          <w:p>
            <w:pPr>
              <w:pStyle w:val="TableParagraph"/>
              <w:spacing w:line="146" w:lineRule="auto" w:before="114"/>
              <w:ind w:left="114" w:right="81" w:firstLine="2"/>
              <w:jc w:val="both"/>
              <w:rPr>
                <w:sz w:val="21"/>
              </w:rPr>
            </w:pPr>
            <w:r>
              <w:rPr>
                <w:sz w:val="21"/>
              </w:rPr>
              <w:t>重点区域范围</w:t>
            </w:r>
          </w:p>
        </w:tc>
        <w:tc>
          <w:tcPr>
            <w:tcW w:w="4818" w:type="dxa"/>
            <w:tcBorders>
              <w:top w:val="nil"/>
              <w:left w:val="single" w:sz="6" w:space="0" w:color="000000"/>
              <w:bottom w:val="nil"/>
              <w:right w:val="single" w:sz="6" w:space="0" w:color="000000"/>
            </w:tcBorders>
          </w:tcPr>
          <w:p>
            <w:pPr>
              <w:pStyle w:val="TableParagraph"/>
              <w:spacing w:line="194" w:lineRule="auto"/>
              <w:ind w:left="14" w:right="-29"/>
              <w:jc w:val="left"/>
              <w:rPr>
                <w:sz w:val="21"/>
              </w:rPr>
            </w:pPr>
            <w:r>
              <w:rPr>
                <w:spacing w:val="-3"/>
                <w:sz w:val="21"/>
              </w:rPr>
              <w:t>山东省济南、淄博、济宁、德州、聊城、滨州、菏泽市，河南省郑州、开封、安阳、鹤壁、新乡、焦作、</w:t>
            </w:r>
          </w:p>
          <w:p>
            <w:pPr>
              <w:pStyle w:val="TableParagraph"/>
              <w:spacing w:line="327" w:lineRule="exact"/>
              <w:ind w:left="14" w:right="-29"/>
              <w:jc w:val="left"/>
              <w:rPr>
                <w:sz w:val="21"/>
              </w:rPr>
            </w:pPr>
            <w:r>
              <w:rPr>
                <w:spacing w:val="-3"/>
                <w:sz w:val="21"/>
              </w:rPr>
              <w:t>濮阳市等；长三角地区，包含上海市、江苏省、浙江</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vMerge/>
            <w:tcBorders>
              <w:top w:val="nil"/>
              <w:left w:val="single" w:sz="6" w:space="0" w:color="000000"/>
              <w:bottom w:val="single" w:sz="6" w:space="0" w:color="000000"/>
            </w:tcBorders>
          </w:tcPr>
          <w:p>
            <w:pPr>
              <w:rPr>
                <w:sz w:val="2"/>
                <w:szCs w:val="2"/>
              </w:rPr>
            </w:pPr>
          </w:p>
        </w:tc>
      </w:tr>
      <w:tr>
        <w:trPr>
          <w:trHeight w:val="345"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325" w:lineRule="exact"/>
              <w:ind w:left="14" w:right="-29"/>
              <w:jc w:val="left"/>
              <w:rPr>
                <w:sz w:val="21"/>
              </w:rPr>
            </w:pPr>
            <w:r>
              <w:rPr>
                <w:spacing w:val="-3"/>
                <w:sz w:val="21"/>
              </w:rPr>
              <w:t>省、安徽省；汾渭平原，包含山西省晋中、运城、临</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vMerge/>
            <w:tcBorders>
              <w:top w:val="nil"/>
              <w:left w:val="single" w:sz="6" w:space="0" w:color="000000"/>
              <w:bottom w:val="single" w:sz="6" w:space="0" w:color="000000"/>
            </w:tcBorders>
          </w:tcPr>
          <w:p>
            <w:pPr>
              <w:rPr>
                <w:sz w:val="2"/>
                <w:szCs w:val="2"/>
              </w:rPr>
            </w:pPr>
          </w:p>
        </w:tc>
      </w:tr>
      <w:tr>
        <w:trPr>
          <w:trHeight w:val="345"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325" w:lineRule="exact"/>
              <w:ind w:left="14" w:right="-29"/>
              <w:jc w:val="left"/>
              <w:rPr>
                <w:sz w:val="21"/>
              </w:rPr>
            </w:pPr>
            <w:r>
              <w:rPr>
                <w:spacing w:val="-3"/>
                <w:sz w:val="21"/>
              </w:rPr>
              <w:t>汾、吕梁市，河南省洛阳、三门峡市，陕西省西安、</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vMerge/>
            <w:tcBorders>
              <w:top w:val="nil"/>
              <w:left w:val="single" w:sz="6" w:space="0" w:color="000000"/>
              <w:bottom w:val="single" w:sz="6" w:space="0" w:color="000000"/>
            </w:tcBorders>
          </w:tcPr>
          <w:p>
            <w:pPr>
              <w:rPr>
                <w:sz w:val="2"/>
                <w:szCs w:val="2"/>
              </w:rPr>
            </w:pPr>
          </w:p>
        </w:tc>
      </w:tr>
      <w:tr>
        <w:trPr>
          <w:trHeight w:val="320" w:hRule="atLeast"/>
        </w:trPr>
        <w:tc>
          <w:tcPr>
            <w:tcW w:w="643" w:type="dxa"/>
            <w:tcBorders>
              <w:top w:val="nil"/>
              <w:bottom w:val="single" w:sz="6" w:space="0" w:color="000000"/>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single" w:sz="6" w:space="0" w:color="000000"/>
              <w:right w:val="single" w:sz="6" w:space="0" w:color="000000"/>
            </w:tcBorders>
          </w:tcPr>
          <w:p>
            <w:pPr>
              <w:pStyle w:val="TableParagraph"/>
              <w:spacing w:line="300" w:lineRule="exact"/>
              <w:ind w:left="14"/>
              <w:jc w:val="left"/>
              <w:rPr>
                <w:sz w:val="21"/>
              </w:rPr>
            </w:pPr>
            <w:r>
              <w:rPr>
                <w:sz w:val="21"/>
              </w:rPr>
              <w:t>铜川、宝鸡、咸阳、渭南市以及杨凌示范区等</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vMerge/>
            <w:tcBorders>
              <w:top w:val="nil"/>
              <w:left w:val="single" w:sz="6" w:space="0" w:color="000000"/>
              <w:bottom w:val="single" w:sz="6" w:space="0" w:color="000000"/>
            </w:tcBorders>
          </w:tcPr>
          <w:p>
            <w:pPr>
              <w:rPr>
                <w:sz w:val="2"/>
                <w:szCs w:val="2"/>
              </w:rPr>
            </w:pPr>
          </w:p>
        </w:tc>
      </w:tr>
      <w:tr>
        <w:trPr>
          <w:trHeight w:val="359" w:hRule="atLeast"/>
        </w:trPr>
        <w:tc>
          <w:tcPr>
            <w:tcW w:w="643" w:type="dxa"/>
            <w:tcBorders>
              <w:top w:val="single" w:sz="6" w:space="0" w:color="000000"/>
              <w:bottom w:val="single" w:sz="6" w:space="0" w:color="000000"/>
              <w:right w:val="single" w:sz="6" w:space="0" w:color="000000"/>
            </w:tcBorders>
          </w:tcPr>
          <w:p>
            <w:pPr>
              <w:pStyle w:val="TableParagraph"/>
              <w:spacing w:line="339" w:lineRule="exact"/>
              <w:ind w:left="26"/>
              <w:rPr>
                <w:sz w:val="21"/>
              </w:rPr>
            </w:pPr>
            <w:r>
              <w:rPr>
                <w:w w:val="100"/>
                <w:sz w:val="21"/>
              </w:rPr>
              <w:t>二</w:t>
            </w:r>
          </w:p>
        </w:tc>
        <w:tc>
          <w:tcPr>
            <w:tcW w:w="7695" w:type="dxa"/>
            <w:gridSpan w:val="3"/>
            <w:tcBorders>
              <w:top w:val="single" w:sz="6" w:space="0" w:color="000000"/>
              <w:left w:val="single" w:sz="6" w:space="0" w:color="000000"/>
              <w:bottom w:val="single" w:sz="6" w:space="0" w:color="000000"/>
            </w:tcBorders>
          </w:tcPr>
          <w:p>
            <w:pPr>
              <w:pStyle w:val="TableParagraph"/>
              <w:spacing w:line="339" w:lineRule="exact"/>
              <w:ind w:left="14"/>
              <w:jc w:val="left"/>
              <w:rPr>
                <w:sz w:val="21"/>
              </w:rPr>
            </w:pPr>
            <w:r>
              <w:rPr>
                <w:sz w:val="21"/>
              </w:rPr>
              <w:t>调整优化产业结构，推进产业绿色发展</w:t>
            </w:r>
          </w:p>
        </w:tc>
      </w:tr>
      <w:tr>
        <w:trPr>
          <w:trHeight w:val="387" w:hRule="atLeast"/>
        </w:trPr>
        <w:tc>
          <w:tcPr>
            <w:tcW w:w="643" w:type="dxa"/>
            <w:tcBorders>
              <w:top w:val="single" w:sz="6" w:space="0" w:color="000000"/>
              <w:bottom w:val="nil"/>
              <w:right w:val="single" w:sz="6" w:space="0" w:color="000000"/>
            </w:tcBorders>
          </w:tcPr>
          <w:p>
            <w:pPr>
              <w:pStyle w:val="TableParagraph"/>
              <w:jc w:val="left"/>
              <w:rPr>
                <w:rFonts w:ascii="Times New Roman"/>
                <w:sz w:val="20"/>
              </w:rPr>
            </w:pPr>
          </w:p>
        </w:tc>
        <w:tc>
          <w:tcPr>
            <w:tcW w:w="4818" w:type="dxa"/>
            <w:tcBorders>
              <w:top w:val="single" w:sz="6" w:space="0" w:color="000000"/>
              <w:left w:val="single" w:sz="6" w:space="0" w:color="000000"/>
              <w:bottom w:val="nil"/>
              <w:right w:val="single" w:sz="6" w:space="0" w:color="000000"/>
            </w:tcBorders>
          </w:tcPr>
          <w:p>
            <w:pPr>
              <w:pStyle w:val="TableParagraph"/>
              <w:spacing w:line="367" w:lineRule="exact"/>
              <w:ind w:left="14" w:right="-29"/>
              <w:jc w:val="left"/>
              <w:rPr>
                <w:sz w:val="21"/>
              </w:rPr>
            </w:pPr>
            <w:r>
              <w:rPr>
                <w:spacing w:val="-3"/>
                <w:sz w:val="21"/>
              </w:rPr>
              <w:t>各地完成生态保护红线、环境质量底线、资源利用上</w:t>
            </w:r>
          </w:p>
        </w:tc>
        <w:tc>
          <w:tcPr>
            <w:tcW w:w="217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6"/>
              <w:jc w:val="left"/>
              <w:rPr>
                <w:sz w:val="24"/>
              </w:rPr>
            </w:pPr>
          </w:p>
          <w:p>
            <w:pPr>
              <w:pStyle w:val="TableParagraph"/>
              <w:spacing w:line="194" w:lineRule="auto"/>
              <w:ind w:left="14" w:right="-29"/>
              <w:jc w:val="both"/>
              <w:rPr>
                <w:sz w:val="21"/>
              </w:rPr>
            </w:pPr>
            <w:r>
              <w:rPr>
                <w:sz w:val="21"/>
              </w:rPr>
              <w:t>项目已通过环评审批， 目前，项目发生重大变更，需重新报批环评。</w:t>
            </w:r>
          </w:p>
        </w:tc>
        <w:tc>
          <w:tcPr>
            <w:tcW w:w="704" w:type="dxa"/>
            <w:tcBorders>
              <w:top w:val="single" w:sz="6" w:space="0" w:color="000000"/>
              <w:left w:val="single" w:sz="6" w:space="0" w:color="000000"/>
              <w:bottom w:val="nil"/>
            </w:tcBorders>
          </w:tcPr>
          <w:p>
            <w:pPr>
              <w:pStyle w:val="TableParagraph"/>
              <w:jc w:val="left"/>
              <w:rPr>
                <w:rFonts w:ascii="Times New Roman"/>
                <w:sz w:val="20"/>
              </w:rPr>
            </w:pPr>
          </w:p>
        </w:tc>
      </w:tr>
      <w:tr>
        <w:trPr>
          <w:trHeight w:val="345"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325" w:lineRule="exact"/>
              <w:ind w:left="14" w:right="-29"/>
              <w:jc w:val="left"/>
              <w:rPr>
                <w:sz w:val="21"/>
              </w:rPr>
            </w:pPr>
            <w:r>
              <w:rPr>
                <w:spacing w:val="-3"/>
                <w:sz w:val="21"/>
              </w:rPr>
              <w:t>线、环境准入清单编制工作，明确禁止和限制发展的</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tcBorders>
              <w:top w:val="nil"/>
              <w:left w:val="single" w:sz="6" w:space="0" w:color="000000"/>
              <w:bottom w:val="nil"/>
            </w:tcBorders>
          </w:tcPr>
          <w:p>
            <w:pPr>
              <w:pStyle w:val="TableParagraph"/>
              <w:jc w:val="left"/>
              <w:rPr>
                <w:rFonts w:ascii="Times New Roman"/>
                <w:sz w:val="20"/>
              </w:rPr>
            </w:pPr>
          </w:p>
        </w:tc>
      </w:tr>
      <w:tr>
        <w:trPr>
          <w:trHeight w:val="282"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263" w:lineRule="exact"/>
              <w:ind w:left="14" w:right="-29"/>
              <w:jc w:val="left"/>
              <w:rPr>
                <w:sz w:val="21"/>
              </w:rPr>
            </w:pPr>
            <w:r>
              <w:rPr>
                <w:spacing w:val="-3"/>
                <w:sz w:val="21"/>
              </w:rPr>
              <w:t>行业、生产工艺和产业目录。修订完善高耗能、高污</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tcBorders>
              <w:top w:val="nil"/>
              <w:left w:val="single" w:sz="6" w:space="0" w:color="000000"/>
              <w:bottom w:val="nil"/>
            </w:tcBorders>
          </w:tcPr>
          <w:p>
            <w:pPr>
              <w:pStyle w:val="TableParagraph"/>
              <w:jc w:val="left"/>
              <w:rPr>
                <w:rFonts w:ascii="Times New Roman"/>
                <w:sz w:val="20"/>
              </w:rPr>
            </w:pPr>
          </w:p>
        </w:tc>
      </w:tr>
      <w:tr>
        <w:trPr>
          <w:trHeight w:val="796" w:hRule="atLeast"/>
        </w:trPr>
        <w:tc>
          <w:tcPr>
            <w:tcW w:w="643" w:type="dxa"/>
            <w:tcBorders>
              <w:top w:val="nil"/>
              <w:bottom w:val="nil"/>
              <w:right w:val="single" w:sz="6" w:space="0" w:color="000000"/>
            </w:tcBorders>
          </w:tcPr>
          <w:p>
            <w:pPr>
              <w:pStyle w:val="TableParagraph"/>
              <w:spacing w:line="146" w:lineRule="auto"/>
              <w:ind w:left="116" w:right="83"/>
              <w:jc w:val="left"/>
              <w:rPr>
                <w:sz w:val="21"/>
              </w:rPr>
            </w:pPr>
            <w:r>
              <w:rPr>
                <w:spacing w:val="-3"/>
                <w:sz w:val="21"/>
              </w:rPr>
              <w:t>优化产业</w:t>
            </w:r>
          </w:p>
          <w:p>
            <w:pPr>
              <w:pStyle w:val="TableParagraph"/>
              <w:spacing w:line="237" w:lineRule="exact"/>
              <w:ind w:left="114"/>
              <w:jc w:val="left"/>
              <w:rPr>
                <w:sz w:val="21"/>
              </w:rPr>
            </w:pPr>
            <w:r>
              <w:rPr>
                <w:sz w:val="21"/>
              </w:rPr>
              <w:t>布局</w:t>
            </w:r>
          </w:p>
        </w:tc>
        <w:tc>
          <w:tcPr>
            <w:tcW w:w="4818" w:type="dxa"/>
            <w:tcBorders>
              <w:top w:val="nil"/>
              <w:left w:val="single" w:sz="6" w:space="0" w:color="000000"/>
              <w:bottom w:val="nil"/>
              <w:right w:val="single" w:sz="6" w:space="0" w:color="000000"/>
            </w:tcBorders>
          </w:tcPr>
          <w:p>
            <w:pPr>
              <w:pStyle w:val="TableParagraph"/>
              <w:spacing w:line="360" w:lineRule="exact" w:before="22"/>
              <w:ind w:left="14" w:right="-29"/>
              <w:jc w:val="left"/>
              <w:rPr>
                <w:sz w:val="21"/>
              </w:rPr>
            </w:pPr>
            <w:r>
              <w:rPr>
                <w:spacing w:val="-3"/>
                <w:sz w:val="21"/>
              </w:rPr>
              <w:t>染和资源型行业准入条件，环境空气质量未达标城市应制订更严格的产业准入门槛。积极推行区域、规划</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tcBorders>
              <w:top w:val="nil"/>
              <w:left w:val="single" w:sz="6" w:space="0" w:color="000000"/>
              <w:bottom w:val="nil"/>
            </w:tcBorders>
          </w:tcPr>
          <w:p>
            <w:pPr>
              <w:pStyle w:val="TableParagraph"/>
              <w:spacing w:before="180"/>
              <w:ind w:left="27"/>
              <w:rPr>
                <w:sz w:val="21"/>
              </w:rPr>
            </w:pPr>
            <w:r>
              <w:rPr>
                <w:sz w:val="21"/>
              </w:rPr>
              <w:t>符合</w:t>
            </w:r>
          </w:p>
        </w:tc>
      </w:tr>
      <w:tr>
        <w:trPr>
          <w:trHeight w:val="316"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296" w:lineRule="exact"/>
              <w:ind w:left="14" w:right="-29"/>
              <w:jc w:val="left"/>
              <w:rPr>
                <w:sz w:val="21"/>
              </w:rPr>
            </w:pPr>
            <w:r>
              <w:rPr>
                <w:spacing w:val="-3"/>
                <w:sz w:val="21"/>
              </w:rPr>
              <w:t>环境影响评价，新、改、扩建钢铁、石化、化工、焦</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tcBorders>
              <w:top w:val="nil"/>
              <w:left w:val="single" w:sz="6" w:space="0" w:color="000000"/>
              <w:bottom w:val="nil"/>
            </w:tcBorders>
          </w:tcPr>
          <w:p>
            <w:pPr>
              <w:pStyle w:val="TableParagraph"/>
              <w:jc w:val="left"/>
              <w:rPr>
                <w:rFonts w:ascii="Times New Roman"/>
                <w:sz w:val="20"/>
              </w:rPr>
            </w:pPr>
          </w:p>
        </w:tc>
      </w:tr>
      <w:tr>
        <w:trPr>
          <w:trHeight w:val="345" w:hRule="atLeast"/>
        </w:trPr>
        <w:tc>
          <w:tcPr>
            <w:tcW w:w="643" w:type="dxa"/>
            <w:tcBorders>
              <w:top w:val="nil"/>
              <w:bottom w:val="nil"/>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nil"/>
              <w:right w:val="single" w:sz="6" w:space="0" w:color="000000"/>
            </w:tcBorders>
          </w:tcPr>
          <w:p>
            <w:pPr>
              <w:pStyle w:val="TableParagraph"/>
              <w:spacing w:line="325" w:lineRule="exact"/>
              <w:ind w:left="14"/>
              <w:jc w:val="left"/>
              <w:rPr>
                <w:sz w:val="21"/>
              </w:rPr>
            </w:pPr>
            <w:r>
              <w:rPr>
                <w:spacing w:val="-11"/>
                <w:sz w:val="21"/>
              </w:rPr>
              <w:t>化、建材、有色等项目的环境影响评价，应满足区域</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tcBorders>
              <w:top w:val="nil"/>
              <w:left w:val="single" w:sz="6" w:space="0" w:color="000000"/>
              <w:bottom w:val="nil"/>
            </w:tcBorders>
          </w:tcPr>
          <w:p>
            <w:pPr>
              <w:pStyle w:val="TableParagraph"/>
              <w:jc w:val="left"/>
              <w:rPr>
                <w:rFonts w:ascii="Times New Roman"/>
                <w:sz w:val="20"/>
              </w:rPr>
            </w:pPr>
          </w:p>
        </w:tc>
      </w:tr>
      <w:tr>
        <w:trPr>
          <w:trHeight w:val="320" w:hRule="atLeast"/>
        </w:trPr>
        <w:tc>
          <w:tcPr>
            <w:tcW w:w="643" w:type="dxa"/>
            <w:tcBorders>
              <w:top w:val="nil"/>
              <w:bottom w:val="single" w:sz="6" w:space="0" w:color="000000"/>
              <w:right w:val="single" w:sz="6" w:space="0" w:color="000000"/>
            </w:tcBorders>
          </w:tcPr>
          <w:p>
            <w:pPr>
              <w:pStyle w:val="TableParagraph"/>
              <w:jc w:val="left"/>
              <w:rPr>
                <w:rFonts w:ascii="Times New Roman"/>
                <w:sz w:val="20"/>
              </w:rPr>
            </w:pPr>
          </w:p>
        </w:tc>
        <w:tc>
          <w:tcPr>
            <w:tcW w:w="4818" w:type="dxa"/>
            <w:tcBorders>
              <w:top w:val="nil"/>
              <w:left w:val="single" w:sz="6" w:space="0" w:color="000000"/>
              <w:bottom w:val="single" w:sz="6" w:space="0" w:color="000000"/>
              <w:right w:val="single" w:sz="6" w:space="0" w:color="000000"/>
            </w:tcBorders>
          </w:tcPr>
          <w:p>
            <w:pPr>
              <w:pStyle w:val="TableParagraph"/>
              <w:spacing w:line="300" w:lineRule="exact"/>
              <w:ind w:left="14"/>
              <w:jc w:val="left"/>
              <w:rPr>
                <w:sz w:val="21"/>
              </w:rPr>
            </w:pPr>
            <w:r>
              <w:rPr>
                <w:sz w:val="21"/>
              </w:rPr>
              <w:t>规划环评要求</w:t>
            </w:r>
          </w:p>
        </w:tc>
        <w:tc>
          <w:tcPr>
            <w:tcW w:w="2173" w:type="dxa"/>
            <w:vMerge/>
            <w:tcBorders>
              <w:top w:val="nil"/>
              <w:left w:val="single" w:sz="6" w:space="0" w:color="000000"/>
              <w:bottom w:val="single" w:sz="6" w:space="0" w:color="000000"/>
              <w:right w:val="single" w:sz="6" w:space="0" w:color="000000"/>
            </w:tcBorders>
          </w:tcPr>
          <w:p>
            <w:pPr>
              <w:rPr>
                <w:sz w:val="2"/>
                <w:szCs w:val="2"/>
              </w:rPr>
            </w:pPr>
          </w:p>
        </w:tc>
        <w:tc>
          <w:tcPr>
            <w:tcW w:w="704" w:type="dxa"/>
            <w:tcBorders>
              <w:top w:val="nil"/>
              <w:left w:val="single" w:sz="6" w:space="0" w:color="000000"/>
              <w:bottom w:val="single" w:sz="6" w:space="0" w:color="000000"/>
            </w:tcBorders>
          </w:tcPr>
          <w:p>
            <w:pPr>
              <w:pStyle w:val="TableParagraph"/>
              <w:jc w:val="left"/>
              <w:rPr>
                <w:rFonts w:ascii="Times New Roman"/>
                <w:sz w:val="20"/>
              </w:rPr>
            </w:pPr>
          </w:p>
        </w:tc>
      </w:tr>
      <w:tr>
        <w:trPr>
          <w:trHeight w:val="808" w:hRule="atLeast"/>
        </w:trPr>
        <w:tc>
          <w:tcPr>
            <w:tcW w:w="643" w:type="dxa"/>
            <w:tcBorders>
              <w:top w:val="single" w:sz="6" w:space="0" w:color="000000"/>
              <w:bottom w:val="nil"/>
              <w:right w:val="single" w:sz="6" w:space="0" w:color="000000"/>
            </w:tcBorders>
          </w:tcPr>
          <w:p>
            <w:pPr>
              <w:pStyle w:val="TableParagraph"/>
              <w:spacing w:line="258" w:lineRule="exact"/>
              <w:ind w:left="116"/>
              <w:jc w:val="left"/>
              <w:rPr>
                <w:sz w:val="21"/>
              </w:rPr>
            </w:pPr>
            <w:r>
              <w:rPr>
                <w:spacing w:val="-3"/>
                <w:sz w:val="21"/>
              </w:rPr>
              <w:t>严控</w:t>
            </w:r>
          </w:p>
          <w:p>
            <w:pPr>
              <w:pStyle w:val="TableParagraph"/>
              <w:spacing w:line="272" w:lineRule="exact"/>
              <w:ind w:left="23" w:right="-15"/>
              <w:jc w:val="left"/>
              <w:rPr>
                <w:rFonts w:ascii="Times New Roman" w:hAnsi="Times New Roman" w:eastAsia="Times New Roman"/>
                <w:sz w:val="21"/>
              </w:rPr>
            </w:pPr>
            <w:r>
              <w:rPr>
                <w:rFonts w:ascii="Times New Roman" w:hAnsi="Times New Roman" w:eastAsia="Times New Roman"/>
                <w:spacing w:val="-3"/>
                <w:sz w:val="21"/>
              </w:rPr>
              <w:t>“</w:t>
            </w:r>
            <w:r>
              <w:rPr>
                <w:spacing w:val="-3"/>
                <w:sz w:val="21"/>
              </w:rPr>
              <w:t>两高</w:t>
            </w:r>
            <w:r>
              <w:rPr>
                <w:rFonts w:ascii="Times New Roman" w:hAnsi="Times New Roman" w:eastAsia="Times New Roman"/>
                <w:sz w:val="21"/>
              </w:rPr>
              <w:t>”</w:t>
            </w:r>
          </w:p>
          <w:p>
            <w:pPr>
              <w:pStyle w:val="TableParagraph"/>
              <w:spacing w:line="258" w:lineRule="exact"/>
              <w:ind w:left="116"/>
              <w:jc w:val="left"/>
              <w:rPr>
                <w:sz w:val="21"/>
              </w:rPr>
            </w:pPr>
            <w:r>
              <w:rPr>
                <w:sz w:val="21"/>
              </w:rPr>
              <w:t>行业</w:t>
            </w:r>
          </w:p>
        </w:tc>
        <w:tc>
          <w:tcPr>
            <w:tcW w:w="4818" w:type="dxa"/>
            <w:tcBorders>
              <w:top w:val="single" w:sz="6" w:space="0" w:color="000000"/>
              <w:left w:val="single" w:sz="6" w:space="0" w:color="000000"/>
              <w:bottom w:val="nil"/>
              <w:right w:val="single" w:sz="6" w:space="0" w:color="000000"/>
            </w:tcBorders>
          </w:tcPr>
          <w:p>
            <w:pPr>
              <w:pStyle w:val="TableParagraph"/>
              <w:spacing w:line="194" w:lineRule="auto" w:before="40"/>
              <w:ind w:left="14" w:right="-29"/>
              <w:jc w:val="left"/>
              <w:rPr>
                <w:sz w:val="21"/>
              </w:rPr>
            </w:pPr>
            <w:r>
              <w:rPr>
                <w:spacing w:val="3"/>
                <w:sz w:val="21"/>
              </w:rPr>
              <w:t>重点区域严禁新增钢铁、焦化、电解铝、铸造、水泥和平板玻璃等产能；严格执行钢铁、水泥、平板</w:t>
            </w:r>
          </w:p>
        </w:tc>
        <w:tc>
          <w:tcPr>
            <w:tcW w:w="2173" w:type="dxa"/>
            <w:tcBorders>
              <w:top w:val="single" w:sz="6" w:space="0" w:color="000000"/>
              <w:left w:val="single" w:sz="6" w:space="0" w:color="000000"/>
              <w:bottom w:val="nil"/>
              <w:right w:val="single" w:sz="6" w:space="0" w:color="000000"/>
            </w:tcBorders>
          </w:tcPr>
          <w:p>
            <w:pPr>
              <w:pStyle w:val="TableParagraph"/>
              <w:spacing w:line="194" w:lineRule="auto" w:before="40"/>
              <w:ind w:left="14" w:right="-29"/>
              <w:jc w:val="left"/>
              <w:rPr>
                <w:sz w:val="21"/>
              </w:rPr>
            </w:pPr>
            <w:r>
              <w:rPr>
                <w:spacing w:val="3"/>
                <w:sz w:val="21"/>
              </w:rPr>
              <w:t>本项目不属于产能过剩行业，生产工艺装备和</w:t>
            </w:r>
          </w:p>
        </w:tc>
        <w:tc>
          <w:tcPr>
            <w:tcW w:w="704" w:type="dxa"/>
            <w:tcBorders>
              <w:top w:val="single" w:sz="6" w:space="0" w:color="000000"/>
              <w:left w:val="single" w:sz="6" w:space="0" w:color="000000"/>
              <w:bottom w:val="nil"/>
            </w:tcBorders>
          </w:tcPr>
          <w:p>
            <w:pPr>
              <w:pStyle w:val="TableParagraph"/>
              <w:spacing w:before="2"/>
              <w:jc w:val="left"/>
              <w:rPr>
                <w:sz w:val="16"/>
              </w:rPr>
            </w:pPr>
          </w:p>
          <w:p>
            <w:pPr>
              <w:pStyle w:val="TableParagraph"/>
              <w:ind w:left="27"/>
              <w:rPr>
                <w:sz w:val="21"/>
              </w:rPr>
            </w:pPr>
            <w:r>
              <w:rPr>
                <w:sz w:val="21"/>
              </w:rPr>
              <w:t>符合</w:t>
            </w:r>
          </w:p>
        </w:tc>
      </w:tr>
      <w:tr>
        <w:trPr>
          <w:trHeight w:val="278" w:hRule="atLeast"/>
        </w:trPr>
        <w:tc>
          <w:tcPr>
            <w:tcW w:w="643" w:type="dxa"/>
            <w:tcBorders>
              <w:top w:val="nil"/>
              <w:right w:val="single" w:sz="6" w:space="0" w:color="000000"/>
            </w:tcBorders>
          </w:tcPr>
          <w:p>
            <w:pPr>
              <w:pStyle w:val="TableParagraph"/>
              <w:spacing w:line="258" w:lineRule="exact"/>
              <w:ind w:left="95" w:right="64"/>
              <w:rPr>
                <w:sz w:val="21"/>
              </w:rPr>
            </w:pPr>
            <w:r>
              <w:rPr>
                <w:sz w:val="21"/>
              </w:rPr>
              <w:t>产能</w:t>
            </w:r>
          </w:p>
        </w:tc>
        <w:tc>
          <w:tcPr>
            <w:tcW w:w="4818" w:type="dxa"/>
            <w:tcBorders>
              <w:top w:val="nil"/>
              <w:left w:val="single" w:sz="6" w:space="0" w:color="000000"/>
              <w:right w:val="single" w:sz="6" w:space="0" w:color="000000"/>
            </w:tcBorders>
          </w:tcPr>
          <w:p>
            <w:pPr>
              <w:pStyle w:val="TableParagraph"/>
              <w:spacing w:line="258" w:lineRule="exact"/>
              <w:ind w:left="14" w:right="-29"/>
              <w:jc w:val="left"/>
              <w:rPr>
                <w:sz w:val="21"/>
              </w:rPr>
            </w:pPr>
            <w:r>
              <w:rPr>
                <w:spacing w:val="3"/>
                <w:sz w:val="21"/>
              </w:rPr>
              <w:t>玻璃等行业产能置换实施办法；加大落后产能淘汰</w:t>
            </w:r>
          </w:p>
        </w:tc>
        <w:tc>
          <w:tcPr>
            <w:tcW w:w="2173" w:type="dxa"/>
            <w:tcBorders>
              <w:top w:val="nil"/>
              <w:left w:val="single" w:sz="6" w:space="0" w:color="000000"/>
              <w:right w:val="single" w:sz="6" w:space="0" w:color="000000"/>
            </w:tcBorders>
          </w:tcPr>
          <w:p>
            <w:pPr>
              <w:pStyle w:val="TableParagraph"/>
              <w:spacing w:line="258" w:lineRule="exact"/>
              <w:ind w:left="14" w:right="-29"/>
              <w:rPr>
                <w:sz w:val="21"/>
              </w:rPr>
            </w:pPr>
            <w:r>
              <w:rPr>
                <w:spacing w:val="3"/>
                <w:sz w:val="21"/>
              </w:rPr>
              <w:t>产品均不属于淘汰类，</w:t>
            </w:r>
          </w:p>
        </w:tc>
        <w:tc>
          <w:tcPr>
            <w:tcW w:w="704" w:type="dxa"/>
            <w:tcBorders>
              <w:top w:val="nil"/>
              <w:left w:val="single" w:sz="6" w:space="0" w:color="000000"/>
            </w:tcBorders>
          </w:tcPr>
          <w:p>
            <w:pPr>
              <w:pStyle w:val="TableParagraph"/>
              <w:jc w:val="left"/>
              <w:rPr>
                <w:rFonts w:ascii="Times New Roman"/>
                <w:sz w:val="20"/>
              </w:rPr>
            </w:pPr>
          </w:p>
        </w:tc>
      </w:tr>
    </w:tbl>
    <w:p>
      <w:pPr>
        <w:spacing w:after="0"/>
        <w:jc w:val="left"/>
        <w:rPr>
          <w:rFonts w:ascii="Times New Roman"/>
          <w:sz w:val="20"/>
        </w:rPr>
        <w:sectPr>
          <w:pgSz w:w="11910" w:h="16840"/>
          <w:pgMar w:header="877" w:footer="973" w:top="1420" w:bottom="1160" w:left="1560" w:right="1560"/>
        </w:sectPr>
      </w:pPr>
    </w:p>
    <w:tbl>
      <w:tblPr>
        <w:tblW w:w="0" w:type="auto"/>
        <w:jc w:val="left"/>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3"/>
        <w:gridCol w:w="4818"/>
        <w:gridCol w:w="2173"/>
        <w:gridCol w:w="704"/>
      </w:tblGrid>
      <w:tr>
        <w:trPr>
          <w:trHeight w:val="721" w:hRule="atLeast"/>
        </w:trPr>
        <w:tc>
          <w:tcPr>
            <w:tcW w:w="643" w:type="dxa"/>
            <w:tcBorders>
              <w:bottom w:val="single" w:sz="6" w:space="0" w:color="000000"/>
              <w:right w:val="single" w:sz="6" w:space="0" w:color="000000"/>
            </w:tcBorders>
          </w:tcPr>
          <w:p>
            <w:pPr>
              <w:pStyle w:val="TableParagraph"/>
              <w:jc w:val="left"/>
              <w:rPr>
                <w:rFonts w:ascii="Times New Roman"/>
                <w:sz w:val="20"/>
              </w:rPr>
            </w:pPr>
          </w:p>
        </w:tc>
        <w:tc>
          <w:tcPr>
            <w:tcW w:w="4818" w:type="dxa"/>
            <w:tcBorders>
              <w:left w:val="single" w:sz="6" w:space="0" w:color="000000"/>
              <w:bottom w:val="single" w:sz="6" w:space="0" w:color="000000"/>
              <w:right w:val="single" w:sz="6" w:space="0" w:color="000000"/>
            </w:tcBorders>
          </w:tcPr>
          <w:p>
            <w:pPr>
              <w:pStyle w:val="TableParagraph"/>
              <w:spacing w:line="360" w:lineRule="exact" w:before="2"/>
              <w:ind w:left="14" w:right="-29"/>
              <w:jc w:val="left"/>
              <w:rPr>
                <w:sz w:val="21"/>
              </w:rPr>
            </w:pPr>
            <w:r>
              <w:rPr>
                <w:spacing w:val="-3"/>
                <w:sz w:val="21"/>
              </w:rPr>
              <w:t>和过剩产能压减力度。严格执行质量、环保、能耗、</w:t>
            </w:r>
            <w:r>
              <w:rPr>
                <w:spacing w:val="-4"/>
                <w:sz w:val="21"/>
              </w:rPr>
              <w:t>安全等法规标准</w:t>
            </w:r>
          </w:p>
        </w:tc>
        <w:tc>
          <w:tcPr>
            <w:tcW w:w="2173" w:type="dxa"/>
            <w:tcBorders>
              <w:left w:val="single" w:sz="6" w:space="0" w:color="000000"/>
              <w:bottom w:val="single" w:sz="6" w:space="0" w:color="000000"/>
              <w:right w:val="single" w:sz="6" w:space="0" w:color="000000"/>
            </w:tcBorders>
          </w:tcPr>
          <w:p>
            <w:pPr>
              <w:pStyle w:val="TableParagraph"/>
              <w:spacing w:line="425" w:lineRule="exact"/>
              <w:ind w:left="14"/>
              <w:jc w:val="left"/>
              <w:rPr>
                <w:sz w:val="21"/>
              </w:rPr>
            </w:pPr>
            <w:r>
              <w:rPr>
                <w:sz w:val="21"/>
              </w:rPr>
              <w:t>符合国家产业政策</w:t>
            </w:r>
          </w:p>
        </w:tc>
        <w:tc>
          <w:tcPr>
            <w:tcW w:w="704" w:type="dxa"/>
            <w:tcBorders>
              <w:left w:val="single" w:sz="6" w:space="0" w:color="000000"/>
              <w:bottom w:val="single" w:sz="6" w:space="0" w:color="000000"/>
            </w:tcBorders>
          </w:tcPr>
          <w:p>
            <w:pPr>
              <w:pStyle w:val="TableParagraph"/>
              <w:jc w:val="left"/>
              <w:rPr>
                <w:rFonts w:ascii="Times New Roman"/>
                <w:sz w:val="20"/>
              </w:rPr>
            </w:pPr>
          </w:p>
        </w:tc>
      </w:tr>
      <w:tr>
        <w:trPr>
          <w:trHeight w:val="359" w:hRule="atLeast"/>
        </w:trPr>
        <w:tc>
          <w:tcPr>
            <w:tcW w:w="643" w:type="dxa"/>
            <w:tcBorders>
              <w:top w:val="single" w:sz="6" w:space="0" w:color="000000"/>
              <w:bottom w:val="single" w:sz="6" w:space="0" w:color="000000"/>
              <w:right w:val="single" w:sz="6" w:space="0" w:color="000000"/>
            </w:tcBorders>
          </w:tcPr>
          <w:p>
            <w:pPr>
              <w:pStyle w:val="TableParagraph"/>
              <w:spacing w:line="339" w:lineRule="exact"/>
              <w:ind w:left="217"/>
              <w:jc w:val="left"/>
              <w:rPr>
                <w:sz w:val="21"/>
              </w:rPr>
            </w:pPr>
            <w:r>
              <w:rPr>
                <w:w w:val="100"/>
                <w:sz w:val="21"/>
              </w:rPr>
              <w:t>六</w:t>
            </w:r>
          </w:p>
        </w:tc>
        <w:tc>
          <w:tcPr>
            <w:tcW w:w="7695" w:type="dxa"/>
            <w:gridSpan w:val="3"/>
            <w:tcBorders>
              <w:top w:val="single" w:sz="6" w:space="0" w:color="000000"/>
              <w:left w:val="single" w:sz="6" w:space="0" w:color="000000"/>
              <w:bottom w:val="single" w:sz="6" w:space="0" w:color="000000"/>
            </w:tcBorders>
          </w:tcPr>
          <w:p>
            <w:pPr>
              <w:pStyle w:val="TableParagraph"/>
              <w:spacing w:line="339" w:lineRule="exact"/>
              <w:ind w:left="14"/>
              <w:jc w:val="left"/>
              <w:rPr>
                <w:sz w:val="21"/>
              </w:rPr>
            </w:pPr>
            <w:r>
              <w:rPr>
                <w:sz w:val="21"/>
              </w:rPr>
              <w:t>实施重大专项行动，大幅降低污染物排放</w:t>
            </w:r>
          </w:p>
        </w:tc>
      </w:tr>
      <w:tr>
        <w:trPr>
          <w:trHeight w:val="1331" w:hRule="atLeast"/>
        </w:trPr>
        <w:tc>
          <w:tcPr>
            <w:tcW w:w="643" w:type="dxa"/>
            <w:tcBorders>
              <w:top w:val="single" w:sz="6" w:space="0" w:color="000000"/>
              <w:right w:val="single" w:sz="6" w:space="0" w:color="000000"/>
            </w:tcBorders>
          </w:tcPr>
          <w:p>
            <w:pPr>
              <w:pStyle w:val="TableParagraph"/>
              <w:spacing w:line="305" w:lineRule="exact"/>
              <w:ind w:left="114"/>
              <w:jc w:val="left"/>
              <w:rPr>
                <w:sz w:val="21"/>
              </w:rPr>
            </w:pPr>
            <w:r>
              <w:rPr>
                <w:sz w:val="21"/>
              </w:rPr>
              <w:t>实施</w:t>
            </w:r>
          </w:p>
          <w:p>
            <w:pPr>
              <w:pStyle w:val="TableParagraph"/>
              <w:spacing w:line="155" w:lineRule="exact"/>
              <w:ind w:left="61"/>
              <w:jc w:val="left"/>
              <w:rPr>
                <w:rFonts w:ascii="Times New Roman"/>
                <w:sz w:val="21"/>
              </w:rPr>
            </w:pPr>
            <w:r>
              <w:rPr>
                <w:rFonts w:ascii="Times New Roman"/>
                <w:sz w:val="21"/>
              </w:rPr>
              <w:t>VOCs</w:t>
            </w:r>
          </w:p>
          <w:p>
            <w:pPr>
              <w:pStyle w:val="TableParagraph"/>
              <w:spacing w:line="146" w:lineRule="auto" w:before="75"/>
              <w:ind w:left="116" w:right="83" w:hanging="3"/>
              <w:jc w:val="left"/>
              <w:rPr>
                <w:sz w:val="21"/>
              </w:rPr>
            </w:pPr>
            <w:r>
              <w:rPr>
                <w:spacing w:val="-2"/>
                <w:sz w:val="21"/>
              </w:rPr>
              <w:t>专项</w:t>
            </w:r>
            <w:r>
              <w:rPr>
                <w:spacing w:val="-3"/>
                <w:sz w:val="21"/>
              </w:rPr>
              <w:t>整治</w:t>
            </w:r>
          </w:p>
          <w:p>
            <w:pPr>
              <w:pStyle w:val="TableParagraph"/>
              <w:spacing w:line="233" w:lineRule="exact"/>
              <w:ind w:left="114"/>
              <w:jc w:val="left"/>
              <w:rPr>
                <w:sz w:val="21"/>
              </w:rPr>
            </w:pPr>
            <w:r>
              <w:rPr>
                <w:spacing w:val="-2"/>
                <w:sz w:val="21"/>
              </w:rPr>
              <w:t>方案</w:t>
            </w:r>
          </w:p>
        </w:tc>
        <w:tc>
          <w:tcPr>
            <w:tcW w:w="4818" w:type="dxa"/>
            <w:tcBorders>
              <w:top w:val="single" w:sz="6" w:space="0" w:color="000000"/>
              <w:left w:val="single" w:sz="6" w:space="0" w:color="000000"/>
              <w:right w:val="single" w:sz="6" w:space="0" w:color="000000"/>
            </w:tcBorders>
          </w:tcPr>
          <w:p>
            <w:pPr>
              <w:pStyle w:val="TableParagraph"/>
              <w:spacing w:before="1"/>
              <w:jc w:val="left"/>
              <w:rPr>
                <w:sz w:val="16"/>
              </w:rPr>
            </w:pPr>
          </w:p>
          <w:p>
            <w:pPr>
              <w:pStyle w:val="TableParagraph"/>
              <w:spacing w:line="194" w:lineRule="auto"/>
              <w:ind w:left="14" w:right="-29"/>
              <w:jc w:val="left"/>
              <w:rPr>
                <w:sz w:val="21"/>
              </w:rPr>
            </w:pPr>
            <w:r>
              <w:rPr>
                <w:spacing w:val="-7"/>
                <w:sz w:val="21"/>
              </w:rPr>
              <w:t>重点区域禁止建设生产和使用高 </w:t>
            </w:r>
            <w:r>
              <w:rPr>
                <w:rFonts w:ascii="Times New Roman" w:eastAsia="Times New Roman"/>
                <w:sz w:val="21"/>
              </w:rPr>
              <w:t>VOCs</w:t>
            </w:r>
            <w:r>
              <w:rPr>
                <w:rFonts w:ascii="Times New Roman" w:eastAsia="Times New Roman"/>
                <w:spacing w:val="27"/>
                <w:sz w:val="21"/>
              </w:rPr>
              <w:t> </w:t>
            </w:r>
            <w:r>
              <w:rPr>
                <w:spacing w:val="-6"/>
                <w:sz w:val="21"/>
              </w:rPr>
              <w:t>含量的溶剂型</w:t>
            </w:r>
            <w:r>
              <w:rPr>
                <w:spacing w:val="-7"/>
                <w:sz w:val="21"/>
              </w:rPr>
              <w:t>涂料、油墨、胶粘剂等项目</w:t>
            </w:r>
          </w:p>
        </w:tc>
        <w:tc>
          <w:tcPr>
            <w:tcW w:w="2173" w:type="dxa"/>
            <w:tcBorders>
              <w:top w:val="single" w:sz="6" w:space="0" w:color="000000"/>
              <w:left w:val="single" w:sz="6" w:space="0" w:color="000000"/>
              <w:right w:val="single" w:sz="6" w:space="0" w:color="000000"/>
            </w:tcBorders>
          </w:tcPr>
          <w:p>
            <w:pPr>
              <w:pStyle w:val="TableParagraph"/>
              <w:spacing w:line="194" w:lineRule="auto" w:before="160"/>
              <w:ind w:left="14" w:right="-29"/>
              <w:jc w:val="both"/>
              <w:rPr>
                <w:sz w:val="21"/>
              </w:rPr>
            </w:pPr>
            <w:r>
              <w:rPr>
                <w:sz w:val="21"/>
              </w:rPr>
              <w:t>本项目不属于重点区域，属于一般控制区域范围</w:t>
            </w:r>
          </w:p>
        </w:tc>
        <w:tc>
          <w:tcPr>
            <w:tcW w:w="704" w:type="dxa"/>
            <w:tcBorders>
              <w:top w:val="single" w:sz="6" w:space="0" w:color="000000"/>
              <w:left w:val="single" w:sz="6" w:space="0" w:color="000000"/>
            </w:tcBorders>
          </w:tcPr>
          <w:p>
            <w:pPr>
              <w:pStyle w:val="TableParagraph"/>
              <w:spacing w:before="16"/>
              <w:jc w:val="left"/>
              <w:rPr>
                <w:sz w:val="21"/>
              </w:rPr>
            </w:pPr>
          </w:p>
          <w:p>
            <w:pPr>
              <w:pStyle w:val="TableParagraph"/>
              <w:ind w:left="143"/>
              <w:jc w:val="left"/>
              <w:rPr>
                <w:sz w:val="21"/>
              </w:rPr>
            </w:pPr>
            <w:r>
              <w:rPr>
                <w:sz w:val="21"/>
              </w:rPr>
              <w:t>符合</w:t>
            </w:r>
          </w:p>
        </w:tc>
      </w:tr>
    </w:tbl>
    <w:p>
      <w:pPr>
        <w:pStyle w:val="BodyText"/>
        <w:spacing w:line="462" w:lineRule="exact"/>
        <w:ind w:left="720"/>
      </w:pPr>
      <w:r>
        <w:rPr>
          <w:rFonts w:ascii="Times New Roman" w:eastAsia="Times New Roman"/>
        </w:rPr>
        <w:t>6</w:t>
      </w:r>
      <w:r>
        <w:rPr/>
        <w:t>、与鲁政办发</w:t>
      </w:r>
      <w:r>
        <w:rPr>
          <w:rFonts w:ascii="Times New Roman" w:eastAsia="Times New Roman"/>
        </w:rPr>
        <w:t>[2008]68</w:t>
      </w:r>
      <w:r>
        <w:rPr/>
        <w:t>号文符合性分析</w:t>
      </w:r>
    </w:p>
    <w:p>
      <w:pPr>
        <w:pStyle w:val="BodyText"/>
        <w:spacing w:line="220" w:lineRule="auto" w:before="8"/>
        <w:ind w:left="240" w:right="233" w:firstLine="479"/>
        <w:jc w:val="both"/>
      </w:pPr>
      <w:r>
        <w:rPr/>
        <w:t>山东省人民政府办公厅于</w:t>
      </w:r>
      <w:r>
        <w:rPr>
          <w:rFonts w:ascii="Times New Roman" w:eastAsia="Times New Roman"/>
        </w:rPr>
        <w:t>2008</w:t>
      </w:r>
      <w:r>
        <w:rPr>
          <w:spacing w:val="4"/>
        </w:rPr>
        <w:t>年</w:t>
      </w:r>
      <w:r>
        <w:rPr>
          <w:rFonts w:ascii="Times New Roman" w:eastAsia="Times New Roman"/>
        </w:rPr>
        <w:t>12</w:t>
      </w:r>
      <w:r>
        <w:rPr>
          <w:spacing w:val="5"/>
        </w:rPr>
        <w:t>月</w:t>
      </w:r>
      <w:r>
        <w:rPr>
          <w:rFonts w:ascii="Times New Roman" w:eastAsia="Times New Roman"/>
        </w:rPr>
        <w:t>1</w:t>
      </w:r>
      <w:r>
        <w:rPr/>
        <w:t>日发布了鲁政办发</w:t>
      </w:r>
      <w:r>
        <w:rPr>
          <w:rFonts w:ascii="Times New Roman" w:eastAsia="Times New Roman"/>
        </w:rPr>
        <w:t>[2008]68</w:t>
      </w:r>
      <w:r>
        <w:rPr>
          <w:spacing w:val="1"/>
        </w:rPr>
        <w:t>号文《关</w:t>
      </w:r>
      <w:r>
        <w:rPr>
          <w:spacing w:val="-1"/>
        </w:rPr>
        <w:t>于进一步加强危险化学品安全生产工作的意见》，项目与鲁政办发</w:t>
      </w:r>
      <w:r>
        <w:rPr>
          <w:rFonts w:ascii="Times New Roman" w:eastAsia="Times New Roman"/>
        </w:rPr>
        <w:t>[2008]68</w:t>
      </w:r>
      <w:r>
        <w:rPr/>
        <w:t>号文符合性情况见表</w:t>
      </w:r>
      <w:r>
        <w:rPr>
          <w:rFonts w:ascii="Times New Roman" w:eastAsia="Times New Roman"/>
        </w:rPr>
        <w:t>11.1-6</w:t>
      </w:r>
      <w:r>
        <w:rPr/>
        <w:t>。</w:t>
      </w:r>
    </w:p>
    <w:p>
      <w:pPr>
        <w:tabs>
          <w:tab w:pos="2902" w:val="left" w:leader="none"/>
        </w:tabs>
        <w:spacing w:before="64"/>
        <w:ind w:left="1896" w:right="0" w:firstLine="0"/>
        <w:jc w:val="left"/>
        <w:rPr>
          <w:sz w:val="21"/>
        </w:rPr>
      </w:pPr>
      <w:r>
        <w:rPr>
          <w:sz w:val="21"/>
        </w:rPr>
        <w:t>表</w:t>
      </w:r>
      <w:r>
        <w:rPr>
          <w:spacing w:val="9"/>
          <w:sz w:val="21"/>
        </w:rPr>
        <w:t> </w:t>
      </w:r>
      <w:r>
        <w:rPr>
          <w:rFonts w:ascii="Times New Roman" w:eastAsia="Times New Roman"/>
          <w:b/>
          <w:spacing w:val="-3"/>
          <w:sz w:val="21"/>
        </w:rPr>
        <w:t>11.1-6</w:t>
        <w:tab/>
      </w:r>
      <w:r>
        <w:rPr>
          <w:sz w:val="21"/>
        </w:rPr>
        <w:t>项目与鲁政</w:t>
      </w:r>
      <w:r>
        <w:rPr>
          <w:spacing w:val="-3"/>
          <w:sz w:val="21"/>
        </w:rPr>
        <w:t>办</w:t>
      </w:r>
      <w:r>
        <w:rPr>
          <w:sz w:val="21"/>
        </w:rPr>
        <w:t>发</w:t>
      </w:r>
      <w:r>
        <w:rPr>
          <w:rFonts w:ascii="Times New Roman" w:eastAsia="Times New Roman"/>
          <w:b/>
          <w:sz w:val="21"/>
        </w:rPr>
        <w:t>[2008]68</w:t>
      </w:r>
      <w:r>
        <w:rPr>
          <w:rFonts w:ascii="Times New Roman" w:eastAsia="Times New Roman"/>
          <w:b/>
          <w:spacing w:val="-2"/>
          <w:sz w:val="21"/>
        </w:rPr>
        <w:t> </w:t>
      </w:r>
      <w:r>
        <w:rPr>
          <w:sz w:val="21"/>
        </w:rPr>
        <w:t>号文符合性</w:t>
      </w:r>
      <w:r>
        <w:rPr>
          <w:spacing w:val="-3"/>
          <w:sz w:val="21"/>
        </w:rPr>
        <w:t>情</w:t>
      </w:r>
      <w:r>
        <w:rPr>
          <w:sz w:val="21"/>
        </w:rPr>
        <w:t>况表</w:t>
      </w:r>
    </w:p>
    <w:p>
      <w:pPr>
        <w:pStyle w:val="BodyText"/>
        <w:spacing w:before="20"/>
        <w:rPr>
          <w:sz w:val="2"/>
        </w:rPr>
      </w:pPr>
    </w:p>
    <w:tbl>
      <w:tblPr>
        <w:tblW w:w="0" w:type="auto"/>
        <w:jc w:val="left"/>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1"/>
        <w:gridCol w:w="3301"/>
        <w:gridCol w:w="3861"/>
        <w:gridCol w:w="685"/>
      </w:tblGrid>
      <w:tr>
        <w:trPr>
          <w:trHeight w:val="397" w:hRule="atLeast"/>
        </w:trPr>
        <w:tc>
          <w:tcPr>
            <w:tcW w:w="521" w:type="dxa"/>
            <w:tcBorders>
              <w:bottom w:val="single" w:sz="6" w:space="0" w:color="000000"/>
              <w:right w:val="single" w:sz="6" w:space="0" w:color="000000"/>
            </w:tcBorders>
          </w:tcPr>
          <w:p>
            <w:pPr>
              <w:pStyle w:val="TableParagraph"/>
              <w:spacing w:line="378" w:lineRule="exact"/>
              <w:ind w:left="30" w:right="7"/>
              <w:rPr>
                <w:sz w:val="21"/>
              </w:rPr>
            </w:pPr>
            <w:r>
              <w:rPr>
                <w:sz w:val="21"/>
              </w:rPr>
              <w:t>序号</w:t>
            </w:r>
          </w:p>
        </w:tc>
        <w:tc>
          <w:tcPr>
            <w:tcW w:w="3301" w:type="dxa"/>
            <w:tcBorders>
              <w:left w:val="single" w:sz="6" w:space="0" w:color="000000"/>
              <w:bottom w:val="single" w:sz="6" w:space="0" w:color="000000"/>
              <w:right w:val="single" w:sz="6" w:space="0" w:color="000000"/>
            </w:tcBorders>
          </w:tcPr>
          <w:p>
            <w:pPr>
              <w:pStyle w:val="TableParagraph"/>
              <w:spacing w:line="378" w:lineRule="exact"/>
              <w:ind w:left="738"/>
              <w:jc w:val="left"/>
              <w:rPr>
                <w:sz w:val="21"/>
              </w:rPr>
            </w:pPr>
            <w:r>
              <w:rPr>
                <w:sz w:val="21"/>
              </w:rPr>
              <w:t>鲁政办发</w:t>
            </w:r>
            <w:r>
              <w:rPr>
                <w:rFonts w:ascii="Times New Roman" w:eastAsia="Times New Roman"/>
                <w:sz w:val="21"/>
              </w:rPr>
              <w:t>[2008]68 </w:t>
            </w:r>
            <w:r>
              <w:rPr>
                <w:sz w:val="21"/>
              </w:rPr>
              <w:t>号规定</w:t>
            </w:r>
          </w:p>
        </w:tc>
        <w:tc>
          <w:tcPr>
            <w:tcW w:w="3861" w:type="dxa"/>
            <w:tcBorders>
              <w:left w:val="single" w:sz="6" w:space="0" w:color="000000"/>
              <w:bottom w:val="single" w:sz="6" w:space="0" w:color="000000"/>
              <w:right w:val="single" w:sz="6" w:space="0" w:color="000000"/>
            </w:tcBorders>
          </w:tcPr>
          <w:p>
            <w:pPr>
              <w:pStyle w:val="TableParagraph"/>
              <w:spacing w:line="378" w:lineRule="exact"/>
              <w:ind w:left="1746"/>
              <w:jc w:val="left"/>
              <w:rPr>
                <w:sz w:val="21"/>
              </w:rPr>
            </w:pPr>
            <w:r>
              <w:rPr>
                <w:sz w:val="21"/>
              </w:rPr>
              <w:t>工程措施</w:t>
            </w:r>
          </w:p>
        </w:tc>
        <w:tc>
          <w:tcPr>
            <w:tcW w:w="685" w:type="dxa"/>
            <w:tcBorders>
              <w:left w:val="single" w:sz="6" w:space="0" w:color="000000"/>
              <w:bottom w:val="single" w:sz="6" w:space="0" w:color="000000"/>
            </w:tcBorders>
          </w:tcPr>
          <w:p>
            <w:pPr>
              <w:pStyle w:val="TableParagraph"/>
              <w:spacing w:line="378" w:lineRule="exact"/>
              <w:ind w:right="100"/>
              <w:jc w:val="right"/>
              <w:rPr>
                <w:sz w:val="21"/>
              </w:rPr>
            </w:pPr>
            <w:r>
              <w:rPr>
                <w:sz w:val="21"/>
              </w:rPr>
              <w:t>结论</w:t>
            </w:r>
          </w:p>
        </w:tc>
      </w:tr>
      <w:tr>
        <w:trPr>
          <w:trHeight w:val="623" w:hRule="atLeast"/>
        </w:trPr>
        <w:tc>
          <w:tcPr>
            <w:tcW w:w="521" w:type="dxa"/>
            <w:tcBorders>
              <w:top w:val="single" w:sz="6" w:space="0" w:color="000000"/>
              <w:bottom w:val="single" w:sz="6" w:space="0" w:color="000000"/>
              <w:right w:val="single" w:sz="6" w:space="0" w:color="000000"/>
            </w:tcBorders>
          </w:tcPr>
          <w:p>
            <w:pPr>
              <w:pStyle w:val="TableParagraph"/>
              <w:spacing w:before="190"/>
              <w:ind w:left="18"/>
              <w:rPr>
                <w:rFonts w:ascii="Times New Roman"/>
                <w:sz w:val="21"/>
              </w:rPr>
            </w:pPr>
            <w:r>
              <w:rPr>
                <w:rFonts w:ascii="Times New Roman"/>
                <w:w w:val="100"/>
                <w:sz w:val="21"/>
              </w:rPr>
              <w:t>1</w:t>
            </w:r>
          </w:p>
        </w:tc>
        <w:tc>
          <w:tcPr>
            <w:tcW w:w="3301"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33"/>
              <w:jc w:val="left"/>
              <w:rPr>
                <w:sz w:val="21"/>
              </w:rPr>
            </w:pPr>
            <w:r>
              <w:rPr>
                <w:sz w:val="21"/>
              </w:rPr>
              <w:t>新的化工建设项目必须进入产业集</w:t>
            </w:r>
          </w:p>
          <w:p>
            <w:pPr>
              <w:pStyle w:val="TableParagraph"/>
              <w:spacing w:line="303" w:lineRule="exact"/>
              <w:ind w:left="33"/>
              <w:jc w:val="left"/>
              <w:rPr>
                <w:sz w:val="21"/>
              </w:rPr>
            </w:pPr>
            <w:r>
              <w:rPr>
                <w:sz w:val="21"/>
              </w:rPr>
              <w:t>中区或化工园区</w:t>
            </w:r>
          </w:p>
        </w:tc>
        <w:tc>
          <w:tcPr>
            <w:tcW w:w="3861" w:type="dxa"/>
            <w:tcBorders>
              <w:top w:val="single" w:sz="6" w:space="0" w:color="000000"/>
              <w:left w:val="single" w:sz="6" w:space="0" w:color="000000"/>
              <w:bottom w:val="single" w:sz="6" w:space="0" w:color="000000"/>
              <w:right w:val="single" w:sz="6" w:space="0" w:color="000000"/>
            </w:tcBorders>
          </w:tcPr>
          <w:p>
            <w:pPr>
              <w:pStyle w:val="TableParagraph"/>
              <w:spacing w:before="77"/>
              <w:ind w:left="35"/>
              <w:jc w:val="left"/>
              <w:rPr>
                <w:sz w:val="21"/>
              </w:rPr>
            </w:pPr>
            <w:r>
              <w:rPr>
                <w:sz w:val="21"/>
              </w:rPr>
              <w:t>项目位于莒南化工产业园，属于化工园区</w:t>
            </w:r>
          </w:p>
        </w:tc>
        <w:tc>
          <w:tcPr>
            <w:tcW w:w="685" w:type="dxa"/>
            <w:tcBorders>
              <w:top w:val="single" w:sz="6" w:space="0" w:color="000000"/>
              <w:left w:val="single" w:sz="6" w:space="0" w:color="000000"/>
              <w:bottom w:val="single" w:sz="6" w:space="0" w:color="000000"/>
            </w:tcBorders>
          </w:tcPr>
          <w:p>
            <w:pPr>
              <w:pStyle w:val="TableParagraph"/>
              <w:spacing w:before="77"/>
              <w:ind w:left="-125" w:right="100"/>
              <w:jc w:val="right"/>
              <w:rPr>
                <w:sz w:val="21"/>
              </w:rPr>
            </w:pPr>
            <w:r>
              <w:rPr>
                <w:sz w:val="21"/>
              </w:rPr>
              <w:t>。 符合</w:t>
            </w:r>
          </w:p>
        </w:tc>
      </w:tr>
      <w:tr>
        <w:trPr>
          <w:trHeight w:val="315" w:hRule="atLeast"/>
        </w:trPr>
        <w:tc>
          <w:tcPr>
            <w:tcW w:w="521" w:type="dxa"/>
            <w:tcBorders>
              <w:top w:val="single" w:sz="6" w:space="0" w:color="000000"/>
              <w:bottom w:val="nil"/>
              <w:right w:val="single" w:sz="6" w:space="0" w:color="000000"/>
            </w:tcBorders>
          </w:tcPr>
          <w:p>
            <w:pPr>
              <w:pStyle w:val="TableParagraph"/>
              <w:jc w:val="left"/>
              <w:rPr>
                <w:rFonts w:ascii="Times New Roman"/>
                <w:sz w:val="20"/>
              </w:rPr>
            </w:pPr>
          </w:p>
        </w:tc>
        <w:tc>
          <w:tcPr>
            <w:tcW w:w="3301" w:type="dxa"/>
            <w:tcBorders>
              <w:top w:val="single" w:sz="6" w:space="0" w:color="000000"/>
              <w:left w:val="single" w:sz="6" w:space="0" w:color="000000"/>
              <w:bottom w:val="nil"/>
              <w:right w:val="single" w:sz="6" w:space="0" w:color="000000"/>
            </w:tcBorders>
          </w:tcPr>
          <w:p>
            <w:pPr>
              <w:pStyle w:val="TableParagraph"/>
              <w:spacing w:line="295" w:lineRule="exact"/>
              <w:ind w:left="33"/>
              <w:jc w:val="left"/>
              <w:rPr>
                <w:sz w:val="21"/>
              </w:rPr>
            </w:pPr>
            <w:r>
              <w:rPr>
                <w:sz w:val="21"/>
              </w:rPr>
              <w:t>强力推进危险工艺生产装置安装安</w:t>
            </w:r>
          </w:p>
        </w:tc>
        <w:tc>
          <w:tcPr>
            <w:tcW w:w="3861" w:type="dxa"/>
            <w:tcBorders>
              <w:top w:val="single" w:sz="6" w:space="0" w:color="000000"/>
              <w:left w:val="single" w:sz="6" w:space="0" w:color="000000"/>
              <w:bottom w:val="nil"/>
              <w:right w:val="single" w:sz="6" w:space="0" w:color="000000"/>
            </w:tcBorders>
          </w:tcPr>
          <w:p>
            <w:pPr>
              <w:pStyle w:val="TableParagraph"/>
              <w:spacing w:line="295" w:lineRule="exact"/>
              <w:ind w:left="35"/>
              <w:jc w:val="left"/>
              <w:rPr>
                <w:sz w:val="21"/>
              </w:rPr>
            </w:pPr>
            <w:r>
              <w:rPr>
                <w:sz w:val="21"/>
              </w:rPr>
              <w:t>项目采用国内先进的工艺和设备，设计安</w:t>
            </w:r>
          </w:p>
        </w:tc>
        <w:tc>
          <w:tcPr>
            <w:tcW w:w="685" w:type="dxa"/>
            <w:tcBorders>
              <w:top w:val="single" w:sz="6" w:space="0" w:color="000000"/>
              <w:left w:val="single" w:sz="6" w:space="0" w:color="000000"/>
              <w:bottom w:val="nil"/>
            </w:tcBorders>
          </w:tcPr>
          <w:p>
            <w:pPr>
              <w:pStyle w:val="TableParagraph"/>
              <w:jc w:val="left"/>
              <w:rPr>
                <w:rFonts w:ascii="Times New Roman"/>
                <w:sz w:val="20"/>
              </w:rPr>
            </w:pPr>
          </w:p>
        </w:tc>
      </w:tr>
      <w:tr>
        <w:trPr>
          <w:trHeight w:val="307" w:hRule="atLeast"/>
        </w:trPr>
        <w:tc>
          <w:tcPr>
            <w:tcW w:w="521" w:type="dxa"/>
            <w:tcBorders>
              <w:top w:val="nil"/>
              <w:bottom w:val="nil"/>
              <w:right w:val="single" w:sz="6" w:space="0" w:color="000000"/>
            </w:tcBorders>
          </w:tcPr>
          <w:p>
            <w:pPr>
              <w:pStyle w:val="TableParagraph"/>
              <w:jc w:val="left"/>
              <w:rPr>
                <w:rFonts w:ascii="Times New Roman"/>
                <w:sz w:val="20"/>
              </w:rPr>
            </w:pPr>
          </w:p>
        </w:tc>
        <w:tc>
          <w:tcPr>
            <w:tcW w:w="3301" w:type="dxa"/>
            <w:tcBorders>
              <w:top w:val="nil"/>
              <w:left w:val="single" w:sz="6" w:space="0" w:color="000000"/>
              <w:bottom w:val="nil"/>
              <w:right w:val="single" w:sz="6" w:space="0" w:color="000000"/>
            </w:tcBorders>
          </w:tcPr>
          <w:p>
            <w:pPr>
              <w:pStyle w:val="TableParagraph"/>
              <w:spacing w:line="288" w:lineRule="exact"/>
              <w:ind w:left="33"/>
              <w:jc w:val="left"/>
              <w:rPr>
                <w:sz w:val="21"/>
              </w:rPr>
            </w:pPr>
            <w:r>
              <w:rPr>
                <w:sz w:val="21"/>
              </w:rPr>
              <w:t>全自动控制或安全联锁报警装置。</w:t>
            </w:r>
          </w:p>
        </w:tc>
        <w:tc>
          <w:tcPr>
            <w:tcW w:w="3861" w:type="dxa"/>
            <w:tcBorders>
              <w:top w:val="nil"/>
              <w:left w:val="single" w:sz="6" w:space="0" w:color="000000"/>
              <w:bottom w:val="nil"/>
              <w:right w:val="single" w:sz="6" w:space="0" w:color="000000"/>
            </w:tcBorders>
          </w:tcPr>
          <w:p>
            <w:pPr>
              <w:pStyle w:val="TableParagraph"/>
              <w:spacing w:line="288" w:lineRule="exact"/>
              <w:ind w:left="35"/>
              <w:jc w:val="left"/>
              <w:rPr>
                <w:sz w:val="21"/>
              </w:rPr>
            </w:pPr>
            <w:r>
              <w:rPr>
                <w:sz w:val="21"/>
              </w:rPr>
              <w:t>装安全自动控制系统和安全联锁报警装</w:t>
            </w:r>
          </w:p>
        </w:tc>
        <w:tc>
          <w:tcPr>
            <w:tcW w:w="685" w:type="dxa"/>
            <w:tcBorders>
              <w:top w:val="nil"/>
              <w:left w:val="single" w:sz="6" w:space="0" w:color="000000"/>
              <w:bottom w:val="nil"/>
            </w:tcBorders>
          </w:tcPr>
          <w:p>
            <w:pPr>
              <w:pStyle w:val="TableParagraph"/>
              <w:jc w:val="left"/>
              <w:rPr>
                <w:rFonts w:ascii="Times New Roman"/>
                <w:sz w:val="20"/>
              </w:rPr>
            </w:pPr>
          </w:p>
        </w:tc>
      </w:tr>
      <w:tr>
        <w:trPr>
          <w:trHeight w:val="939" w:hRule="atLeast"/>
        </w:trPr>
        <w:tc>
          <w:tcPr>
            <w:tcW w:w="521" w:type="dxa"/>
            <w:tcBorders>
              <w:top w:val="nil"/>
              <w:bottom w:val="single" w:sz="6" w:space="0" w:color="000000"/>
              <w:right w:val="single" w:sz="6" w:space="0" w:color="000000"/>
            </w:tcBorders>
          </w:tcPr>
          <w:p>
            <w:pPr>
              <w:pStyle w:val="TableParagraph"/>
              <w:spacing w:before="38"/>
              <w:ind w:left="18"/>
              <w:rPr>
                <w:rFonts w:ascii="Times New Roman"/>
                <w:sz w:val="21"/>
              </w:rPr>
            </w:pPr>
            <w:r>
              <w:rPr>
                <w:rFonts w:ascii="Times New Roman"/>
                <w:w w:val="100"/>
                <w:sz w:val="21"/>
              </w:rPr>
              <w:t>2</w:t>
            </w:r>
          </w:p>
        </w:tc>
        <w:tc>
          <w:tcPr>
            <w:tcW w:w="3301" w:type="dxa"/>
            <w:tcBorders>
              <w:top w:val="nil"/>
              <w:left w:val="single" w:sz="6" w:space="0" w:color="000000"/>
              <w:bottom w:val="single" w:sz="6" w:space="0" w:color="000000"/>
              <w:right w:val="single" w:sz="6" w:space="0" w:color="000000"/>
            </w:tcBorders>
          </w:tcPr>
          <w:p>
            <w:pPr>
              <w:pStyle w:val="TableParagraph"/>
              <w:spacing w:line="168" w:lineRule="auto" w:before="19"/>
              <w:ind w:left="33" w:right="1"/>
              <w:jc w:val="left"/>
              <w:rPr>
                <w:sz w:val="21"/>
              </w:rPr>
            </w:pPr>
            <w:r>
              <w:rPr>
                <w:sz w:val="21"/>
              </w:rPr>
              <w:t>要把涉及硝化、氧化、磺化等危险工艺</w:t>
            </w:r>
            <w:r>
              <w:rPr>
                <w:rFonts w:ascii="Times New Roman" w:eastAsia="Times New Roman"/>
                <w:sz w:val="21"/>
              </w:rPr>
              <w:t>(</w:t>
            </w:r>
            <w:r>
              <w:rPr>
                <w:sz w:val="21"/>
              </w:rPr>
              <w:t>以下统称危险工艺</w:t>
            </w:r>
            <w:r>
              <w:rPr>
                <w:rFonts w:ascii="Times New Roman" w:eastAsia="Times New Roman"/>
                <w:sz w:val="21"/>
              </w:rPr>
              <w:t>)</w:t>
            </w:r>
            <w:r>
              <w:rPr>
                <w:sz w:val="21"/>
              </w:rPr>
              <w:t>的生产装</w:t>
            </w:r>
          </w:p>
          <w:p>
            <w:pPr>
              <w:pStyle w:val="TableParagraph"/>
              <w:spacing w:line="277" w:lineRule="exact"/>
              <w:ind w:left="33"/>
              <w:jc w:val="left"/>
              <w:rPr>
                <w:sz w:val="21"/>
              </w:rPr>
            </w:pPr>
            <w:r>
              <w:rPr>
                <w:sz w:val="21"/>
              </w:rPr>
              <w:t>置实现安全自动控制。</w:t>
            </w:r>
          </w:p>
        </w:tc>
        <w:tc>
          <w:tcPr>
            <w:tcW w:w="3861" w:type="dxa"/>
            <w:tcBorders>
              <w:top w:val="nil"/>
              <w:left w:val="single" w:sz="6" w:space="0" w:color="000000"/>
              <w:bottom w:val="single" w:sz="6" w:space="0" w:color="000000"/>
              <w:right w:val="single" w:sz="6" w:space="0" w:color="000000"/>
            </w:tcBorders>
          </w:tcPr>
          <w:p>
            <w:pPr>
              <w:pStyle w:val="TableParagraph"/>
              <w:spacing w:line="168" w:lineRule="auto" w:before="19"/>
              <w:ind w:left="35" w:right="3"/>
              <w:jc w:val="left"/>
              <w:rPr>
                <w:sz w:val="21"/>
              </w:rPr>
            </w:pPr>
            <w:r>
              <w:rPr>
                <w:sz w:val="21"/>
              </w:rPr>
              <w:t>置、紧急停车系统。本项目生产中涉及到硝化工艺，将严格按照相关要求实现自动</w:t>
            </w:r>
          </w:p>
          <w:p>
            <w:pPr>
              <w:pStyle w:val="TableParagraph"/>
              <w:spacing w:line="277" w:lineRule="exact"/>
              <w:ind w:left="35"/>
              <w:jc w:val="left"/>
              <w:rPr>
                <w:sz w:val="21"/>
              </w:rPr>
            </w:pPr>
            <w:r>
              <w:rPr>
                <w:sz w:val="21"/>
              </w:rPr>
              <w:t>安全控制</w:t>
            </w:r>
          </w:p>
        </w:tc>
        <w:tc>
          <w:tcPr>
            <w:tcW w:w="685" w:type="dxa"/>
            <w:tcBorders>
              <w:top w:val="nil"/>
              <w:left w:val="single" w:sz="6" w:space="0" w:color="000000"/>
              <w:bottom w:val="single" w:sz="6" w:space="0" w:color="000000"/>
            </w:tcBorders>
          </w:tcPr>
          <w:p>
            <w:pPr>
              <w:pStyle w:val="TableParagraph"/>
              <w:spacing w:line="371" w:lineRule="exact"/>
              <w:ind w:right="100"/>
              <w:jc w:val="right"/>
              <w:rPr>
                <w:sz w:val="21"/>
              </w:rPr>
            </w:pPr>
            <w:r>
              <w:rPr>
                <w:sz w:val="21"/>
              </w:rPr>
              <w:t>符合</w:t>
            </w:r>
          </w:p>
        </w:tc>
      </w:tr>
      <w:tr>
        <w:trPr>
          <w:trHeight w:val="312" w:hRule="atLeast"/>
        </w:trPr>
        <w:tc>
          <w:tcPr>
            <w:tcW w:w="521" w:type="dxa"/>
            <w:tcBorders>
              <w:top w:val="single" w:sz="6" w:space="0" w:color="000000"/>
              <w:bottom w:val="nil"/>
              <w:right w:val="single" w:sz="6" w:space="0" w:color="000000"/>
            </w:tcBorders>
          </w:tcPr>
          <w:p>
            <w:pPr>
              <w:pStyle w:val="TableParagraph"/>
              <w:jc w:val="left"/>
              <w:rPr>
                <w:rFonts w:ascii="Times New Roman"/>
                <w:sz w:val="20"/>
              </w:rPr>
            </w:pPr>
          </w:p>
        </w:tc>
        <w:tc>
          <w:tcPr>
            <w:tcW w:w="3301" w:type="dxa"/>
            <w:tcBorders>
              <w:top w:val="single" w:sz="6" w:space="0" w:color="000000"/>
              <w:left w:val="single" w:sz="6" w:space="0" w:color="000000"/>
              <w:bottom w:val="nil"/>
              <w:right w:val="single" w:sz="6" w:space="0" w:color="000000"/>
            </w:tcBorders>
          </w:tcPr>
          <w:p>
            <w:pPr>
              <w:pStyle w:val="TableParagraph"/>
              <w:spacing w:line="293" w:lineRule="exact"/>
              <w:ind w:left="33"/>
              <w:jc w:val="left"/>
              <w:rPr>
                <w:sz w:val="21"/>
              </w:rPr>
            </w:pPr>
            <w:r>
              <w:rPr>
                <w:sz w:val="21"/>
              </w:rPr>
              <w:t>危险化学品生产企业主要负责人、</w:t>
            </w:r>
          </w:p>
        </w:tc>
        <w:tc>
          <w:tcPr>
            <w:tcW w:w="386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685" w:type="dxa"/>
            <w:tcBorders>
              <w:top w:val="single" w:sz="6" w:space="0" w:color="000000"/>
              <w:left w:val="single" w:sz="6" w:space="0" w:color="000000"/>
              <w:bottom w:val="nil"/>
            </w:tcBorders>
          </w:tcPr>
          <w:p>
            <w:pPr>
              <w:pStyle w:val="TableParagraph"/>
              <w:jc w:val="left"/>
              <w:rPr>
                <w:rFonts w:ascii="Times New Roman"/>
                <w:sz w:val="20"/>
              </w:rPr>
            </w:pPr>
          </w:p>
        </w:tc>
      </w:tr>
      <w:tr>
        <w:trPr>
          <w:trHeight w:val="1246" w:hRule="atLeast"/>
        </w:trPr>
        <w:tc>
          <w:tcPr>
            <w:tcW w:w="521" w:type="dxa"/>
            <w:tcBorders>
              <w:top w:val="nil"/>
              <w:bottom w:val="single" w:sz="6" w:space="0" w:color="000000"/>
              <w:right w:val="single" w:sz="6" w:space="0" w:color="000000"/>
            </w:tcBorders>
          </w:tcPr>
          <w:p>
            <w:pPr>
              <w:pStyle w:val="TableParagraph"/>
              <w:spacing w:before="6"/>
              <w:jc w:val="left"/>
              <w:rPr>
                <w:sz w:val="16"/>
              </w:rPr>
            </w:pPr>
          </w:p>
          <w:p>
            <w:pPr>
              <w:pStyle w:val="TableParagraph"/>
              <w:ind w:left="18"/>
              <w:rPr>
                <w:rFonts w:ascii="Times New Roman"/>
                <w:sz w:val="21"/>
              </w:rPr>
            </w:pPr>
            <w:r>
              <w:rPr>
                <w:rFonts w:ascii="Times New Roman"/>
                <w:w w:val="100"/>
                <w:sz w:val="21"/>
              </w:rPr>
              <w:t>3</w:t>
            </w:r>
          </w:p>
        </w:tc>
        <w:tc>
          <w:tcPr>
            <w:tcW w:w="3301" w:type="dxa"/>
            <w:tcBorders>
              <w:top w:val="nil"/>
              <w:left w:val="single" w:sz="6" w:space="0" w:color="000000"/>
              <w:bottom w:val="single" w:sz="6" w:space="0" w:color="000000"/>
              <w:right w:val="single" w:sz="6" w:space="0" w:color="000000"/>
            </w:tcBorders>
          </w:tcPr>
          <w:p>
            <w:pPr>
              <w:pStyle w:val="TableParagraph"/>
              <w:spacing w:line="168" w:lineRule="auto" w:before="14"/>
              <w:ind w:left="33" w:right="2"/>
              <w:jc w:val="both"/>
              <w:rPr>
                <w:sz w:val="21"/>
              </w:rPr>
            </w:pPr>
            <w:r>
              <w:rPr>
                <w:sz w:val="21"/>
              </w:rPr>
              <w:t>安全负责人、技术负责人中至少有一人具有国民教育化工专业本科以上学历，并有 </w:t>
            </w:r>
            <w:r>
              <w:rPr>
                <w:rFonts w:ascii="Times New Roman" w:eastAsia="Times New Roman"/>
                <w:sz w:val="21"/>
              </w:rPr>
              <w:t>3 </w:t>
            </w:r>
            <w:r>
              <w:rPr>
                <w:sz w:val="21"/>
              </w:rPr>
              <w:t>年以上化工行业从</w:t>
            </w:r>
          </w:p>
          <w:p>
            <w:pPr>
              <w:pStyle w:val="TableParagraph"/>
              <w:spacing w:line="278" w:lineRule="exact"/>
              <w:ind w:left="33"/>
              <w:jc w:val="both"/>
              <w:rPr>
                <w:sz w:val="21"/>
              </w:rPr>
            </w:pPr>
            <w:r>
              <w:rPr>
                <w:sz w:val="21"/>
              </w:rPr>
              <w:t>业经历</w:t>
            </w:r>
          </w:p>
        </w:tc>
        <w:tc>
          <w:tcPr>
            <w:tcW w:w="3861" w:type="dxa"/>
            <w:tcBorders>
              <w:top w:val="nil"/>
              <w:left w:val="single" w:sz="6" w:space="0" w:color="000000"/>
              <w:bottom w:val="single" w:sz="6" w:space="0" w:color="000000"/>
              <w:right w:val="single" w:sz="6" w:space="0" w:color="000000"/>
            </w:tcBorders>
          </w:tcPr>
          <w:p>
            <w:pPr>
              <w:pStyle w:val="TableParagraph"/>
              <w:spacing w:line="168" w:lineRule="auto" w:before="170"/>
              <w:ind w:left="35" w:right="2"/>
              <w:jc w:val="left"/>
              <w:rPr>
                <w:sz w:val="21"/>
              </w:rPr>
            </w:pPr>
            <w:r>
              <w:rPr>
                <w:sz w:val="21"/>
              </w:rPr>
              <w:t>该公司技术员已进行多年相关产品的加工生产经营，有丰富的化工生产和管理经验</w:t>
            </w:r>
          </w:p>
        </w:tc>
        <w:tc>
          <w:tcPr>
            <w:tcW w:w="685" w:type="dxa"/>
            <w:tcBorders>
              <w:top w:val="nil"/>
              <w:left w:val="single" w:sz="6" w:space="0" w:color="000000"/>
              <w:bottom w:val="single" w:sz="6" w:space="0" w:color="000000"/>
            </w:tcBorders>
          </w:tcPr>
          <w:p>
            <w:pPr>
              <w:pStyle w:val="TableParagraph"/>
              <w:spacing w:before="21"/>
              <w:jc w:val="left"/>
              <w:rPr>
                <w:sz w:val="10"/>
              </w:rPr>
            </w:pPr>
          </w:p>
          <w:p>
            <w:pPr>
              <w:pStyle w:val="TableParagraph"/>
              <w:ind w:right="100"/>
              <w:jc w:val="right"/>
              <w:rPr>
                <w:sz w:val="21"/>
              </w:rPr>
            </w:pPr>
            <w:r>
              <w:rPr>
                <w:sz w:val="21"/>
              </w:rPr>
              <w:t>符合</w:t>
            </w:r>
          </w:p>
        </w:tc>
      </w:tr>
      <w:tr>
        <w:trPr>
          <w:trHeight w:val="312" w:hRule="atLeast"/>
        </w:trPr>
        <w:tc>
          <w:tcPr>
            <w:tcW w:w="521" w:type="dxa"/>
            <w:tcBorders>
              <w:top w:val="single" w:sz="6" w:space="0" w:color="000000"/>
              <w:bottom w:val="nil"/>
              <w:right w:val="single" w:sz="6" w:space="0" w:color="000000"/>
            </w:tcBorders>
          </w:tcPr>
          <w:p>
            <w:pPr>
              <w:pStyle w:val="TableParagraph"/>
              <w:jc w:val="left"/>
              <w:rPr>
                <w:rFonts w:ascii="Times New Roman"/>
                <w:sz w:val="20"/>
              </w:rPr>
            </w:pPr>
          </w:p>
        </w:tc>
        <w:tc>
          <w:tcPr>
            <w:tcW w:w="3301" w:type="dxa"/>
            <w:tcBorders>
              <w:top w:val="single" w:sz="6" w:space="0" w:color="000000"/>
              <w:left w:val="single" w:sz="6" w:space="0" w:color="000000"/>
              <w:bottom w:val="nil"/>
              <w:right w:val="single" w:sz="6" w:space="0" w:color="000000"/>
            </w:tcBorders>
          </w:tcPr>
          <w:p>
            <w:pPr>
              <w:pStyle w:val="TableParagraph"/>
              <w:spacing w:line="293" w:lineRule="exact"/>
              <w:ind w:left="33"/>
              <w:jc w:val="left"/>
              <w:rPr>
                <w:sz w:val="21"/>
              </w:rPr>
            </w:pPr>
            <w:r>
              <w:rPr>
                <w:sz w:val="21"/>
              </w:rPr>
              <w:t>在危险化学品槽车充装环节，推广</w:t>
            </w:r>
          </w:p>
        </w:tc>
        <w:tc>
          <w:tcPr>
            <w:tcW w:w="386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685" w:type="dxa"/>
            <w:tcBorders>
              <w:top w:val="single" w:sz="6" w:space="0" w:color="000000"/>
              <w:left w:val="single" w:sz="6" w:space="0" w:color="000000"/>
              <w:bottom w:val="nil"/>
            </w:tcBorders>
          </w:tcPr>
          <w:p>
            <w:pPr>
              <w:pStyle w:val="TableParagraph"/>
              <w:jc w:val="left"/>
              <w:rPr>
                <w:rFonts w:ascii="Times New Roman"/>
                <w:sz w:val="20"/>
              </w:rPr>
            </w:pPr>
          </w:p>
        </w:tc>
      </w:tr>
      <w:tr>
        <w:trPr>
          <w:trHeight w:val="307" w:hRule="atLeast"/>
        </w:trPr>
        <w:tc>
          <w:tcPr>
            <w:tcW w:w="521" w:type="dxa"/>
            <w:tcBorders>
              <w:top w:val="nil"/>
              <w:bottom w:val="nil"/>
              <w:right w:val="single" w:sz="6" w:space="0" w:color="000000"/>
            </w:tcBorders>
          </w:tcPr>
          <w:p>
            <w:pPr>
              <w:pStyle w:val="TableParagraph"/>
              <w:jc w:val="left"/>
              <w:rPr>
                <w:rFonts w:ascii="Times New Roman"/>
                <w:sz w:val="20"/>
              </w:rPr>
            </w:pPr>
          </w:p>
        </w:tc>
        <w:tc>
          <w:tcPr>
            <w:tcW w:w="3301" w:type="dxa"/>
            <w:tcBorders>
              <w:top w:val="nil"/>
              <w:left w:val="single" w:sz="6" w:space="0" w:color="000000"/>
              <w:bottom w:val="nil"/>
              <w:right w:val="single" w:sz="6" w:space="0" w:color="000000"/>
            </w:tcBorders>
          </w:tcPr>
          <w:p>
            <w:pPr>
              <w:pStyle w:val="TableParagraph"/>
              <w:spacing w:line="287" w:lineRule="exact"/>
              <w:ind w:left="33"/>
              <w:jc w:val="left"/>
              <w:rPr>
                <w:sz w:val="21"/>
              </w:rPr>
            </w:pPr>
            <w:r>
              <w:rPr>
                <w:sz w:val="21"/>
              </w:rPr>
              <w:t>使用万向充装管道系统代替充装软</w:t>
            </w:r>
          </w:p>
        </w:tc>
        <w:tc>
          <w:tcPr>
            <w:tcW w:w="3861" w:type="dxa"/>
            <w:tcBorders>
              <w:top w:val="nil"/>
              <w:left w:val="single" w:sz="6" w:space="0" w:color="000000"/>
              <w:bottom w:val="nil"/>
              <w:right w:val="single" w:sz="6" w:space="0" w:color="000000"/>
            </w:tcBorders>
          </w:tcPr>
          <w:p>
            <w:pPr>
              <w:pStyle w:val="TableParagraph"/>
              <w:spacing w:line="287" w:lineRule="exact"/>
              <w:ind w:left="35"/>
              <w:jc w:val="left"/>
              <w:rPr>
                <w:sz w:val="21"/>
              </w:rPr>
            </w:pPr>
            <w:r>
              <w:rPr>
                <w:sz w:val="21"/>
              </w:rPr>
              <w:t>生产用危险原料全部用槽罐车运输，生产</w:t>
            </w:r>
          </w:p>
        </w:tc>
        <w:tc>
          <w:tcPr>
            <w:tcW w:w="685" w:type="dxa"/>
            <w:tcBorders>
              <w:top w:val="nil"/>
              <w:left w:val="single" w:sz="6" w:space="0" w:color="000000"/>
              <w:bottom w:val="nil"/>
            </w:tcBorders>
          </w:tcPr>
          <w:p>
            <w:pPr>
              <w:pStyle w:val="TableParagraph"/>
              <w:jc w:val="left"/>
              <w:rPr>
                <w:rFonts w:ascii="Times New Roman"/>
                <w:sz w:val="20"/>
              </w:rPr>
            </w:pPr>
          </w:p>
        </w:tc>
      </w:tr>
      <w:tr>
        <w:trPr>
          <w:trHeight w:val="323" w:hRule="atLeast"/>
        </w:trPr>
        <w:tc>
          <w:tcPr>
            <w:tcW w:w="521" w:type="dxa"/>
            <w:tcBorders>
              <w:top w:val="nil"/>
              <w:bottom w:val="nil"/>
              <w:right w:val="single" w:sz="6" w:space="0" w:color="000000"/>
            </w:tcBorders>
          </w:tcPr>
          <w:p>
            <w:pPr>
              <w:pStyle w:val="TableParagraph"/>
              <w:spacing w:before="38"/>
              <w:ind w:left="18"/>
              <w:rPr>
                <w:rFonts w:ascii="Times New Roman"/>
                <w:sz w:val="21"/>
              </w:rPr>
            </w:pPr>
            <w:r>
              <w:rPr>
                <w:rFonts w:ascii="Times New Roman"/>
                <w:w w:val="100"/>
                <w:sz w:val="21"/>
              </w:rPr>
              <w:t>4</w:t>
            </w:r>
          </w:p>
        </w:tc>
        <w:tc>
          <w:tcPr>
            <w:tcW w:w="3301" w:type="dxa"/>
            <w:tcBorders>
              <w:top w:val="nil"/>
              <w:left w:val="single" w:sz="6" w:space="0" w:color="000000"/>
              <w:bottom w:val="nil"/>
              <w:right w:val="single" w:sz="6" w:space="0" w:color="000000"/>
            </w:tcBorders>
          </w:tcPr>
          <w:p>
            <w:pPr>
              <w:pStyle w:val="TableParagraph"/>
              <w:spacing w:line="304" w:lineRule="exact"/>
              <w:ind w:left="33"/>
              <w:jc w:val="left"/>
              <w:rPr>
                <w:sz w:val="21"/>
              </w:rPr>
            </w:pPr>
            <w:r>
              <w:rPr>
                <w:sz w:val="21"/>
              </w:rPr>
              <w:t>管，禁止使用软管充装液氯、液氨</w:t>
            </w:r>
          </w:p>
        </w:tc>
        <w:tc>
          <w:tcPr>
            <w:tcW w:w="3861" w:type="dxa"/>
            <w:tcBorders>
              <w:top w:val="nil"/>
              <w:left w:val="single" w:sz="6" w:space="0" w:color="000000"/>
              <w:bottom w:val="nil"/>
              <w:right w:val="single" w:sz="6" w:space="0" w:color="000000"/>
            </w:tcBorders>
          </w:tcPr>
          <w:p>
            <w:pPr>
              <w:pStyle w:val="TableParagraph"/>
              <w:spacing w:line="304" w:lineRule="exact"/>
              <w:ind w:left="35"/>
              <w:jc w:val="left"/>
              <w:rPr>
                <w:sz w:val="21"/>
              </w:rPr>
            </w:pPr>
            <w:r>
              <w:rPr>
                <w:sz w:val="21"/>
              </w:rPr>
              <w:t>过程中，原料采用不锈钢管输送，不使用</w:t>
            </w:r>
          </w:p>
        </w:tc>
        <w:tc>
          <w:tcPr>
            <w:tcW w:w="685" w:type="dxa"/>
            <w:tcBorders>
              <w:top w:val="nil"/>
              <w:left w:val="single" w:sz="6" w:space="0" w:color="000000"/>
              <w:bottom w:val="nil"/>
            </w:tcBorders>
          </w:tcPr>
          <w:p>
            <w:pPr>
              <w:pStyle w:val="TableParagraph"/>
              <w:spacing w:line="304" w:lineRule="exact"/>
              <w:ind w:right="100"/>
              <w:jc w:val="right"/>
              <w:rPr>
                <w:sz w:val="21"/>
              </w:rPr>
            </w:pPr>
            <w:r>
              <w:rPr>
                <w:sz w:val="21"/>
              </w:rPr>
              <w:t>符合</w:t>
            </w:r>
          </w:p>
        </w:tc>
      </w:tr>
      <w:tr>
        <w:trPr>
          <w:trHeight w:val="305" w:hRule="atLeast"/>
        </w:trPr>
        <w:tc>
          <w:tcPr>
            <w:tcW w:w="521" w:type="dxa"/>
            <w:tcBorders>
              <w:top w:val="nil"/>
              <w:bottom w:val="nil"/>
              <w:right w:val="single" w:sz="6" w:space="0" w:color="000000"/>
            </w:tcBorders>
          </w:tcPr>
          <w:p>
            <w:pPr>
              <w:pStyle w:val="TableParagraph"/>
              <w:jc w:val="left"/>
              <w:rPr>
                <w:rFonts w:ascii="Times New Roman"/>
                <w:sz w:val="20"/>
              </w:rPr>
            </w:pPr>
          </w:p>
        </w:tc>
        <w:tc>
          <w:tcPr>
            <w:tcW w:w="3301" w:type="dxa"/>
            <w:tcBorders>
              <w:top w:val="nil"/>
              <w:left w:val="single" w:sz="6" w:space="0" w:color="000000"/>
              <w:bottom w:val="nil"/>
              <w:right w:val="single" w:sz="6" w:space="0" w:color="000000"/>
            </w:tcBorders>
          </w:tcPr>
          <w:p>
            <w:pPr>
              <w:pStyle w:val="TableParagraph"/>
              <w:spacing w:line="286" w:lineRule="exact"/>
              <w:ind w:left="33"/>
              <w:jc w:val="left"/>
              <w:rPr>
                <w:sz w:val="21"/>
              </w:rPr>
            </w:pPr>
            <w:r>
              <w:rPr>
                <w:sz w:val="21"/>
              </w:rPr>
              <w:t>液化石油气、液化天然气等液化危</w:t>
            </w:r>
          </w:p>
        </w:tc>
        <w:tc>
          <w:tcPr>
            <w:tcW w:w="3861" w:type="dxa"/>
            <w:tcBorders>
              <w:top w:val="nil"/>
              <w:left w:val="single" w:sz="6" w:space="0" w:color="000000"/>
              <w:bottom w:val="nil"/>
              <w:right w:val="single" w:sz="6" w:space="0" w:color="000000"/>
            </w:tcBorders>
          </w:tcPr>
          <w:p>
            <w:pPr>
              <w:pStyle w:val="TableParagraph"/>
              <w:spacing w:line="286" w:lineRule="exact"/>
              <w:ind w:left="35"/>
              <w:jc w:val="left"/>
              <w:rPr>
                <w:sz w:val="21"/>
              </w:rPr>
            </w:pPr>
            <w:r>
              <w:rPr>
                <w:sz w:val="21"/>
              </w:rPr>
              <w:t>软管进行冲装</w:t>
            </w:r>
          </w:p>
        </w:tc>
        <w:tc>
          <w:tcPr>
            <w:tcW w:w="685" w:type="dxa"/>
            <w:tcBorders>
              <w:top w:val="nil"/>
              <w:left w:val="single" w:sz="6" w:space="0" w:color="000000"/>
              <w:bottom w:val="nil"/>
            </w:tcBorders>
          </w:tcPr>
          <w:p>
            <w:pPr>
              <w:pStyle w:val="TableParagraph"/>
              <w:jc w:val="left"/>
              <w:rPr>
                <w:rFonts w:ascii="Times New Roman"/>
                <w:sz w:val="20"/>
              </w:rPr>
            </w:pPr>
          </w:p>
        </w:tc>
      </w:tr>
      <w:tr>
        <w:trPr>
          <w:trHeight w:val="310" w:hRule="atLeast"/>
        </w:trPr>
        <w:tc>
          <w:tcPr>
            <w:tcW w:w="521" w:type="dxa"/>
            <w:tcBorders>
              <w:top w:val="nil"/>
              <w:bottom w:val="single" w:sz="6" w:space="0" w:color="000000"/>
              <w:right w:val="single" w:sz="6" w:space="0" w:color="000000"/>
            </w:tcBorders>
          </w:tcPr>
          <w:p>
            <w:pPr>
              <w:pStyle w:val="TableParagraph"/>
              <w:jc w:val="left"/>
              <w:rPr>
                <w:rFonts w:ascii="Times New Roman"/>
                <w:sz w:val="20"/>
              </w:rPr>
            </w:pPr>
          </w:p>
        </w:tc>
        <w:tc>
          <w:tcPr>
            <w:tcW w:w="3301" w:type="dxa"/>
            <w:tcBorders>
              <w:top w:val="nil"/>
              <w:left w:val="single" w:sz="6" w:space="0" w:color="000000"/>
              <w:bottom w:val="single" w:sz="6" w:space="0" w:color="000000"/>
              <w:right w:val="single" w:sz="6" w:space="0" w:color="000000"/>
            </w:tcBorders>
          </w:tcPr>
          <w:p>
            <w:pPr>
              <w:pStyle w:val="TableParagraph"/>
              <w:spacing w:line="291" w:lineRule="exact"/>
              <w:ind w:left="33"/>
              <w:jc w:val="left"/>
              <w:rPr>
                <w:sz w:val="21"/>
              </w:rPr>
            </w:pPr>
            <w:r>
              <w:rPr>
                <w:sz w:val="21"/>
              </w:rPr>
              <w:t>险化学品。</w:t>
            </w:r>
          </w:p>
        </w:tc>
        <w:tc>
          <w:tcPr>
            <w:tcW w:w="386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685" w:type="dxa"/>
            <w:tcBorders>
              <w:top w:val="nil"/>
              <w:left w:val="single" w:sz="6" w:space="0" w:color="000000"/>
              <w:bottom w:val="single" w:sz="6" w:space="0" w:color="000000"/>
            </w:tcBorders>
          </w:tcPr>
          <w:p>
            <w:pPr>
              <w:pStyle w:val="TableParagraph"/>
              <w:jc w:val="left"/>
              <w:rPr>
                <w:rFonts w:ascii="Times New Roman"/>
                <w:sz w:val="20"/>
              </w:rPr>
            </w:pPr>
          </w:p>
        </w:tc>
      </w:tr>
      <w:tr>
        <w:trPr>
          <w:trHeight w:val="312" w:hRule="atLeast"/>
        </w:trPr>
        <w:tc>
          <w:tcPr>
            <w:tcW w:w="521" w:type="dxa"/>
            <w:tcBorders>
              <w:top w:val="single" w:sz="6" w:space="0" w:color="000000"/>
              <w:bottom w:val="nil"/>
              <w:right w:val="single" w:sz="6" w:space="0" w:color="000000"/>
            </w:tcBorders>
          </w:tcPr>
          <w:p>
            <w:pPr>
              <w:pStyle w:val="TableParagraph"/>
              <w:jc w:val="left"/>
              <w:rPr>
                <w:rFonts w:ascii="Times New Roman"/>
                <w:sz w:val="20"/>
              </w:rPr>
            </w:pPr>
          </w:p>
        </w:tc>
        <w:tc>
          <w:tcPr>
            <w:tcW w:w="330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3861" w:type="dxa"/>
            <w:tcBorders>
              <w:top w:val="single" w:sz="6" w:space="0" w:color="000000"/>
              <w:left w:val="single" w:sz="6" w:space="0" w:color="000000"/>
              <w:bottom w:val="nil"/>
              <w:right w:val="single" w:sz="6" w:space="0" w:color="000000"/>
            </w:tcBorders>
          </w:tcPr>
          <w:p>
            <w:pPr>
              <w:pStyle w:val="TableParagraph"/>
              <w:spacing w:line="293" w:lineRule="exact"/>
              <w:ind w:left="35"/>
              <w:jc w:val="left"/>
              <w:rPr>
                <w:sz w:val="21"/>
              </w:rPr>
            </w:pPr>
            <w:r>
              <w:rPr>
                <w:sz w:val="21"/>
              </w:rPr>
              <w:t>项目建设中严格落实安全设施、环保设施</w:t>
            </w:r>
          </w:p>
        </w:tc>
        <w:tc>
          <w:tcPr>
            <w:tcW w:w="685" w:type="dxa"/>
            <w:tcBorders>
              <w:top w:val="single" w:sz="6" w:space="0" w:color="000000"/>
              <w:left w:val="single" w:sz="6" w:space="0" w:color="000000"/>
              <w:bottom w:val="nil"/>
            </w:tcBorders>
          </w:tcPr>
          <w:p>
            <w:pPr>
              <w:pStyle w:val="TableParagraph"/>
              <w:jc w:val="left"/>
              <w:rPr>
                <w:rFonts w:ascii="Times New Roman"/>
                <w:sz w:val="20"/>
              </w:rPr>
            </w:pPr>
          </w:p>
        </w:tc>
      </w:tr>
      <w:tr>
        <w:trPr>
          <w:trHeight w:val="936" w:hRule="atLeast"/>
        </w:trPr>
        <w:tc>
          <w:tcPr>
            <w:tcW w:w="521" w:type="dxa"/>
            <w:tcBorders>
              <w:top w:val="nil"/>
              <w:bottom w:val="nil"/>
              <w:right w:val="single" w:sz="6" w:space="0" w:color="000000"/>
            </w:tcBorders>
          </w:tcPr>
          <w:p>
            <w:pPr>
              <w:pStyle w:val="TableParagraph"/>
              <w:spacing w:before="6"/>
              <w:jc w:val="left"/>
              <w:rPr>
                <w:sz w:val="16"/>
              </w:rPr>
            </w:pPr>
          </w:p>
          <w:p>
            <w:pPr>
              <w:pStyle w:val="TableParagraph"/>
              <w:ind w:left="18"/>
              <w:rPr>
                <w:rFonts w:ascii="Times New Roman"/>
                <w:sz w:val="21"/>
              </w:rPr>
            </w:pPr>
            <w:r>
              <w:rPr>
                <w:rFonts w:ascii="Times New Roman"/>
                <w:w w:val="100"/>
                <w:sz w:val="21"/>
              </w:rPr>
              <w:t>5</w:t>
            </w:r>
          </w:p>
        </w:tc>
        <w:tc>
          <w:tcPr>
            <w:tcW w:w="3301" w:type="dxa"/>
            <w:tcBorders>
              <w:top w:val="nil"/>
              <w:left w:val="single" w:sz="6" w:space="0" w:color="000000"/>
              <w:bottom w:val="nil"/>
              <w:right w:val="single" w:sz="6" w:space="0" w:color="000000"/>
            </w:tcBorders>
          </w:tcPr>
          <w:p>
            <w:pPr>
              <w:pStyle w:val="TableParagraph"/>
              <w:spacing w:line="168" w:lineRule="auto" w:before="170"/>
              <w:ind w:left="33" w:right="5"/>
              <w:jc w:val="left"/>
              <w:rPr>
                <w:sz w:val="21"/>
              </w:rPr>
            </w:pPr>
            <w:r>
              <w:rPr>
                <w:sz w:val="21"/>
              </w:rPr>
              <w:t>加强企业安全基础管理，提高安全管理水平</w:t>
            </w:r>
          </w:p>
        </w:tc>
        <w:tc>
          <w:tcPr>
            <w:tcW w:w="3861" w:type="dxa"/>
            <w:tcBorders>
              <w:top w:val="nil"/>
              <w:left w:val="single" w:sz="6" w:space="0" w:color="000000"/>
              <w:bottom w:val="nil"/>
              <w:right w:val="single" w:sz="6" w:space="0" w:color="000000"/>
            </w:tcBorders>
          </w:tcPr>
          <w:p>
            <w:pPr>
              <w:pStyle w:val="TableParagraph"/>
              <w:spacing w:line="168" w:lineRule="auto" w:before="14"/>
              <w:ind w:left="35" w:right="2"/>
              <w:jc w:val="left"/>
              <w:rPr>
                <w:sz w:val="21"/>
              </w:rPr>
            </w:pPr>
            <w:r>
              <w:rPr>
                <w:sz w:val="21"/>
              </w:rPr>
              <w:t>三同时制度。企业已完成环境风险应急预案备案，定期组织职工培训、演练，定期</w:t>
            </w:r>
          </w:p>
          <w:p>
            <w:pPr>
              <w:pStyle w:val="TableParagraph"/>
              <w:spacing w:line="278" w:lineRule="exact"/>
              <w:ind w:left="35"/>
              <w:jc w:val="left"/>
              <w:rPr>
                <w:sz w:val="21"/>
              </w:rPr>
            </w:pPr>
            <w:r>
              <w:rPr>
                <w:sz w:val="21"/>
              </w:rPr>
              <w:t>组织安全检查，把隐患排查治理纳入企业</w:t>
            </w:r>
          </w:p>
        </w:tc>
        <w:tc>
          <w:tcPr>
            <w:tcW w:w="685" w:type="dxa"/>
            <w:tcBorders>
              <w:top w:val="nil"/>
              <w:left w:val="single" w:sz="6" w:space="0" w:color="000000"/>
              <w:bottom w:val="nil"/>
            </w:tcBorders>
          </w:tcPr>
          <w:p>
            <w:pPr>
              <w:pStyle w:val="TableParagraph"/>
              <w:spacing w:before="21"/>
              <w:jc w:val="left"/>
              <w:rPr>
                <w:sz w:val="10"/>
              </w:rPr>
            </w:pPr>
          </w:p>
          <w:p>
            <w:pPr>
              <w:pStyle w:val="TableParagraph"/>
              <w:ind w:right="100"/>
              <w:jc w:val="right"/>
              <w:rPr>
                <w:sz w:val="21"/>
              </w:rPr>
            </w:pPr>
            <w:r>
              <w:rPr>
                <w:sz w:val="21"/>
              </w:rPr>
              <w:t>符合</w:t>
            </w:r>
          </w:p>
        </w:tc>
      </w:tr>
      <w:tr>
        <w:trPr>
          <w:trHeight w:val="310" w:hRule="atLeast"/>
        </w:trPr>
        <w:tc>
          <w:tcPr>
            <w:tcW w:w="521" w:type="dxa"/>
            <w:tcBorders>
              <w:top w:val="nil"/>
              <w:right w:val="single" w:sz="6" w:space="0" w:color="000000"/>
            </w:tcBorders>
          </w:tcPr>
          <w:p>
            <w:pPr>
              <w:pStyle w:val="TableParagraph"/>
              <w:jc w:val="left"/>
              <w:rPr>
                <w:rFonts w:ascii="Times New Roman"/>
                <w:sz w:val="20"/>
              </w:rPr>
            </w:pPr>
          </w:p>
        </w:tc>
        <w:tc>
          <w:tcPr>
            <w:tcW w:w="3301" w:type="dxa"/>
            <w:tcBorders>
              <w:top w:val="nil"/>
              <w:left w:val="single" w:sz="6" w:space="0" w:color="000000"/>
              <w:right w:val="single" w:sz="6" w:space="0" w:color="000000"/>
            </w:tcBorders>
          </w:tcPr>
          <w:p>
            <w:pPr>
              <w:pStyle w:val="TableParagraph"/>
              <w:jc w:val="left"/>
              <w:rPr>
                <w:rFonts w:ascii="Times New Roman"/>
                <w:sz w:val="20"/>
              </w:rPr>
            </w:pPr>
          </w:p>
        </w:tc>
        <w:tc>
          <w:tcPr>
            <w:tcW w:w="3861" w:type="dxa"/>
            <w:tcBorders>
              <w:top w:val="nil"/>
              <w:left w:val="single" w:sz="6" w:space="0" w:color="000000"/>
              <w:right w:val="single" w:sz="6" w:space="0" w:color="000000"/>
            </w:tcBorders>
          </w:tcPr>
          <w:p>
            <w:pPr>
              <w:pStyle w:val="TableParagraph"/>
              <w:spacing w:line="291" w:lineRule="exact"/>
              <w:ind w:left="35"/>
              <w:jc w:val="left"/>
              <w:rPr>
                <w:sz w:val="21"/>
              </w:rPr>
            </w:pPr>
            <w:r>
              <w:rPr>
                <w:sz w:val="21"/>
              </w:rPr>
              <w:t>的日常安全管理中。</w:t>
            </w:r>
          </w:p>
        </w:tc>
        <w:tc>
          <w:tcPr>
            <w:tcW w:w="685" w:type="dxa"/>
            <w:tcBorders>
              <w:top w:val="nil"/>
              <w:left w:val="single" w:sz="6" w:space="0" w:color="000000"/>
            </w:tcBorders>
          </w:tcPr>
          <w:p>
            <w:pPr>
              <w:pStyle w:val="TableParagraph"/>
              <w:jc w:val="left"/>
              <w:rPr>
                <w:rFonts w:ascii="Times New Roman"/>
                <w:sz w:val="20"/>
              </w:rPr>
            </w:pPr>
          </w:p>
        </w:tc>
      </w:tr>
    </w:tbl>
    <w:p>
      <w:pPr>
        <w:pStyle w:val="BodyText"/>
        <w:spacing w:line="220" w:lineRule="auto" w:before="151"/>
        <w:ind w:left="240" w:right="237" w:firstLine="479"/>
        <w:jc w:val="both"/>
      </w:pPr>
      <w:r>
        <w:rPr/>
        <w:t>由表 </w:t>
      </w:r>
      <w:r>
        <w:rPr>
          <w:rFonts w:ascii="Times New Roman" w:eastAsia="Times New Roman"/>
        </w:rPr>
        <w:t>11.1-6 </w:t>
      </w:r>
      <w:r>
        <w:rPr>
          <w:spacing w:val="-11"/>
        </w:rPr>
        <w:t>可见，项目符合《山东省人民政府办公厅关于进一步加强危险化</w:t>
      </w:r>
      <w:r>
        <w:rPr>
          <w:spacing w:val="-21"/>
        </w:rPr>
        <w:t>学品安全生产工作的意见》</w:t>
      </w:r>
      <w:r>
        <w:rPr/>
        <w:t>（鲁政办发</w:t>
      </w:r>
      <w:r>
        <w:rPr>
          <w:rFonts w:ascii="Times New Roman" w:eastAsia="Times New Roman"/>
        </w:rPr>
        <w:t>[2008]68 </w:t>
      </w:r>
      <w:r>
        <w:rPr/>
        <w:t>号）要求。</w:t>
      </w:r>
    </w:p>
    <w:p>
      <w:pPr>
        <w:pStyle w:val="BodyText"/>
        <w:spacing w:line="481" w:lineRule="exact"/>
        <w:ind w:left="720"/>
      </w:pPr>
      <w:r>
        <w:rPr>
          <w:rFonts w:ascii="Times New Roman" w:eastAsia="Times New Roman"/>
        </w:rPr>
        <w:t>7</w:t>
      </w:r>
      <w:r>
        <w:rPr/>
        <w:t>、与环发</w:t>
      </w:r>
      <w:r>
        <w:rPr>
          <w:rFonts w:ascii="Times New Roman" w:eastAsia="Times New Roman"/>
        </w:rPr>
        <w:t>[2012]77</w:t>
      </w:r>
      <w:r>
        <w:rPr/>
        <w:t>号文符合性分析</w:t>
      </w:r>
    </w:p>
    <w:p>
      <w:pPr>
        <w:spacing w:after="0" w:line="481" w:lineRule="exact"/>
        <w:sectPr>
          <w:pgSz w:w="11910" w:h="16840"/>
          <w:pgMar w:header="877" w:footer="973" w:top="1420" w:bottom="1160" w:left="1560" w:right="1560"/>
        </w:sectPr>
      </w:pPr>
    </w:p>
    <w:p>
      <w:pPr>
        <w:pStyle w:val="BodyText"/>
        <w:spacing w:line="463" w:lineRule="exact"/>
        <w:ind w:left="720"/>
      </w:pPr>
      <w:r>
        <w:rPr/>
        <w:t>项目与《关于进一步加强环境影响评价管理防范环境风险的通知》</w:t>
      </w:r>
      <w:r>
        <w:rPr>
          <w:rFonts w:ascii="Times New Roman" w:eastAsia="Times New Roman"/>
        </w:rPr>
        <w:t>(</w:t>
      </w:r>
      <w:r>
        <w:rPr/>
        <w:t>环发</w:t>
      </w:r>
    </w:p>
    <w:p>
      <w:pPr>
        <w:pStyle w:val="BodyText"/>
        <w:spacing w:line="488" w:lineRule="exact"/>
        <w:ind w:left="240"/>
      </w:pPr>
      <w:r>
        <w:rPr>
          <w:rFonts w:ascii="Times New Roman" w:eastAsia="Times New Roman"/>
        </w:rPr>
        <w:t>[2012]77 </w:t>
      </w:r>
      <w:r>
        <w:rPr/>
        <w:t>号</w:t>
      </w:r>
      <w:r>
        <w:rPr>
          <w:rFonts w:ascii="Times New Roman" w:eastAsia="Times New Roman"/>
        </w:rPr>
        <w:t>)</w:t>
      </w:r>
      <w:r>
        <w:rPr/>
        <w:t>符合性分析见表 </w:t>
      </w:r>
      <w:r>
        <w:rPr>
          <w:rFonts w:ascii="Times New Roman" w:eastAsia="Times New Roman"/>
        </w:rPr>
        <w:t>11.1-7</w:t>
      </w:r>
      <w:r>
        <w:rPr/>
        <w:t>。</w:t>
      </w:r>
    </w:p>
    <w:p>
      <w:pPr>
        <w:tabs>
          <w:tab w:pos="3113" w:val="left" w:leader="none"/>
        </w:tabs>
        <w:spacing w:before="51"/>
        <w:ind w:left="2108" w:right="0" w:firstLine="0"/>
        <w:jc w:val="left"/>
        <w:rPr>
          <w:sz w:val="21"/>
        </w:rPr>
      </w:pPr>
      <w:r>
        <w:rPr>
          <w:sz w:val="21"/>
        </w:rPr>
        <w:t>表</w:t>
      </w:r>
      <w:r>
        <w:rPr>
          <w:spacing w:val="9"/>
          <w:sz w:val="21"/>
        </w:rPr>
        <w:t> </w:t>
      </w:r>
      <w:r>
        <w:rPr>
          <w:rFonts w:ascii="Times New Roman" w:eastAsia="Times New Roman"/>
          <w:b/>
          <w:spacing w:val="-3"/>
          <w:sz w:val="21"/>
        </w:rPr>
        <w:t>11.1-7</w:t>
        <w:tab/>
      </w:r>
      <w:r>
        <w:rPr>
          <w:sz w:val="21"/>
        </w:rPr>
        <w:t>项目与环发</w:t>
      </w:r>
      <w:r>
        <w:rPr>
          <w:rFonts w:ascii="Times New Roman" w:eastAsia="Times New Roman"/>
          <w:b/>
          <w:sz w:val="21"/>
        </w:rPr>
        <w:t>[2012]77</w:t>
      </w:r>
      <w:r>
        <w:rPr>
          <w:rFonts w:ascii="Times New Roman" w:eastAsia="Times New Roman"/>
          <w:b/>
          <w:spacing w:val="-2"/>
          <w:sz w:val="21"/>
        </w:rPr>
        <w:t> </w:t>
      </w:r>
      <w:r>
        <w:rPr>
          <w:sz w:val="21"/>
        </w:rPr>
        <w:t>号文件符合性分析</w:t>
      </w:r>
    </w:p>
    <w:p>
      <w:pPr>
        <w:pStyle w:val="BodyText"/>
        <w:spacing w:before="20"/>
        <w:rPr>
          <w:sz w:val="2"/>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6"/>
        <w:gridCol w:w="3536"/>
        <w:gridCol w:w="3109"/>
        <w:gridCol w:w="1183"/>
      </w:tblGrid>
      <w:tr>
        <w:trPr>
          <w:trHeight w:val="339" w:hRule="atLeast"/>
        </w:trPr>
        <w:tc>
          <w:tcPr>
            <w:tcW w:w="696" w:type="dxa"/>
            <w:tcBorders>
              <w:bottom w:val="single" w:sz="6" w:space="0" w:color="000000"/>
              <w:right w:val="single" w:sz="6" w:space="0" w:color="000000"/>
            </w:tcBorders>
          </w:tcPr>
          <w:p>
            <w:pPr>
              <w:pStyle w:val="TableParagraph"/>
              <w:spacing w:line="320" w:lineRule="exact"/>
              <w:ind w:left="117" w:right="96"/>
              <w:rPr>
                <w:sz w:val="21"/>
              </w:rPr>
            </w:pPr>
            <w:r>
              <w:rPr>
                <w:sz w:val="21"/>
              </w:rPr>
              <w:t>序号</w:t>
            </w:r>
          </w:p>
        </w:tc>
        <w:tc>
          <w:tcPr>
            <w:tcW w:w="3536" w:type="dxa"/>
            <w:tcBorders>
              <w:left w:val="single" w:sz="6" w:space="0" w:color="000000"/>
              <w:bottom w:val="single" w:sz="6" w:space="0" w:color="000000"/>
              <w:right w:val="single" w:sz="6" w:space="0" w:color="000000"/>
            </w:tcBorders>
          </w:tcPr>
          <w:p>
            <w:pPr>
              <w:pStyle w:val="TableParagraph"/>
              <w:spacing w:line="320" w:lineRule="exact"/>
              <w:ind w:left="1295" w:right="1345"/>
              <w:rPr>
                <w:sz w:val="21"/>
              </w:rPr>
            </w:pPr>
            <w:r>
              <w:rPr>
                <w:sz w:val="21"/>
              </w:rPr>
              <w:t>文件内容</w:t>
            </w:r>
          </w:p>
        </w:tc>
        <w:tc>
          <w:tcPr>
            <w:tcW w:w="3109" w:type="dxa"/>
            <w:tcBorders>
              <w:left w:val="single" w:sz="6" w:space="0" w:color="000000"/>
              <w:bottom w:val="single" w:sz="6" w:space="0" w:color="000000"/>
              <w:right w:val="single" w:sz="6" w:space="0" w:color="000000"/>
            </w:tcBorders>
          </w:tcPr>
          <w:p>
            <w:pPr>
              <w:pStyle w:val="TableParagraph"/>
              <w:spacing w:line="320" w:lineRule="exact"/>
              <w:ind w:left="931"/>
              <w:jc w:val="left"/>
              <w:rPr>
                <w:sz w:val="21"/>
              </w:rPr>
            </w:pPr>
            <w:r>
              <w:rPr>
                <w:sz w:val="21"/>
              </w:rPr>
              <w:t>项目建设情况</w:t>
            </w:r>
          </w:p>
        </w:tc>
        <w:tc>
          <w:tcPr>
            <w:tcW w:w="1183" w:type="dxa"/>
            <w:tcBorders>
              <w:left w:val="single" w:sz="6" w:space="0" w:color="000000"/>
              <w:bottom w:val="single" w:sz="6" w:space="0" w:color="000000"/>
            </w:tcBorders>
          </w:tcPr>
          <w:p>
            <w:pPr>
              <w:pStyle w:val="TableParagraph"/>
              <w:spacing w:line="320" w:lineRule="exact"/>
              <w:ind w:left="158" w:right="122"/>
              <w:rPr>
                <w:sz w:val="21"/>
              </w:rPr>
            </w:pPr>
            <w:r>
              <w:rPr>
                <w:sz w:val="21"/>
              </w:rPr>
              <w:t>符合情况</w:t>
            </w:r>
          </w:p>
        </w:tc>
      </w:tr>
      <w:tr>
        <w:trPr>
          <w:trHeight w:val="545" w:hRule="atLeast"/>
        </w:trPr>
        <w:tc>
          <w:tcPr>
            <w:tcW w:w="696" w:type="dxa"/>
            <w:tcBorders>
              <w:top w:val="single" w:sz="6" w:space="0" w:color="000000"/>
              <w:bottom w:val="nil"/>
              <w:right w:val="single" w:sz="6" w:space="0" w:color="000000"/>
            </w:tcBorders>
          </w:tcPr>
          <w:p>
            <w:pPr>
              <w:pStyle w:val="TableParagraph"/>
              <w:jc w:val="left"/>
              <w:rPr>
                <w:rFonts w:ascii="Times New Roman"/>
                <w:sz w:val="20"/>
              </w:rPr>
            </w:pPr>
          </w:p>
        </w:tc>
        <w:tc>
          <w:tcPr>
            <w:tcW w:w="3536" w:type="dxa"/>
            <w:tcBorders>
              <w:top w:val="single" w:sz="6" w:space="0" w:color="000000"/>
              <w:left w:val="single" w:sz="6" w:space="0" w:color="000000"/>
              <w:bottom w:val="nil"/>
              <w:right w:val="single" w:sz="6" w:space="0" w:color="000000"/>
            </w:tcBorders>
          </w:tcPr>
          <w:p>
            <w:pPr>
              <w:pStyle w:val="TableParagraph"/>
              <w:spacing w:line="261" w:lineRule="exact"/>
              <w:ind w:left="114"/>
              <w:jc w:val="left"/>
              <w:rPr>
                <w:sz w:val="21"/>
              </w:rPr>
            </w:pPr>
            <w:r>
              <w:rPr>
                <w:spacing w:val="-12"/>
                <w:sz w:val="21"/>
              </w:rPr>
              <w:t>对石油天然气开采、油气</w:t>
            </w:r>
            <w:r>
              <w:rPr>
                <w:rFonts w:ascii="Times New Roman" w:eastAsia="Times New Roman"/>
                <w:sz w:val="21"/>
              </w:rPr>
              <w:t>/</w:t>
            </w:r>
            <w:r>
              <w:rPr>
                <w:spacing w:val="-1"/>
                <w:sz w:val="21"/>
              </w:rPr>
              <w:t>液体化工仓</w:t>
            </w:r>
          </w:p>
          <w:p>
            <w:pPr>
              <w:pStyle w:val="TableParagraph"/>
              <w:spacing w:line="265" w:lineRule="exact"/>
              <w:ind w:left="114"/>
              <w:jc w:val="left"/>
              <w:rPr>
                <w:sz w:val="21"/>
              </w:rPr>
            </w:pPr>
            <w:r>
              <w:rPr>
                <w:spacing w:val="-8"/>
                <w:sz w:val="21"/>
              </w:rPr>
              <w:t>储及运输、石化化工等重点行业建设</w:t>
            </w:r>
          </w:p>
        </w:tc>
        <w:tc>
          <w:tcPr>
            <w:tcW w:w="3109" w:type="dxa"/>
            <w:tcBorders>
              <w:top w:val="single" w:sz="6" w:space="0" w:color="000000"/>
              <w:left w:val="single" w:sz="6" w:space="0" w:color="000000"/>
              <w:bottom w:val="nil"/>
              <w:right w:val="single" w:sz="6" w:space="0" w:color="000000"/>
            </w:tcBorders>
          </w:tcPr>
          <w:p>
            <w:pPr>
              <w:pStyle w:val="TableParagraph"/>
              <w:spacing w:line="352" w:lineRule="exact" w:before="173"/>
              <w:ind w:left="115"/>
              <w:jc w:val="left"/>
              <w:rPr>
                <w:sz w:val="21"/>
              </w:rPr>
            </w:pPr>
            <w:r>
              <w:rPr>
                <w:sz w:val="21"/>
              </w:rPr>
              <w:t>项目编制环境影响报告书，本次</w:t>
            </w:r>
          </w:p>
        </w:tc>
        <w:tc>
          <w:tcPr>
            <w:tcW w:w="11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817" w:hRule="atLeast"/>
        </w:trPr>
        <w:tc>
          <w:tcPr>
            <w:tcW w:w="696" w:type="dxa"/>
            <w:tcBorders>
              <w:top w:val="nil"/>
              <w:bottom w:val="nil"/>
              <w:right w:val="single" w:sz="6" w:space="0" w:color="000000"/>
            </w:tcBorders>
          </w:tcPr>
          <w:p>
            <w:pPr>
              <w:pStyle w:val="TableParagraph"/>
              <w:spacing w:before="14"/>
              <w:jc w:val="left"/>
              <w:rPr>
                <w:sz w:val="19"/>
              </w:rPr>
            </w:pPr>
          </w:p>
          <w:p>
            <w:pPr>
              <w:pStyle w:val="TableParagraph"/>
              <w:ind w:left="21"/>
              <w:rPr>
                <w:rFonts w:ascii="Times New Roman"/>
                <w:sz w:val="21"/>
              </w:rPr>
            </w:pPr>
            <w:r>
              <w:rPr>
                <w:rFonts w:ascii="Times New Roman"/>
                <w:w w:val="100"/>
                <w:sz w:val="21"/>
              </w:rPr>
              <w:t>1</w:t>
            </w:r>
          </w:p>
        </w:tc>
        <w:tc>
          <w:tcPr>
            <w:tcW w:w="3536" w:type="dxa"/>
            <w:tcBorders>
              <w:top w:val="nil"/>
              <w:left w:val="single" w:sz="6" w:space="0" w:color="000000"/>
              <w:bottom w:val="nil"/>
              <w:right w:val="single" w:sz="6" w:space="0" w:color="000000"/>
            </w:tcBorders>
          </w:tcPr>
          <w:p>
            <w:pPr>
              <w:pStyle w:val="TableParagraph"/>
              <w:spacing w:line="146" w:lineRule="auto" w:before="23"/>
              <w:ind w:left="114" w:right="82"/>
              <w:jc w:val="left"/>
              <w:rPr>
                <w:sz w:val="21"/>
              </w:rPr>
            </w:pPr>
            <w:r>
              <w:rPr>
                <w:spacing w:val="-8"/>
                <w:sz w:val="21"/>
              </w:rPr>
              <w:t>项目，应进一步加强环境影响评价管</w:t>
            </w:r>
            <w:r>
              <w:rPr>
                <w:spacing w:val="-9"/>
                <w:sz w:val="21"/>
              </w:rPr>
              <w:t>理，针对环境影响评价文件编制与审</w:t>
            </w:r>
          </w:p>
          <w:p>
            <w:pPr>
              <w:pStyle w:val="TableParagraph"/>
              <w:spacing w:line="231" w:lineRule="exact"/>
              <w:ind w:left="114"/>
              <w:jc w:val="left"/>
              <w:rPr>
                <w:sz w:val="21"/>
              </w:rPr>
            </w:pPr>
            <w:r>
              <w:rPr>
                <w:spacing w:val="-7"/>
                <w:sz w:val="21"/>
              </w:rPr>
              <w:t>批、工程设计与施工、试运行、竣工</w:t>
            </w:r>
          </w:p>
        </w:tc>
        <w:tc>
          <w:tcPr>
            <w:tcW w:w="3109" w:type="dxa"/>
            <w:tcBorders>
              <w:top w:val="nil"/>
              <w:left w:val="single" w:sz="6" w:space="0" w:color="000000"/>
              <w:bottom w:val="nil"/>
              <w:right w:val="single" w:sz="6" w:space="0" w:color="000000"/>
            </w:tcBorders>
          </w:tcPr>
          <w:p>
            <w:pPr>
              <w:pStyle w:val="TableParagraph"/>
              <w:spacing w:line="146" w:lineRule="auto" w:before="23"/>
              <w:ind w:left="115" w:right="79"/>
              <w:jc w:val="left"/>
              <w:rPr>
                <w:sz w:val="21"/>
              </w:rPr>
            </w:pPr>
            <w:r>
              <w:rPr>
                <w:spacing w:val="10"/>
                <w:sz w:val="21"/>
              </w:rPr>
              <w:t>评价环境风险评价章节对项目</w:t>
            </w:r>
            <w:r>
              <w:rPr>
                <w:spacing w:val="-7"/>
                <w:sz w:val="21"/>
              </w:rPr>
              <w:t>的环境风险源识别、环境风险预</w:t>
            </w:r>
          </w:p>
          <w:p>
            <w:pPr>
              <w:pStyle w:val="TableParagraph"/>
              <w:spacing w:line="231" w:lineRule="exact"/>
              <w:ind w:left="115"/>
              <w:jc w:val="left"/>
              <w:rPr>
                <w:sz w:val="21"/>
              </w:rPr>
            </w:pPr>
            <w:r>
              <w:rPr>
                <w:spacing w:val="-8"/>
                <w:sz w:val="21"/>
              </w:rPr>
              <w:t>测、选址及敏感目标、防范措施</w:t>
            </w:r>
          </w:p>
        </w:tc>
        <w:tc>
          <w:tcPr>
            <w:tcW w:w="1183" w:type="dxa"/>
            <w:tcBorders>
              <w:top w:val="nil"/>
              <w:left w:val="single" w:sz="6" w:space="0" w:color="000000"/>
              <w:bottom w:val="nil"/>
            </w:tcBorders>
          </w:tcPr>
          <w:p>
            <w:pPr>
              <w:pStyle w:val="TableParagraph"/>
              <w:spacing w:before="13"/>
              <w:jc w:val="left"/>
              <w:rPr>
                <w:sz w:val="14"/>
              </w:rPr>
            </w:pPr>
          </w:p>
          <w:p>
            <w:pPr>
              <w:pStyle w:val="TableParagraph"/>
              <w:ind w:left="158" w:right="120"/>
              <w:rPr>
                <w:sz w:val="21"/>
              </w:rPr>
            </w:pPr>
            <w:r>
              <w:rPr>
                <w:sz w:val="21"/>
              </w:rPr>
              <w:t>符合</w:t>
            </w:r>
          </w:p>
        </w:tc>
      </w:tr>
      <w:tr>
        <w:trPr>
          <w:trHeight w:val="543"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9" w:lineRule="exact"/>
              <w:ind w:left="114"/>
              <w:jc w:val="left"/>
              <w:rPr>
                <w:sz w:val="21"/>
              </w:rPr>
            </w:pPr>
            <w:r>
              <w:rPr>
                <w:spacing w:val="8"/>
                <w:sz w:val="21"/>
              </w:rPr>
              <w:t>环保验收等各个阶段实施全过程监</w:t>
            </w:r>
          </w:p>
          <w:p>
            <w:pPr>
              <w:pStyle w:val="TableParagraph"/>
              <w:spacing w:line="265" w:lineRule="exact"/>
              <w:ind w:left="114"/>
              <w:jc w:val="left"/>
              <w:rPr>
                <w:sz w:val="21"/>
              </w:rPr>
            </w:pPr>
            <w:r>
              <w:rPr>
                <w:spacing w:val="-8"/>
                <w:sz w:val="21"/>
              </w:rPr>
              <w:t>管，强化环境风险防范及应急管理要</w:t>
            </w:r>
          </w:p>
        </w:tc>
        <w:tc>
          <w:tcPr>
            <w:tcW w:w="3109" w:type="dxa"/>
            <w:tcBorders>
              <w:top w:val="nil"/>
              <w:left w:val="single" w:sz="6" w:space="0" w:color="000000"/>
              <w:bottom w:val="nil"/>
              <w:right w:val="single" w:sz="6" w:space="0" w:color="000000"/>
            </w:tcBorders>
          </w:tcPr>
          <w:p>
            <w:pPr>
              <w:pStyle w:val="TableParagraph"/>
              <w:spacing w:line="259" w:lineRule="exact"/>
              <w:ind w:left="115"/>
              <w:jc w:val="left"/>
              <w:rPr>
                <w:sz w:val="21"/>
              </w:rPr>
            </w:pPr>
            <w:r>
              <w:rPr>
                <w:sz w:val="21"/>
              </w:rPr>
              <w:t>等如实做出了评价，并提出有针</w:t>
            </w:r>
          </w:p>
          <w:p>
            <w:pPr>
              <w:pStyle w:val="TableParagraph"/>
              <w:spacing w:line="265" w:lineRule="exact"/>
              <w:ind w:left="115"/>
              <w:jc w:val="left"/>
              <w:rPr>
                <w:sz w:val="21"/>
              </w:rPr>
            </w:pPr>
            <w:r>
              <w:rPr>
                <w:sz w:val="21"/>
              </w:rPr>
              <w:t>对性的环境风险防控措施。</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72" w:hRule="atLeast"/>
        </w:trPr>
        <w:tc>
          <w:tcPr>
            <w:tcW w:w="696" w:type="dxa"/>
            <w:tcBorders>
              <w:top w:val="nil"/>
              <w:bottom w:val="single" w:sz="6" w:space="0" w:color="000000"/>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single" w:sz="6" w:space="0" w:color="000000"/>
              <w:right w:val="single" w:sz="6" w:space="0" w:color="000000"/>
            </w:tcBorders>
          </w:tcPr>
          <w:p>
            <w:pPr>
              <w:pStyle w:val="TableParagraph"/>
              <w:spacing w:line="252" w:lineRule="exact"/>
              <w:ind w:left="114"/>
              <w:jc w:val="left"/>
              <w:rPr>
                <w:sz w:val="21"/>
              </w:rPr>
            </w:pPr>
            <w:r>
              <w:rPr>
                <w:sz w:val="21"/>
              </w:rPr>
              <w:t>求。</w:t>
            </w:r>
          </w:p>
        </w:tc>
        <w:tc>
          <w:tcPr>
            <w:tcW w:w="3109"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11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545" w:hRule="atLeast"/>
        </w:trPr>
        <w:tc>
          <w:tcPr>
            <w:tcW w:w="696" w:type="dxa"/>
            <w:tcBorders>
              <w:top w:val="single" w:sz="6" w:space="0" w:color="000000"/>
              <w:bottom w:val="nil"/>
              <w:right w:val="single" w:sz="6" w:space="0" w:color="000000"/>
            </w:tcBorders>
          </w:tcPr>
          <w:p>
            <w:pPr>
              <w:pStyle w:val="TableParagraph"/>
              <w:jc w:val="left"/>
              <w:rPr>
                <w:rFonts w:ascii="Times New Roman"/>
                <w:sz w:val="20"/>
              </w:rPr>
            </w:pPr>
          </w:p>
        </w:tc>
        <w:tc>
          <w:tcPr>
            <w:tcW w:w="3536" w:type="dxa"/>
            <w:tcBorders>
              <w:top w:val="single" w:sz="6" w:space="0" w:color="000000"/>
              <w:left w:val="single" w:sz="6" w:space="0" w:color="000000"/>
              <w:bottom w:val="nil"/>
              <w:right w:val="single" w:sz="6" w:space="0" w:color="000000"/>
            </w:tcBorders>
          </w:tcPr>
          <w:p>
            <w:pPr>
              <w:pStyle w:val="TableParagraph"/>
              <w:spacing w:line="261" w:lineRule="exact"/>
              <w:ind w:left="114"/>
              <w:jc w:val="left"/>
              <w:rPr>
                <w:sz w:val="21"/>
              </w:rPr>
            </w:pPr>
            <w:r>
              <w:rPr>
                <w:spacing w:val="8"/>
                <w:sz w:val="21"/>
              </w:rPr>
              <w:t>石化化工建设项目原则上应进入依</w:t>
            </w:r>
          </w:p>
          <w:p>
            <w:pPr>
              <w:pStyle w:val="TableParagraph"/>
              <w:spacing w:line="265" w:lineRule="exact"/>
              <w:ind w:left="114"/>
              <w:jc w:val="left"/>
              <w:rPr>
                <w:sz w:val="21"/>
              </w:rPr>
            </w:pPr>
            <w:r>
              <w:rPr>
                <w:spacing w:val="-8"/>
                <w:sz w:val="21"/>
              </w:rPr>
              <w:t>法合规设立、环保设施齐全的产业园</w:t>
            </w:r>
          </w:p>
        </w:tc>
        <w:tc>
          <w:tcPr>
            <w:tcW w:w="3109"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1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550" w:hRule="atLeast"/>
        </w:trPr>
        <w:tc>
          <w:tcPr>
            <w:tcW w:w="696" w:type="dxa"/>
            <w:tcBorders>
              <w:top w:val="nil"/>
              <w:bottom w:val="nil"/>
              <w:right w:val="single" w:sz="6" w:space="0" w:color="000000"/>
            </w:tcBorders>
          </w:tcPr>
          <w:p>
            <w:pPr>
              <w:pStyle w:val="TableParagraph"/>
              <w:spacing w:before="7"/>
              <w:jc w:val="left"/>
              <w:rPr>
                <w:sz w:val="13"/>
              </w:rPr>
            </w:pPr>
          </w:p>
          <w:p>
            <w:pPr>
              <w:pStyle w:val="TableParagraph"/>
              <w:ind w:left="21"/>
              <w:rPr>
                <w:rFonts w:ascii="Times New Roman"/>
                <w:sz w:val="21"/>
              </w:rPr>
            </w:pPr>
            <w:r>
              <w:rPr>
                <w:rFonts w:ascii="Times New Roman"/>
                <w:w w:val="100"/>
                <w:sz w:val="21"/>
              </w:rPr>
              <w:t>2</w:t>
            </w:r>
          </w:p>
        </w:tc>
        <w:tc>
          <w:tcPr>
            <w:tcW w:w="3536" w:type="dxa"/>
            <w:tcBorders>
              <w:top w:val="nil"/>
              <w:left w:val="single" w:sz="6" w:space="0" w:color="000000"/>
              <w:bottom w:val="nil"/>
              <w:right w:val="single" w:sz="6" w:space="0" w:color="000000"/>
            </w:tcBorders>
          </w:tcPr>
          <w:p>
            <w:pPr>
              <w:pStyle w:val="TableParagraph"/>
              <w:spacing w:line="260" w:lineRule="exact"/>
              <w:ind w:left="114"/>
              <w:jc w:val="left"/>
              <w:rPr>
                <w:sz w:val="21"/>
              </w:rPr>
            </w:pPr>
            <w:r>
              <w:rPr>
                <w:spacing w:val="-8"/>
                <w:sz w:val="21"/>
              </w:rPr>
              <w:t>区，并符合园区发展规划及规划环境</w:t>
            </w:r>
          </w:p>
          <w:p>
            <w:pPr>
              <w:pStyle w:val="TableParagraph"/>
              <w:spacing w:line="270" w:lineRule="exact"/>
              <w:ind w:left="114"/>
              <w:jc w:val="left"/>
              <w:rPr>
                <w:sz w:val="21"/>
              </w:rPr>
            </w:pPr>
            <w:r>
              <w:rPr>
                <w:spacing w:val="-8"/>
                <w:sz w:val="21"/>
              </w:rPr>
              <w:t>影响评价要求。涉及港区、资源开采</w:t>
            </w:r>
          </w:p>
        </w:tc>
        <w:tc>
          <w:tcPr>
            <w:tcW w:w="3109" w:type="dxa"/>
            <w:tcBorders>
              <w:top w:val="nil"/>
              <w:left w:val="single" w:sz="6" w:space="0" w:color="000000"/>
              <w:bottom w:val="nil"/>
              <w:right w:val="single" w:sz="6" w:space="0" w:color="000000"/>
            </w:tcBorders>
          </w:tcPr>
          <w:p>
            <w:pPr>
              <w:pStyle w:val="TableParagraph"/>
              <w:spacing w:line="260" w:lineRule="exact"/>
              <w:ind w:left="115"/>
              <w:jc w:val="left"/>
              <w:rPr>
                <w:sz w:val="21"/>
              </w:rPr>
            </w:pPr>
            <w:r>
              <w:rPr>
                <w:spacing w:val="-7"/>
                <w:sz w:val="21"/>
              </w:rPr>
              <w:t>项目位于莒南化工产业园，属于</w:t>
            </w:r>
          </w:p>
          <w:p>
            <w:pPr>
              <w:pStyle w:val="TableParagraph"/>
              <w:spacing w:line="270" w:lineRule="exact"/>
              <w:ind w:left="115"/>
              <w:jc w:val="left"/>
              <w:rPr>
                <w:sz w:val="21"/>
              </w:rPr>
            </w:pPr>
            <w:r>
              <w:rPr>
                <w:spacing w:val="-8"/>
                <w:sz w:val="21"/>
              </w:rPr>
              <w:t>化工园区，符合园区发展规划的</w:t>
            </w:r>
          </w:p>
        </w:tc>
        <w:tc>
          <w:tcPr>
            <w:tcW w:w="1183" w:type="dxa"/>
            <w:tcBorders>
              <w:top w:val="nil"/>
              <w:left w:val="single" w:sz="6" w:space="0" w:color="000000"/>
              <w:bottom w:val="nil"/>
            </w:tcBorders>
          </w:tcPr>
          <w:p>
            <w:pPr>
              <w:pStyle w:val="TableParagraph"/>
              <w:spacing w:line="357" w:lineRule="exact" w:before="173"/>
              <w:ind w:left="158" w:right="120"/>
              <w:rPr>
                <w:sz w:val="21"/>
              </w:rPr>
            </w:pPr>
            <w:r>
              <w:rPr>
                <w:sz w:val="21"/>
              </w:rPr>
              <w:t>符合</w:t>
            </w:r>
          </w:p>
        </w:tc>
      </w:tr>
      <w:tr>
        <w:trPr>
          <w:trHeight w:val="539"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5" w:lineRule="exact"/>
              <w:ind w:left="114"/>
              <w:jc w:val="left"/>
              <w:rPr>
                <w:sz w:val="21"/>
              </w:rPr>
            </w:pPr>
            <w:r>
              <w:rPr>
                <w:spacing w:val="-7"/>
                <w:sz w:val="21"/>
              </w:rPr>
              <w:t>区和城市规划区的建设项目，应符合</w:t>
            </w:r>
          </w:p>
          <w:p>
            <w:pPr>
              <w:pStyle w:val="TableParagraph"/>
              <w:spacing w:line="265" w:lineRule="exact"/>
              <w:ind w:left="114"/>
              <w:jc w:val="left"/>
              <w:rPr>
                <w:sz w:val="21"/>
              </w:rPr>
            </w:pPr>
            <w:r>
              <w:rPr>
                <w:spacing w:val="8"/>
                <w:sz w:val="21"/>
              </w:rPr>
              <w:t>相关规划及规划环境影响评价的要</w:t>
            </w:r>
          </w:p>
        </w:tc>
        <w:tc>
          <w:tcPr>
            <w:tcW w:w="3109" w:type="dxa"/>
            <w:tcBorders>
              <w:top w:val="nil"/>
              <w:left w:val="single" w:sz="6" w:space="0" w:color="000000"/>
              <w:bottom w:val="nil"/>
              <w:right w:val="single" w:sz="6" w:space="0" w:color="000000"/>
            </w:tcBorders>
          </w:tcPr>
          <w:p>
            <w:pPr>
              <w:pStyle w:val="TableParagraph"/>
              <w:spacing w:line="342" w:lineRule="exact"/>
              <w:ind w:left="115"/>
              <w:jc w:val="left"/>
              <w:rPr>
                <w:sz w:val="21"/>
              </w:rPr>
            </w:pPr>
            <w:r>
              <w:rPr>
                <w:sz w:val="21"/>
              </w:rPr>
              <w:t>要求和园区环评的要求。</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72" w:hRule="atLeast"/>
        </w:trPr>
        <w:tc>
          <w:tcPr>
            <w:tcW w:w="696" w:type="dxa"/>
            <w:tcBorders>
              <w:top w:val="nil"/>
              <w:bottom w:val="single" w:sz="6" w:space="0" w:color="000000"/>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single" w:sz="6" w:space="0" w:color="000000"/>
              <w:right w:val="single" w:sz="6" w:space="0" w:color="000000"/>
            </w:tcBorders>
          </w:tcPr>
          <w:p>
            <w:pPr>
              <w:pStyle w:val="TableParagraph"/>
              <w:spacing w:line="252" w:lineRule="exact"/>
              <w:ind w:left="114"/>
              <w:jc w:val="left"/>
              <w:rPr>
                <w:sz w:val="21"/>
              </w:rPr>
            </w:pPr>
            <w:r>
              <w:rPr>
                <w:sz w:val="21"/>
              </w:rPr>
              <w:t>求。</w:t>
            </w:r>
          </w:p>
        </w:tc>
        <w:tc>
          <w:tcPr>
            <w:tcW w:w="3109"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11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271" w:hRule="atLeast"/>
        </w:trPr>
        <w:tc>
          <w:tcPr>
            <w:tcW w:w="696" w:type="dxa"/>
            <w:tcBorders>
              <w:top w:val="single" w:sz="6" w:space="0" w:color="000000"/>
              <w:bottom w:val="nil"/>
              <w:right w:val="single" w:sz="6" w:space="0" w:color="000000"/>
            </w:tcBorders>
          </w:tcPr>
          <w:p>
            <w:pPr>
              <w:pStyle w:val="TableParagraph"/>
              <w:jc w:val="left"/>
              <w:rPr>
                <w:rFonts w:ascii="Times New Roman"/>
                <w:sz w:val="20"/>
              </w:rPr>
            </w:pPr>
          </w:p>
        </w:tc>
        <w:tc>
          <w:tcPr>
            <w:tcW w:w="3536" w:type="dxa"/>
            <w:tcBorders>
              <w:top w:val="single" w:sz="6" w:space="0" w:color="000000"/>
              <w:left w:val="single" w:sz="6" w:space="0" w:color="000000"/>
              <w:bottom w:val="nil"/>
              <w:right w:val="single" w:sz="6" w:space="0" w:color="000000"/>
            </w:tcBorders>
          </w:tcPr>
          <w:p>
            <w:pPr>
              <w:pStyle w:val="TableParagraph"/>
              <w:spacing w:line="252" w:lineRule="exact"/>
              <w:ind w:left="114"/>
              <w:jc w:val="left"/>
              <w:rPr>
                <w:sz w:val="21"/>
              </w:rPr>
            </w:pPr>
            <w:r>
              <w:rPr>
                <w:sz w:val="21"/>
              </w:rPr>
              <w:t>建设项目环境风险评价是相关项目</w:t>
            </w:r>
          </w:p>
        </w:tc>
        <w:tc>
          <w:tcPr>
            <w:tcW w:w="3109"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1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72"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3" w:lineRule="exact"/>
              <w:ind w:left="114"/>
              <w:jc w:val="left"/>
              <w:rPr>
                <w:sz w:val="21"/>
              </w:rPr>
            </w:pPr>
            <w:r>
              <w:rPr>
                <w:sz w:val="21"/>
              </w:rPr>
              <w:t>环境影响评价的重要组成部分。新、</w:t>
            </w:r>
          </w:p>
        </w:tc>
        <w:tc>
          <w:tcPr>
            <w:tcW w:w="3109" w:type="dxa"/>
            <w:tcBorders>
              <w:top w:val="nil"/>
              <w:left w:val="single" w:sz="6" w:space="0" w:color="000000"/>
              <w:bottom w:val="nil"/>
              <w:right w:val="single" w:sz="6" w:space="0" w:color="000000"/>
            </w:tcBorders>
          </w:tcPr>
          <w:p>
            <w:pPr>
              <w:pStyle w:val="TableParagraph"/>
              <w:spacing w:line="253" w:lineRule="exact"/>
              <w:ind w:left="115"/>
              <w:jc w:val="left"/>
              <w:rPr>
                <w:sz w:val="21"/>
              </w:rPr>
            </w:pPr>
            <w:r>
              <w:rPr>
                <w:sz w:val="21"/>
              </w:rPr>
              <w:t>项目环境影响评价以环境影响</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65" w:hRule="atLeast"/>
        </w:trPr>
        <w:tc>
          <w:tcPr>
            <w:tcW w:w="696" w:type="dxa"/>
            <w:tcBorders>
              <w:top w:val="nil"/>
              <w:bottom w:val="nil"/>
              <w:right w:val="single" w:sz="6" w:space="0" w:color="000000"/>
            </w:tcBorders>
          </w:tcPr>
          <w:p>
            <w:pPr>
              <w:pStyle w:val="TableParagraph"/>
              <w:jc w:val="left"/>
              <w:rPr>
                <w:rFonts w:ascii="Times New Roman"/>
                <w:sz w:val="18"/>
              </w:rPr>
            </w:pPr>
          </w:p>
        </w:tc>
        <w:tc>
          <w:tcPr>
            <w:tcW w:w="3536" w:type="dxa"/>
            <w:tcBorders>
              <w:top w:val="nil"/>
              <w:left w:val="single" w:sz="6" w:space="0" w:color="000000"/>
              <w:bottom w:val="nil"/>
              <w:right w:val="single" w:sz="6" w:space="0" w:color="000000"/>
            </w:tcBorders>
          </w:tcPr>
          <w:p>
            <w:pPr>
              <w:pStyle w:val="TableParagraph"/>
              <w:spacing w:line="246" w:lineRule="exact"/>
              <w:ind w:left="114"/>
              <w:jc w:val="left"/>
              <w:rPr>
                <w:sz w:val="21"/>
              </w:rPr>
            </w:pPr>
            <w:r>
              <w:rPr>
                <w:sz w:val="21"/>
              </w:rPr>
              <w:t>改、扩建相关建设项目环境影响评价</w:t>
            </w:r>
          </w:p>
        </w:tc>
        <w:tc>
          <w:tcPr>
            <w:tcW w:w="3109" w:type="dxa"/>
            <w:tcBorders>
              <w:top w:val="nil"/>
              <w:left w:val="single" w:sz="6" w:space="0" w:color="000000"/>
              <w:bottom w:val="nil"/>
              <w:right w:val="single" w:sz="6" w:space="0" w:color="000000"/>
            </w:tcBorders>
          </w:tcPr>
          <w:p>
            <w:pPr>
              <w:pStyle w:val="TableParagraph"/>
              <w:spacing w:line="246" w:lineRule="exact"/>
              <w:ind w:left="115"/>
              <w:jc w:val="left"/>
              <w:rPr>
                <w:sz w:val="21"/>
              </w:rPr>
            </w:pPr>
            <w:r>
              <w:rPr>
                <w:sz w:val="21"/>
              </w:rPr>
              <w:t>评价技术导则为技术依据，对环</w:t>
            </w:r>
          </w:p>
        </w:tc>
        <w:tc>
          <w:tcPr>
            <w:tcW w:w="1183" w:type="dxa"/>
            <w:tcBorders>
              <w:top w:val="nil"/>
              <w:left w:val="single" w:sz="6" w:space="0" w:color="000000"/>
              <w:bottom w:val="nil"/>
            </w:tcBorders>
          </w:tcPr>
          <w:p>
            <w:pPr>
              <w:pStyle w:val="TableParagraph"/>
              <w:jc w:val="left"/>
              <w:rPr>
                <w:rFonts w:ascii="Times New Roman"/>
                <w:sz w:val="18"/>
              </w:rPr>
            </w:pPr>
          </w:p>
        </w:tc>
      </w:tr>
      <w:tr>
        <w:trPr>
          <w:trHeight w:val="283" w:hRule="atLeast"/>
        </w:trPr>
        <w:tc>
          <w:tcPr>
            <w:tcW w:w="696" w:type="dxa"/>
            <w:tcBorders>
              <w:top w:val="nil"/>
              <w:bottom w:val="nil"/>
              <w:right w:val="single" w:sz="6" w:space="0" w:color="000000"/>
            </w:tcBorders>
          </w:tcPr>
          <w:p>
            <w:pPr>
              <w:pStyle w:val="TableParagraph"/>
              <w:spacing w:before="16"/>
              <w:ind w:left="21"/>
              <w:rPr>
                <w:rFonts w:ascii="Times New Roman"/>
                <w:sz w:val="21"/>
              </w:rPr>
            </w:pPr>
            <w:r>
              <w:rPr>
                <w:rFonts w:ascii="Times New Roman"/>
                <w:w w:val="100"/>
                <w:sz w:val="21"/>
              </w:rPr>
              <w:t>3</w:t>
            </w:r>
          </w:p>
        </w:tc>
        <w:tc>
          <w:tcPr>
            <w:tcW w:w="3536" w:type="dxa"/>
            <w:tcBorders>
              <w:top w:val="nil"/>
              <w:left w:val="single" w:sz="6" w:space="0" w:color="000000"/>
              <w:bottom w:val="nil"/>
              <w:right w:val="single" w:sz="6" w:space="0" w:color="000000"/>
            </w:tcBorders>
          </w:tcPr>
          <w:p>
            <w:pPr>
              <w:pStyle w:val="TableParagraph"/>
              <w:spacing w:line="264" w:lineRule="exact"/>
              <w:ind w:left="114"/>
              <w:jc w:val="left"/>
              <w:rPr>
                <w:sz w:val="21"/>
              </w:rPr>
            </w:pPr>
            <w:r>
              <w:rPr>
                <w:sz w:val="21"/>
              </w:rPr>
              <w:t>应按照相应技术导则要求，科学预测</w:t>
            </w:r>
          </w:p>
        </w:tc>
        <w:tc>
          <w:tcPr>
            <w:tcW w:w="3109" w:type="dxa"/>
            <w:tcBorders>
              <w:top w:val="nil"/>
              <w:left w:val="single" w:sz="6" w:space="0" w:color="000000"/>
              <w:bottom w:val="nil"/>
              <w:right w:val="single" w:sz="6" w:space="0" w:color="000000"/>
            </w:tcBorders>
          </w:tcPr>
          <w:p>
            <w:pPr>
              <w:pStyle w:val="TableParagraph"/>
              <w:spacing w:line="264" w:lineRule="exact"/>
              <w:ind w:left="115"/>
              <w:jc w:val="left"/>
              <w:rPr>
                <w:sz w:val="21"/>
              </w:rPr>
            </w:pPr>
            <w:r>
              <w:rPr>
                <w:sz w:val="21"/>
              </w:rPr>
              <w:t>境风险事故进行了科学的预测</w:t>
            </w:r>
          </w:p>
        </w:tc>
        <w:tc>
          <w:tcPr>
            <w:tcW w:w="1183" w:type="dxa"/>
            <w:tcBorders>
              <w:top w:val="nil"/>
              <w:left w:val="single" w:sz="6" w:space="0" w:color="000000"/>
              <w:bottom w:val="nil"/>
            </w:tcBorders>
          </w:tcPr>
          <w:p>
            <w:pPr>
              <w:pStyle w:val="TableParagraph"/>
              <w:spacing w:line="264" w:lineRule="exact"/>
              <w:ind w:left="158" w:right="120"/>
              <w:rPr>
                <w:sz w:val="21"/>
              </w:rPr>
            </w:pPr>
            <w:r>
              <w:rPr>
                <w:sz w:val="21"/>
              </w:rPr>
              <w:t>符合</w:t>
            </w:r>
          </w:p>
        </w:tc>
      </w:tr>
      <w:tr>
        <w:trPr>
          <w:trHeight w:val="268" w:hRule="atLeast"/>
        </w:trPr>
        <w:tc>
          <w:tcPr>
            <w:tcW w:w="696" w:type="dxa"/>
            <w:tcBorders>
              <w:top w:val="nil"/>
              <w:bottom w:val="nil"/>
              <w:right w:val="single" w:sz="6" w:space="0" w:color="000000"/>
            </w:tcBorders>
          </w:tcPr>
          <w:p>
            <w:pPr>
              <w:pStyle w:val="TableParagraph"/>
              <w:jc w:val="left"/>
              <w:rPr>
                <w:rFonts w:ascii="Times New Roman"/>
                <w:sz w:val="18"/>
              </w:rPr>
            </w:pPr>
          </w:p>
        </w:tc>
        <w:tc>
          <w:tcPr>
            <w:tcW w:w="3536" w:type="dxa"/>
            <w:tcBorders>
              <w:top w:val="nil"/>
              <w:left w:val="single" w:sz="6" w:space="0" w:color="000000"/>
              <w:bottom w:val="nil"/>
              <w:right w:val="single" w:sz="6" w:space="0" w:color="000000"/>
            </w:tcBorders>
          </w:tcPr>
          <w:p>
            <w:pPr>
              <w:pStyle w:val="TableParagraph"/>
              <w:spacing w:line="248" w:lineRule="exact"/>
              <w:ind w:left="114"/>
              <w:jc w:val="left"/>
              <w:rPr>
                <w:sz w:val="21"/>
              </w:rPr>
            </w:pPr>
            <w:r>
              <w:rPr>
                <w:sz w:val="21"/>
              </w:rPr>
              <w:t>评价突发性事件或事故可能引发的</w:t>
            </w:r>
          </w:p>
        </w:tc>
        <w:tc>
          <w:tcPr>
            <w:tcW w:w="3109" w:type="dxa"/>
            <w:tcBorders>
              <w:top w:val="nil"/>
              <w:left w:val="single" w:sz="6" w:space="0" w:color="000000"/>
              <w:bottom w:val="nil"/>
              <w:right w:val="single" w:sz="6" w:space="0" w:color="000000"/>
            </w:tcBorders>
          </w:tcPr>
          <w:p>
            <w:pPr>
              <w:pStyle w:val="TableParagraph"/>
              <w:spacing w:line="248" w:lineRule="exact"/>
              <w:ind w:left="115"/>
              <w:jc w:val="left"/>
              <w:rPr>
                <w:sz w:val="21"/>
              </w:rPr>
            </w:pPr>
            <w:r>
              <w:rPr>
                <w:sz w:val="21"/>
              </w:rPr>
              <w:t>评价，提出了合理的环境风险防</w:t>
            </w:r>
          </w:p>
        </w:tc>
        <w:tc>
          <w:tcPr>
            <w:tcW w:w="1183" w:type="dxa"/>
            <w:tcBorders>
              <w:top w:val="nil"/>
              <w:left w:val="single" w:sz="6" w:space="0" w:color="000000"/>
              <w:bottom w:val="nil"/>
            </w:tcBorders>
          </w:tcPr>
          <w:p>
            <w:pPr>
              <w:pStyle w:val="TableParagraph"/>
              <w:jc w:val="left"/>
              <w:rPr>
                <w:rFonts w:ascii="Times New Roman"/>
                <w:sz w:val="18"/>
              </w:rPr>
            </w:pPr>
          </w:p>
        </w:tc>
      </w:tr>
      <w:tr>
        <w:trPr>
          <w:trHeight w:val="272"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2" w:lineRule="exact"/>
              <w:ind w:left="114"/>
              <w:jc w:val="left"/>
              <w:rPr>
                <w:sz w:val="21"/>
              </w:rPr>
            </w:pPr>
            <w:r>
              <w:rPr>
                <w:sz w:val="21"/>
              </w:rPr>
              <w:t>环境风险，提出环境风险防范和应急</w:t>
            </w:r>
          </w:p>
        </w:tc>
        <w:tc>
          <w:tcPr>
            <w:tcW w:w="3109" w:type="dxa"/>
            <w:tcBorders>
              <w:top w:val="nil"/>
              <w:left w:val="single" w:sz="6" w:space="0" w:color="000000"/>
              <w:bottom w:val="nil"/>
              <w:right w:val="single" w:sz="6" w:space="0" w:color="000000"/>
            </w:tcBorders>
          </w:tcPr>
          <w:p>
            <w:pPr>
              <w:pStyle w:val="TableParagraph"/>
              <w:spacing w:line="252" w:lineRule="exact"/>
              <w:ind w:left="115"/>
              <w:jc w:val="left"/>
              <w:rPr>
                <w:sz w:val="21"/>
              </w:rPr>
            </w:pPr>
            <w:r>
              <w:rPr>
                <w:sz w:val="21"/>
              </w:rPr>
              <w:t>范和应急措施。</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73" w:hRule="atLeast"/>
        </w:trPr>
        <w:tc>
          <w:tcPr>
            <w:tcW w:w="696" w:type="dxa"/>
            <w:tcBorders>
              <w:top w:val="nil"/>
              <w:bottom w:val="single" w:sz="6" w:space="0" w:color="000000"/>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single" w:sz="6" w:space="0" w:color="000000"/>
              <w:right w:val="single" w:sz="6" w:space="0" w:color="000000"/>
            </w:tcBorders>
          </w:tcPr>
          <w:p>
            <w:pPr>
              <w:pStyle w:val="TableParagraph"/>
              <w:spacing w:line="254" w:lineRule="exact"/>
              <w:ind w:left="114"/>
              <w:jc w:val="left"/>
              <w:rPr>
                <w:sz w:val="21"/>
              </w:rPr>
            </w:pPr>
            <w:r>
              <w:rPr>
                <w:sz w:val="21"/>
              </w:rPr>
              <w:t>措施。</w:t>
            </w:r>
          </w:p>
        </w:tc>
        <w:tc>
          <w:tcPr>
            <w:tcW w:w="3109"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11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270" w:hRule="atLeast"/>
        </w:trPr>
        <w:tc>
          <w:tcPr>
            <w:tcW w:w="696" w:type="dxa"/>
            <w:tcBorders>
              <w:top w:val="single" w:sz="6" w:space="0" w:color="000000"/>
              <w:bottom w:val="nil"/>
              <w:right w:val="single" w:sz="6" w:space="0" w:color="000000"/>
            </w:tcBorders>
          </w:tcPr>
          <w:p>
            <w:pPr>
              <w:pStyle w:val="TableParagraph"/>
              <w:jc w:val="left"/>
              <w:rPr>
                <w:rFonts w:ascii="Times New Roman"/>
                <w:sz w:val="20"/>
              </w:rPr>
            </w:pPr>
          </w:p>
        </w:tc>
        <w:tc>
          <w:tcPr>
            <w:tcW w:w="3536" w:type="dxa"/>
            <w:tcBorders>
              <w:top w:val="single" w:sz="6" w:space="0" w:color="000000"/>
              <w:left w:val="single" w:sz="6" w:space="0" w:color="000000"/>
              <w:bottom w:val="nil"/>
              <w:right w:val="single" w:sz="6" w:space="0" w:color="000000"/>
            </w:tcBorders>
          </w:tcPr>
          <w:p>
            <w:pPr>
              <w:pStyle w:val="TableParagraph"/>
              <w:spacing w:line="251" w:lineRule="exact"/>
              <w:ind w:left="114"/>
              <w:jc w:val="left"/>
              <w:rPr>
                <w:sz w:val="21"/>
              </w:rPr>
            </w:pPr>
            <w:r>
              <w:rPr>
                <w:sz w:val="21"/>
              </w:rPr>
              <w:t>深化入园项目环境影响评价工作。入</w:t>
            </w:r>
          </w:p>
        </w:tc>
        <w:tc>
          <w:tcPr>
            <w:tcW w:w="3109"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11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72"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2" w:lineRule="exact"/>
              <w:ind w:left="114"/>
              <w:jc w:val="left"/>
              <w:rPr>
                <w:sz w:val="21"/>
              </w:rPr>
            </w:pPr>
            <w:r>
              <w:rPr>
                <w:sz w:val="21"/>
              </w:rPr>
              <w:t>园项目必须开展环境影响评价工作。</w:t>
            </w:r>
          </w:p>
        </w:tc>
        <w:tc>
          <w:tcPr>
            <w:tcW w:w="3109" w:type="dxa"/>
            <w:tcBorders>
              <w:top w:val="nil"/>
              <w:left w:val="single" w:sz="6" w:space="0" w:color="000000"/>
              <w:bottom w:val="nil"/>
              <w:right w:val="single" w:sz="6" w:space="0" w:color="000000"/>
            </w:tcBorders>
          </w:tcPr>
          <w:p>
            <w:pPr>
              <w:pStyle w:val="TableParagraph"/>
              <w:spacing w:line="252" w:lineRule="exact"/>
              <w:ind w:left="115"/>
              <w:jc w:val="left"/>
              <w:rPr>
                <w:sz w:val="21"/>
              </w:rPr>
            </w:pPr>
            <w:r>
              <w:rPr>
                <w:sz w:val="21"/>
              </w:rPr>
              <w:t>环境风险评价对项目的环境风</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66" w:hRule="atLeast"/>
        </w:trPr>
        <w:tc>
          <w:tcPr>
            <w:tcW w:w="696" w:type="dxa"/>
            <w:tcBorders>
              <w:top w:val="nil"/>
              <w:bottom w:val="nil"/>
              <w:right w:val="single" w:sz="6" w:space="0" w:color="000000"/>
            </w:tcBorders>
          </w:tcPr>
          <w:p>
            <w:pPr>
              <w:pStyle w:val="TableParagraph"/>
              <w:jc w:val="left"/>
              <w:rPr>
                <w:rFonts w:ascii="Times New Roman"/>
                <w:sz w:val="18"/>
              </w:rPr>
            </w:pPr>
          </w:p>
        </w:tc>
        <w:tc>
          <w:tcPr>
            <w:tcW w:w="3536" w:type="dxa"/>
            <w:tcBorders>
              <w:top w:val="nil"/>
              <w:left w:val="single" w:sz="6" w:space="0" w:color="000000"/>
              <w:bottom w:val="nil"/>
              <w:right w:val="single" w:sz="6" w:space="0" w:color="000000"/>
            </w:tcBorders>
          </w:tcPr>
          <w:p>
            <w:pPr>
              <w:pStyle w:val="TableParagraph"/>
              <w:spacing w:line="247" w:lineRule="exact"/>
              <w:ind w:left="114"/>
              <w:jc w:val="left"/>
              <w:rPr>
                <w:sz w:val="21"/>
              </w:rPr>
            </w:pPr>
            <w:r>
              <w:rPr>
                <w:sz w:val="21"/>
              </w:rPr>
              <w:t>园内企业应按要求编制建设项目环</w:t>
            </w:r>
          </w:p>
        </w:tc>
        <w:tc>
          <w:tcPr>
            <w:tcW w:w="3109" w:type="dxa"/>
            <w:tcBorders>
              <w:top w:val="nil"/>
              <w:left w:val="single" w:sz="6" w:space="0" w:color="000000"/>
              <w:bottom w:val="nil"/>
              <w:right w:val="single" w:sz="6" w:space="0" w:color="000000"/>
            </w:tcBorders>
          </w:tcPr>
          <w:p>
            <w:pPr>
              <w:pStyle w:val="TableParagraph"/>
              <w:spacing w:line="247" w:lineRule="exact"/>
              <w:ind w:left="115"/>
              <w:jc w:val="left"/>
              <w:rPr>
                <w:sz w:val="21"/>
              </w:rPr>
            </w:pPr>
            <w:r>
              <w:rPr>
                <w:sz w:val="21"/>
              </w:rPr>
              <w:t>险源识别、环境风险预测、选址</w:t>
            </w:r>
          </w:p>
        </w:tc>
        <w:tc>
          <w:tcPr>
            <w:tcW w:w="1183" w:type="dxa"/>
            <w:tcBorders>
              <w:top w:val="nil"/>
              <w:left w:val="single" w:sz="6" w:space="0" w:color="000000"/>
              <w:bottom w:val="nil"/>
            </w:tcBorders>
          </w:tcPr>
          <w:p>
            <w:pPr>
              <w:pStyle w:val="TableParagraph"/>
              <w:jc w:val="left"/>
              <w:rPr>
                <w:rFonts w:ascii="Times New Roman"/>
                <w:sz w:val="18"/>
              </w:rPr>
            </w:pPr>
          </w:p>
        </w:tc>
      </w:tr>
      <w:tr>
        <w:trPr>
          <w:trHeight w:val="283" w:hRule="atLeast"/>
        </w:trPr>
        <w:tc>
          <w:tcPr>
            <w:tcW w:w="696" w:type="dxa"/>
            <w:tcBorders>
              <w:top w:val="nil"/>
              <w:bottom w:val="nil"/>
              <w:right w:val="single" w:sz="6" w:space="0" w:color="000000"/>
            </w:tcBorders>
          </w:tcPr>
          <w:p>
            <w:pPr>
              <w:pStyle w:val="TableParagraph"/>
              <w:spacing w:before="16"/>
              <w:ind w:left="21"/>
              <w:rPr>
                <w:rFonts w:ascii="Times New Roman"/>
                <w:sz w:val="21"/>
              </w:rPr>
            </w:pPr>
            <w:r>
              <w:rPr>
                <w:rFonts w:ascii="Times New Roman"/>
                <w:w w:val="100"/>
                <w:sz w:val="21"/>
              </w:rPr>
              <w:t>4</w:t>
            </w:r>
          </w:p>
        </w:tc>
        <w:tc>
          <w:tcPr>
            <w:tcW w:w="3536" w:type="dxa"/>
            <w:tcBorders>
              <w:top w:val="nil"/>
              <w:left w:val="single" w:sz="6" w:space="0" w:color="000000"/>
              <w:bottom w:val="nil"/>
              <w:right w:val="single" w:sz="6" w:space="0" w:color="000000"/>
            </w:tcBorders>
          </w:tcPr>
          <w:p>
            <w:pPr>
              <w:pStyle w:val="TableParagraph"/>
              <w:spacing w:line="264" w:lineRule="exact"/>
              <w:ind w:left="114"/>
              <w:jc w:val="left"/>
              <w:rPr>
                <w:sz w:val="21"/>
              </w:rPr>
            </w:pPr>
            <w:r>
              <w:rPr>
                <w:sz w:val="21"/>
              </w:rPr>
              <w:t>境影响评价文件，将环境风险评价作</w:t>
            </w:r>
          </w:p>
        </w:tc>
        <w:tc>
          <w:tcPr>
            <w:tcW w:w="3109" w:type="dxa"/>
            <w:tcBorders>
              <w:top w:val="nil"/>
              <w:left w:val="single" w:sz="6" w:space="0" w:color="000000"/>
              <w:bottom w:val="nil"/>
              <w:right w:val="single" w:sz="6" w:space="0" w:color="000000"/>
            </w:tcBorders>
          </w:tcPr>
          <w:p>
            <w:pPr>
              <w:pStyle w:val="TableParagraph"/>
              <w:spacing w:line="264" w:lineRule="exact"/>
              <w:ind w:left="115"/>
              <w:jc w:val="left"/>
              <w:rPr>
                <w:sz w:val="21"/>
              </w:rPr>
            </w:pPr>
            <w:r>
              <w:rPr>
                <w:sz w:val="21"/>
              </w:rPr>
              <w:t>及敏感目标、防范措施等如实做</w:t>
            </w:r>
          </w:p>
        </w:tc>
        <w:tc>
          <w:tcPr>
            <w:tcW w:w="1183" w:type="dxa"/>
            <w:tcBorders>
              <w:top w:val="nil"/>
              <w:left w:val="single" w:sz="6" w:space="0" w:color="000000"/>
              <w:bottom w:val="nil"/>
            </w:tcBorders>
          </w:tcPr>
          <w:p>
            <w:pPr>
              <w:pStyle w:val="TableParagraph"/>
              <w:spacing w:line="264" w:lineRule="exact"/>
              <w:ind w:left="158" w:right="120"/>
              <w:rPr>
                <w:sz w:val="21"/>
              </w:rPr>
            </w:pPr>
            <w:r>
              <w:rPr>
                <w:sz w:val="21"/>
              </w:rPr>
              <w:t>符合</w:t>
            </w:r>
          </w:p>
        </w:tc>
      </w:tr>
      <w:tr>
        <w:trPr>
          <w:trHeight w:val="266" w:hRule="atLeast"/>
        </w:trPr>
        <w:tc>
          <w:tcPr>
            <w:tcW w:w="696" w:type="dxa"/>
            <w:tcBorders>
              <w:top w:val="nil"/>
              <w:bottom w:val="nil"/>
              <w:right w:val="single" w:sz="6" w:space="0" w:color="000000"/>
            </w:tcBorders>
          </w:tcPr>
          <w:p>
            <w:pPr>
              <w:pStyle w:val="TableParagraph"/>
              <w:jc w:val="left"/>
              <w:rPr>
                <w:rFonts w:ascii="Times New Roman"/>
                <w:sz w:val="18"/>
              </w:rPr>
            </w:pPr>
          </w:p>
        </w:tc>
        <w:tc>
          <w:tcPr>
            <w:tcW w:w="3536" w:type="dxa"/>
            <w:tcBorders>
              <w:top w:val="nil"/>
              <w:left w:val="single" w:sz="6" w:space="0" w:color="000000"/>
              <w:bottom w:val="nil"/>
              <w:right w:val="single" w:sz="6" w:space="0" w:color="000000"/>
            </w:tcBorders>
          </w:tcPr>
          <w:p>
            <w:pPr>
              <w:pStyle w:val="TableParagraph"/>
              <w:spacing w:line="247" w:lineRule="exact"/>
              <w:ind w:left="114"/>
              <w:jc w:val="left"/>
              <w:rPr>
                <w:sz w:val="21"/>
              </w:rPr>
            </w:pPr>
            <w:r>
              <w:rPr>
                <w:sz w:val="21"/>
              </w:rPr>
              <w:t>为危险化学品入园项目环境影响评</w:t>
            </w:r>
          </w:p>
        </w:tc>
        <w:tc>
          <w:tcPr>
            <w:tcW w:w="3109" w:type="dxa"/>
            <w:tcBorders>
              <w:top w:val="nil"/>
              <w:left w:val="single" w:sz="6" w:space="0" w:color="000000"/>
              <w:bottom w:val="nil"/>
              <w:right w:val="single" w:sz="6" w:space="0" w:color="000000"/>
            </w:tcBorders>
          </w:tcPr>
          <w:p>
            <w:pPr>
              <w:pStyle w:val="TableParagraph"/>
              <w:spacing w:line="247" w:lineRule="exact"/>
              <w:ind w:left="115"/>
              <w:jc w:val="left"/>
              <w:rPr>
                <w:sz w:val="21"/>
              </w:rPr>
            </w:pPr>
            <w:r>
              <w:rPr>
                <w:sz w:val="21"/>
              </w:rPr>
              <w:t>出了评价，并提出有针对性的环</w:t>
            </w:r>
          </w:p>
        </w:tc>
        <w:tc>
          <w:tcPr>
            <w:tcW w:w="1183" w:type="dxa"/>
            <w:tcBorders>
              <w:top w:val="nil"/>
              <w:left w:val="single" w:sz="6" w:space="0" w:color="000000"/>
              <w:bottom w:val="nil"/>
            </w:tcBorders>
          </w:tcPr>
          <w:p>
            <w:pPr>
              <w:pStyle w:val="TableParagraph"/>
              <w:jc w:val="left"/>
              <w:rPr>
                <w:rFonts w:ascii="Times New Roman"/>
                <w:sz w:val="18"/>
              </w:rPr>
            </w:pPr>
          </w:p>
        </w:tc>
      </w:tr>
      <w:tr>
        <w:trPr>
          <w:trHeight w:val="272"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2" w:lineRule="exact"/>
              <w:ind w:left="114"/>
              <w:jc w:val="left"/>
              <w:rPr>
                <w:sz w:val="21"/>
              </w:rPr>
            </w:pPr>
            <w:r>
              <w:rPr>
                <w:sz w:val="21"/>
              </w:rPr>
              <w:t>价的重要内容，并提出有针对性的环</w:t>
            </w:r>
          </w:p>
        </w:tc>
        <w:tc>
          <w:tcPr>
            <w:tcW w:w="3109" w:type="dxa"/>
            <w:tcBorders>
              <w:top w:val="nil"/>
              <w:left w:val="single" w:sz="6" w:space="0" w:color="000000"/>
              <w:bottom w:val="nil"/>
              <w:right w:val="single" w:sz="6" w:space="0" w:color="000000"/>
            </w:tcBorders>
          </w:tcPr>
          <w:p>
            <w:pPr>
              <w:pStyle w:val="TableParagraph"/>
              <w:spacing w:line="252" w:lineRule="exact"/>
              <w:ind w:left="115"/>
              <w:jc w:val="left"/>
              <w:rPr>
                <w:sz w:val="21"/>
              </w:rPr>
            </w:pPr>
            <w:r>
              <w:rPr>
                <w:sz w:val="21"/>
              </w:rPr>
              <w:t>境风险防控措施。</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72" w:hRule="atLeast"/>
        </w:trPr>
        <w:tc>
          <w:tcPr>
            <w:tcW w:w="696" w:type="dxa"/>
            <w:tcBorders>
              <w:top w:val="nil"/>
              <w:bottom w:val="single" w:sz="6" w:space="0" w:color="000000"/>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single" w:sz="6" w:space="0" w:color="000000"/>
              <w:right w:val="single" w:sz="6" w:space="0" w:color="000000"/>
            </w:tcBorders>
          </w:tcPr>
          <w:p>
            <w:pPr>
              <w:pStyle w:val="TableParagraph"/>
              <w:spacing w:line="252" w:lineRule="exact"/>
              <w:ind w:left="114"/>
              <w:jc w:val="left"/>
              <w:rPr>
                <w:sz w:val="21"/>
              </w:rPr>
            </w:pPr>
            <w:r>
              <w:rPr>
                <w:sz w:val="21"/>
              </w:rPr>
              <w:t>境风险防控措施。</w:t>
            </w:r>
          </w:p>
        </w:tc>
        <w:tc>
          <w:tcPr>
            <w:tcW w:w="3109"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11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272" w:hRule="atLeast"/>
        </w:trPr>
        <w:tc>
          <w:tcPr>
            <w:tcW w:w="696" w:type="dxa"/>
            <w:tcBorders>
              <w:top w:val="single" w:sz="6" w:space="0" w:color="000000"/>
              <w:bottom w:val="nil"/>
              <w:right w:val="single" w:sz="6" w:space="0" w:color="000000"/>
            </w:tcBorders>
          </w:tcPr>
          <w:p>
            <w:pPr>
              <w:pStyle w:val="TableParagraph"/>
              <w:jc w:val="left"/>
              <w:rPr>
                <w:rFonts w:ascii="Times New Roman"/>
                <w:sz w:val="20"/>
              </w:rPr>
            </w:pPr>
          </w:p>
        </w:tc>
        <w:tc>
          <w:tcPr>
            <w:tcW w:w="3536" w:type="dxa"/>
            <w:tcBorders>
              <w:top w:val="single" w:sz="6" w:space="0" w:color="000000"/>
              <w:left w:val="single" w:sz="6" w:space="0" w:color="000000"/>
              <w:bottom w:val="nil"/>
              <w:right w:val="single" w:sz="6" w:space="0" w:color="000000"/>
            </w:tcBorders>
          </w:tcPr>
          <w:p>
            <w:pPr>
              <w:pStyle w:val="TableParagraph"/>
              <w:spacing w:line="252" w:lineRule="exact"/>
              <w:ind w:left="114"/>
              <w:jc w:val="left"/>
              <w:rPr>
                <w:sz w:val="21"/>
              </w:rPr>
            </w:pPr>
            <w:r>
              <w:rPr>
                <w:sz w:val="21"/>
              </w:rPr>
              <w:t>环境风险评价结论应作为相关建设</w:t>
            </w:r>
          </w:p>
        </w:tc>
        <w:tc>
          <w:tcPr>
            <w:tcW w:w="3109" w:type="dxa"/>
            <w:tcBorders>
              <w:top w:val="single" w:sz="6" w:space="0" w:color="000000"/>
              <w:left w:val="single" w:sz="6" w:space="0" w:color="000000"/>
              <w:bottom w:val="nil"/>
              <w:right w:val="single" w:sz="6" w:space="0" w:color="000000"/>
            </w:tcBorders>
          </w:tcPr>
          <w:p>
            <w:pPr>
              <w:pStyle w:val="TableParagraph"/>
              <w:spacing w:line="252" w:lineRule="exact"/>
              <w:ind w:left="115"/>
              <w:jc w:val="left"/>
              <w:rPr>
                <w:sz w:val="21"/>
              </w:rPr>
            </w:pPr>
            <w:r>
              <w:rPr>
                <w:sz w:val="21"/>
              </w:rPr>
              <w:t>项目环境影响报告书设置了环</w:t>
            </w:r>
          </w:p>
        </w:tc>
        <w:tc>
          <w:tcPr>
            <w:tcW w:w="1183" w:type="dxa"/>
            <w:tcBorders>
              <w:top w:val="single" w:sz="6" w:space="0" w:color="000000"/>
              <w:left w:val="single" w:sz="6" w:space="0" w:color="000000"/>
              <w:bottom w:val="nil"/>
            </w:tcBorders>
          </w:tcPr>
          <w:p>
            <w:pPr>
              <w:pStyle w:val="TableParagraph"/>
              <w:jc w:val="left"/>
              <w:rPr>
                <w:rFonts w:ascii="Times New Roman"/>
                <w:sz w:val="20"/>
              </w:rPr>
            </w:pPr>
          </w:p>
        </w:tc>
      </w:tr>
      <w:tr>
        <w:trPr>
          <w:trHeight w:val="272"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3" w:lineRule="exact"/>
              <w:ind w:left="114"/>
              <w:jc w:val="left"/>
              <w:rPr>
                <w:sz w:val="21"/>
              </w:rPr>
            </w:pPr>
            <w:r>
              <w:rPr>
                <w:sz w:val="21"/>
              </w:rPr>
              <w:t>项目环境影响评价文件结论的主要</w:t>
            </w:r>
          </w:p>
        </w:tc>
        <w:tc>
          <w:tcPr>
            <w:tcW w:w="3109" w:type="dxa"/>
            <w:tcBorders>
              <w:top w:val="nil"/>
              <w:left w:val="single" w:sz="6" w:space="0" w:color="000000"/>
              <w:bottom w:val="nil"/>
              <w:right w:val="single" w:sz="6" w:space="0" w:color="000000"/>
            </w:tcBorders>
          </w:tcPr>
          <w:p>
            <w:pPr>
              <w:pStyle w:val="TableParagraph"/>
              <w:spacing w:line="253" w:lineRule="exact"/>
              <w:ind w:left="115"/>
              <w:jc w:val="left"/>
              <w:rPr>
                <w:sz w:val="21"/>
              </w:rPr>
            </w:pPr>
            <w:r>
              <w:rPr>
                <w:sz w:val="21"/>
              </w:rPr>
              <w:t>境风险评价的专题章节。环境风</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65" w:hRule="atLeast"/>
        </w:trPr>
        <w:tc>
          <w:tcPr>
            <w:tcW w:w="696" w:type="dxa"/>
            <w:tcBorders>
              <w:top w:val="nil"/>
              <w:bottom w:val="nil"/>
              <w:right w:val="single" w:sz="6" w:space="0" w:color="000000"/>
            </w:tcBorders>
          </w:tcPr>
          <w:p>
            <w:pPr>
              <w:pStyle w:val="TableParagraph"/>
              <w:jc w:val="left"/>
              <w:rPr>
                <w:rFonts w:ascii="Times New Roman"/>
                <w:sz w:val="18"/>
              </w:rPr>
            </w:pPr>
          </w:p>
        </w:tc>
        <w:tc>
          <w:tcPr>
            <w:tcW w:w="3536" w:type="dxa"/>
            <w:tcBorders>
              <w:top w:val="nil"/>
              <w:left w:val="single" w:sz="6" w:space="0" w:color="000000"/>
              <w:bottom w:val="nil"/>
              <w:right w:val="single" w:sz="6" w:space="0" w:color="000000"/>
            </w:tcBorders>
          </w:tcPr>
          <w:p>
            <w:pPr>
              <w:pStyle w:val="TableParagraph"/>
              <w:spacing w:line="245" w:lineRule="exact"/>
              <w:ind w:left="114"/>
              <w:jc w:val="left"/>
              <w:rPr>
                <w:sz w:val="21"/>
              </w:rPr>
            </w:pPr>
            <w:r>
              <w:rPr>
                <w:sz w:val="21"/>
              </w:rPr>
              <w:t>内容之一。无环境风险评价专章的相</w:t>
            </w:r>
          </w:p>
        </w:tc>
        <w:tc>
          <w:tcPr>
            <w:tcW w:w="3109" w:type="dxa"/>
            <w:tcBorders>
              <w:top w:val="nil"/>
              <w:left w:val="single" w:sz="6" w:space="0" w:color="000000"/>
              <w:bottom w:val="nil"/>
              <w:right w:val="single" w:sz="6" w:space="0" w:color="000000"/>
            </w:tcBorders>
          </w:tcPr>
          <w:p>
            <w:pPr>
              <w:pStyle w:val="TableParagraph"/>
              <w:spacing w:line="245" w:lineRule="exact"/>
              <w:ind w:left="115"/>
              <w:jc w:val="left"/>
              <w:rPr>
                <w:sz w:val="21"/>
              </w:rPr>
            </w:pPr>
            <w:r>
              <w:rPr>
                <w:sz w:val="21"/>
              </w:rPr>
              <w:t>险评价对项目的环境风险源识</w:t>
            </w:r>
          </w:p>
        </w:tc>
        <w:tc>
          <w:tcPr>
            <w:tcW w:w="1183" w:type="dxa"/>
            <w:tcBorders>
              <w:top w:val="nil"/>
              <w:left w:val="single" w:sz="6" w:space="0" w:color="000000"/>
              <w:bottom w:val="nil"/>
            </w:tcBorders>
          </w:tcPr>
          <w:p>
            <w:pPr>
              <w:pStyle w:val="TableParagraph"/>
              <w:jc w:val="left"/>
              <w:rPr>
                <w:rFonts w:ascii="Times New Roman"/>
                <w:sz w:val="18"/>
              </w:rPr>
            </w:pPr>
          </w:p>
        </w:tc>
      </w:tr>
      <w:tr>
        <w:trPr>
          <w:trHeight w:val="283" w:hRule="atLeast"/>
        </w:trPr>
        <w:tc>
          <w:tcPr>
            <w:tcW w:w="696" w:type="dxa"/>
            <w:tcBorders>
              <w:top w:val="nil"/>
              <w:bottom w:val="nil"/>
              <w:right w:val="single" w:sz="6" w:space="0" w:color="000000"/>
            </w:tcBorders>
          </w:tcPr>
          <w:p>
            <w:pPr>
              <w:pStyle w:val="TableParagraph"/>
              <w:spacing w:before="16"/>
              <w:ind w:left="21"/>
              <w:rPr>
                <w:rFonts w:ascii="Times New Roman"/>
                <w:sz w:val="21"/>
              </w:rPr>
            </w:pPr>
            <w:r>
              <w:rPr>
                <w:rFonts w:ascii="Times New Roman"/>
                <w:w w:val="100"/>
                <w:sz w:val="21"/>
              </w:rPr>
              <w:t>5</w:t>
            </w:r>
          </w:p>
        </w:tc>
        <w:tc>
          <w:tcPr>
            <w:tcW w:w="3536" w:type="dxa"/>
            <w:tcBorders>
              <w:top w:val="nil"/>
              <w:left w:val="single" w:sz="6" w:space="0" w:color="000000"/>
              <w:bottom w:val="nil"/>
              <w:right w:val="single" w:sz="6" w:space="0" w:color="000000"/>
            </w:tcBorders>
          </w:tcPr>
          <w:p>
            <w:pPr>
              <w:pStyle w:val="TableParagraph"/>
              <w:spacing w:line="264" w:lineRule="exact"/>
              <w:ind w:left="114"/>
              <w:jc w:val="left"/>
              <w:rPr>
                <w:sz w:val="21"/>
              </w:rPr>
            </w:pPr>
            <w:r>
              <w:rPr>
                <w:sz w:val="21"/>
              </w:rPr>
              <w:t>关建设项目环境影响评价文件不予</w:t>
            </w:r>
          </w:p>
        </w:tc>
        <w:tc>
          <w:tcPr>
            <w:tcW w:w="3109" w:type="dxa"/>
            <w:tcBorders>
              <w:top w:val="nil"/>
              <w:left w:val="single" w:sz="6" w:space="0" w:color="000000"/>
              <w:bottom w:val="nil"/>
              <w:right w:val="single" w:sz="6" w:space="0" w:color="000000"/>
            </w:tcBorders>
          </w:tcPr>
          <w:p>
            <w:pPr>
              <w:pStyle w:val="TableParagraph"/>
              <w:spacing w:line="264" w:lineRule="exact"/>
              <w:ind w:left="115"/>
              <w:jc w:val="left"/>
              <w:rPr>
                <w:sz w:val="21"/>
              </w:rPr>
            </w:pPr>
            <w:r>
              <w:rPr>
                <w:sz w:val="21"/>
              </w:rPr>
              <w:t>别、环境风险预测、选址及敏感</w:t>
            </w:r>
          </w:p>
        </w:tc>
        <w:tc>
          <w:tcPr>
            <w:tcW w:w="1183" w:type="dxa"/>
            <w:tcBorders>
              <w:top w:val="nil"/>
              <w:left w:val="single" w:sz="6" w:space="0" w:color="000000"/>
              <w:bottom w:val="nil"/>
            </w:tcBorders>
          </w:tcPr>
          <w:p>
            <w:pPr>
              <w:pStyle w:val="TableParagraph"/>
              <w:spacing w:line="264" w:lineRule="exact"/>
              <w:ind w:left="158" w:right="120"/>
              <w:rPr>
                <w:sz w:val="21"/>
              </w:rPr>
            </w:pPr>
            <w:r>
              <w:rPr>
                <w:sz w:val="21"/>
              </w:rPr>
              <w:t>符合</w:t>
            </w:r>
          </w:p>
        </w:tc>
      </w:tr>
      <w:tr>
        <w:trPr>
          <w:trHeight w:val="268" w:hRule="atLeast"/>
        </w:trPr>
        <w:tc>
          <w:tcPr>
            <w:tcW w:w="696" w:type="dxa"/>
            <w:tcBorders>
              <w:top w:val="nil"/>
              <w:bottom w:val="nil"/>
              <w:right w:val="single" w:sz="6" w:space="0" w:color="000000"/>
            </w:tcBorders>
          </w:tcPr>
          <w:p>
            <w:pPr>
              <w:pStyle w:val="TableParagraph"/>
              <w:jc w:val="left"/>
              <w:rPr>
                <w:rFonts w:ascii="Times New Roman"/>
                <w:sz w:val="18"/>
              </w:rPr>
            </w:pPr>
          </w:p>
        </w:tc>
        <w:tc>
          <w:tcPr>
            <w:tcW w:w="3536" w:type="dxa"/>
            <w:tcBorders>
              <w:top w:val="nil"/>
              <w:left w:val="single" w:sz="6" w:space="0" w:color="000000"/>
              <w:bottom w:val="nil"/>
              <w:right w:val="single" w:sz="6" w:space="0" w:color="000000"/>
            </w:tcBorders>
          </w:tcPr>
          <w:p>
            <w:pPr>
              <w:pStyle w:val="TableParagraph"/>
              <w:spacing w:line="248" w:lineRule="exact"/>
              <w:ind w:left="114"/>
              <w:jc w:val="left"/>
              <w:rPr>
                <w:sz w:val="21"/>
              </w:rPr>
            </w:pPr>
            <w:r>
              <w:rPr>
                <w:sz w:val="21"/>
              </w:rPr>
              <w:t>受理；经论证，环境风险评价内容不</w:t>
            </w:r>
          </w:p>
        </w:tc>
        <w:tc>
          <w:tcPr>
            <w:tcW w:w="3109" w:type="dxa"/>
            <w:tcBorders>
              <w:top w:val="nil"/>
              <w:left w:val="single" w:sz="6" w:space="0" w:color="000000"/>
              <w:bottom w:val="nil"/>
              <w:right w:val="single" w:sz="6" w:space="0" w:color="000000"/>
            </w:tcBorders>
          </w:tcPr>
          <w:p>
            <w:pPr>
              <w:pStyle w:val="TableParagraph"/>
              <w:spacing w:line="248" w:lineRule="exact"/>
              <w:ind w:left="115"/>
              <w:jc w:val="left"/>
              <w:rPr>
                <w:sz w:val="21"/>
              </w:rPr>
            </w:pPr>
            <w:r>
              <w:rPr>
                <w:sz w:val="21"/>
              </w:rPr>
              <w:t>目标、防范措施等如实做出了评</w:t>
            </w:r>
          </w:p>
        </w:tc>
        <w:tc>
          <w:tcPr>
            <w:tcW w:w="1183" w:type="dxa"/>
            <w:tcBorders>
              <w:top w:val="nil"/>
              <w:left w:val="single" w:sz="6" w:space="0" w:color="000000"/>
              <w:bottom w:val="nil"/>
            </w:tcBorders>
          </w:tcPr>
          <w:p>
            <w:pPr>
              <w:pStyle w:val="TableParagraph"/>
              <w:jc w:val="left"/>
              <w:rPr>
                <w:rFonts w:ascii="Times New Roman"/>
                <w:sz w:val="18"/>
              </w:rPr>
            </w:pPr>
          </w:p>
        </w:tc>
      </w:tr>
      <w:tr>
        <w:trPr>
          <w:trHeight w:val="272" w:hRule="atLeast"/>
        </w:trPr>
        <w:tc>
          <w:tcPr>
            <w:tcW w:w="696" w:type="dxa"/>
            <w:tcBorders>
              <w:top w:val="nil"/>
              <w:bottom w:val="nil"/>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nil"/>
              <w:right w:val="single" w:sz="6" w:space="0" w:color="000000"/>
            </w:tcBorders>
          </w:tcPr>
          <w:p>
            <w:pPr>
              <w:pStyle w:val="TableParagraph"/>
              <w:spacing w:line="252" w:lineRule="exact"/>
              <w:ind w:left="114"/>
              <w:jc w:val="left"/>
              <w:rPr>
                <w:sz w:val="21"/>
              </w:rPr>
            </w:pPr>
            <w:r>
              <w:rPr>
                <w:sz w:val="21"/>
              </w:rPr>
              <w:t>完善的相关建设项目环境影响评价</w:t>
            </w:r>
          </w:p>
        </w:tc>
        <w:tc>
          <w:tcPr>
            <w:tcW w:w="3109" w:type="dxa"/>
            <w:tcBorders>
              <w:top w:val="nil"/>
              <w:left w:val="single" w:sz="6" w:space="0" w:color="000000"/>
              <w:bottom w:val="nil"/>
              <w:right w:val="single" w:sz="6" w:space="0" w:color="000000"/>
            </w:tcBorders>
          </w:tcPr>
          <w:p>
            <w:pPr>
              <w:pStyle w:val="TableParagraph"/>
              <w:spacing w:line="252" w:lineRule="exact"/>
              <w:ind w:left="115"/>
              <w:jc w:val="left"/>
              <w:rPr>
                <w:sz w:val="21"/>
              </w:rPr>
            </w:pPr>
            <w:r>
              <w:rPr>
                <w:sz w:val="21"/>
              </w:rPr>
              <w:t>价，并提出有针对性的环境风险</w:t>
            </w:r>
          </w:p>
        </w:tc>
        <w:tc>
          <w:tcPr>
            <w:tcW w:w="1183" w:type="dxa"/>
            <w:tcBorders>
              <w:top w:val="nil"/>
              <w:left w:val="single" w:sz="6" w:space="0" w:color="000000"/>
              <w:bottom w:val="nil"/>
            </w:tcBorders>
          </w:tcPr>
          <w:p>
            <w:pPr>
              <w:pStyle w:val="TableParagraph"/>
              <w:jc w:val="left"/>
              <w:rPr>
                <w:rFonts w:ascii="Times New Roman"/>
                <w:sz w:val="20"/>
              </w:rPr>
            </w:pPr>
          </w:p>
        </w:tc>
      </w:tr>
      <w:tr>
        <w:trPr>
          <w:trHeight w:val="273" w:hRule="atLeast"/>
        </w:trPr>
        <w:tc>
          <w:tcPr>
            <w:tcW w:w="696" w:type="dxa"/>
            <w:tcBorders>
              <w:top w:val="nil"/>
              <w:bottom w:val="single" w:sz="6" w:space="0" w:color="000000"/>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single" w:sz="6" w:space="0" w:color="000000"/>
              <w:right w:val="single" w:sz="6" w:space="0" w:color="000000"/>
            </w:tcBorders>
          </w:tcPr>
          <w:p>
            <w:pPr>
              <w:pStyle w:val="TableParagraph"/>
              <w:spacing w:line="254" w:lineRule="exact"/>
              <w:ind w:left="114"/>
              <w:jc w:val="left"/>
              <w:rPr>
                <w:sz w:val="21"/>
              </w:rPr>
            </w:pPr>
            <w:r>
              <w:rPr>
                <w:sz w:val="21"/>
              </w:rPr>
              <w:t>文件不予审批。</w:t>
            </w:r>
          </w:p>
        </w:tc>
        <w:tc>
          <w:tcPr>
            <w:tcW w:w="3109" w:type="dxa"/>
            <w:tcBorders>
              <w:top w:val="nil"/>
              <w:left w:val="single" w:sz="6" w:space="0" w:color="000000"/>
              <w:bottom w:val="single" w:sz="6" w:space="0" w:color="000000"/>
              <w:right w:val="single" w:sz="6" w:space="0" w:color="000000"/>
            </w:tcBorders>
          </w:tcPr>
          <w:p>
            <w:pPr>
              <w:pStyle w:val="TableParagraph"/>
              <w:spacing w:line="254" w:lineRule="exact"/>
              <w:ind w:left="115"/>
              <w:jc w:val="left"/>
              <w:rPr>
                <w:sz w:val="21"/>
              </w:rPr>
            </w:pPr>
            <w:r>
              <w:rPr>
                <w:sz w:val="21"/>
              </w:rPr>
              <w:t>防控措施。</w:t>
            </w:r>
          </w:p>
        </w:tc>
        <w:tc>
          <w:tcPr>
            <w:tcW w:w="11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1087" w:hRule="atLeast"/>
        </w:trPr>
        <w:tc>
          <w:tcPr>
            <w:tcW w:w="696" w:type="dxa"/>
            <w:tcBorders>
              <w:top w:val="single" w:sz="6" w:space="0" w:color="000000"/>
              <w:bottom w:val="nil"/>
              <w:right w:val="single" w:sz="6" w:space="0" w:color="000000"/>
            </w:tcBorders>
          </w:tcPr>
          <w:p>
            <w:pPr>
              <w:pStyle w:val="TableParagraph"/>
              <w:spacing w:before="10"/>
              <w:jc w:val="left"/>
              <w:rPr>
                <w:sz w:val="32"/>
              </w:rPr>
            </w:pPr>
          </w:p>
          <w:p>
            <w:pPr>
              <w:pStyle w:val="TableParagraph"/>
              <w:spacing w:before="1"/>
              <w:ind w:left="21"/>
              <w:rPr>
                <w:rFonts w:ascii="Times New Roman"/>
                <w:sz w:val="21"/>
              </w:rPr>
            </w:pPr>
            <w:r>
              <w:rPr>
                <w:rFonts w:ascii="Times New Roman"/>
                <w:w w:val="100"/>
                <w:sz w:val="21"/>
              </w:rPr>
              <w:t>6</w:t>
            </w:r>
          </w:p>
        </w:tc>
        <w:tc>
          <w:tcPr>
            <w:tcW w:w="3536" w:type="dxa"/>
            <w:tcBorders>
              <w:top w:val="single" w:sz="6" w:space="0" w:color="000000"/>
              <w:left w:val="single" w:sz="6" w:space="0" w:color="000000"/>
              <w:bottom w:val="nil"/>
              <w:right w:val="single" w:sz="6" w:space="0" w:color="000000"/>
            </w:tcBorders>
          </w:tcPr>
          <w:p>
            <w:pPr>
              <w:pStyle w:val="TableParagraph"/>
              <w:spacing w:line="146" w:lineRule="auto" w:before="21"/>
              <w:ind w:left="114" w:right="24"/>
              <w:jc w:val="left"/>
              <w:rPr>
                <w:sz w:val="21"/>
              </w:rPr>
            </w:pPr>
            <w:r>
              <w:rPr>
                <w:sz w:val="21"/>
              </w:rPr>
              <w:t>项目设计阶段，应按照或参照《化工建设项目环境保护设计规范》</w:t>
            </w:r>
            <w:r>
              <w:rPr>
                <w:rFonts w:ascii="Times New Roman" w:eastAsia="Times New Roman"/>
                <w:sz w:val="21"/>
              </w:rPr>
              <w:t>(GB50483)</w:t>
            </w:r>
            <w:r>
              <w:rPr>
                <w:sz w:val="21"/>
              </w:rPr>
              <w:t>等国家标准和规范要求，</w:t>
            </w:r>
          </w:p>
          <w:p>
            <w:pPr>
              <w:pStyle w:val="TableParagraph"/>
              <w:spacing w:line="232" w:lineRule="exact"/>
              <w:ind w:left="114"/>
              <w:jc w:val="left"/>
              <w:rPr>
                <w:sz w:val="21"/>
              </w:rPr>
            </w:pPr>
            <w:r>
              <w:rPr>
                <w:sz w:val="21"/>
              </w:rPr>
              <w:t>设计有效防止泄漏物质、消防水、污</w:t>
            </w:r>
          </w:p>
        </w:tc>
        <w:tc>
          <w:tcPr>
            <w:tcW w:w="3109" w:type="dxa"/>
            <w:tcBorders>
              <w:top w:val="single" w:sz="6" w:space="0" w:color="000000"/>
              <w:left w:val="single" w:sz="6" w:space="0" w:color="000000"/>
              <w:bottom w:val="nil"/>
              <w:right w:val="single" w:sz="6" w:space="0" w:color="000000"/>
            </w:tcBorders>
          </w:tcPr>
          <w:p>
            <w:pPr>
              <w:pStyle w:val="TableParagraph"/>
              <w:spacing w:line="146" w:lineRule="auto" w:before="21"/>
              <w:ind w:left="115" w:right="79"/>
              <w:jc w:val="both"/>
              <w:rPr>
                <w:sz w:val="21"/>
              </w:rPr>
            </w:pPr>
            <w:r>
              <w:rPr>
                <w:spacing w:val="-8"/>
                <w:sz w:val="21"/>
              </w:rPr>
              <w:t>根据《化工建设项目环境保护设</w:t>
            </w:r>
            <w:r>
              <w:rPr>
                <w:spacing w:val="4"/>
                <w:sz w:val="21"/>
              </w:rPr>
              <w:t>计规范》</w:t>
            </w:r>
            <w:r>
              <w:rPr>
                <w:rFonts w:ascii="Times New Roman" w:eastAsia="Times New Roman"/>
                <w:sz w:val="21"/>
              </w:rPr>
              <w:t>(GB50483)</w:t>
            </w:r>
            <w:r>
              <w:rPr>
                <w:spacing w:val="1"/>
                <w:sz w:val="21"/>
              </w:rPr>
              <w:t>等标准和规</w:t>
            </w:r>
            <w:r>
              <w:rPr>
                <w:spacing w:val="-8"/>
                <w:sz w:val="21"/>
              </w:rPr>
              <w:t>范的要求，项目装置区和罐区设</w:t>
            </w:r>
          </w:p>
          <w:p>
            <w:pPr>
              <w:pStyle w:val="TableParagraph"/>
              <w:spacing w:line="232" w:lineRule="exact"/>
              <w:ind w:left="115"/>
              <w:jc w:val="both"/>
              <w:rPr>
                <w:sz w:val="21"/>
              </w:rPr>
            </w:pPr>
            <w:r>
              <w:rPr>
                <w:spacing w:val="-9"/>
                <w:sz w:val="21"/>
              </w:rPr>
              <w:t>置导流沟槽和围堰，厂区设置事</w:t>
            </w:r>
          </w:p>
        </w:tc>
        <w:tc>
          <w:tcPr>
            <w:tcW w:w="1183" w:type="dxa"/>
            <w:tcBorders>
              <w:top w:val="single" w:sz="6" w:space="0" w:color="000000"/>
              <w:left w:val="single" w:sz="6" w:space="0" w:color="000000"/>
              <w:bottom w:val="nil"/>
            </w:tcBorders>
          </w:tcPr>
          <w:p>
            <w:pPr>
              <w:pStyle w:val="TableParagraph"/>
              <w:spacing w:before="9"/>
              <w:jc w:val="left"/>
              <w:rPr>
                <w:sz w:val="27"/>
              </w:rPr>
            </w:pPr>
          </w:p>
          <w:p>
            <w:pPr>
              <w:pStyle w:val="TableParagraph"/>
              <w:ind w:left="158" w:right="120"/>
              <w:rPr>
                <w:sz w:val="21"/>
              </w:rPr>
            </w:pPr>
            <w:r>
              <w:rPr>
                <w:sz w:val="21"/>
              </w:rPr>
              <w:t>符合</w:t>
            </w:r>
          </w:p>
        </w:tc>
      </w:tr>
      <w:tr>
        <w:trPr>
          <w:trHeight w:val="546" w:hRule="atLeast"/>
        </w:trPr>
        <w:tc>
          <w:tcPr>
            <w:tcW w:w="696" w:type="dxa"/>
            <w:tcBorders>
              <w:top w:val="nil"/>
              <w:bottom w:val="single" w:sz="6" w:space="0" w:color="000000"/>
              <w:right w:val="single" w:sz="6" w:space="0" w:color="000000"/>
            </w:tcBorders>
          </w:tcPr>
          <w:p>
            <w:pPr>
              <w:pStyle w:val="TableParagraph"/>
              <w:jc w:val="left"/>
              <w:rPr>
                <w:rFonts w:ascii="Times New Roman"/>
                <w:sz w:val="20"/>
              </w:rPr>
            </w:pPr>
          </w:p>
        </w:tc>
        <w:tc>
          <w:tcPr>
            <w:tcW w:w="3536" w:type="dxa"/>
            <w:tcBorders>
              <w:top w:val="nil"/>
              <w:left w:val="single" w:sz="6" w:space="0" w:color="000000"/>
              <w:bottom w:val="single" w:sz="6" w:space="0" w:color="000000"/>
              <w:right w:val="single" w:sz="6" w:space="0" w:color="000000"/>
            </w:tcBorders>
          </w:tcPr>
          <w:p>
            <w:pPr>
              <w:pStyle w:val="TableParagraph"/>
              <w:spacing w:line="260" w:lineRule="exact"/>
              <w:ind w:left="114"/>
              <w:jc w:val="left"/>
              <w:rPr>
                <w:sz w:val="21"/>
              </w:rPr>
            </w:pPr>
            <w:r>
              <w:rPr>
                <w:sz w:val="21"/>
              </w:rPr>
              <w:t>染雨水等扩散至外环境的收集、导</w:t>
            </w:r>
          </w:p>
          <w:p>
            <w:pPr>
              <w:pStyle w:val="TableParagraph"/>
              <w:spacing w:line="266" w:lineRule="exact"/>
              <w:ind w:left="114" w:right="-29"/>
              <w:jc w:val="left"/>
              <w:rPr>
                <w:sz w:val="21"/>
              </w:rPr>
            </w:pPr>
            <w:r>
              <w:rPr>
                <w:spacing w:val="-14"/>
                <w:sz w:val="21"/>
              </w:rPr>
              <w:t>流、拦截、降污等环境风险防范设施。</w:t>
            </w:r>
          </w:p>
        </w:tc>
        <w:tc>
          <w:tcPr>
            <w:tcW w:w="3109" w:type="dxa"/>
            <w:tcBorders>
              <w:top w:val="nil"/>
              <w:left w:val="single" w:sz="6" w:space="0" w:color="000000"/>
              <w:bottom w:val="single" w:sz="6" w:space="0" w:color="000000"/>
              <w:right w:val="single" w:sz="6" w:space="0" w:color="000000"/>
            </w:tcBorders>
          </w:tcPr>
          <w:p>
            <w:pPr>
              <w:pStyle w:val="TableParagraph"/>
              <w:spacing w:line="260" w:lineRule="exact"/>
              <w:ind w:left="115"/>
              <w:jc w:val="left"/>
              <w:rPr>
                <w:sz w:val="21"/>
              </w:rPr>
            </w:pPr>
            <w:r>
              <w:rPr>
                <w:sz w:val="21"/>
              </w:rPr>
              <w:t>故水池。同时园区设置有污水处</w:t>
            </w:r>
          </w:p>
          <w:p>
            <w:pPr>
              <w:pStyle w:val="TableParagraph"/>
              <w:spacing w:line="266" w:lineRule="exact"/>
              <w:ind w:left="115"/>
              <w:jc w:val="left"/>
              <w:rPr>
                <w:sz w:val="21"/>
              </w:rPr>
            </w:pPr>
            <w:r>
              <w:rPr>
                <w:sz w:val="21"/>
              </w:rPr>
              <w:t>理厂。</w:t>
            </w:r>
          </w:p>
        </w:tc>
        <w:tc>
          <w:tcPr>
            <w:tcW w:w="1183" w:type="dxa"/>
            <w:tcBorders>
              <w:top w:val="nil"/>
              <w:left w:val="single" w:sz="6" w:space="0" w:color="000000"/>
              <w:bottom w:val="single" w:sz="6" w:space="0" w:color="000000"/>
            </w:tcBorders>
          </w:tcPr>
          <w:p>
            <w:pPr>
              <w:pStyle w:val="TableParagraph"/>
              <w:jc w:val="left"/>
              <w:rPr>
                <w:rFonts w:ascii="Times New Roman"/>
                <w:sz w:val="20"/>
              </w:rPr>
            </w:pPr>
          </w:p>
        </w:tc>
      </w:tr>
      <w:tr>
        <w:trPr>
          <w:trHeight w:val="337" w:hRule="atLeast"/>
        </w:trPr>
        <w:tc>
          <w:tcPr>
            <w:tcW w:w="696" w:type="dxa"/>
            <w:tcBorders>
              <w:top w:val="single" w:sz="6" w:space="0" w:color="000000"/>
              <w:right w:val="single" w:sz="6" w:space="0" w:color="000000"/>
            </w:tcBorders>
          </w:tcPr>
          <w:p>
            <w:pPr>
              <w:pStyle w:val="TableParagraph"/>
              <w:spacing w:before="43"/>
              <w:ind w:left="21"/>
              <w:rPr>
                <w:rFonts w:ascii="Times New Roman"/>
                <w:sz w:val="21"/>
              </w:rPr>
            </w:pPr>
            <w:r>
              <w:rPr>
                <w:rFonts w:ascii="Times New Roman"/>
                <w:w w:val="100"/>
                <w:sz w:val="21"/>
              </w:rPr>
              <w:t>7</w:t>
            </w:r>
          </w:p>
        </w:tc>
        <w:tc>
          <w:tcPr>
            <w:tcW w:w="3536" w:type="dxa"/>
            <w:tcBorders>
              <w:top w:val="single" w:sz="6" w:space="0" w:color="000000"/>
              <w:left w:val="single" w:sz="6" w:space="0" w:color="000000"/>
              <w:right w:val="single" w:sz="6" w:space="0" w:color="000000"/>
            </w:tcBorders>
          </w:tcPr>
          <w:p>
            <w:pPr>
              <w:pStyle w:val="TableParagraph"/>
              <w:spacing w:line="317" w:lineRule="exact"/>
              <w:ind w:left="114"/>
              <w:jc w:val="left"/>
              <w:rPr>
                <w:sz w:val="21"/>
              </w:rPr>
            </w:pPr>
            <w:r>
              <w:rPr>
                <w:sz w:val="21"/>
              </w:rPr>
              <w:t>企业应建设并完善日常和应急监测</w:t>
            </w:r>
          </w:p>
        </w:tc>
        <w:tc>
          <w:tcPr>
            <w:tcW w:w="3109" w:type="dxa"/>
            <w:tcBorders>
              <w:top w:val="single" w:sz="6" w:space="0" w:color="000000"/>
              <w:left w:val="single" w:sz="6" w:space="0" w:color="000000"/>
              <w:right w:val="single" w:sz="6" w:space="0" w:color="000000"/>
            </w:tcBorders>
          </w:tcPr>
          <w:p>
            <w:pPr>
              <w:pStyle w:val="TableParagraph"/>
              <w:spacing w:line="317" w:lineRule="exact"/>
              <w:ind w:left="115"/>
              <w:jc w:val="left"/>
              <w:rPr>
                <w:sz w:val="21"/>
              </w:rPr>
            </w:pPr>
            <w:r>
              <w:rPr>
                <w:sz w:val="21"/>
              </w:rPr>
              <w:t>公司成立环境管理及监测机构，</w:t>
            </w:r>
          </w:p>
        </w:tc>
        <w:tc>
          <w:tcPr>
            <w:tcW w:w="1183" w:type="dxa"/>
            <w:tcBorders>
              <w:top w:val="single" w:sz="6" w:space="0" w:color="000000"/>
              <w:left w:val="single" w:sz="6" w:space="0" w:color="000000"/>
            </w:tcBorders>
          </w:tcPr>
          <w:p>
            <w:pPr>
              <w:pStyle w:val="TableParagraph"/>
              <w:spacing w:line="317" w:lineRule="exact"/>
              <w:ind w:left="158" w:right="120"/>
              <w:rPr>
                <w:sz w:val="21"/>
              </w:rPr>
            </w:pPr>
            <w:r>
              <w:rPr>
                <w:sz w:val="21"/>
              </w:rPr>
              <w:t>符合</w:t>
            </w:r>
          </w:p>
        </w:tc>
      </w:tr>
    </w:tbl>
    <w:p>
      <w:pPr>
        <w:spacing w:after="0" w:line="317" w:lineRule="exact"/>
        <w:rPr>
          <w:sz w:val="21"/>
        </w:rPr>
        <w:sectPr>
          <w:pgSz w:w="11910" w:h="16840"/>
          <w:pgMar w:header="877" w:footer="973" w:top="1420" w:bottom="1160" w:left="1560" w:right="1560"/>
        </w:sect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6"/>
        <w:gridCol w:w="3536"/>
        <w:gridCol w:w="3109"/>
        <w:gridCol w:w="1183"/>
      </w:tblGrid>
      <w:tr>
        <w:trPr>
          <w:trHeight w:val="801" w:hRule="atLeast"/>
        </w:trPr>
        <w:tc>
          <w:tcPr>
            <w:tcW w:w="696" w:type="dxa"/>
            <w:vMerge w:val="restart"/>
            <w:tcBorders>
              <w:right w:val="single" w:sz="6" w:space="0" w:color="000000"/>
            </w:tcBorders>
          </w:tcPr>
          <w:p>
            <w:pPr>
              <w:pStyle w:val="TableParagraph"/>
              <w:jc w:val="left"/>
              <w:rPr>
                <w:rFonts w:ascii="Times New Roman"/>
                <w:sz w:val="20"/>
              </w:rPr>
            </w:pPr>
          </w:p>
        </w:tc>
        <w:tc>
          <w:tcPr>
            <w:tcW w:w="3536" w:type="dxa"/>
            <w:tcBorders>
              <w:left w:val="single" w:sz="6" w:space="0" w:color="000000"/>
              <w:bottom w:val="nil"/>
              <w:right w:val="single" w:sz="6" w:space="0" w:color="000000"/>
            </w:tcBorders>
          </w:tcPr>
          <w:p>
            <w:pPr>
              <w:pStyle w:val="TableParagraph"/>
              <w:spacing w:line="146" w:lineRule="auto" w:before="24"/>
              <w:ind w:left="114" w:right="24"/>
              <w:jc w:val="left"/>
              <w:rPr>
                <w:sz w:val="21"/>
              </w:rPr>
            </w:pPr>
            <w:r>
              <w:rPr>
                <w:sz w:val="21"/>
              </w:rPr>
              <w:t>系统，配备大气、水环境特征污染物监控设备，编制日常和应急监测方</w:t>
            </w:r>
          </w:p>
          <w:p>
            <w:pPr>
              <w:pStyle w:val="TableParagraph"/>
              <w:spacing w:line="215" w:lineRule="exact"/>
              <w:ind w:left="114"/>
              <w:jc w:val="left"/>
              <w:rPr>
                <w:sz w:val="21"/>
              </w:rPr>
            </w:pPr>
            <w:r>
              <w:rPr>
                <w:sz w:val="21"/>
              </w:rPr>
              <w:t>案，提高监控水平、应急响应速度和</w:t>
            </w:r>
          </w:p>
        </w:tc>
        <w:tc>
          <w:tcPr>
            <w:tcW w:w="3109" w:type="dxa"/>
            <w:tcBorders>
              <w:left w:val="single" w:sz="6" w:space="0" w:color="000000"/>
              <w:bottom w:val="nil"/>
              <w:right w:val="single" w:sz="6" w:space="0" w:color="000000"/>
            </w:tcBorders>
          </w:tcPr>
          <w:p>
            <w:pPr>
              <w:pStyle w:val="TableParagraph"/>
              <w:spacing w:line="146" w:lineRule="auto" w:before="24"/>
              <w:ind w:left="115" w:right="79"/>
              <w:jc w:val="left"/>
              <w:rPr>
                <w:sz w:val="21"/>
              </w:rPr>
            </w:pPr>
            <w:r>
              <w:rPr>
                <w:spacing w:val="10"/>
                <w:sz w:val="21"/>
              </w:rPr>
              <w:t>并且根据项目特征制定了监测</w:t>
            </w:r>
            <w:r>
              <w:rPr>
                <w:spacing w:val="-7"/>
                <w:sz w:val="21"/>
              </w:rPr>
              <w:t>计划，配备了相应的监测仪器设</w:t>
            </w:r>
          </w:p>
          <w:p>
            <w:pPr>
              <w:pStyle w:val="TableParagraph"/>
              <w:spacing w:line="215" w:lineRule="exact"/>
              <w:ind w:left="115"/>
              <w:jc w:val="left"/>
              <w:rPr>
                <w:sz w:val="21"/>
              </w:rPr>
            </w:pPr>
            <w:r>
              <w:rPr>
                <w:spacing w:val="-9"/>
                <w:sz w:val="21"/>
              </w:rPr>
              <w:t>备和监测技术人员。公司定期开</w:t>
            </w:r>
          </w:p>
        </w:tc>
        <w:tc>
          <w:tcPr>
            <w:tcW w:w="1183" w:type="dxa"/>
            <w:vMerge w:val="restart"/>
            <w:tcBorders>
              <w:left w:val="single" w:sz="6" w:space="0" w:color="000000"/>
            </w:tcBorders>
          </w:tcPr>
          <w:p>
            <w:pPr>
              <w:pStyle w:val="TableParagraph"/>
              <w:jc w:val="left"/>
              <w:rPr>
                <w:rFonts w:ascii="Times New Roman"/>
                <w:sz w:val="20"/>
              </w:rPr>
            </w:pPr>
          </w:p>
        </w:tc>
      </w:tr>
      <w:tr>
        <w:trPr>
          <w:trHeight w:val="514" w:hRule="atLeast"/>
        </w:trPr>
        <w:tc>
          <w:tcPr>
            <w:tcW w:w="696" w:type="dxa"/>
            <w:vMerge/>
            <w:tcBorders>
              <w:top w:val="nil"/>
              <w:right w:val="single" w:sz="6" w:space="0" w:color="000000"/>
            </w:tcBorders>
          </w:tcPr>
          <w:p>
            <w:pPr>
              <w:rPr>
                <w:sz w:val="2"/>
                <w:szCs w:val="2"/>
              </w:rPr>
            </w:pPr>
          </w:p>
        </w:tc>
        <w:tc>
          <w:tcPr>
            <w:tcW w:w="3536" w:type="dxa"/>
            <w:tcBorders>
              <w:top w:val="nil"/>
              <w:left w:val="single" w:sz="6" w:space="0" w:color="000000"/>
              <w:bottom w:val="nil"/>
              <w:right w:val="single" w:sz="6" w:space="0" w:color="000000"/>
            </w:tcBorders>
          </w:tcPr>
          <w:p>
            <w:pPr>
              <w:pStyle w:val="TableParagraph"/>
              <w:spacing w:line="245" w:lineRule="exact"/>
              <w:ind w:left="114"/>
              <w:jc w:val="left"/>
              <w:rPr>
                <w:sz w:val="21"/>
              </w:rPr>
            </w:pPr>
            <w:r>
              <w:rPr>
                <w:sz w:val="21"/>
              </w:rPr>
              <w:t>应急处理能力；建立完备的环境信息</w:t>
            </w:r>
          </w:p>
          <w:p>
            <w:pPr>
              <w:pStyle w:val="TableParagraph"/>
              <w:spacing w:line="250" w:lineRule="exact"/>
              <w:ind w:left="114"/>
              <w:jc w:val="left"/>
              <w:rPr>
                <w:sz w:val="21"/>
              </w:rPr>
            </w:pPr>
            <w:r>
              <w:rPr>
                <w:sz w:val="21"/>
              </w:rPr>
              <w:t>平台，定期向社会公布企业环境信</w:t>
            </w:r>
          </w:p>
        </w:tc>
        <w:tc>
          <w:tcPr>
            <w:tcW w:w="3109" w:type="dxa"/>
            <w:tcBorders>
              <w:top w:val="nil"/>
              <w:left w:val="single" w:sz="6" w:space="0" w:color="000000"/>
              <w:bottom w:val="nil"/>
              <w:right w:val="single" w:sz="6" w:space="0" w:color="000000"/>
            </w:tcBorders>
          </w:tcPr>
          <w:p>
            <w:pPr>
              <w:pStyle w:val="TableParagraph"/>
              <w:spacing w:line="245" w:lineRule="exact"/>
              <w:ind w:left="115"/>
              <w:jc w:val="left"/>
              <w:rPr>
                <w:sz w:val="21"/>
              </w:rPr>
            </w:pPr>
            <w:r>
              <w:rPr>
                <w:spacing w:val="10"/>
                <w:sz w:val="21"/>
              </w:rPr>
              <w:t>展企业环境信息，接受公众监</w:t>
            </w:r>
          </w:p>
          <w:p>
            <w:pPr>
              <w:pStyle w:val="TableParagraph"/>
              <w:spacing w:line="250" w:lineRule="exact"/>
              <w:ind w:left="115"/>
              <w:jc w:val="left"/>
              <w:rPr>
                <w:sz w:val="21"/>
              </w:rPr>
            </w:pPr>
            <w:r>
              <w:rPr>
                <w:spacing w:val="10"/>
                <w:sz w:val="21"/>
              </w:rPr>
              <w:t>督。公司已按照有关标准和规</w:t>
            </w:r>
          </w:p>
        </w:tc>
        <w:tc>
          <w:tcPr>
            <w:tcW w:w="1183" w:type="dxa"/>
            <w:vMerge/>
            <w:tcBorders>
              <w:top w:val="nil"/>
              <w:left w:val="single" w:sz="6" w:space="0" w:color="000000"/>
            </w:tcBorders>
          </w:tcPr>
          <w:p>
            <w:pPr>
              <w:rPr>
                <w:sz w:val="2"/>
                <w:szCs w:val="2"/>
              </w:rPr>
            </w:pPr>
          </w:p>
        </w:tc>
      </w:tr>
      <w:tr>
        <w:trPr>
          <w:trHeight w:val="514" w:hRule="atLeast"/>
        </w:trPr>
        <w:tc>
          <w:tcPr>
            <w:tcW w:w="696" w:type="dxa"/>
            <w:vMerge/>
            <w:tcBorders>
              <w:top w:val="nil"/>
              <w:right w:val="single" w:sz="6" w:space="0" w:color="000000"/>
            </w:tcBorders>
          </w:tcPr>
          <w:p>
            <w:pPr>
              <w:rPr>
                <w:sz w:val="2"/>
                <w:szCs w:val="2"/>
              </w:rPr>
            </w:pPr>
          </w:p>
        </w:tc>
        <w:tc>
          <w:tcPr>
            <w:tcW w:w="3536" w:type="dxa"/>
            <w:tcBorders>
              <w:top w:val="nil"/>
              <w:left w:val="single" w:sz="6" w:space="0" w:color="000000"/>
              <w:bottom w:val="nil"/>
              <w:right w:val="single" w:sz="6" w:space="0" w:color="000000"/>
            </w:tcBorders>
          </w:tcPr>
          <w:p>
            <w:pPr>
              <w:pStyle w:val="TableParagraph"/>
              <w:spacing w:line="245" w:lineRule="exact"/>
              <w:ind w:left="114"/>
              <w:jc w:val="left"/>
              <w:rPr>
                <w:sz w:val="21"/>
              </w:rPr>
            </w:pPr>
            <w:r>
              <w:rPr>
                <w:sz w:val="21"/>
              </w:rPr>
              <w:t>息，接受公众监督。将企业突发环境</w:t>
            </w:r>
          </w:p>
          <w:p>
            <w:pPr>
              <w:pStyle w:val="TableParagraph"/>
              <w:spacing w:line="250" w:lineRule="exact"/>
              <w:ind w:left="114"/>
              <w:jc w:val="left"/>
              <w:rPr>
                <w:sz w:val="21"/>
              </w:rPr>
            </w:pPr>
            <w:r>
              <w:rPr>
                <w:sz w:val="21"/>
              </w:rPr>
              <w:t>事件应急预案演练和应急物资管理</w:t>
            </w:r>
          </w:p>
        </w:tc>
        <w:tc>
          <w:tcPr>
            <w:tcW w:w="3109" w:type="dxa"/>
            <w:tcBorders>
              <w:top w:val="nil"/>
              <w:left w:val="single" w:sz="6" w:space="0" w:color="000000"/>
              <w:bottom w:val="nil"/>
              <w:right w:val="single" w:sz="6" w:space="0" w:color="000000"/>
            </w:tcBorders>
          </w:tcPr>
          <w:p>
            <w:pPr>
              <w:pStyle w:val="TableParagraph"/>
              <w:spacing w:line="245" w:lineRule="exact"/>
              <w:ind w:left="115"/>
              <w:jc w:val="left"/>
              <w:rPr>
                <w:sz w:val="21"/>
              </w:rPr>
            </w:pPr>
            <w:r>
              <w:rPr>
                <w:sz w:val="21"/>
              </w:rPr>
              <w:t>范，制订突发环境事件应急预</w:t>
            </w:r>
          </w:p>
          <w:p>
            <w:pPr>
              <w:pStyle w:val="TableParagraph"/>
              <w:spacing w:line="250" w:lineRule="exact"/>
              <w:ind w:left="115"/>
              <w:jc w:val="left"/>
              <w:rPr>
                <w:sz w:val="21"/>
              </w:rPr>
            </w:pPr>
            <w:r>
              <w:rPr>
                <w:sz w:val="21"/>
              </w:rPr>
              <w:t>案，配备必要的应急装备器材，</w:t>
            </w:r>
          </w:p>
        </w:tc>
        <w:tc>
          <w:tcPr>
            <w:tcW w:w="1183" w:type="dxa"/>
            <w:vMerge/>
            <w:tcBorders>
              <w:top w:val="nil"/>
              <w:left w:val="single" w:sz="6" w:space="0" w:color="000000"/>
            </w:tcBorders>
          </w:tcPr>
          <w:p>
            <w:pPr>
              <w:rPr>
                <w:sz w:val="2"/>
                <w:szCs w:val="2"/>
              </w:rPr>
            </w:pPr>
          </w:p>
        </w:tc>
      </w:tr>
      <w:tr>
        <w:trPr>
          <w:trHeight w:val="514" w:hRule="atLeast"/>
        </w:trPr>
        <w:tc>
          <w:tcPr>
            <w:tcW w:w="696" w:type="dxa"/>
            <w:vMerge/>
            <w:tcBorders>
              <w:top w:val="nil"/>
              <w:right w:val="single" w:sz="6" w:space="0" w:color="000000"/>
            </w:tcBorders>
          </w:tcPr>
          <w:p>
            <w:pPr>
              <w:rPr>
                <w:sz w:val="2"/>
                <w:szCs w:val="2"/>
              </w:rPr>
            </w:pPr>
          </w:p>
        </w:tc>
        <w:tc>
          <w:tcPr>
            <w:tcW w:w="3536" w:type="dxa"/>
            <w:tcBorders>
              <w:top w:val="nil"/>
              <w:left w:val="single" w:sz="6" w:space="0" w:color="000000"/>
              <w:bottom w:val="nil"/>
              <w:right w:val="single" w:sz="6" w:space="0" w:color="000000"/>
            </w:tcBorders>
          </w:tcPr>
          <w:p>
            <w:pPr>
              <w:pStyle w:val="TableParagraph"/>
              <w:spacing w:line="245" w:lineRule="exact"/>
              <w:ind w:left="114"/>
              <w:jc w:val="left"/>
              <w:rPr>
                <w:sz w:val="21"/>
              </w:rPr>
            </w:pPr>
            <w:r>
              <w:rPr>
                <w:sz w:val="21"/>
              </w:rPr>
              <w:t>作为日常工作任务，不断提升环境风</w:t>
            </w:r>
          </w:p>
          <w:p>
            <w:pPr>
              <w:pStyle w:val="TableParagraph"/>
              <w:spacing w:line="250" w:lineRule="exact"/>
              <w:ind w:left="114"/>
              <w:jc w:val="left"/>
              <w:rPr>
                <w:sz w:val="21"/>
              </w:rPr>
            </w:pPr>
            <w:r>
              <w:rPr>
                <w:sz w:val="21"/>
              </w:rPr>
              <w:t>险防范应急保障能力。</w:t>
            </w:r>
          </w:p>
        </w:tc>
        <w:tc>
          <w:tcPr>
            <w:tcW w:w="3109" w:type="dxa"/>
            <w:tcBorders>
              <w:top w:val="nil"/>
              <w:left w:val="single" w:sz="6" w:space="0" w:color="000000"/>
              <w:bottom w:val="nil"/>
              <w:right w:val="single" w:sz="6" w:space="0" w:color="000000"/>
            </w:tcBorders>
          </w:tcPr>
          <w:p>
            <w:pPr>
              <w:pStyle w:val="TableParagraph"/>
              <w:spacing w:line="245" w:lineRule="exact"/>
              <w:ind w:left="115"/>
              <w:jc w:val="left"/>
              <w:rPr>
                <w:sz w:val="21"/>
              </w:rPr>
            </w:pPr>
            <w:r>
              <w:rPr>
                <w:spacing w:val="-9"/>
                <w:sz w:val="21"/>
              </w:rPr>
              <w:t>建立应急救援队伍。公司定期组</w:t>
            </w:r>
          </w:p>
          <w:p>
            <w:pPr>
              <w:pStyle w:val="TableParagraph"/>
              <w:spacing w:line="250" w:lineRule="exact"/>
              <w:ind w:left="115"/>
              <w:jc w:val="left"/>
              <w:rPr>
                <w:sz w:val="21"/>
              </w:rPr>
            </w:pPr>
            <w:r>
              <w:rPr>
                <w:spacing w:val="-8"/>
                <w:sz w:val="21"/>
              </w:rPr>
              <w:t>织应急演练，并对演练效果进行</w:t>
            </w:r>
          </w:p>
        </w:tc>
        <w:tc>
          <w:tcPr>
            <w:tcW w:w="1183" w:type="dxa"/>
            <w:vMerge/>
            <w:tcBorders>
              <w:top w:val="nil"/>
              <w:left w:val="single" w:sz="6" w:space="0" w:color="000000"/>
            </w:tcBorders>
          </w:tcPr>
          <w:p>
            <w:pPr>
              <w:rPr>
                <w:sz w:val="2"/>
                <w:szCs w:val="2"/>
              </w:rPr>
            </w:pPr>
          </w:p>
        </w:tc>
      </w:tr>
      <w:tr>
        <w:trPr>
          <w:trHeight w:val="257" w:hRule="atLeast"/>
        </w:trPr>
        <w:tc>
          <w:tcPr>
            <w:tcW w:w="696" w:type="dxa"/>
            <w:vMerge/>
            <w:tcBorders>
              <w:top w:val="nil"/>
              <w:right w:val="single" w:sz="6" w:space="0" w:color="000000"/>
            </w:tcBorders>
          </w:tcPr>
          <w:p>
            <w:pPr>
              <w:rPr>
                <w:sz w:val="2"/>
                <w:szCs w:val="2"/>
              </w:rPr>
            </w:pPr>
          </w:p>
        </w:tc>
        <w:tc>
          <w:tcPr>
            <w:tcW w:w="3536" w:type="dxa"/>
            <w:tcBorders>
              <w:top w:val="nil"/>
              <w:left w:val="single" w:sz="6" w:space="0" w:color="000000"/>
              <w:right w:val="single" w:sz="6" w:space="0" w:color="000000"/>
            </w:tcBorders>
          </w:tcPr>
          <w:p>
            <w:pPr>
              <w:pStyle w:val="TableParagraph"/>
              <w:jc w:val="left"/>
              <w:rPr>
                <w:rFonts w:ascii="Times New Roman"/>
                <w:sz w:val="18"/>
              </w:rPr>
            </w:pPr>
          </w:p>
        </w:tc>
        <w:tc>
          <w:tcPr>
            <w:tcW w:w="3109" w:type="dxa"/>
            <w:tcBorders>
              <w:top w:val="nil"/>
              <w:left w:val="single" w:sz="6" w:space="0" w:color="000000"/>
              <w:right w:val="single" w:sz="6" w:space="0" w:color="000000"/>
            </w:tcBorders>
          </w:tcPr>
          <w:p>
            <w:pPr>
              <w:pStyle w:val="TableParagraph"/>
              <w:spacing w:line="237" w:lineRule="exact"/>
              <w:ind w:left="115"/>
              <w:jc w:val="left"/>
              <w:rPr>
                <w:sz w:val="21"/>
              </w:rPr>
            </w:pPr>
            <w:r>
              <w:rPr>
                <w:sz w:val="21"/>
              </w:rPr>
              <w:t>评估。</w:t>
            </w:r>
          </w:p>
        </w:tc>
        <w:tc>
          <w:tcPr>
            <w:tcW w:w="1183" w:type="dxa"/>
            <w:vMerge/>
            <w:tcBorders>
              <w:top w:val="nil"/>
              <w:left w:val="single" w:sz="6" w:space="0" w:color="000000"/>
            </w:tcBorders>
          </w:tcPr>
          <w:p>
            <w:pPr>
              <w:rPr>
                <w:sz w:val="2"/>
                <w:szCs w:val="2"/>
              </w:rPr>
            </w:pPr>
          </w:p>
        </w:tc>
      </w:tr>
    </w:tbl>
    <w:p>
      <w:pPr>
        <w:pStyle w:val="BodyText"/>
        <w:spacing w:line="220" w:lineRule="auto" w:before="5"/>
        <w:ind w:left="240" w:right="239" w:firstLine="479"/>
      </w:pPr>
      <w:r>
        <w:rPr>
          <w:spacing w:val="-11"/>
        </w:rPr>
        <w:t>由上表可见，项目符合《关于进一步加强环境影响评价管理防范环境风险的通知》</w:t>
      </w:r>
      <w:r>
        <w:rPr>
          <w:rFonts w:ascii="Times New Roman" w:eastAsia="Times New Roman"/>
          <w:spacing w:val="-11"/>
        </w:rPr>
        <w:t>(</w:t>
      </w:r>
      <w:r>
        <w:rPr>
          <w:spacing w:val="-11"/>
        </w:rPr>
        <w:t>环发</w:t>
      </w:r>
      <w:r>
        <w:rPr>
          <w:rFonts w:ascii="Times New Roman" w:eastAsia="Times New Roman"/>
          <w:spacing w:val="-11"/>
        </w:rPr>
        <w:t>[2012]77</w:t>
      </w:r>
      <w:r>
        <w:rPr>
          <w:spacing w:val="-3"/>
        </w:rPr>
        <w:t>号</w:t>
      </w:r>
      <w:r>
        <w:rPr>
          <w:rFonts w:ascii="Times New Roman" w:eastAsia="Times New Roman"/>
        </w:rPr>
        <w:t>)</w:t>
      </w:r>
      <w:r>
        <w:rPr/>
        <w:t>文件的要求。</w:t>
      </w:r>
    </w:p>
    <w:p>
      <w:pPr>
        <w:pStyle w:val="BodyText"/>
        <w:spacing w:line="220" w:lineRule="auto"/>
        <w:ind w:left="240" w:right="236" w:firstLine="479"/>
      </w:pPr>
      <w:r>
        <w:rPr>
          <w:rFonts w:ascii="Times New Roman" w:hAnsi="Times New Roman" w:eastAsia="Times New Roman"/>
        </w:rPr>
        <w:t>8</w:t>
      </w:r>
      <w:r>
        <w:rPr/>
        <w:t>、与《关于印发</w:t>
      </w:r>
      <w:r>
        <w:rPr>
          <w:rFonts w:ascii="Times New Roman" w:hAnsi="Times New Roman" w:eastAsia="Times New Roman"/>
        </w:rPr>
        <w:t>&lt;</w:t>
      </w:r>
      <w:r>
        <w:rPr>
          <w:spacing w:val="-2"/>
        </w:rPr>
        <w:t>“十三五”挥发性有机物污染防治工作方案</w:t>
      </w:r>
      <w:r>
        <w:rPr>
          <w:rFonts w:ascii="Times New Roman" w:hAnsi="Times New Roman" w:eastAsia="Times New Roman"/>
        </w:rPr>
        <w:t>&gt;</w:t>
      </w:r>
      <w:r>
        <w:rPr/>
        <w:t>的通知》符 </w:t>
      </w:r>
      <w:r>
        <w:rPr>
          <w:w w:val="115"/>
        </w:rPr>
        <w:t>合性分析</w:t>
      </w:r>
    </w:p>
    <w:p>
      <w:pPr>
        <w:pStyle w:val="BodyText"/>
        <w:spacing w:line="220" w:lineRule="auto"/>
        <w:ind w:left="240" w:right="159" w:firstLine="479"/>
      </w:pPr>
      <w:r>
        <w:rPr/>
        <w:t>项目与环大气</w:t>
      </w:r>
      <w:r>
        <w:rPr>
          <w:rFonts w:ascii="Times New Roman" w:hAnsi="Times New Roman" w:eastAsia="Times New Roman"/>
        </w:rPr>
        <w:t>[2017]121</w:t>
      </w:r>
      <w:r>
        <w:rPr/>
        <w:t>号文《关于印发</w:t>
      </w:r>
      <w:r>
        <w:rPr>
          <w:rFonts w:ascii="Times New Roman" w:hAnsi="Times New Roman" w:eastAsia="Times New Roman"/>
        </w:rPr>
        <w:t>&lt;</w:t>
      </w:r>
      <w:r>
        <w:rPr/>
        <w:t>“十三五”挥发性有机物污染防治 </w:t>
      </w:r>
      <w:r>
        <w:rPr>
          <w:w w:val="105"/>
        </w:rPr>
        <w:t>工作方案</w:t>
      </w:r>
      <w:r>
        <w:rPr>
          <w:rFonts w:ascii="Times New Roman" w:hAnsi="Times New Roman" w:eastAsia="Times New Roman"/>
          <w:w w:val="105"/>
        </w:rPr>
        <w:t>&gt;</w:t>
      </w:r>
      <w:r>
        <w:rPr>
          <w:w w:val="105"/>
        </w:rPr>
        <w:t>的通知》符合情况见表</w:t>
      </w:r>
      <w:r>
        <w:rPr>
          <w:rFonts w:ascii="Times New Roman" w:hAnsi="Times New Roman" w:eastAsia="Times New Roman"/>
          <w:w w:val="105"/>
        </w:rPr>
        <w:t>11.1-8</w:t>
      </w:r>
      <w:r>
        <w:rPr>
          <w:w w:val="105"/>
        </w:rPr>
        <w:t>。</w:t>
      </w:r>
    </w:p>
    <w:p>
      <w:pPr>
        <w:tabs>
          <w:tab w:pos="3060" w:val="left" w:leader="none"/>
        </w:tabs>
        <w:spacing w:before="6" w:after="24"/>
        <w:ind w:left="2055" w:right="0" w:firstLine="0"/>
        <w:jc w:val="left"/>
        <w:rPr>
          <w:sz w:val="21"/>
        </w:rPr>
      </w:pPr>
      <w:r>
        <w:rPr>
          <w:sz w:val="21"/>
        </w:rPr>
        <w:t>表</w:t>
      </w:r>
      <w:r>
        <w:rPr>
          <w:spacing w:val="9"/>
          <w:sz w:val="21"/>
        </w:rPr>
        <w:t> </w:t>
      </w:r>
      <w:r>
        <w:rPr>
          <w:rFonts w:ascii="Times New Roman" w:eastAsia="Times New Roman"/>
          <w:b/>
          <w:spacing w:val="-3"/>
          <w:sz w:val="21"/>
        </w:rPr>
        <w:t>11.1-8</w:t>
        <w:tab/>
      </w:r>
      <w:r>
        <w:rPr>
          <w:sz w:val="21"/>
        </w:rPr>
        <w:t>项目与环大气</w:t>
      </w:r>
      <w:r>
        <w:rPr>
          <w:rFonts w:ascii="Times New Roman" w:eastAsia="Times New Roman"/>
          <w:b/>
          <w:sz w:val="21"/>
        </w:rPr>
        <w:t>[2017]121</w:t>
      </w:r>
      <w:r>
        <w:rPr>
          <w:rFonts w:ascii="Times New Roman" w:eastAsia="Times New Roman"/>
          <w:b/>
          <w:spacing w:val="-2"/>
          <w:sz w:val="21"/>
        </w:rPr>
        <w:t> </w:t>
      </w:r>
      <w:r>
        <w:rPr>
          <w:sz w:val="21"/>
        </w:rPr>
        <w:t>号文符合性分析</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4"/>
        <w:gridCol w:w="872"/>
        <w:gridCol w:w="3969"/>
        <w:gridCol w:w="2411"/>
        <w:gridCol w:w="762"/>
      </w:tblGrid>
      <w:tr>
        <w:trPr>
          <w:trHeight w:val="543" w:hRule="atLeast"/>
        </w:trPr>
        <w:tc>
          <w:tcPr>
            <w:tcW w:w="514" w:type="dxa"/>
            <w:tcBorders>
              <w:bottom w:val="single" w:sz="6" w:space="0" w:color="000000"/>
              <w:right w:val="single" w:sz="6" w:space="0" w:color="000000"/>
            </w:tcBorders>
          </w:tcPr>
          <w:p>
            <w:pPr>
              <w:pStyle w:val="TableParagraph"/>
              <w:spacing w:line="259" w:lineRule="exact"/>
              <w:ind w:left="150"/>
              <w:jc w:val="left"/>
              <w:rPr>
                <w:sz w:val="21"/>
              </w:rPr>
            </w:pPr>
            <w:r>
              <w:rPr>
                <w:w w:val="100"/>
                <w:sz w:val="21"/>
              </w:rPr>
              <w:t>序</w:t>
            </w:r>
          </w:p>
          <w:p>
            <w:pPr>
              <w:pStyle w:val="TableParagraph"/>
              <w:spacing w:line="265" w:lineRule="exact"/>
              <w:ind w:left="150"/>
              <w:jc w:val="left"/>
              <w:rPr>
                <w:sz w:val="21"/>
              </w:rPr>
            </w:pPr>
            <w:r>
              <w:rPr>
                <w:w w:val="100"/>
                <w:sz w:val="21"/>
              </w:rPr>
              <w:t>号</w:t>
            </w:r>
          </w:p>
        </w:tc>
        <w:tc>
          <w:tcPr>
            <w:tcW w:w="4841" w:type="dxa"/>
            <w:gridSpan w:val="2"/>
            <w:tcBorders>
              <w:left w:val="single" w:sz="6" w:space="0" w:color="000000"/>
              <w:bottom w:val="single" w:sz="6" w:space="0" w:color="000000"/>
              <w:right w:val="single" w:sz="6" w:space="0" w:color="000000"/>
            </w:tcBorders>
          </w:tcPr>
          <w:p>
            <w:pPr>
              <w:pStyle w:val="TableParagraph"/>
              <w:spacing w:before="36"/>
              <w:ind w:left="546"/>
              <w:jc w:val="left"/>
              <w:rPr>
                <w:sz w:val="21"/>
              </w:rPr>
            </w:pPr>
            <w:r>
              <w:rPr>
                <w:rFonts w:ascii="Times New Roman" w:hAnsi="Times New Roman" w:eastAsia="Times New Roman"/>
                <w:sz w:val="21"/>
              </w:rPr>
              <w:t>“</w:t>
            </w:r>
            <w:r>
              <w:rPr>
                <w:sz w:val="21"/>
              </w:rPr>
              <w:t>十三五</w:t>
            </w:r>
            <w:r>
              <w:rPr>
                <w:rFonts w:ascii="Times New Roman" w:hAnsi="Times New Roman" w:eastAsia="Times New Roman"/>
                <w:sz w:val="21"/>
              </w:rPr>
              <w:t>”</w:t>
            </w:r>
            <w:r>
              <w:rPr>
                <w:sz w:val="21"/>
              </w:rPr>
              <w:t>挥发性有机物污染防治工作方案</w:t>
            </w:r>
          </w:p>
        </w:tc>
        <w:tc>
          <w:tcPr>
            <w:tcW w:w="2411" w:type="dxa"/>
            <w:tcBorders>
              <w:left w:val="single" w:sz="6" w:space="0" w:color="000000"/>
              <w:bottom w:val="single" w:sz="6" w:space="0" w:color="000000"/>
              <w:right w:val="single" w:sz="6" w:space="0" w:color="000000"/>
            </w:tcBorders>
          </w:tcPr>
          <w:p>
            <w:pPr>
              <w:pStyle w:val="TableParagraph"/>
              <w:spacing w:before="36"/>
              <w:ind w:left="789"/>
              <w:jc w:val="left"/>
              <w:rPr>
                <w:sz w:val="21"/>
              </w:rPr>
            </w:pPr>
            <w:r>
              <w:rPr>
                <w:sz w:val="21"/>
              </w:rPr>
              <w:t>工程情况</w:t>
            </w:r>
          </w:p>
        </w:tc>
        <w:tc>
          <w:tcPr>
            <w:tcW w:w="762" w:type="dxa"/>
            <w:tcBorders>
              <w:left w:val="single" w:sz="6" w:space="0" w:color="000000"/>
              <w:bottom w:val="single" w:sz="6" w:space="0" w:color="000000"/>
            </w:tcBorders>
          </w:tcPr>
          <w:p>
            <w:pPr>
              <w:pStyle w:val="TableParagraph"/>
              <w:spacing w:line="259" w:lineRule="exact"/>
              <w:ind w:left="174"/>
              <w:jc w:val="left"/>
              <w:rPr>
                <w:sz w:val="21"/>
              </w:rPr>
            </w:pPr>
            <w:r>
              <w:rPr>
                <w:sz w:val="21"/>
              </w:rPr>
              <w:t>是否</w:t>
            </w:r>
          </w:p>
          <w:p>
            <w:pPr>
              <w:pStyle w:val="TableParagraph"/>
              <w:spacing w:line="265" w:lineRule="exact"/>
              <w:ind w:left="174"/>
              <w:jc w:val="left"/>
              <w:rPr>
                <w:sz w:val="21"/>
              </w:rPr>
            </w:pPr>
            <w:r>
              <w:rPr>
                <w:sz w:val="21"/>
              </w:rPr>
              <w:t>符合</w:t>
            </w:r>
          </w:p>
        </w:tc>
      </w:tr>
      <w:tr>
        <w:trPr>
          <w:trHeight w:val="625" w:hRule="atLeast"/>
        </w:trPr>
        <w:tc>
          <w:tcPr>
            <w:tcW w:w="514" w:type="dxa"/>
            <w:tcBorders>
              <w:top w:val="single" w:sz="6" w:space="0" w:color="000000"/>
              <w:bottom w:val="nil"/>
              <w:right w:val="single" w:sz="6" w:space="0" w:color="000000"/>
            </w:tcBorders>
          </w:tcPr>
          <w:p>
            <w:pPr>
              <w:pStyle w:val="TableParagraph"/>
              <w:jc w:val="left"/>
              <w:rPr>
                <w:rFonts w:ascii="Times New Roman"/>
                <w:sz w:val="20"/>
              </w:rPr>
            </w:pPr>
          </w:p>
        </w:tc>
        <w:tc>
          <w:tcPr>
            <w:tcW w:w="872"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3969" w:type="dxa"/>
            <w:tcBorders>
              <w:top w:val="single" w:sz="6" w:space="0" w:color="000000"/>
              <w:left w:val="single" w:sz="6" w:space="0" w:color="000000"/>
              <w:bottom w:val="nil"/>
              <w:right w:val="single" w:sz="6" w:space="0" w:color="000000"/>
            </w:tcBorders>
          </w:tcPr>
          <w:p>
            <w:pPr>
              <w:pStyle w:val="TableParagraph"/>
              <w:spacing w:line="301" w:lineRule="exact"/>
              <w:ind w:left="152"/>
              <w:jc w:val="left"/>
              <w:rPr>
                <w:sz w:val="21"/>
              </w:rPr>
            </w:pPr>
            <w:r>
              <w:rPr>
                <w:sz w:val="21"/>
              </w:rPr>
              <w:t>提高</w:t>
            </w:r>
            <w:r>
              <w:rPr>
                <w:rFonts w:ascii="Times New Roman" w:eastAsia="Times New Roman"/>
                <w:sz w:val="21"/>
              </w:rPr>
              <w:t>VOCs</w:t>
            </w:r>
            <w:r>
              <w:rPr>
                <w:sz w:val="21"/>
              </w:rPr>
              <w:t>排放重点行业环保准入门槛，</w:t>
            </w:r>
          </w:p>
          <w:p>
            <w:pPr>
              <w:pStyle w:val="TableParagraph"/>
              <w:spacing w:line="304" w:lineRule="exact"/>
              <w:ind w:left="113"/>
              <w:jc w:val="left"/>
              <w:rPr>
                <w:sz w:val="21"/>
              </w:rPr>
            </w:pPr>
            <w:r>
              <w:rPr>
                <w:sz w:val="21"/>
              </w:rPr>
              <w:t>严格控制新增污染物排放量。重点地区要</w:t>
            </w:r>
          </w:p>
        </w:tc>
        <w:tc>
          <w:tcPr>
            <w:tcW w:w="241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762" w:type="dxa"/>
            <w:tcBorders>
              <w:top w:val="single" w:sz="6" w:space="0" w:color="000000"/>
              <w:left w:val="single" w:sz="6" w:space="0" w:color="000000"/>
              <w:bottom w:val="nil"/>
            </w:tcBorders>
          </w:tcPr>
          <w:p>
            <w:pPr>
              <w:pStyle w:val="TableParagraph"/>
              <w:jc w:val="left"/>
              <w:rPr>
                <w:rFonts w:ascii="Times New Roman"/>
                <w:sz w:val="20"/>
              </w:rPr>
            </w:pPr>
          </w:p>
        </w:tc>
      </w:tr>
      <w:tr>
        <w:trPr>
          <w:trHeight w:val="2184" w:hRule="atLeast"/>
        </w:trPr>
        <w:tc>
          <w:tcPr>
            <w:tcW w:w="514" w:type="dxa"/>
            <w:tcBorders>
              <w:top w:val="nil"/>
              <w:bottom w:val="nil"/>
              <w:right w:val="single" w:sz="6" w:space="0" w:color="000000"/>
            </w:tcBorders>
          </w:tcPr>
          <w:p>
            <w:pPr>
              <w:pStyle w:val="TableParagraph"/>
              <w:jc w:val="left"/>
              <w:rPr>
                <w:sz w:val="22"/>
              </w:rPr>
            </w:pPr>
          </w:p>
          <w:p>
            <w:pPr>
              <w:pStyle w:val="TableParagraph"/>
              <w:spacing w:before="7"/>
              <w:jc w:val="left"/>
              <w:rPr>
                <w:sz w:val="16"/>
              </w:rPr>
            </w:pPr>
          </w:p>
          <w:p>
            <w:pPr>
              <w:pStyle w:val="TableParagraph"/>
              <w:spacing w:before="1"/>
              <w:ind w:left="20"/>
              <w:rPr>
                <w:rFonts w:ascii="Times New Roman"/>
                <w:sz w:val="21"/>
              </w:rPr>
            </w:pPr>
            <w:r>
              <w:rPr>
                <w:rFonts w:ascii="Times New Roman"/>
                <w:w w:val="100"/>
                <w:sz w:val="21"/>
              </w:rPr>
              <w:t>1</w:t>
            </w:r>
          </w:p>
        </w:tc>
        <w:tc>
          <w:tcPr>
            <w:tcW w:w="872" w:type="dxa"/>
            <w:tcBorders>
              <w:top w:val="nil"/>
              <w:left w:val="single" w:sz="6" w:space="0" w:color="000000"/>
              <w:bottom w:val="nil"/>
              <w:right w:val="single" w:sz="6" w:space="0" w:color="000000"/>
            </w:tcBorders>
          </w:tcPr>
          <w:p>
            <w:pPr>
              <w:pStyle w:val="TableParagraph"/>
              <w:spacing w:before="8"/>
              <w:jc w:val="left"/>
              <w:rPr>
                <w:sz w:val="15"/>
              </w:rPr>
            </w:pPr>
          </w:p>
          <w:p>
            <w:pPr>
              <w:pStyle w:val="TableParagraph"/>
              <w:spacing w:line="168" w:lineRule="auto"/>
              <w:ind w:left="124" w:right="97"/>
              <w:jc w:val="both"/>
              <w:rPr>
                <w:sz w:val="21"/>
              </w:rPr>
            </w:pPr>
            <w:r>
              <w:rPr>
                <w:sz w:val="21"/>
              </w:rPr>
              <w:t>严格建设项目环境准入</w:t>
            </w:r>
          </w:p>
        </w:tc>
        <w:tc>
          <w:tcPr>
            <w:tcW w:w="3969" w:type="dxa"/>
            <w:tcBorders>
              <w:top w:val="nil"/>
              <w:left w:val="single" w:sz="6" w:space="0" w:color="000000"/>
              <w:bottom w:val="nil"/>
              <w:right w:val="single" w:sz="6" w:space="0" w:color="000000"/>
            </w:tcBorders>
          </w:tcPr>
          <w:p>
            <w:pPr>
              <w:pStyle w:val="TableParagraph"/>
              <w:spacing w:line="168" w:lineRule="auto" w:before="14"/>
              <w:ind w:left="113" w:right="81"/>
              <w:jc w:val="both"/>
              <w:rPr>
                <w:rFonts w:ascii="Times New Roman" w:eastAsia="Times New Roman"/>
                <w:sz w:val="21"/>
              </w:rPr>
            </w:pPr>
            <w:r>
              <w:rPr>
                <w:spacing w:val="-6"/>
                <w:sz w:val="21"/>
              </w:rPr>
              <w:t>严格限制石化、化工、包装印刷、工业涂</w:t>
            </w:r>
            <w:r>
              <w:rPr>
                <w:spacing w:val="-1"/>
                <w:sz w:val="21"/>
              </w:rPr>
              <w:t>装等高</w:t>
            </w:r>
            <w:r>
              <w:rPr>
                <w:rFonts w:ascii="Times New Roman" w:eastAsia="Times New Roman"/>
                <w:sz w:val="21"/>
              </w:rPr>
              <w:t>VOCs</w:t>
            </w:r>
            <w:r>
              <w:rPr>
                <w:spacing w:val="-7"/>
                <w:sz w:val="21"/>
              </w:rPr>
              <w:t>排放建设项目。新建涉</w:t>
            </w:r>
            <w:r>
              <w:rPr>
                <w:rFonts w:ascii="Times New Roman" w:eastAsia="Times New Roman"/>
                <w:sz w:val="21"/>
              </w:rPr>
              <w:t>VOCs </w:t>
            </w:r>
            <w:r>
              <w:rPr>
                <w:spacing w:val="-5"/>
                <w:sz w:val="21"/>
              </w:rPr>
              <w:t>排放的工业企业要入园区。未纳入《石化</w:t>
            </w:r>
            <w:r>
              <w:rPr>
                <w:spacing w:val="-7"/>
                <w:sz w:val="21"/>
              </w:rPr>
              <w:t>产业规划布局方案》的新建炼化项目一律</w:t>
            </w:r>
            <w:r>
              <w:rPr>
                <w:spacing w:val="-5"/>
                <w:sz w:val="21"/>
              </w:rPr>
              <w:t>不得建设。新、改、扩建涉</w:t>
            </w:r>
            <w:r>
              <w:rPr>
                <w:rFonts w:ascii="Times New Roman" w:eastAsia="Times New Roman"/>
                <w:sz w:val="21"/>
              </w:rPr>
              <w:t>VOCs</w:t>
            </w:r>
            <w:r>
              <w:rPr>
                <w:spacing w:val="-2"/>
                <w:sz w:val="21"/>
              </w:rPr>
              <w:t>排放项</w:t>
            </w:r>
            <w:r>
              <w:rPr>
                <w:spacing w:val="-22"/>
                <w:w w:val="100"/>
                <w:sz w:val="21"/>
              </w:rPr>
              <w:t>目，应从源头加强控制，使用低</w:t>
            </w:r>
            <w:r>
              <w:rPr>
                <w:spacing w:val="-2"/>
                <w:w w:val="100"/>
                <w:sz w:val="21"/>
              </w:rPr>
              <w:t>（</w:t>
            </w:r>
            <w:r>
              <w:rPr>
                <w:w w:val="100"/>
                <w:sz w:val="21"/>
              </w:rPr>
              <w:t>无</w:t>
            </w:r>
            <w:r>
              <w:rPr>
                <w:spacing w:val="-89"/>
                <w:w w:val="100"/>
                <w:sz w:val="21"/>
              </w:rPr>
              <w:t>）</w:t>
            </w:r>
            <w:r>
              <w:rPr>
                <w:rFonts w:ascii="Times New Roman" w:eastAsia="Times New Roman"/>
                <w:w w:val="100"/>
                <w:sz w:val="21"/>
              </w:rPr>
              <w:t>V</w:t>
            </w:r>
            <w:r>
              <w:rPr>
                <w:rFonts w:ascii="Times New Roman" w:eastAsia="Times New Roman"/>
                <w:spacing w:val="-2"/>
                <w:w w:val="100"/>
                <w:sz w:val="21"/>
              </w:rPr>
              <w:t>O</w:t>
            </w:r>
            <w:r>
              <w:rPr>
                <w:rFonts w:ascii="Times New Roman" w:eastAsia="Times New Roman"/>
                <w:w w:val="100"/>
                <w:sz w:val="21"/>
              </w:rPr>
              <w:t>C</w:t>
            </w:r>
            <w:r>
              <w:rPr>
                <w:rFonts w:ascii="Times New Roman" w:eastAsia="Times New Roman"/>
                <w:w w:val="100"/>
                <w:sz w:val="21"/>
              </w:rPr>
              <w:t>s</w:t>
            </w:r>
          </w:p>
          <w:p>
            <w:pPr>
              <w:pStyle w:val="TableParagraph"/>
              <w:spacing w:line="280" w:lineRule="exact"/>
              <w:ind w:left="113"/>
              <w:jc w:val="both"/>
              <w:rPr>
                <w:sz w:val="21"/>
              </w:rPr>
            </w:pPr>
            <w:r>
              <w:rPr>
                <w:spacing w:val="-6"/>
                <w:sz w:val="21"/>
              </w:rPr>
              <w:t>含量的原辅材料，加强废气收集，安装高</w:t>
            </w:r>
          </w:p>
        </w:tc>
        <w:tc>
          <w:tcPr>
            <w:tcW w:w="2411" w:type="dxa"/>
            <w:tcBorders>
              <w:top w:val="nil"/>
              <w:left w:val="single" w:sz="6" w:space="0" w:color="000000"/>
              <w:bottom w:val="nil"/>
              <w:right w:val="single" w:sz="6" w:space="0" w:color="000000"/>
            </w:tcBorders>
          </w:tcPr>
          <w:p>
            <w:pPr>
              <w:pStyle w:val="TableParagraph"/>
              <w:spacing w:line="168" w:lineRule="auto" w:before="170"/>
              <w:ind w:left="112" w:right="84" w:hanging="3"/>
              <w:rPr>
                <w:sz w:val="21"/>
              </w:rPr>
            </w:pPr>
            <w:r>
              <w:rPr>
                <w:spacing w:val="-3"/>
                <w:sz w:val="21"/>
              </w:rPr>
              <w:t>项目位于山东莒南经济开发区化工工业区内， </w:t>
            </w:r>
            <w:r>
              <w:rPr>
                <w:spacing w:val="-2"/>
                <w:sz w:val="21"/>
              </w:rPr>
              <w:t>涉及</w:t>
            </w:r>
            <w:r>
              <w:rPr>
                <w:rFonts w:ascii="Times New Roman" w:eastAsia="Times New Roman"/>
                <w:spacing w:val="-1"/>
                <w:sz w:val="21"/>
              </w:rPr>
              <w:t>VOCs</w:t>
            </w:r>
            <w:r>
              <w:rPr>
                <w:spacing w:val="-5"/>
                <w:sz w:val="21"/>
              </w:rPr>
              <w:t>排放，项目从</w:t>
            </w:r>
            <w:r>
              <w:rPr>
                <w:spacing w:val="-4"/>
                <w:sz w:val="21"/>
              </w:rPr>
              <w:t>源头上控制</w:t>
            </w:r>
            <w:r>
              <w:rPr>
                <w:rFonts w:ascii="Times New Roman" w:eastAsia="Times New Roman"/>
                <w:spacing w:val="-4"/>
                <w:sz w:val="21"/>
              </w:rPr>
              <w:t>VOCs</w:t>
            </w:r>
            <w:r>
              <w:rPr>
                <w:spacing w:val="-2"/>
                <w:sz w:val="21"/>
              </w:rPr>
              <w:t>，并安</w:t>
            </w:r>
            <w:r>
              <w:rPr>
                <w:spacing w:val="-3"/>
                <w:sz w:val="21"/>
              </w:rPr>
              <w:t>装高效治理措施</w:t>
            </w:r>
          </w:p>
        </w:tc>
        <w:tc>
          <w:tcPr>
            <w:tcW w:w="762" w:type="dxa"/>
            <w:tcBorders>
              <w:top w:val="nil"/>
              <w:left w:val="single" w:sz="6" w:space="0" w:color="000000"/>
              <w:bottom w:val="nil"/>
            </w:tcBorders>
          </w:tcPr>
          <w:p>
            <w:pPr>
              <w:pStyle w:val="TableParagraph"/>
              <w:jc w:val="left"/>
              <w:rPr>
                <w:sz w:val="20"/>
              </w:rPr>
            </w:pPr>
          </w:p>
          <w:p>
            <w:pPr>
              <w:pStyle w:val="TableParagraph"/>
              <w:spacing w:before="1"/>
              <w:jc w:val="left"/>
              <w:rPr>
                <w:sz w:val="13"/>
              </w:rPr>
            </w:pPr>
          </w:p>
          <w:p>
            <w:pPr>
              <w:pStyle w:val="TableParagraph"/>
              <w:ind w:left="155" w:right="124"/>
              <w:rPr>
                <w:sz w:val="21"/>
              </w:rPr>
            </w:pPr>
            <w:r>
              <w:rPr>
                <w:sz w:val="21"/>
              </w:rPr>
              <w:t>符合</w:t>
            </w:r>
          </w:p>
        </w:tc>
      </w:tr>
      <w:tr>
        <w:trPr>
          <w:trHeight w:val="310" w:hRule="atLeast"/>
        </w:trPr>
        <w:tc>
          <w:tcPr>
            <w:tcW w:w="514" w:type="dxa"/>
            <w:tcBorders>
              <w:top w:val="nil"/>
              <w:bottom w:val="single" w:sz="6" w:space="0" w:color="000000"/>
              <w:right w:val="single" w:sz="6" w:space="0" w:color="000000"/>
            </w:tcBorders>
          </w:tcPr>
          <w:p>
            <w:pPr>
              <w:pStyle w:val="TableParagraph"/>
              <w:jc w:val="left"/>
              <w:rPr>
                <w:rFonts w:ascii="Times New Roman"/>
                <w:sz w:val="20"/>
              </w:rPr>
            </w:pPr>
          </w:p>
        </w:tc>
        <w:tc>
          <w:tcPr>
            <w:tcW w:w="872"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3969" w:type="dxa"/>
            <w:tcBorders>
              <w:top w:val="nil"/>
              <w:left w:val="single" w:sz="6" w:space="0" w:color="000000"/>
              <w:bottom w:val="single" w:sz="6" w:space="0" w:color="000000"/>
              <w:right w:val="single" w:sz="6" w:space="0" w:color="000000"/>
            </w:tcBorders>
          </w:tcPr>
          <w:p>
            <w:pPr>
              <w:pStyle w:val="TableParagraph"/>
              <w:spacing w:line="291" w:lineRule="exact"/>
              <w:ind w:left="1341" w:right="1313"/>
              <w:rPr>
                <w:sz w:val="21"/>
              </w:rPr>
            </w:pPr>
            <w:r>
              <w:rPr>
                <w:sz w:val="21"/>
              </w:rPr>
              <w:t>效治理设施。</w:t>
            </w:r>
          </w:p>
        </w:tc>
        <w:tc>
          <w:tcPr>
            <w:tcW w:w="241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762" w:type="dxa"/>
            <w:tcBorders>
              <w:top w:val="nil"/>
              <w:left w:val="single" w:sz="6" w:space="0" w:color="000000"/>
              <w:bottom w:val="single" w:sz="6" w:space="0" w:color="000000"/>
            </w:tcBorders>
          </w:tcPr>
          <w:p>
            <w:pPr>
              <w:pStyle w:val="TableParagraph"/>
              <w:jc w:val="left"/>
              <w:rPr>
                <w:rFonts w:ascii="Times New Roman"/>
                <w:sz w:val="20"/>
              </w:rPr>
            </w:pPr>
          </w:p>
        </w:tc>
      </w:tr>
      <w:tr>
        <w:trPr>
          <w:trHeight w:val="307" w:hRule="atLeast"/>
        </w:trPr>
        <w:tc>
          <w:tcPr>
            <w:tcW w:w="514" w:type="dxa"/>
            <w:tcBorders>
              <w:top w:val="single" w:sz="6" w:space="0" w:color="000000"/>
              <w:bottom w:val="nil"/>
              <w:right w:val="single" w:sz="6" w:space="0" w:color="000000"/>
            </w:tcBorders>
          </w:tcPr>
          <w:p>
            <w:pPr>
              <w:pStyle w:val="TableParagraph"/>
              <w:jc w:val="left"/>
              <w:rPr>
                <w:rFonts w:ascii="Times New Roman"/>
                <w:sz w:val="20"/>
              </w:rPr>
            </w:pPr>
          </w:p>
        </w:tc>
        <w:tc>
          <w:tcPr>
            <w:tcW w:w="872" w:type="dxa"/>
            <w:tcBorders>
              <w:top w:val="single" w:sz="6" w:space="0" w:color="000000"/>
              <w:left w:val="single" w:sz="6" w:space="0" w:color="000000"/>
              <w:bottom w:val="nil"/>
              <w:right w:val="single" w:sz="6" w:space="0" w:color="000000"/>
            </w:tcBorders>
          </w:tcPr>
          <w:p>
            <w:pPr>
              <w:pStyle w:val="TableParagraph"/>
              <w:spacing w:line="288" w:lineRule="exact"/>
              <w:ind w:left="105" w:right="81"/>
              <w:rPr>
                <w:sz w:val="21"/>
              </w:rPr>
            </w:pPr>
            <w:r>
              <w:rPr>
                <w:sz w:val="21"/>
              </w:rPr>
              <w:t>加快推</w:t>
            </w:r>
          </w:p>
        </w:tc>
        <w:tc>
          <w:tcPr>
            <w:tcW w:w="396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13" w:right="-29"/>
              <w:jc w:val="left"/>
              <w:rPr>
                <w:sz w:val="21"/>
              </w:rPr>
            </w:pPr>
            <w:r>
              <w:rPr>
                <w:spacing w:val="-16"/>
                <w:sz w:val="21"/>
              </w:rPr>
              <w:t>加大制药、农药、煤化工</w:t>
            </w:r>
            <w:r>
              <w:rPr>
                <w:spacing w:val="-3"/>
                <w:sz w:val="21"/>
              </w:rPr>
              <w:t>（</w:t>
            </w:r>
            <w:r>
              <w:rPr>
                <w:spacing w:val="-2"/>
                <w:sz w:val="21"/>
              </w:rPr>
              <w:t>含现代煤化工、</w:t>
            </w:r>
            <w:r>
              <w:rPr>
                <w:spacing w:val="-3"/>
                <w:sz w:val="21"/>
              </w:rPr>
              <w:t>炼焦、合成氨等</w:t>
            </w:r>
            <w:r>
              <w:rPr>
                <w:spacing w:val="-106"/>
                <w:sz w:val="21"/>
              </w:rPr>
              <w:t>）</w:t>
            </w:r>
            <w:r>
              <w:rPr>
                <w:spacing w:val="-3"/>
                <w:sz w:val="21"/>
              </w:rPr>
              <w:t>、橡胶制品、涂料、油 </w:t>
            </w:r>
            <w:r>
              <w:rPr>
                <w:spacing w:val="-7"/>
                <w:sz w:val="21"/>
              </w:rPr>
              <w:t>墨、胶粘剂、染料、化学助剂</w:t>
            </w:r>
            <w:r>
              <w:rPr>
                <w:sz w:val="21"/>
              </w:rPr>
              <w:t>（</w:t>
            </w:r>
            <w:r>
              <w:rPr>
                <w:spacing w:val="-2"/>
                <w:sz w:val="21"/>
              </w:rPr>
              <w:t>塑料助剂</w:t>
            </w:r>
            <w:r>
              <w:rPr>
                <w:spacing w:val="-3"/>
                <w:sz w:val="21"/>
              </w:rPr>
              <w:t>和橡胶助剂</w:t>
            </w:r>
            <w:r>
              <w:rPr>
                <w:spacing w:val="-106"/>
                <w:sz w:val="21"/>
              </w:rPr>
              <w:t>）</w:t>
            </w:r>
            <w:r>
              <w:rPr>
                <w:spacing w:val="-7"/>
                <w:sz w:val="21"/>
              </w:rPr>
              <w:t>、日用化工等化工行业</w:t>
            </w:r>
            <w:r>
              <w:rPr>
                <w:rFonts w:ascii="Times New Roman" w:eastAsia="Times New Roman"/>
                <w:sz w:val="21"/>
              </w:rPr>
              <w:t>VOCs </w:t>
            </w:r>
            <w:r>
              <w:rPr>
                <w:spacing w:val="-5"/>
                <w:sz w:val="21"/>
              </w:rPr>
              <w:t>治理力度。推广使用低</w:t>
            </w:r>
            <w:r>
              <w:rPr>
                <w:spacing w:val="-3"/>
                <w:sz w:val="21"/>
              </w:rPr>
              <w:t>（</w:t>
            </w:r>
            <w:r>
              <w:rPr>
                <w:sz w:val="21"/>
              </w:rPr>
              <w:t>无</w:t>
            </w:r>
            <w:r>
              <w:rPr>
                <w:spacing w:val="-3"/>
                <w:sz w:val="21"/>
              </w:rPr>
              <w:t>）</w:t>
            </w:r>
            <w:r>
              <w:rPr>
                <w:rFonts w:ascii="Times New Roman" w:eastAsia="Times New Roman"/>
                <w:spacing w:val="-3"/>
                <w:sz w:val="21"/>
              </w:rPr>
              <w:t>VOCs</w:t>
            </w:r>
            <w:r>
              <w:rPr>
                <w:spacing w:val="-2"/>
                <w:sz w:val="21"/>
              </w:rPr>
              <w:t>含量、</w:t>
            </w:r>
          </w:p>
          <w:p>
            <w:pPr>
              <w:pStyle w:val="TableParagraph"/>
              <w:spacing w:line="279" w:lineRule="exact"/>
              <w:ind w:left="625"/>
              <w:jc w:val="left"/>
              <w:rPr>
                <w:sz w:val="21"/>
              </w:rPr>
            </w:pPr>
            <w:r>
              <w:rPr>
                <w:sz w:val="21"/>
              </w:rPr>
              <w:t>低反应活性的原辅材料和产品</w:t>
            </w:r>
          </w:p>
        </w:tc>
        <w:tc>
          <w:tcPr>
            <w:tcW w:w="2411"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762" w:type="dxa"/>
            <w:tcBorders>
              <w:top w:val="single" w:sz="6" w:space="0" w:color="000000"/>
              <w:left w:val="single" w:sz="6" w:space="0" w:color="000000"/>
              <w:bottom w:val="nil"/>
            </w:tcBorders>
          </w:tcPr>
          <w:p>
            <w:pPr>
              <w:pStyle w:val="TableParagraph"/>
              <w:jc w:val="left"/>
              <w:rPr>
                <w:rFonts w:ascii="Times New Roman"/>
                <w:sz w:val="20"/>
              </w:rPr>
            </w:pPr>
          </w:p>
        </w:tc>
      </w:tr>
      <w:tr>
        <w:trPr>
          <w:trHeight w:val="1233" w:hRule="atLeast"/>
        </w:trPr>
        <w:tc>
          <w:tcPr>
            <w:tcW w:w="514" w:type="dxa"/>
            <w:tcBorders>
              <w:top w:val="nil"/>
              <w:bottom w:val="nil"/>
              <w:right w:val="single" w:sz="6" w:space="0" w:color="000000"/>
            </w:tcBorders>
          </w:tcPr>
          <w:p>
            <w:pPr>
              <w:pStyle w:val="TableParagraph"/>
              <w:spacing w:before="6"/>
              <w:jc w:val="left"/>
              <w:rPr>
                <w:sz w:val="23"/>
              </w:rPr>
            </w:pPr>
          </w:p>
          <w:p>
            <w:pPr>
              <w:pStyle w:val="TableParagraph"/>
              <w:ind w:left="20"/>
              <w:rPr>
                <w:rFonts w:ascii="Times New Roman"/>
                <w:sz w:val="21"/>
              </w:rPr>
            </w:pPr>
            <w:r>
              <w:rPr>
                <w:rFonts w:ascii="Times New Roman"/>
                <w:w w:val="100"/>
                <w:sz w:val="21"/>
              </w:rPr>
              <w:t>2</w:t>
            </w:r>
          </w:p>
        </w:tc>
        <w:tc>
          <w:tcPr>
            <w:tcW w:w="872" w:type="dxa"/>
            <w:tcBorders>
              <w:top w:val="nil"/>
              <w:left w:val="single" w:sz="6" w:space="0" w:color="000000"/>
              <w:bottom w:val="nil"/>
              <w:right w:val="single" w:sz="6" w:space="0" w:color="000000"/>
            </w:tcBorders>
          </w:tcPr>
          <w:p>
            <w:pPr>
              <w:pStyle w:val="TableParagraph"/>
              <w:spacing w:line="168" w:lineRule="auto" w:before="7"/>
              <w:ind w:left="229" w:right="97" w:hanging="106"/>
              <w:jc w:val="left"/>
              <w:rPr>
                <w:sz w:val="21"/>
              </w:rPr>
            </w:pPr>
            <w:r>
              <w:rPr>
                <w:sz w:val="21"/>
              </w:rPr>
              <w:t>进化工行业</w:t>
            </w:r>
          </w:p>
          <w:p>
            <w:pPr>
              <w:pStyle w:val="TableParagraph"/>
              <w:spacing w:line="221" w:lineRule="exact" w:before="20"/>
              <w:ind w:left="176"/>
              <w:jc w:val="left"/>
              <w:rPr>
                <w:rFonts w:ascii="Times New Roman"/>
                <w:sz w:val="21"/>
              </w:rPr>
            </w:pPr>
            <w:r>
              <w:rPr>
                <w:rFonts w:ascii="Times New Roman"/>
                <w:sz w:val="21"/>
              </w:rPr>
              <w:t>VOCs</w:t>
            </w:r>
          </w:p>
          <w:p>
            <w:pPr>
              <w:pStyle w:val="TableParagraph"/>
              <w:spacing w:line="342" w:lineRule="exact"/>
              <w:ind w:left="124"/>
              <w:jc w:val="left"/>
              <w:rPr>
                <w:sz w:val="21"/>
              </w:rPr>
            </w:pPr>
            <w:r>
              <w:rPr>
                <w:sz w:val="21"/>
              </w:rPr>
              <w:t>综合治</w:t>
            </w:r>
          </w:p>
        </w:tc>
        <w:tc>
          <w:tcPr>
            <w:tcW w:w="3969" w:type="dxa"/>
            <w:vMerge/>
            <w:tcBorders>
              <w:top w:val="nil"/>
              <w:left w:val="single" w:sz="6" w:space="0" w:color="000000"/>
              <w:bottom w:val="single" w:sz="6" w:space="0" w:color="000000"/>
              <w:right w:val="single" w:sz="6" w:space="0" w:color="000000"/>
            </w:tcBorders>
          </w:tcPr>
          <w:p>
            <w:pPr>
              <w:rPr>
                <w:sz w:val="2"/>
                <w:szCs w:val="2"/>
              </w:rPr>
            </w:pPr>
          </w:p>
        </w:tc>
        <w:tc>
          <w:tcPr>
            <w:tcW w:w="2411" w:type="dxa"/>
            <w:tcBorders>
              <w:top w:val="nil"/>
              <w:left w:val="single" w:sz="6" w:space="0" w:color="000000"/>
              <w:bottom w:val="nil"/>
              <w:right w:val="single" w:sz="6" w:space="0" w:color="000000"/>
            </w:tcBorders>
          </w:tcPr>
          <w:p>
            <w:pPr>
              <w:pStyle w:val="TableParagraph"/>
              <w:spacing w:line="168" w:lineRule="auto" w:before="163"/>
              <w:ind w:left="158" w:right="132"/>
              <w:jc w:val="both"/>
              <w:rPr>
                <w:sz w:val="21"/>
              </w:rPr>
            </w:pPr>
            <w:r>
              <w:rPr>
                <w:sz w:val="21"/>
              </w:rPr>
              <w:t>项目加强废气收集与治理，有机废气产生环节全部进行收集、处理</w:t>
            </w:r>
          </w:p>
        </w:tc>
        <w:tc>
          <w:tcPr>
            <w:tcW w:w="762" w:type="dxa"/>
            <w:tcBorders>
              <w:top w:val="nil"/>
              <w:left w:val="single" w:sz="6" w:space="0" w:color="000000"/>
              <w:bottom w:val="nil"/>
            </w:tcBorders>
          </w:tcPr>
          <w:p>
            <w:pPr>
              <w:pStyle w:val="TableParagraph"/>
              <w:spacing w:before="19"/>
              <w:jc w:val="left"/>
              <w:rPr>
                <w:sz w:val="17"/>
              </w:rPr>
            </w:pPr>
          </w:p>
          <w:p>
            <w:pPr>
              <w:pStyle w:val="TableParagraph"/>
              <w:ind w:left="155" w:right="124"/>
              <w:rPr>
                <w:sz w:val="21"/>
              </w:rPr>
            </w:pPr>
            <w:r>
              <w:rPr>
                <w:sz w:val="21"/>
              </w:rPr>
              <w:t>符合</w:t>
            </w:r>
          </w:p>
        </w:tc>
      </w:tr>
      <w:tr>
        <w:trPr>
          <w:trHeight w:val="303" w:hRule="atLeast"/>
        </w:trPr>
        <w:tc>
          <w:tcPr>
            <w:tcW w:w="514" w:type="dxa"/>
            <w:tcBorders>
              <w:top w:val="nil"/>
              <w:bottom w:val="single" w:sz="6" w:space="0" w:color="000000"/>
              <w:right w:val="single" w:sz="6" w:space="0" w:color="000000"/>
            </w:tcBorders>
          </w:tcPr>
          <w:p>
            <w:pPr>
              <w:pStyle w:val="TableParagraph"/>
              <w:jc w:val="left"/>
              <w:rPr>
                <w:rFonts w:ascii="Times New Roman"/>
                <w:sz w:val="20"/>
              </w:rPr>
            </w:pPr>
          </w:p>
        </w:tc>
        <w:tc>
          <w:tcPr>
            <w:tcW w:w="872" w:type="dxa"/>
            <w:tcBorders>
              <w:top w:val="nil"/>
              <w:left w:val="single" w:sz="6" w:space="0" w:color="000000"/>
              <w:bottom w:val="single" w:sz="6" w:space="0" w:color="000000"/>
              <w:right w:val="single" w:sz="6" w:space="0" w:color="000000"/>
            </w:tcBorders>
          </w:tcPr>
          <w:p>
            <w:pPr>
              <w:pStyle w:val="TableParagraph"/>
              <w:spacing w:line="283" w:lineRule="exact"/>
              <w:ind w:left="105" w:right="81"/>
              <w:rPr>
                <w:sz w:val="21"/>
              </w:rPr>
            </w:pPr>
            <w:r>
              <w:rPr>
                <w:sz w:val="21"/>
              </w:rPr>
              <w:t>理。</w:t>
            </w:r>
          </w:p>
        </w:tc>
        <w:tc>
          <w:tcPr>
            <w:tcW w:w="3969" w:type="dxa"/>
            <w:vMerge/>
            <w:tcBorders>
              <w:top w:val="nil"/>
              <w:left w:val="single" w:sz="6" w:space="0" w:color="000000"/>
              <w:bottom w:val="single" w:sz="6" w:space="0" w:color="000000"/>
              <w:right w:val="single" w:sz="6" w:space="0" w:color="000000"/>
            </w:tcBorders>
          </w:tcPr>
          <w:p>
            <w:pPr>
              <w:rPr>
                <w:sz w:val="2"/>
                <w:szCs w:val="2"/>
              </w:rPr>
            </w:pPr>
          </w:p>
        </w:tc>
        <w:tc>
          <w:tcPr>
            <w:tcW w:w="2411"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762" w:type="dxa"/>
            <w:tcBorders>
              <w:top w:val="nil"/>
              <w:left w:val="single" w:sz="6" w:space="0" w:color="000000"/>
              <w:bottom w:val="single" w:sz="6" w:space="0" w:color="000000"/>
            </w:tcBorders>
          </w:tcPr>
          <w:p>
            <w:pPr>
              <w:pStyle w:val="TableParagraph"/>
              <w:jc w:val="left"/>
              <w:rPr>
                <w:rFonts w:ascii="Times New Roman"/>
                <w:sz w:val="20"/>
              </w:rPr>
            </w:pPr>
          </w:p>
        </w:tc>
      </w:tr>
      <w:tr>
        <w:trPr>
          <w:trHeight w:val="1247" w:hRule="atLeast"/>
        </w:trPr>
        <w:tc>
          <w:tcPr>
            <w:tcW w:w="514" w:type="dxa"/>
            <w:tcBorders>
              <w:top w:val="single" w:sz="6" w:space="0" w:color="000000"/>
              <w:right w:val="single" w:sz="6" w:space="0" w:color="000000"/>
            </w:tcBorders>
          </w:tcPr>
          <w:p>
            <w:pPr>
              <w:pStyle w:val="TableParagraph"/>
              <w:spacing w:before="14"/>
              <w:jc w:val="left"/>
              <w:rPr>
                <w:sz w:val="23"/>
              </w:rPr>
            </w:pPr>
          </w:p>
          <w:p>
            <w:pPr>
              <w:pStyle w:val="TableParagraph"/>
              <w:ind w:left="20"/>
              <w:rPr>
                <w:rFonts w:ascii="Times New Roman"/>
                <w:sz w:val="21"/>
              </w:rPr>
            </w:pPr>
            <w:r>
              <w:rPr>
                <w:rFonts w:ascii="Times New Roman"/>
                <w:w w:val="100"/>
                <w:sz w:val="21"/>
              </w:rPr>
              <w:t>3</w:t>
            </w:r>
          </w:p>
        </w:tc>
        <w:tc>
          <w:tcPr>
            <w:tcW w:w="872" w:type="dxa"/>
            <w:tcBorders>
              <w:top w:val="single" w:sz="6" w:space="0" w:color="000000"/>
              <w:left w:val="single" w:sz="6" w:space="0" w:color="000000"/>
              <w:right w:val="single" w:sz="6" w:space="0" w:color="000000"/>
            </w:tcBorders>
          </w:tcPr>
          <w:p>
            <w:pPr>
              <w:pStyle w:val="TableParagraph"/>
              <w:spacing w:before="8"/>
              <w:jc w:val="left"/>
              <w:rPr>
                <w:sz w:val="15"/>
              </w:rPr>
            </w:pPr>
          </w:p>
          <w:p>
            <w:pPr>
              <w:pStyle w:val="TableParagraph"/>
              <w:spacing w:line="168" w:lineRule="auto" w:before="1"/>
              <w:ind w:left="229" w:right="202"/>
              <w:jc w:val="left"/>
              <w:rPr>
                <w:sz w:val="21"/>
              </w:rPr>
            </w:pPr>
            <w:r>
              <w:rPr>
                <w:sz w:val="21"/>
              </w:rPr>
              <w:t>主要目标</w:t>
            </w:r>
          </w:p>
        </w:tc>
        <w:tc>
          <w:tcPr>
            <w:tcW w:w="3969" w:type="dxa"/>
            <w:tcBorders>
              <w:top w:val="single" w:sz="6" w:space="0" w:color="000000"/>
              <w:left w:val="single" w:sz="6" w:space="0" w:color="000000"/>
              <w:right w:val="single" w:sz="6" w:space="0" w:color="000000"/>
            </w:tcBorders>
          </w:tcPr>
          <w:p>
            <w:pPr>
              <w:pStyle w:val="TableParagraph"/>
              <w:spacing w:line="168" w:lineRule="auto" w:before="15"/>
              <w:ind w:left="152" w:right="81" w:hanging="39"/>
              <w:jc w:val="both"/>
              <w:rPr>
                <w:sz w:val="21"/>
              </w:rPr>
            </w:pPr>
            <w:r>
              <w:rPr>
                <w:sz w:val="21"/>
              </w:rPr>
              <w:t>到</w:t>
            </w:r>
            <w:r>
              <w:rPr>
                <w:rFonts w:ascii="Times New Roman" w:eastAsia="Times New Roman"/>
                <w:sz w:val="21"/>
              </w:rPr>
              <w:t>2020</w:t>
            </w:r>
            <w:r>
              <w:rPr>
                <w:spacing w:val="-7"/>
                <w:sz w:val="21"/>
              </w:rPr>
              <w:t>年，建立健全以改善环境空气质量</w:t>
            </w:r>
            <w:r>
              <w:rPr>
                <w:spacing w:val="-5"/>
                <w:sz w:val="21"/>
              </w:rPr>
              <w:t>为核心的</w:t>
            </w:r>
            <w:r>
              <w:rPr>
                <w:rFonts w:ascii="Times New Roman" w:eastAsia="Times New Roman"/>
                <w:sz w:val="21"/>
              </w:rPr>
              <w:t>VOCs</w:t>
            </w:r>
            <w:r>
              <w:rPr>
                <w:spacing w:val="-3"/>
                <w:sz w:val="21"/>
              </w:rPr>
              <w:t>污染防治管理体系，实施重点地区、重点行业</w:t>
            </w:r>
            <w:r>
              <w:rPr>
                <w:rFonts w:ascii="Times New Roman" w:eastAsia="Times New Roman"/>
                <w:sz w:val="21"/>
              </w:rPr>
              <w:t>VOCs</w:t>
            </w:r>
            <w:r>
              <w:rPr>
                <w:spacing w:val="-2"/>
                <w:sz w:val="21"/>
              </w:rPr>
              <w:t>污染减排，排</w:t>
            </w:r>
          </w:p>
          <w:p>
            <w:pPr>
              <w:pStyle w:val="TableParagraph"/>
              <w:spacing w:line="277" w:lineRule="exact"/>
              <w:ind w:left="959"/>
              <w:jc w:val="left"/>
              <w:rPr>
                <w:sz w:val="21"/>
              </w:rPr>
            </w:pPr>
            <w:r>
              <w:rPr>
                <w:sz w:val="21"/>
              </w:rPr>
              <w:t>放总量下降</w:t>
            </w:r>
            <w:r>
              <w:rPr>
                <w:rFonts w:ascii="Times New Roman" w:eastAsia="Times New Roman"/>
                <w:sz w:val="21"/>
              </w:rPr>
              <w:t>10%</w:t>
            </w:r>
            <w:r>
              <w:rPr>
                <w:sz w:val="21"/>
              </w:rPr>
              <w:t>以上。</w:t>
            </w:r>
          </w:p>
        </w:tc>
        <w:tc>
          <w:tcPr>
            <w:tcW w:w="2411" w:type="dxa"/>
            <w:tcBorders>
              <w:top w:val="single" w:sz="6" w:space="0" w:color="000000"/>
              <w:left w:val="single" w:sz="6" w:space="0" w:color="000000"/>
              <w:right w:val="single" w:sz="6" w:space="0" w:color="000000"/>
            </w:tcBorders>
          </w:tcPr>
          <w:p>
            <w:pPr>
              <w:pStyle w:val="TableParagraph"/>
              <w:spacing w:line="168" w:lineRule="auto" w:before="15"/>
              <w:ind w:left="158" w:right="132"/>
              <w:jc w:val="both"/>
              <w:rPr>
                <w:sz w:val="21"/>
              </w:rPr>
            </w:pPr>
            <w:r>
              <w:rPr>
                <w:sz w:val="21"/>
              </w:rPr>
              <w:t>项目对无组织废气进一步收集处理后有组织排放，减少有机废气的排</w:t>
            </w:r>
          </w:p>
          <w:p>
            <w:pPr>
              <w:pStyle w:val="TableParagraph"/>
              <w:spacing w:line="277" w:lineRule="exact"/>
              <w:ind w:left="979" w:right="956"/>
              <w:rPr>
                <w:sz w:val="21"/>
              </w:rPr>
            </w:pPr>
            <w:r>
              <w:rPr>
                <w:sz w:val="21"/>
              </w:rPr>
              <w:t>放量</w:t>
            </w:r>
          </w:p>
        </w:tc>
        <w:tc>
          <w:tcPr>
            <w:tcW w:w="762" w:type="dxa"/>
            <w:tcBorders>
              <w:top w:val="single" w:sz="6" w:space="0" w:color="000000"/>
              <w:left w:val="single" w:sz="6" w:space="0" w:color="000000"/>
            </w:tcBorders>
          </w:tcPr>
          <w:p>
            <w:pPr>
              <w:pStyle w:val="TableParagraph"/>
              <w:spacing w:before="5"/>
              <w:jc w:val="left"/>
              <w:rPr>
                <w:sz w:val="18"/>
              </w:rPr>
            </w:pPr>
          </w:p>
          <w:p>
            <w:pPr>
              <w:pStyle w:val="TableParagraph"/>
              <w:ind w:left="155" w:right="124"/>
              <w:rPr>
                <w:sz w:val="21"/>
              </w:rPr>
            </w:pPr>
            <w:r>
              <w:rPr>
                <w:sz w:val="21"/>
              </w:rPr>
              <w:t>符合</w:t>
            </w:r>
          </w:p>
        </w:tc>
      </w:tr>
    </w:tbl>
    <w:p>
      <w:pPr>
        <w:pStyle w:val="BodyText"/>
        <w:spacing w:before="120"/>
        <w:ind w:left="720"/>
      </w:pPr>
      <w:r>
        <w:rPr/>
        <w:t>由上表可看出，项目基本符合《关于印发</w:t>
      </w:r>
      <w:r>
        <w:rPr>
          <w:rFonts w:ascii="Times New Roman" w:hAnsi="Times New Roman" w:eastAsia="Times New Roman"/>
        </w:rPr>
        <w:t>&lt;“</w:t>
      </w:r>
      <w:r>
        <w:rPr/>
        <w:t>十三五</w:t>
      </w:r>
      <w:r>
        <w:rPr>
          <w:rFonts w:ascii="Times New Roman" w:hAnsi="Times New Roman" w:eastAsia="Times New Roman"/>
        </w:rPr>
        <w:t>”</w:t>
      </w:r>
      <w:r>
        <w:rPr/>
        <w:t>挥发性有机物污染防治</w:t>
      </w:r>
    </w:p>
    <w:p>
      <w:pPr>
        <w:spacing w:after="0"/>
        <w:sectPr>
          <w:pgSz w:w="11910" w:h="16840"/>
          <w:pgMar w:header="877" w:footer="973" w:top="1420" w:bottom="1160" w:left="1560" w:right="1560"/>
        </w:sectPr>
      </w:pPr>
    </w:p>
    <w:p>
      <w:pPr>
        <w:pStyle w:val="BodyText"/>
        <w:spacing w:line="463" w:lineRule="exact"/>
        <w:ind w:left="240"/>
      </w:pPr>
      <w:r>
        <w:rPr/>
        <w:t>工作方案</w:t>
      </w:r>
      <w:r>
        <w:rPr>
          <w:rFonts w:ascii="Times New Roman" w:eastAsia="Times New Roman"/>
        </w:rPr>
        <w:t>&gt;</w:t>
      </w:r>
      <w:r>
        <w:rPr/>
        <w:t>的通知》（环大气</w:t>
      </w:r>
      <w:r>
        <w:rPr>
          <w:rFonts w:ascii="Times New Roman" w:eastAsia="Times New Roman"/>
        </w:rPr>
        <w:t>[2017]121 </w:t>
      </w:r>
      <w:r>
        <w:rPr/>
        <w:t>号）要求。</w:t>
      </w:r>
    </w:p>
    <w:p>
      <w:pPr>
        <w:pStyle w:val="BodyText"/>
        <w:spacing w:line="468" w:lineRule="exact"/>
        <w:ind w:left="720"/>
      </w:pPr>
      <w:r>
        <w:rPr>
          <w:rFonts w:ascii="Times New Roman" w:eastAsia="Times New Roman"/>
        </w:rPr>
        <w:t>8</w:t>
      </w:r>
      <w:r>
        <w:rPr/>
        <w:t>、与鲁环函</w:t>
      </w:r>
      <w:r>
        <w:rPr>
          <w:rFonts w:ascii="Times New Roman" w:eastAsia="Times New Roman"/>
        </w:rPr>
        <w:t>[2011]358</w:t>
      </w:r>
      <w:r>
        <w:rPr/>
        <w:t>号文及环办</w:t>
      </w:r>
      <w:r>
        <w:rPr>
          <w:rFonts w:ascii="Times New Roman" w:eastAsia="Times New Roman"/>
        </w:rPr>
        <w:t>[2012]98</w:t>
      </w:r>
      <w:r>
        <w:rPr/>
        <w:t>号文的符合性</w:t>
      </w:r>
    </w:p>
    <w:p>
      <w:pPr>
        <w:pStyle w:val="BodyText"/>
        <w:spacing w:line="220" w:lineRule="auto" w:before="8"/>
        <w:ind w:left="240" w:right="235" w:firstLine="479"/>
        <w:jc w:val="both"/>
      </w:pPr>
      <w:r>
        <w:rPr>
          <w:spacing w:val="3"/>
        </w:rPr>
        <w:t>鲁环函</w:t>
      </w:r>
      <w:r>
        <w:rPr>
          <w:rFonts w:ascii="Times New Roman" w:hAnsi="Times New Roman" w:eastAsia="Times New Roman"/>
          <w:spacing w:val="1"/>
        </w:rPr>
        <w:t>[</w:t>
      </w:r>
      <w:r>
        <w:rPr>
          <w:rFonts w:ascii="Times New Roman" w:hAnsi="Times New Roman" w:eastAsia="Times New Roman"/>
        </w:rPr>
        <w:t>201</w:t>
      </w:r>
      <w:r>
        <w:rPr>
          <w:rFonts w:ascii="Times New Roman" w:hAnsi="Times New Roman" w:eastAsia="Times New Roman"/>
          <w:spacing w:val="-2"/>
        </w:rPr>
        <w:t>1</w:t>
      </w:r>
      <w:r>
        <w:rPr>
          <w:rFonts w:ascii="Times New Roman" w:hAnsi="Times New Roman" w:eastAsia="Times New Roman"/>
          <w:spacing w:val="1"/>
        </w:rPr>
        <w:t>]</w:t>
      </w:r>
      <w:r>
        <w:rPr>
          <w:rFonts w:ascii="Times New Roman" w:hAnsi="Times New Roman" w:eastAsia="Times New Roman"/>
        </w:rPr>
        <w:t>35</w:t>
      </w:r>
      <w:r>
        <w:rPr>
          <w:rFonts w:ascii="Times New Roman" w:hAnsi="Times New Roman" w:eastAsia="Times New Roman"/>
          <w:spacing w:val="4"/>
        </w:rPr>
        <w:t>8</w:t>
      </w:r>
      <w:r>
        <w:rPr>
          <w:spacing w:val="2"/>
        </w:rPr>
        <w:t>号文要求</w:t>
      </w:r>
      <w:r>
        <w:rPr>
          <w:spacing w:val="2"/>
          <w:w w:val="210"/>
        </w:rPr>
        <w:t>“</w:t>
      </w:r>
      <w:r>
        <w:rPr>
          <w:spacing w:val="4"/>
        </w:rPr>
        <w:t>（三</w:t>
      </w:r>
      <w:r>
        <w:rPr>
          <w:spacing w:val="2"/>
        </w:rPr>
        <w:t>）</w:t>
      </w:r>
      <w:r>
        <w:rPr>
          <w:spacing w:val="1"/>
        </w:rPr>
        <w:t>新的化工石化建设项目必须进入县级以</w:t>
      </w:r>
      <w:r>
        <w:rPr/>
        <w:t>上人民政府确定的化工集中区域或化工园区。新布设化工石化产业集中区或园</w:t>
      </w:r>
      <w:r>
        <w:rPr>
          <w:spacing w:val="-9"/>
        </w:rPr>
        <w:t>区，必须进行开发建设规划的环境影响评价，编制规划环境影响报告书，由相应的环境保护行政主管部门组织审查。”</w:t>
      </w:r>
    </w:p>
    <w:p>
      <w:pPr>
        <w:pStyle w:val="BodyText"/>
        <w:spacing w:line="220" w:lineRule="auto"/>
        <w:ind w:left="240" w:right="236" w:firstLine="479"/>
        <w:jc w:val="both"/>
      </w:pPr>
      <w:r>
        <w:rPr>
          <w:spacing w:val="1"/>
        </w:rPr>
        <w:t>根据鲁政字</w:t>
      </w:r>
      <w:r>
        <w:rPr>
          <w:rFonts w:ascii="Times New Roman" w:eastAsia="Times New Roman"/>
        </w:rPr>
        <w:t>[2019]4</w:t>
      </w:r>
      <w:r>
        <w:rPr/>
        <w:t>号《山东省人民政府办公厅关于公布第三批化工园区和</w:t>
      </w:r>
      <w:r>
        <w:rPr>
          <w:spacing w:val="-7"/>
        </w:rPr>
        <w:t>专业化工园区名单的通知》，莒南化工产业园为通过认定的化工园区，四至范围</w:t>
      </w:r>
      <w:r>
        <w:rPr>
          <w:spacing w:val="-11"/>
        </w:rPr>
        <w:t>为：东至西五路，西至龙泰西路，南至滨海路，北至玉泽路。本项目为医药化工建设项目，厂址位于山东莒南经济开发区化工工业区内，淮海路西段路南，莒南</w:t>
      </w:r>
      <w:r>
        <w:rPr>
          <w:spacing w:val="-15"/>
        </w:rPr>
        <w:t>经济开发区污水处理厂西侧，项目搬迁选址位于该化工园区内。因此，项目建设符合鲁环函</w:t>
      </w:r>
      <w:r>
        <w:rPr>
          <w:rFonts w:ascii="Times New Roman" w:eastAsia="Times New Roman"/>
          <w:spacing w:val="-15"/>
        </w:rPr>
        <w:t>[2011]358</w:t>
      </w:r>
      <w:r>
        <w:rPr>
          <w:spacing w:val="-2"/>
        </w:rPr>
        <w:t>号文的要求。</w:t>
      </w:r>
    </w:p>
    <w:p>
      <w:pPr>
        <w:pStyle w:val="BodyText"/>
        <w:spacing w:line="220" w:lineRule="auto"/>
        <w:ind w:left="240" w:right="233" w:firstLine="479"/>
        <w:jc w:val="both"/>
      </w:pPr>
      <w:r>
        <w:rPr>
          <w:spacing w:val="-10"/>
        </w:rPr>
        <w:t>根据《关于切实加强风险防范严格环境影响评价管理的通知</w:t>
      </w:r>
      <w:r>
        <w:rPr>
          <w:spacing w:val="-168"/>
        </w:rPr>
        <w:t>》</w:t>
      </w:r>
      <w:r>
        <w:rPr/>
        <w:t>（环发</w:t>
      </w:r>
      <w:r>
        <w:rPr>
          <w:rFonts w:ascii="Times New Roman" w:eastAsia="Times New Roman"/>
        </w:rPr>
        <w:t>[2012]98 </w:t>
      </w:r>
      <w:r>
        <w:rPr/>
        <w:t>号文</w:t>
      </w:r>
      <w:r>
        <w:rPr>
          <w:spacing w:val="-32"/>
        </w:rPr>
        <w:t>）</w:t>
      </w:r>
      <w:r>
        <w:rPr>
          <w:spacing w:val="-7"/>
        </w:rPr>
        <w:t>的要求，本项目环境影响评价报告书中设置环境风险评价专章、环境风险</w:t>
      </w:r>
      <w:r>
        <w:rPr>
          <w:spacing w:val="-12"/>
        </w:rPr>
        <w:t>评价内容较完善，提出了相应的环境风险防范设施和应急措施；同时本次评价过</w:t>
      </w:r>
      <w:r>
        <w:rPr>
          <w:spacing w:val="-11"/>
        </w:rPr>
        <w:t>程中，建设单位在各可能受项目影响的敏感目标村庄信息公告栏中，向公众公告</w:t>
      </w:r>
      <w:r>
        <w:rPr>
          <w:spacing w:val="-14"/>
        </w:rPr>
        <w:t>项目的环境影响信息；项目作为医药化工项目，项目建设符合国家产业政策和清</w:t>
      </w:r>
      <w:r>
        <w:rPr>
          <w:spacing w:val="-15"/>
        </w:rPr>
        <w:t>洁生产水平要求、满足污染物排放标准以及污染物排放总量控制指标，项目进入</w:t>
      </w:r>
      <w:r>
        <w:rPr>
          <w:spacing w:val="-11"/>
        </w:rPr>
        <w:t>莒南化工产业园，园区设置园区污水处理厂。综上，项目建设符合环办</w:t>
      </w:r>
      <w:r>
        <w:rPr>
          <w:rFonts w:ascii="Times New Roman" w:eastAsia="Times New Roman"/>
        </w:rPr>
        <w:t>[2012]98 </w:t>
      </w:r>
      <w:r>
        <w:rPr/>
        <w:t>号文要求。</w:t>
      </w:r>
    </w:p>
    <w:p>
      <w:pPr>
        <w:pStyle w:val="BodyText"/>
        <w:spacing w:line="460" w:lineRule="exact"/>
        <w:ind w:left="720"/>
      </w:pPr>
      <w:r>
        <w:rPr>
          <w:rFonts w:ascii="Times New Roman" w:eastAsia="Times New Roman"/>
        </w:rPr>
        <w:t>9</w:t>
      </w:r>
      <w:r>
        <w:rPr/>
        <w:t>、与鲁环办函</w:t>
      </w:r>
      <w:r>
        <w:rPr>
          <w:rFonts w:ascii="Times New Roman" w:eastAsia="Times New Roman"/>
        </w:rPr>
        <w:t>[2015]149</w:t>
      </w:r>
      <w:r>
        <w:rPr/>
        <w:t>号文件的符合性分析</w:t>
      </w:r>
    </w:p>
    <w:p>
      <w:pPr>
        <w:pStyle w:val="BodyText"/>
        <w:spacing w:line="486" w:lineRule="exact"/>
        <w:ind w:left="720"/>
      </w:pPr>
      <w:r>
        <w:rPr/>
        <w:t>项目建设与鲁环办函</w:t>
      </w:r>
      <w:r>
        <w:rPr>
          <w:rFonts w:ascii="Times New Roman" w:eastAsia="Times New Roman"/>
        </w:rPr>
        <w:t>[2015]149</w:t>
      </w:r>
      <w:r>
        <w:rPr/>
        <w:t>号文件的符合性分析见表</w:t>
      </w:r>
      <w:r>
        <w:rPr>
          <w:rFonts w:ascii="Times New Roman" w:eastAsia="Times New Roman"/>
        </w:rPr>
        <w:t>11.1-9</w:t>
      </w:r>
      <w:r>
        <w:rPr/>
        <w:t>。</w:t>
      </w:r>
    </w:p>
    <w:p>
      <w:pPr>
        <w:tabs>
          <w:tab w:pos="2852" w:val="left" w:leader="none"/>
        </w:tabs>
        <w:spacing w:line="442" w:lineRule="exact" w:before="0" w:after="24"/>
        <w:ind w:left="1898" w:right="0" w:firstLine="0"/>
        <w:jc w:val="left"/>
        <w:rPr>
          <w:sz w:val="21"/>
        </w:rPr>
      </w:pPr>
      <w:r>
        <w:rPr>
          <w:spacing w:val="3"/>
          <w:sz w:val="21"/>
        </w:rPr>
        <w:t>表</w:t>
      </w:r>
      <w:r>
        <w:rPr>
          <w:rFonts w:ascii="Times New Roman" w:eastAsia="Times New Roman"/>
          <w:b/>
          <w:spacing w:val="-3"/>
          <w:sz w:val="21"/>
        </w:rPr>
        <w:t>11.1-9</w:t>
        <w:tab/>
      </w:r>
      <w:r>
        <w:rPr>
          <w:sz w:val="21"/>
        </w:rPr>
        <w:t>本项目与鲁环</w:t>
      </w:r>
      <w:r>
        <w:rPr>
          <w:spacing w:val="-3"/>
          <w:sz w:val="21"/>
        </w:rPr>
        <w:t>办</w:t>
      </w:r>
      <w:r>
        <w:rPr>
          <w:sz w:val="21"/>
        </w:rPr>
        <w:t>函</w:t>
      </w:r>
      <w:r>
        <w:rPr>
          <w:rFonts w:ascii="Times New Roman" w:eastAsia="Times New Roman"/>
          <w:b/>
          <w:sz w:val="21"/>
        </w:rPr>
        <w:t>[2015]149</w:t>
      </w:r>
      <w:r>
        <w:rPr>
          <w:sz w:val="21"/>
        </w:rPr>
        <w:t>号的符合性</w:t>
      </w:r>
      <w:r>
        <w:rPr>
          <w:spacing w:val="-3"/>
          <w:sz w:val="21"/>
        </w:rPr>
        <w:t>分</w:t>
      </w:r>
      <w:r>
        <w:rPr>
          <w:sz w:val="21"/>
        </w:rPr>
        <w:t>析</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3"/>
        <w:gridCol w:w="5158"/>
        <w:gridCol w:w="1841"/>
        <w:gridCol w:w="760"/>
      </w:tblGrid>
      <w:tr>
        <w:trPr>
          <w:trHeight w:val="719" w:hRule="atLeast"/>
        </w:trPr>
        <w:tc>
          <w:tcPr>
            <w:tcW w:w="763" w:type="dxa"/>
            <w:tcBorders>
              <w:bottom w:val="single" w:sz="6" w:space="0" w:color="000000"/>
              <w:right w:val="single" w:sz="6" w:space="0" w:color="000000"/>
            </w:tcBorders>
          </w:tcPr>
          <w:p>
            <w:pPr>
              <w:pStyle w:val="TableParagraph"/>
              <w:spacing w:before="168"/>
              <w:ind w:left="150" w:right="129"/>
              <w:rPr>
                <w:sz w:val="21"/>
              </w:rPr>
            </w:pPr>
            <w:r>
              <w:rPr>
                <w:sz w:val="21"/>
              </w:rPr>
              <w:t>序号</w:t>
            </w:r>
          </w:p>
        </w:tc>
        <w:tc>
          <w:tcPr>
            <w:tcW w:w="5158" w:type="dxa"/>
            <w:tcBorders>
              <w:left w:val="single" w:sz="6" w:space="0" w:color="000000"/>
              <w:bottom w:val="single" w:sz="6" w:space="0" w:color="000000"/>
              <w:right w:val="single" w:sz="6" w:space="0" w:color="000000"/>
            </w:tcBorders>
          </w:tcPr>
          <w:p>
            <w:pPr>
              <w:pStyle w:val="TableParagraph"/>
              <w:spacing w:before="168"/>
              <w:ind w:left="1596"/>
              <w:jc w:val="left"/>
              <w:rPr>
                <w:sz w:val="21"/>
              </w:rPr>
            </w:pPr>
            <w:r>
              <w:rPr>
                <w:sz w:val="21"/>
              </w:rPr>
              <w:t>鲁环办函</w:t>
            </w:r>
            <w:r>
              <w:rPr>
                <w:rFonts w:ascii="Times New Roman" w:eastAsia="Times New Roman"/>
                <w:sz w:val="21"/>
              </w:rPr>
              <w:t>[2015]149 </w:t>
            </w:r>
            <w:r>
              <w:rPr>
                <w:sz w:val="21"/>
              </w:rPr>
              <w:t>号</w:t>
            </w:r>
          </w:p>
        </w:tc>
        <w:tc>
          <w:tcPr>
            <w:tcW w:w="1841" w:type="dxa"/>
            <w:tcBorders>
              <w:left w:val="single" w:sz="6" w:space="0" w:color="000000"/>
              <w:bottom w:val="single" w:sz="6" w:space="0" w:color="000000"/>
              <w:right w:val="single" w:sz="6" w:space="0" w:color="000000"/>
            </w:tcBorders>
          </w:tcPr>
          <w:p>
            <w:pPr>
              <w:pStyle w:val="TableParagraph"/>
              <w:spacing w:before="168"/>
              <w:ind w:left="506"/>
              <w:jc w:val="left"/>
              <w:rPr>
                <w:sz w:val="21"/>
              </w:rPr>
            </w:pPr>
            <w:r>
              <w:rPr>
                <w:sz w:val="21"/>
              </w:rPr>
              <w:t>工程情况</w:t>
            </w:r>
          </w:p>
        </w:tc>
        <w:tc>
          <w:tcPr>
            <w:tcW w:w="760" w:type="dxa"/>
            <w:tcBorders>
              <w:left w:val="single" w:sz="6" w:space="0" w:color="000000"/>
              <w:bottom w:val="single" w:sz="6" w:space="0" w:color="000000"/>
            </w:tcBorders>
          </w:tcPr>
          <w:p>
            <w:pPr>
              <w:pStyle w:val="TableParagraph"/>
              <w:spacing w:line="360" w:lineRule="exact" w:before="11"/>
              <w:ind w:left="178" w:right="134"/>
              <w:jc w:val="left"/>
              <w:rPr>
                <w:sz w:val="21"/>
              </w:rPr>
            </w:pPr>
            <w:r>
              <w:rPr>
                <w:sz w:val="21"/>
              </w:rPr>
              <w:t>是否符合</w:t>
            </w:r>
          </w:p>
        </w:tc>
      </w:tr>
      <w:tr>
        <w:trPr>
          <w:trHeight w:val="1350" w:hRule="atLeast"/>
        </w:trPr>
        <w:tc>
          <w:tcPr>
            <w:tcW w:w="763" w:type="dxa"/>
            <w:tcBorders>
              <w:top w:val="single" w:sz="6" w:space="0" w:color="000000"/>
              <w:bottom w:val="single" w:sz="6" w:space="0" w:color="000000"/>
              <w:right w:val="single" w:sz="6" w:space="0" w:color="000000"/>
            </w:tcBorders>
          </w:tcPr>
          <w:p>
            <w:pPr>
              <w:pStyle w:val="TableParagraph"/>
              <w:spacing w:before="12"/>
              <w:jc w:val="left"/>
              <w:rPr>
                <w:sz w:val="25"/>
              </w:rPr>
            </w:pPr>
          </w:p>
          <w:p>
            <w:pPr>
              <w:pStyle w:val="TableParagraph"/>
              <w:spacing w:before="1"/>
              <w:ind w:left="21"/>
              <w:rPr>
                <w:rFonts w:ascii="Times New Roman"/>
                <w:sz w:val="21"/>
              </w:rPr>
            </w:pPr>
            <w:r>
              <w:rPr>
                <w:rFonts w:ascii="Times New Roman"/>
                <w:w w:val="100"/>
                <w:sz w:val="21"/>
              </w:rPr>
              <w:t>1</w:t>
            </w:r>
          </w:p>
        </w:tc>
        <w:tc>
          <w:tcPr>
            <w:tcW w:w="515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6"/>
              <w:ind w:left="115" w:right="-29"/>
              <w:jc w:val="both"/>
              <w:rPr>
                <w:sz w:val="21"/>
              </w:rPr>
            </w:pPr>
            <w:r>
              <w:rPr>
                <w:spacing w:val="-17"/>
                <w:sz w:val="21"/>
              </w:rPr>
              <w:t>严格环境准入，从源头防范环境风险，今后，在审批新、</w:t>
            </w:r>
            <w:r>
              <w:rPr>
                <w:spacing w:val="-12"/>
                <w:sz w:val="21"/>
              </w:rPr>
              <w:t>改、扩危险化学品建设项目环评文件时，项目选址靠近</w:t>
            </w:r>
            <w:r>
              <w:rPr>
                <w:spacing w:val="-11"/>
                <w:sz w:val="21"/>
              </w:rPr>
              <w:t>饮用水源地和敏感区或者不在化工园区的不批，项目所</w:t>
            </w:r>
            <w:r>
              <w:rPr>
                <w:spacing w:val="-6"/>
                <w:sz w:val="21"/>
              </w:rPr>
              <w:t>在化工园区无规划环评的不批。</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2"/>
              <w:ind w:left="115" w:right="80" w:firstLine="105"/>
              <w:jc w:val="both"/>
              <w:rPr>
                <w:sz w:val="21"/>
              </w:rPr>
            </w:pPr>
            <w:r>
              <w:rPr>
                <w:spacing w:val="-2"/>
                <w:sz w:val="21"/>
              </w:rPr>
              <w:t>项目涉及危险化</w:t>
            </w:r>
            <w:r>
              <w:rPr>
                <w:spacing w:val="-9"/>
                <w:sz w:val="21"/>
              </w:rPr>
              <w:t>学品，位于莒南县</w:t>
            </w:r>
            <w:r>
              <w:rPr>
                <w:spacing w:val="-13"/>
                <w:sz w:val="21"/>
              </w:rPr>
              <w:t>化工园区，化工园</w:t>
            </w:r>
            <w:r>
              <w:rPr>
                <w:spacing w:val="-6"/>
                <w:sz w:val="21"/>
              </w:rPr>
              <w:t>区已获得环评批</w:t>
            </w:r>
          </w:p>
          <w:p>
            <w:pPr>
              <w:pStyle w:val="TableParagraph"/>
              <w:spacing w:line="233" w:lineRule="exact"/>
              <w:ind w:left="115"/>
              <w:jc w:val="left"/>
              <w:rPr>
                <w:sz w:val="21"/>
              </w:rPr>
            </w:pPr>
            <w:r>
              <w:rPr>
                <w:sz w:val="21"/>
              </w:rPr>
              <w:t>复。</w:t>
            </w:r>
          </w:p>
        </w:tc>
        <w:tc>
          <w:tcPr>
            <w:tcW w:w="760" w:type="dxa"/>
            <w:tcBorders>
              <w:top w:val="single" w:sz="6" w:space="0" w:color="000000"/>
              <w:left w:val="single" w:sz="6" w:space="0" w:color="000000"/>
              <w:bottom w:val="single" w:sz="6" w:space="0" w:color="000000"/>
            </w:tcBorders>
          </w:tcPr>
          <w:p>
            <w:pPr>
              <w:pStyle w:val="TableParagraph"/>
              <w:spacing w:before="12"/>
              <w:jc w:val="left"/>
              <w:rPr>
                <w:sz w:val="22"/>
              </w:rPr>
            </w:pPr>
          </w:p>
          <w:p>
            <w:pPr>
              <w:pStyle w:val="TableParagraph"/>
              <w:ind w:left="159" w:right="118"/>
              <w:rPr>
                <w:sz w:val="21"/>
              </w:rPr>
            </w:pPr>
            <w:r>
              <w:rPr>
                <w:sz w:val="21"/>
              </w:rPr>
              <w:t>符合</w:t>
            </w:r>
          </w:p>
        </w:tc>
      </w:tr>
      <w:tr>
        <w:trPr>
          <w:trHeight w:val="817" w:hRule="atLeast"/>
        </w:trPr>
        <w:tc>
          <w:tcPr>
            <w:tcW w:w="763" w:type="dxa"/>
            <w:tcBorders>
              <w:top w:val="single" w:sz="6" w:space="0" w:color="000000"/>
              <w:right w:val="single" w:sz="6" w:space="0" w:color="000000"/>
            </w:tcBorders>
          </w:tcPr>
          <w:p>
            <w:pPr>
              <w:pStyle w:val="TableParagraph"/>
              <w:spacing w:before="6"/>
              <w:jc w:val="left"/>
              <w:rPr>
                <w:sz w:val="13"/>
              </w:rPr>
            </w:pPr>
          </w:p>
          <w:p>
            <w:pPr>
              <w:pStyle w:val="TableParagraph"/>
              <w:ind w:left="21"/>
              <w:rPr>
                <w:rFonts w:ascii="Times New Roman"/>
                <w:sz w:val="21"/>
              </w:rPr>
            </w:pPr>
            <w:r>
              <w:rPr>
                <w:rFonts w:ascii="Times New Roman"/>
                <w:w w:val="100"/>
                <w:sz w:val="21"/>
              </w:rPr>
              <w:t>2</w:t>
            </w:r>
          </w:p>
        </w:tc>
        <w:tc>
          <w:tcPr>
            <w:tcW w:w="5158" w:type="dxa"/>
            <w:tcBorders>
              <w:top w:val="single" w:sz="6" w:space="0" w:color="000000"/>
              <w:left w:val="single" w:sz="6" w:space="0" w:color="000000"/>
              <w:right w:val="single" w:sz="6" w:space="0" w:color="000000"/>
            </w:tcBorders>
          </w:tcPr>
          <w:p>
            <w:pPr>
              <w:pStyle w:val="TableParagraph"/>
              <w:spacing w:line="148" w:lineRule="auto" w:before="18"/>
              <w:ind w:left="115" w:right="81"/>
              <w:jc w:val="left"/>
              <w:rPr>
                <w:sz w:val="21"/>
              </w:rPr>
            </w:pPr>
            <w:r>
              <w:rPr>
                <w:spacing w:val="-11"/>
                <w:sz w:val="21"/>
              </w:rPr>
              <w:t>严格落实监测措施，提高突发环境事件预警能力。科学设定化工园区和化工企业预警监测点位和监测因子，严</w:t>
            </w:r>
          </w:p>
          <w:p>
            <w:pPr>
              <w:pStyle w:val="TableParagraph"/>
              <w:spacing w:line="228" w:lineRule="exact"/>
              <w:ind w:left="115"/>
              <w:jc w:val="left"/>
              <w:rPr>
                <w:sz w:val="21"/>
              </w:rPr>
            </w:pPr>
            <w:r>
              <w:rPr>
                <w:spacing w:val="-9"/>
                <w:sz w:val="21"/>
              </w:rPr>
              <w:t>格落实各项预警监测措施，加强应急监测能力建设，配</w:t>
            </w:r>
          </w:p>
        </w:tc>
        <w:tc>
          <w:tcPr>
            <w:tcW w:w="1841" w:type="dxa"/>
            <w:tcBorders>
              <w:top w:val="single" w:sz="6" w:space="0" w:color="000000"/>
              <w:left w:val="single" w:sz="6" w:space="0" w:color="000000"/>
              <w:right w:val="single" w:sz="6" w:space="0" w:color="000000"/>
            </w:tcBorders>
          </w:tcPr>
          <w:p>
            <w:pPr>
              <w:pStyle w:val="TableParagraph"/>
              <w:spacing w:line="148" w:lineRule="auto" w:before="18"/>
              <w:ind w:left="115" w:right="81" w:firstLine="57"/>
              <w:rPr>
                <w:sz w:val="21"/>
              </w:rPr>
            </w:pPr>
            <w:r>
              <w:rPr>
                <w:spacing w:val="-2"/>
                <w:sz w:val="21"/>
              </w:rPr>
              <w:t>项目已制定监测</w:t>
            </w:r>
            <w:r>
              <w:rPr>
                <w:spacing w:val="-10"/>
                <w:sz w:val="21"/>
              </w:rPr>
              <w:t>计划，并配备一定</w:t>
            </w:r>
          </w:p>
          <w:p>
            <w:pPr>
              <w:pStyle w:val="TableParagraph"/>
              <w:spacing w:line="228" w:lineRule="exact"/>
              <w:ind w:left="96" w:right="9"/>
              <w:rPr>
                <w:sz w:val="21"/>
              </w:rPr>
            </w:pPr>
            <w:r>
              <w:rPr>
                <w:sz w:val="21"/>
              </w:rPr>
              <w:t>数量的监测设备。</w:t>
            </w:r>
          </w:p>
        </w:tc>
        <w:tc>
          <w:tcPr>
            <w:tcW w:w="760" w:type="dxa"/>
            <w:tcBorders>
              <w:top w:val="single" w:sz="6" w:space="0" w:color="000000"/>
              <w:left w:val="single" w:sz="6" w:space="0" w:color="000000"/>
            </w:tcBorders>
          </w:tcPr>
          <w:p>
            <w:pPr>
              <w:pStyle w:val="TableParagraph"/>
              <w:spacing w:before="7"/>
              <w:jc w:val="left"/>
              <w:rPr>
                <w:sz w:val="10"/>
              </w:rPr>
            </w:pPr>
          </w:p>
          <w:p>
            <w:pPr>
              <w:pStyle w:val="TableParagraph"/>
              <w:ind w:left="159" w:right="118"/>
              <w:rPr>
                <w:sz w:val="21"/>
              </w:rPr>
            </w:pPr>
            <w:r>
              <w:rPr>
                <w:sz w:val="21"/>
              </w:rPr>
              <w:t>符合</w:t>
            </w:r>
          </w:p>
        </w:tc>
      </w:tr>
    </w:tbl>
    <w:p>
      <w:pPr>
        <w:spacing w:after="0"/>
        <w:rPr>
          <w:sz w:val="21"/>
        </w:rPr>
        <w:sectPr>
          <w:pgSz w:w="11910" w:h="16840"/>
          <w:pgMar w:header="877" w:footer="973" w:top="1420" w:bottom="1160" w:left="1560" w:right="1560"/>
        </w:sect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3"/>
        <w:gridCol w:w="5158"/>
        <w:gridCol w:w="1841"/>
        <w:gridCol w:w="760"/>
      </w:tblGrid>
      <w:tr>
        <w:trPr>
          <w:trHeight w:val="817" w:hRule="atLeast"/>
        </w:trPr>
        <w:tc>
          <w:tcPr>
            <w:tcW w:w="763" w:type="dxa"/>
            <w:tcBorders>
              <w:bottom w:val="single" w:sz="6" w:space="0" w:color="000000"/>
              <w:right w:val="single" w:sz="6" w:space="0" w:color="000000"/>
            </w:tcBorders>
          </w:tcPr>
          <w:p>
            <w:pPr>
              <w:pStyle w:val="TableParagraph"/>
              <w:jc w:val="left"/>
              <w:rPr>
                <w:rFonts w:ascii="Times New Roman"/>
                <w:sz w:val="20"/>
              </w:rPr>
            </w:pPr>
          </w:p>
        </w:tc>
        <w:tc>
          <w:tcPr>
            <w:tcW w:w="5158" w:type="dxa"/>
            <w:tcBorders>
              <w:left w:val="single" w:sz="6" w:space="0" w:color="000000"/>
              <w:bottom w:val="single" w:sz="6" w:space="0" w:color="000000"/>
              <w:right w:val="single" w:sz="6" w:space="0" w:color="000000"/>
            </w:tcBorders>
          </w:tcPr>
          <w:p>
            <w:pPr>
              <w:pStyle w:val="TableParagraph"/>
              <w:spacing w:line="146" w:lineRule="auto" w:before="24"/>
              <w:ind w:left="115" w:right="7"/>
              <w:jc w:val="left"/>
              <w:rPr>
                <w:sz w:val="21"/>
              </w:rPr>
            </w:pPr>
            <w:r>
              <w:rPr>
                <w:sz w:val="21"/>
              </w:rPr>
              <w:t>足配齐应急监测设备。严格执行</w:t>
            </w:r>
            <w:r>
              <w:rPr>
                <w:rFonts w:ascii="Times New Roman" w:hAnsi="Times New Roman" w:eastAsia="Times New Roman"/>
                <w:sz w:val="21"/>
              </w:rPr>
              <w:t>“</w:t>
            </w:r>
            <w:r>
              <w:rPr>
                <w:sz w:val="21"/>
              </w:rPr>
              <w:t>超标即应急</w:t>
            </w:r>
            <w:r>
              <w:rPr>
                <w:rFonts w:ascii="Times New Roman" w:hAnsi="Times New Roman" w:eastAsia="Times New Roman"/>
                <w:sz w:val="21"/>
              </w:rPr>
              <w:t>”</w:t>
            </w:r>
            <w:r>
              <w:rPr>
                <w:sz w:val="21"/>
              </w:rPr>
              <w:t>工作机制和</w:t>
            </w:r>
            <w:r>
              <w:rPr>
                <w:rFonts w:ascii="Times New Roman" w:hAnsi="Times New Roman" w:eastAsia="Times New Roman"/>
                <w:sz w:val="21"/>
              </w:rPr>
              <w:t>“</w:t>
            </w:r>
            <w:r>
              <w:rPr>
                <w:sz w:val="21"/>
              </w:rPr>
              <w:t>快速溯源法</w:t>
            </w:r>
            <w:r>
              <w:rPr>
                <w:rFonts w:ascii="Times New Roman" w:hAnsi="Times New Roman" w:eastAsia="Times New Roman"/>
                <w:sz w:val="21"/>
              </w:rPr>
              <w:t>”</w:t>
            </w:r>
            <w:r>
              <w:rPr>
                <w:sz w:val="21"/>
              </w:rPr>
              <w:t>工作程序，</w:t>
            </w:r>
            <w:r>
              <w:rPr>
                <w:rFonts w:ascii="Times New Roman" w:hAnsi="Times New Roman" w:eastAsia="Times New Roman"/>
                <w:sz w:val="21"/>
              </w:rPr>
              <w:t>24</w:t>
            </w:r>
            <w:r>
              <w:rPr>
                <w:sz w:val="21"/>
              </w:rPr>
              <w:t>小时内查明原因，锁定污</w:t>
            </w:r>
          </w:p>
          <w:p>
            <w:pPr>
              <w:pStyle w:val="TableParagraph"/>
              <w:spacing w:line="231" w:lineRule="exact"/>
              <w:ind w:left="115"/>
              <w:jc w:val="left"/>
              <w:rPr>
                <w:sz w:val="21"/>
              </w:rPr>
            </w:pPr>
            <w:r>
              <w:rPr>
                <w:sz w:val="21"/>
              </w:rPr>
              <w:t>染源。</w:t>
            </w:r>
          </w:p>
        </w:tc>
        <w:tc>
          <w:tcPr>
            <w:tcW w:w="1841"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760" w:type="dxa"/>
            <w:tcBorders>
              <w:left w:val="single" w:sz="6" w:space="0" w:color="000000"/>
              <w:bottom w:val="single" w:sz="6" w:space="0" w:color="000000"/>
            </w:tcBorders>
          </w:tcPr>
          <w:p>
            <w:pPr>
              <w:pStyle w:val="TableParagraph"/>
              <w:jc w:val="left"/>
              <w:rPr>
                <w:rFonts w:ascii="Times New Roman"/>
                <w:sz w:val="20"/>
              </w:rPr>
            </w:pPr>
          </w:p>
        </w:tc>
      </w:tr>
      <w:tr>
        <w:trPr>
          <w:trHeight w:val="3268" w:hRule="atLeast"/>
        </w:trPr>
        <w:tc>
          <w:tcPr>
            <w:tcW w:w="763" w:type="dxa"/>
            <w:tcBorders>
              <w:top w:val="single" w:sz="6" w:space="0" w:color="000000"/>
              <w:right w:val="single" w:sz="6" w:space="0" w:color="000000"/>
            </w:tcBorders>
          </w:tcPr>
          <w:p>
            <w:pPr>
              <w:pStyle w:val="TableParagraph"/>
              <w:jc w:val="left"/>
              <w:rPr>
                <w:sz w:val="22"/>
              </w:rPr>
            </w:pPr>
          </w:p>
          <w:p>
            <w:pPr>
              <w:pStyle w:val="TableParagraph"/>
              <w:jc w:val="left"/>
              <w:rPr>
                <w:sz w:val="22"/>
              </w:rPr>
            </w:pPr>
          </w:p>
          <w:p>
            <w:pPr>
              <w:pStyle w:val="TableParagraph"/>
              <w:spacing w:before="2"/>
              <w:jc w:val="left"/>
              <w:rPr>
                <w:sz w:val="27"/>
              </w:rPr>
            </w:pPr>
          </w:p>
          <w:p>
            <w:pPr>
              <w:pStyle w:val="TableParagraph"/>
              <w:ind w:left="21"/>
              <w:rPr>
                <w:rFonts w:ascii="Times New Roman"/>
                <w:sz w:val="21"/>
              </w:rPr>
            </w:pPr>
            <w:r>
              <w:rPr>
                <w:rFonts w:ascii="Times New Roman"/>
                <w:w w:val="100"/>
                <w:sz w:val="21"/>
              </w:rPr>
              <w:t>3</w:t>
            </w:r>
          </w:p>
        </w:tc>
        <w:tc>
          <w:tcPr>
            <w:tcW w:w="5158" w:type="dxa"/>
            <w:tcBorders>
              <w:top w:val="single" w:sz="6" w:space="0" w:color="000000"/>
              <w:left w:val="single" w:sz="6" w:space="0" w:color="000000"/>
              <w:right w:val="single" w:sz="6" w:space="0" w:color="000000"/>
            </w:tcBorders>
          </w:tcPr>
          <w:p>
            <w:pPr>
              <w:pStyle w:val="TableParagraph"/>
              <w:spacing w:line="146" w:lineRule="auto" w:before="21"/>
              <w:ind w:left="115" w:right="-29" w:firstLine="211"/>
              <w:jc w:val="both"/>
              <w:rPr>
                <w:sz w:val="21"/>
              </w:rPr>
            </w:pPr>
            <w:r>
              <w:rPr>
                <w:spacing w:val="-11"/>
                <w:sz w:val="21"/>
              </w:rPr>
              <w:t>规范危险废物和化学品管理，努力实现全过程环境监</w:t>
            </w:r>
            <w:r>
              <w:rPr>
                <w:spacing w:val="-6"/>
                <w:sz w:val="21"/>
              </w:rPr>
              <w:t>管。要进一步规范危险废物产生单位和经营单位管理， </w:t>
            </w:r>
            <w:r>
              <w:rPr>
                <w:spacing w:val="-11"/>
                <w:sz w:val="21"/>
              </w:rPr>
              <w:t>确定重点监管的危险废物产生单位，严禁危险废物非法</w:t>
            </w:r>
            <w:r>
              <w:rPr>
                <w:spacing w:val="-13"/>
                <w:sz w:val="21"/>
              </w:rPr>
              <w:t>转移，开展危化品环境管理登记，完善有毒化学品进出口和新化学物质环境管理登记制度，实现危险化学品从源头到末端的全过程环境管理。实施信息公开和信息共</w:t>
            </w:r>
            <w:r>
              <w:rPr>
                <w:spacing w:val="-14"/>
                <w:sz w:val="21"/>
              </w:rPr>
              <w:t>享制度，加大政府和企业环境信息公开力度，完善举报</w:t>
            </w:r>
            <w:r>
              <w:rPr>
                <w:spacing w:val="-13"/>
                <w:sz w:val="21"/>
              </w:rPr>
              <w:t>制度，积极引导社会监督。对于未按要求公布相关信息</w:t>
            </w:r>
            <w:r>
              <w:rPr>
                <w:spacing w:val="-12"/>
                <w:sz w:val="21"/>
              </w:rPr>
              <w:t>的，各级环保部门暂缓审批其新、改、扩建设项目环境影响评价问卷、不得提供各类环保专项资金支持、不得</w:t>
            </w:r>
            <w:r>
              <w:rPr>
                <w:spacing w:val="-6"/>
                <w:sz w:val="21"/>
              </w:rPr>
              <w:t>为其出具包括信贷、生产许可证等各方面的环保合格、</w:t>
            </w:r>
          </w:p>
          <w:p>
            <w:pPr>
              <w:pStyle w:val="TableParagraph"/>
              <w:spacing w:line="240" w:lineRule="exact"/>
              <w:ind w:left="115"/>
              <w:jc w:val="left"/>
              <w:rPr>
                <w:sz w:val="21"/>
              </w:rPr>
            </w:pPr>
            <w:r>
              <w:rPr>
                <w:sz w:val="21"/>
              </w:rPr>
              <w:t>达标或守法证明问卷。</w:t>
            </w:r>
          </w:p>
        </w:tc>
        <w:tc>
          <w:tcPr>
            <w:tcW w:w="1841" w:type="dxa"/>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8"/>
              <w:jc w:val="left"/>
              <w:rPr>
                <w:sz w:val="18"/>
              </w:rPr>
            </w:pPr>
          </w:p>
          <w:p>
            <w:pPr>
              <w:pStyle w:val="TableParagraph"/>
              <w:spacing w:line="146" w:lineRule="auto"/>
              <w:ind w:left="115" w:right="234"/>
              <w:jc w:val="both"/>
              <w:rPr>
                <w:sz w:val="21"/>
              </w:rPr>
            </w:pPr>
            <w:r>
              <w:rPr>
                <w:sz w:val="21"/>
              </w:rPr>
              <w:t>项目危险废物委托有资质的单位处置。</w:t>
            </w:r>
          </w:p>
        </w:tc>
        <w:tc>
          <w:tcPr>
            <w:tcW w:w="760" w:type="dxa"/>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spacing w:before="1"/>
              <w:jc w:val="left"/>
              <w:rPr>
                <w:sz w:val="28"/>
              </w:rPr>
            </w:pPr>
          </w:p>
          <w:p>
            <w:pPr>
              <w:pStyle w:val="TableParagraph"/>
              <w:ind w:left="178"/>
              <w:jc w:val="left"/>
              <w:rPr>
                <w:sz w:val="21"/>
              </w:rPr>
            </w:pPr>
            <w:r>
              <w:rPr>
                <w:sz w:val="21"/>
              </w:rPr>
              <w:t>符合</w:t>
            </w:r>
          </w:p>
        </w:tc>
      </w:tr>
    </w:tbl>
    <w:p>
      <w:pPr>
        <w:pStyle w:val="BodyText"/>
        <w:spacing w:before="1"/>
        <w:rPr>
          <w:sz w:val="8"/>
        </w:rPr>
      </w:pPr>
    </w:p>
    <w:p>
      <w:pPr>
        <w:pStyle w:val="BodyText"/>
        <w:spacing w:line="448" w:lineRule="exact"/>
        <w:ind w:left="720"/>
      </w:pPr>
      <w:r>
        <w:rPr/>
        <w:t>由表 </w:t>
      </w:r>
      <w:r>
        <w:rPr>
          <w:rFonts w:ascii="Times New Roman" w:eastAsia="Times New Roman"/>
        </w:rPr>
        <w:t>11.1-8 </w:t>
      </w:r>
      <w:r>
        <w:rPr/>
        <w:t>可知，本项目符合鲁环办函</w:t>
      </w:r>
      <w:r>
        <w:rPr>
          <w:rFonts w:ascii="Times New Roman" w:eastAsia="Times New Roman"/>
        </w:rPr>
        <w:t>[2015]149 </w:t>
      </w:r>
      <w:r>
        <w:rPr/>
        <w:t>号文的要求。</w:t>
      </w:r>
    </w:p>
    <w:p>
      <w:pPr>
        <w:pStyle w:val="BodyText"/>
        <w:spacing w:line="468" w:lineRule="exact"/>
        <w:ind w:left="720"/>
        <w:rPr>
          <w:rFonts w:ascii="Times New Roman" w:hAnsi="Times New Roman" w:eastAsia="Times New Roman"/>
        </w:rPr>
      </w:pPr>
      <w:r>
        <w:rPr>
          <w:rFonts w:ascii="Times New Roman" w:hAnsi="Times New Roman" w:eastAsia="Times New Roman"/>
          <w:w w:val="105"/>
        </w:rPr>
        <w:t>10</w:t>
      </w:r>
      <w:r>
        <w:rPr>
          <w:spacing w:val="-17"/>
          <w:w w:val="105"/>
        </w:rPr>
        <w:t>、与《山东省加强污染源头防治推进“四减四增</w:t>
      </w:r>
      <w:r>
        <w:rPr>
          <w:spacing w:val="-82"/>
          <w:w w:val="115"/>
        </w:rPr>
        <w:t>”</w:t>
      </w:r>
      <w:r>
        <w:rPr>
          <w:spacing w:val="-14"/>
          <w:w w:val="105"/>
        </w:rPr>
        <w:t>三年行动方案</w:t>
      </w:r>
      <w:r>
        <w:rPr>
          <w:w w:val="105"/>
        </w:rPr>
        <w:t>（</w:t>
      </w:r>
      <w:r>
        <w:rPr>
          <w:rFonts w:ascii="Times New Roman" w:hAnsi="Times New Roman" w:eastAsia="Times New Roman"/>
          <w:w w:val="105"/>
        </w:rPr>
        <w:t>2018-2020</w:t>
      </w:r>
    </w:p>
    <w:p>
      <w:pPr>
        <w:pStyle w:val="BodyText"/>
        <w:spacing w:line="468" w:lineRule="exact"/>
        <w:ind w:left="240"/>
      </w:pPr>
      <w:r>
        <w:rPr/>
        <w:t>年）》的符合性分析</w:t>
      </w:r>
    </w:p>
    <w:p>
      <w:pPr>
        <w:pStyle w:val="BodyText"/>
        <w:spacing w:line="468" w:lineRule="exact"/>
        <w:ind w:left="720"/>
      </w:pPr>
      <w:r>
        <w:rPr/>
        <w:t>项目建设情况与《山东省加强污染源头防治推进</w:t>
      </w:r>
      <w:r>
        <w:rPr>
          <w:rFonts w:ascii="Times New Roman" w:hAnsi="Times New Roman" w:eastAsia="Times New Roman"/>
        </w:rPr>
        <w:t>“</w:t>
      </w:r>
      <w:r>
        <w:rPr/>
        <w:t>四减四增</w:t>
      </w:r>
      <w:r>
        <w:rPr>
          <w:rFonts w:ascii="Times New Roman" w:hAnsi="Times New Roman" w:eastAsia="Times New Roman"/>
        </w:rPr>
        <w:t>”</w:t>
      </w:r>
      <w:r>
        <w:rPr/>
        <w:t>三年行动方案</w:t>
      </w:r>
    </w:p>
    <w:p>
      <w:pPr>
        <w:pStyle w:val="BodyText"/>
        <w:spacing w:line="488" w:lineRule="exact"/>
        <w:ind w:left="240"/>
      </w:pPr>
      <w:r>
        <w:rPr/>
        <w:t>（</w:t>
      </w:r>
      <w:r>
        <w:rPr>
          <w:rFonts w:ascii="Times New Roman" w:eastAsia="Times New Roman"/>
        </w:rPr>
        <w:t>2018-2020</w:t>
      </w:r>
      <w:r>
        <w:rPr/>
        <w:t>年）》中要求一致性分析见表</w:t>
      </w:r>
      <w:r>
        <w:rPr>
          <w:rFonts w:ascii="Times New Roman" w:eastAsia="Times New Roman"/>
        </w:rPr>
        <w:t>11.1-10</w:t>
      </w:r>
      <w:r>
        <w:rPr/>
        <w:t>。</w:t>
      </w:r>
    </w:p>
    <w:p>
      <w:pPr>
        <w:tabs>
          <w:tab w:pos="1437" w:val="left" w:leader="none"/>
        </w:tabs>
        <w:spacing w:line="220" w:lineRule="auto" w:before="77"/>
        <w:ind w:left="3233" w:right="319" w:hanging="2907"/>
        <w:jc w:val="left"/>
        <w:rPr>
          <w:sz w:val="21"/>
        </w:rPr>
      </w:pPr>
      <w:r>
        <w:rPr>
          <w:sz w:val="21"/>
        </w:rPr>
        <w:t>表</w:t>
      </w:r>
      <w:r>
        <w:rPr>
          <w:spacing w:val="10"/>
          <w:sz w:val="21"/>
        </w:rPr>
        <w:t> </w:t>
      </w:r>
      <w:r>
        <w:rPr>
          <w:rFonts w:ascii="Times New Roman" w:hAnsi="Times New Roman" w:eastAsia="Times New Roman"/>
          <w:b/>
          <w:spacing w:val="-3"/>
          <w:sz w:val="21"/>
        </w:rPr>
        <w:t>11.1-10</w:t>
        <w:tab/>
      </w:r>
      <w:r>
        <w:rPr>
          <w:sz w:val="21"/>
        </w:rPr>
        <w:t>本项目与山</w:t>
      </w:r>
      <w:r>
        <w:rPr>
          <w:spacing w:val="-3"/>
          <w:sz w:val="21"/>
        </w:rPr>
        <w:t>东</w:t>
      </w:r>
      <w:r>
        <w:rPr>
          <w:sz w:val="21"/>
        </w:rPr>
        <w:t>省加强污染源头防</w:t>
      </w:r>
      <w:r>
        <w:rPr>
          <w:spacing w:val="-3"/>
          <w:sz w:val="21"/>
        </w:rPr>
        <w:t>治</w:t>
      </w:r>
      <w:r>
        <w:rPr>
          <w:sz w:val="21"/>
        </w:rPr>
        <w:t>推进</w:t>
      </w:r>
      <w:r>
        <w:rPr>
          <w:rFonts w:ascii="Times New Roman" w:hAnsi="Times New Roman" w:eastAsia="Times New Roman"/>
          <w:b/>
          <w:spacing w:val="-3"/>
          <w:sz w:val="21"/>
        </w:rPr>
        <w:t>“</w:t>
      </w:r>
      <w:r>
        <w:rPr>
          <w:sz w:val="21"/>
        </w:rPr>
        <w:t>四减四增</w:t>
      </w:r>
      <w:r>
        <w:rPr>
          <w:rFonts w:ascii="Times New Roman" w:hAnsi="Times New Roman" w:eastAsia="Times New Roman"/>
          <w:b/>
          <w:spacing w:val="-3"/>
          <w:sz w:val="21"/>
        </w:rPr>
        <w:t>”</w:t>
      </w:r>
      <w:r>
        <w:rPr>
          <w:sz w:val="21"/>
        </w:rPr>
        <w:t>三年行动方案（</w:t>
      </w:r>
      <w:r>
        <w:rPr>
          <w:rFonts w:ascii="Times New Roman" w:hAnsi="Times New Roman" w:eastAsia="Times New Roman"/>
          <w:b/>
          <w:sz w:val="21"/>
        </w:rPr>
        <w:t>2018-2020 </w:t>
      </w:r>
      <w:r>
        <w:rPr>
          <w:sz w:val="21"/>
        </w:rPr>
        <w:t>年）文件符合情况</w:t>
      </w:r>
      <w:r>
        <w:rPr>
          <w:spacing w:val="-3"/>
          <w:sz w:val="21"/>
        </w:rPr>
        <w:t>一</w:t>
      </w:r>
      <w:r>
        <w:rPr>
          <w:sz w:val="21"/>
        </w:rPr>
        <w:t>览表</w:t>
      </w:r>
    </w:p>
    <w:p>
      <w:pPr>
        <w:pStyle w:val="BodyText"/>
        <w:spacing w:before="10"/>
        <w:rPr>
          <w:sz w:val="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99"/>
        <w:gridCol w:w="1822"/>
        <w:gridCol w:w="902"/>
      </w:tblGrid>
      <w:tr>
        <w:trPr>
          <w:trHeight w:val="339" w:hRule="atLeast"/>
        </w:trPr>
        <w:tc>
          <w:tcPr>
            <w:tcW w:w="5799" w:type="dxa"/>
            <w:tcBorders>
              <w:bottom w:val="single" w:sz="6" w:space="0" w:color="000000"/>
              <w:right w:val="single" w:sz="6" w:space="0" w:color="000000"/>
            </w:tcBorders>
          </w:tcPr>
          <w:p>
            <w:pPr>
              <w:pStyle w:val="TableParagraph"/>
              <w:spacing w:line="320" w:lineRule="exact"/>
              <w:ind w:left="2460" w:right="2436"/>
              <w:rPr>
                <w:sz w:val="21"/>
              </w:rPr>
            </w:pPr>
            <w:r>
              <w:rPr>
                <w:sz w:val="21"/>
              </w:rPr>
              <w:t>文件要求</w:t>
            </w:r>
          </w:p>
        </w:tc>
        <w:tc>
          <w:tcPr>
            <w:tcW w:w="1822" w:type="dxa"/>
            <w:tcBorders>
              <w:left w:val="single" w:sz="6" w:space="0" w:color="000000"/>
              <w:bottom w:val="single" w:sz="6" w:space="0" w:color="000000"/>
              <w:right w:val="single" w:sz="6" w:space="0" w:color="000000"/>
            </w:tcBorders>
          </w:tcPr>
          <w:p>
            <w:pPr>
              <w:pStyle w:val="TableParagraph"/>
              <w:spacing w:line="320" w:lineRule="exact"/>
              <w:ind w:left="288"/>
              <w:jc w:val="left"/>
              <w:rPr>
                <w:sz w:val="21"/>
              </w:rPr>
            </w:pPr>
            <w:r>
              <w:rPr>
                <w:sz w:val="21"/>
              </w:rPr>
              <w:t>项目建设情况</w:t>
            </w:r>
          </w:p>
        </w:tc>
        <w:tc>
          <w:tcPr>
            <w:tcW w:w="902" w:type="dxa"/>
            <w:tcBorders>
              <w:left w:val="single" w:sz="6" w:space="0" w:color="000000"/>
              <w:bottom w:val="single" w:sz="6" w:space="0" w:color="000000"/>
            </w:tcBorders>
          </w:tcPr>
          <w:p>
            <w:pPr>
              <w:pStyle w:val="TableParagraph"/>
              <w:spacing w:line="320" w:lineRule="exact"/>
              <w:ind w:left="123" w:right="86"/>
              <w:rPr>
                <w:sz w:val="21"/>
              </w:rPr>
            </w:pPr>
            <w:r>
              <w:rPr>
                <w:sz w:val="21"/>
              </w:rPr>
              <w:t>符合性</w:t>
            </w:r>
          </w:p>
        </w:tc>
      </w:tr>
      <w:tr>
        <w:trPr>
          <w:trHeight w:val="1559" w:hRule="atLeast"/>
        </w:trPr>
        <w:tc>
          <w:tcPr>
            <w:tcW w:w="5799" w:type="dxa"/>
            <w:tcBorders>
              <w:top w:val="single" w:sz="6" w:space="0" w:color="000000"/>
              <w:bottom w:val="single" w:sz="6" w:space="0" w:color="000000"/>
              <w:right w:val="single" w:sz="6" w:space="0" w:color="000000"/>
            </w:tcBorders>
          </w:tcPr>
          <w:p>
            <w:pPr>
              <w:pStyle w:val="TableParagraph"/>
              <w:spacing w:line="168" w:lineRule="auto" w:before="15"/>
              <w:ind w:left="107" w:right="-15"/>
              <w:jc w:val="both"/>
              <w:rPr>
                <w:sz w:val="21"/>
              </w:rPr>
            </w:pPr>
            <w:r>
              <w:rPr>
                <w:spacing w:val="-11"/>
                <w:sz w:val="21"/>
              </w:rPr>
              <w:t>着力淘汰落后产能。按照我省关于利用综合标准依法依规推动</w:t>
            </w:r>
            <w:r>
              <w:rPr>
                <w:spacing w:val="-10"/>
                <w:sz w:val="21"/>
              </w:rPr>
              <w:t>落后产能退出工作方案的有关要求，以钢铁、煤炭、水泥、电</w:t>
            </w:r>
            <w:r>
              <w:rPr>
                <w:spacing w:val="-11"/>
                <w:sz w:val="21"/>
              </w:rPr>
              <w:t>解铝、平板玻璃等行业为重点，通过完善综合标准体系，严格</w:t>
            </w:r>
            <w:r>
              <w:rPr>
                <w:spacing w:val="-6"/>
                <w:sz w:val="21"/>
              </w:rPr>
              <w:t>常态化执法和强制性标准实施，依法依规关停退出一批能耗、</w:t>
            </w:r>
          </w:p>
          <w:p>
            <w:pPr>
              <w:pStyle w:val="TableParagraph"/>
              <w:spacing w:line="278" w:lineRule="exact"/>
              <w:ind w:left="107"/>
              <w:jc w:val="both"/>
              <w:rPr>
                <w:sz w:val="21"/>
              </w:rPr>
            </w:pPr>
            <w:r>
              <w:rPr>
                <w:spacing w:val="-12"/>
                <w:sz w:val="21"/>
              </w:rPr>
              <w:t>环保、安全、质量达不到标准和生产不合格产品或淘汰类产能</w:t>
            </w:r>
          </w:p>
        </w:tc>
        <w:tc>
          <w:tcPr>
            <w:tcW w:w="1822"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5"/>
              </w:rPr>
            </w:pPr>
          </w:p>
          <w:p>
            <w:pPr>
              <w:pStyle w:val="TableParagraph"/>
              <w:spacing w:line="168" w:lineRule="auto" w:before="1"/>
              <w:ind w:left="115" w:right="81"/>
              <w:jc w:val="both"/>
              <w:rPr>
                <w:sz w:val="21"/>
              </w:rPr>
            </w:pPr>
            <w:r>
              <w:rPr>
                <w:sz w:val="21"/>
              </w:rPr>
              <w:t>项目为允许类建设项目，不涉及相应内容</w:t>
            </w:r>
          </w:p>
        </w:tc>
        <w:tc>
          <w:tcPr>
            <w:tcW w:w="902" w:type="dxa"/>
            <w:tcBorders>
              <w:top w:val="single" w:sz="6" w:space="0" w:color="000000"/>
              <w:left w:val="single" w:sz="6" w:space="0" w:color="000000"/>
              <w:bottom w:val="single" w:sz="6" w:space="0" w:color="000000"/>
            </w:tcBorders>
          </w:tcPr>
          <w:p>
            <w:pPr>
              <w:pStyle w:val="TableParagraph"/>
              <w:spacing w:before="15"/>
              <w:jc w:val="left"/>
              <w:rPr>
                <w:sz w:val="25"/>
              </w:rPr>
            </w:pPr>
          </w:p>
          <w:p>
            <w:pPr>
              <w:pStyle w:val="TableParagraph"/>
              <w:ind w:left="123" w:right="86"/>
              <w:rPr>
                <w:sz w:val="21"/>
              </w:rPr>
            </w:pPr>
            <w:r>
              <w:rPr>
                <w:sz w:val="21"/>
              </w:rPr>
              <w:t>符合</w:t>
            </w:r>
          </w:p>
        </w:tc>
      </w:tr>
      <w:tr>
        <w:trPr>
          <w:trHeight w:val="3120" w:hRule="atLeast"/>
        </w:trPr>
        <w:tc>
          <w:tcPr>
            <w:tcW w:w="5799" w:type="dxa"/>
            <w:tcBorders>
              <w:top w:val="single" w:sz="6" w:space="0" w:color="000000"/>
              <w:bottom w:val="single" w:sz="6" w:space="0" w:color="000000"/>
              <w:right w:val="single" w:sz="6" w:space="0" w:color="000000"/>
            </w:tcBorders>
          </w:tcPr>
          <w:p>
            <w:pPr>
              <w:pStyle w:val="TableParagraph"/>
              <w:spacing w:line="168" w:lineRule="auto" w:before="15"/>
              <w:ind w:left="107" w:right="-29"/>
              <w:jc w:val="both"/>
              <w:rPr>
                <w:sz w:val="21"/>
              </w:rPr>
            </w:pPr>
            <w:r>
              <w:rPr>
                <w:spacing w:val="-8"/>
                <w:sz w:val="21"/>
              </w:rPr>
              <w:t>着力调整高耗能高排放产业结构布局。遵循产业发展和市场经</w:t>
            </w:r>
            <w:r>
              <w:rPr>
                <w:spacing w:val="-13"/>
                <w:sz w:val="21"/>
              </w:rPr>
              <w:t>济运行规律，把钢铁、地炼、电解铝、焦化、轮胎、化肥、氯</w:t>
            </w:r>
            <w:r>
              <w:rPr>
                <w:sz w:val="21"/>
              </w:rPr>
              <w:t>碱等高耗能行业转型升级作为加快新旧动能转换的重要举措</w:t>
            </w:r>
            <w:r>
              <w:rPr>
                <w:spacing w:val="-17"/>
                <w:sz w:val="21"/>
              </w:rPr>
              <w:t>和突破口，着力破除瓶颈制约，努力实现高耗能行业布局优化、</w:t>
            </w:r>
            <w:r>
              <w:rPr>
                <w:spacing w:val="-13"/>
                <w:sz w:val="21"/>
              </w:rPr>
              <w:t>质量提升，推动绿色发展、高质量发展。制定实施严于国家要求的地方标准和产业政策，建立完善精准的企业分类综合评价</w:t>
            </w:r>
            <w:r>
              <w:rPr>
                <w:spacing w:val="-11"/>
                <w:sz w:val="21"/>
              </w:rPr>
              <w:t>体系，倒逼落后产能市场出清，加快企业转型升级步伐；发挥</w:t>
            </w:r>
            <w:r>
              <w:rPr>
                <w:spacing w:val="-12"/>
                <w:sz w:val="21"/>
              </w:rPr>
              <w:t>市场资源配置的决定性作用，鼓励企业通过产能置换、指标交</w:t>
            </w:r>
            <w:r>
              <w:rPr>
                <w:spacing w:val="-11"/>
                <w:sz w:val="21"/>
              </w:rPr>
              <w:t>易、股权合作等方式开展兼并重组，提高产业集中度，优化产</w:t>
            </w:r>
          </w:p>
          <w:p>
            <w:pPr>
              <w:pStyle w:val="TableParagraph"/>
              <w:spacing w:line="280" w:lineRule="exact"/>
              <w:ind w:left="107"/>
              <w:jc w:val="both"/>
              <w:rPr>
                <w:sz w:val="21"/>
              </w:rPr>
            </w:pPr>
            <w:r>
              <w:rPr>
                <w:sz w:val="21"/>
              </w:rPr>
              <w:t>业布局。</w:t>
            </w:r>
          </w:p>
        </w:tc>
        <w:tc>
          <w:tcPr>
            <w:tcW w:w="1822"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5"/>
              <w:jc w:val="left"/>
              <w:rPr>
                <w:sz w:val="12"/>
              </w:rPr>
            </w:pPr>
          </w:p>
          <w:p>
            <w:pPr>
              <w:pStyle w:val="TableParagraph"/>
              <w:spacing w:line="168" w:lineRule="auto"/>
              <w:ind w:left="115" w:right="59"/>
              <w:jc w:val="both"/>
              <w:rPr>
                <w:sz w:val="21"/>
              </w:rPr>
            </w:pPr>
            <w:r>
              <w:rPr>
                <w:spacing w:val="21"/>
                <w:sz w:val="21"/>
              </w:rPr>
              <w:t>项目为允许类建</w:t>
            </w:r>
            <w:r>
              <w:rPr>
                <w:spacing w:val="-13"/>
                <w:sz w:val="21"/>
              </w:rPr>
              <w:t>设项目，不涉及相应内容</w:t>
            </w:r>
          </w:p>
        </w:tc>
        <w:tc>
          <w:tcPr>
            <w:tcW w:w="902" w:type="dxa"/>
            <w:tcBorders>
              <w:top w:val="single" w:sz="6" w:space="0" w:color="000000"/>
              <w:left w:val="single" w:sz="6" w:space="0" w:color="000000"/>
              <w:bottom w:val="single" w:sz="6" w:space="0" w:color="000000"/>
            </w:tcBorders>
          </w:tcPr>
          <w:p>
            <w:pPr>
              <w:pStyle w:val="TableParagraph"/>
              <w:jc w:val="left"/>
              <w:rPr>
                <w:sz w:val="20"/>
              </w:rPr>
            </w:pPr>
          </w:p>
          <w:p>
            <w:pPr>
              <w:pStyle w:val="TableParagraph"/>
              <w:jc w:val="left"/>
              <w:rPr>
                <w:sz w:val="20"/>
              </w:rPr>
            </w:pPr>
          </w:p>
          <w:p>
            <w:pPr>
              <w:pStyle w:val="TableParagraph"/>
              <w:spacing w:before="11"/>
              <w:jc w:val="left"/>
              <w:rPr>
                <w:sz w:val="22"/>
              </w:rPr>
            </w:pPr>
          </w:p>
          <w:p>
            <w:pPr>
              <w:pStyle w:val="TableParagraph"/>
              <w:spacing w:before="1"/>
              <w:ind w:left="123" w:right="86"/>
              <w:rPr>
                <w:sz w:val="21"/>
              </w:rPr>
            </w:pPr>
            <w:r>
              <w:rPr>
                <w:sz w:val="21"/>
              </w:rPr>
              <w:t>符合</w:t>
            </w:r>
          </w:p>
        </w:tc>
      </w:tr>
      <w:tr>
        <w:trPr>
          <w:trHeight w:val="935" w:hRule="atLeast"/>
        </w:trPr>
        <w:tc>
          <w:tcPr>
            <w:tcW w:w="5799" w:type="dxa"/>
            <w:tcBorders>
              <w:top w:val="single" w:sz="6" w:space="0" w:color="000000"/>
              <w:right w:val="single" w:sz="6" w:space="0" w:color="000000"/>
            </w:tcBorders>
          </w:tcPr>
          <w:p>
            <w:pPr>
              <w:pStyle w:val="TableParagraph"/>
              <w:spacing w:line="303" w:lineRule="exact"/>
              <w:ind w:left="107"/>
              <w:jc w:val="left"/>
              <w:rPr>
                <w:sz w:val="21"/>
              </w:rPr>
            </w:pPr>
            <w:r>
              <w:rPr>
                <w:spacing w:val="-1"/>
                <w:sz w:val="21"/>
              </w:rPr>
              <w:t>着力实施</w:t>
            </w:r>
            <w:r>
              <w:rPr>
                <w:rFonts w:ascii="Times New Roman" w:hAnsi="Times New Roman" w:eastAsia="Times New Roman"/>
                <w:b/>
                <w:spacing w:val="-3"/>
                <w:sz w:val="21"/>
              </w:rPr>
              <w:t>“</w:t>
            </w:r>
            <w:r>
              <w:rPr>
                <w:sz w:val="21"/>
              </w:rPr>
              <w:t>三上三压</w:t>
            </w:r>
            <w:r>
              <w:rPr>
                <w:rFonts w:ascii="Times New Roman" w:hAnsi="Times New Roman" w:eastAsia="Times New Roman"/>
                <w:b/>
                <w:spacing w:val="-3"/>
                <w:sz w:val="21"/>
              </w:rPr>
              <w:t>”</w:t>
            </w:r>
            <w:r>
              <w:rPr>
                <w:spacing w:val="-11"/>
                <w:sz w:val="21"/>
              </w:rPr>
              <w:t>。重大项目建设，必须首先满足环境质量</w:t>
            </w:r>
          </w:p>
          <w:p>
            <w:pPr>
              <w:pStyle w:val="TableParagraph"/>
              <w:spacing w:line="312" w:lineRule="exact"/>
              <w:ind w:left="107"/>
              <w:jc w:val="left"/>
              <w:rPr>
                <w:rFonts w:ascii="Times New Roman" w:hAnsi="Times New Roman" w:eastAsia="Times New Roman"/>
                <w:sz w:val="21"/>
              </w:rPr>
            </w:pPr>
            <w:r>
              <w:rPr>
                <w:rFonts w:ascii="Times New Roman" w:hAnsi="Times New Roman" w:eastAsia="Times New Roman"/>
                <w:spacing w:val="-1"/>
                <w:sz w:val="21"/>
              </w:rPr>
              <w:t>“</w:t>
            </w:r>
            <w:r>
              <w:rPr>
                <w:spacing w:val="-6"/>
                <w:sz w:val="21"/>
              </w:rPr>
              <w:t>只能更好，不能变坏</w:t>
            </w:r>
            <w:r>
              <w:rPr>
                <w:rFonts w:ascii="Times New Roman" w:hAnsi="Times New Roman" w:eastAsia="Times New Roman"/>
                <w:spacing w:val="-3"/>
                <w:sz w:val="21"/>
              </w:rPr>
              <w:t>”</w:t>
            </w:r>
            <w:r>
              <w:rPr>
                <w:spacing w:val="-6"/>
                <w:sz w:val="21"/>
              </w:rPr>
              <w:t>的底线，严格落实污染物排放</w:t>
            </w:r>
            <w:r>
              <w:rPr>
                <w:rFonts w:ascii="Times New Roman" w:hAnsi="Times New Roman" w:eastAsia="Times New Roman"/>
                <w:sz w:val="21"/>
              </w:rPr>
              <w:t>“</w:t>
            </w:r>
            <w:r>
              <w:rPr>
                <w:spacing w:val="-2"/>
                <w:sz w:val="21"/>
              </w:rPr>
              <w:t>减量替</w:t>
            </w:r>
            <w:r>
              <w:rPr>
                <w:rFonts w:ascii="Times New Roman" w:hAnsi="Times New Roman" w:eastAsia="Times New Roman"/>
                <w:sz w:val="21"/>
              </w:rPr>
              <w:t>”</w:t>
            </w:r>
          </w:p>
          <w:p>
            <w:pPr>
              <w:pStyle w:val="TableParagraph"/>
              <w:spacing w:line="301" w:lineRule="exact"/>
              <w:ind w:left="107"/>
              <w:jc w:val="left"/>
              <w:rPr>
                <w:sz w:val="21"/>
              </w:rPr>
            </w:pPr>
            <w:r>
              <w:rPr>
                <w:spacing w:val="-7"/>
                <w:sz w:val="21"/>
              </w:rPr>
              <w:t>是原则，等量替代是例外</w:t>
            </w:r>
            <w:r>
              <w:rPr>
                <w:rFonts w:ascii="Times New Roman" w:hAnsi="Times New Roman" w:eastAsia="Times New Roman"/>
                <w:spacing w:val="-3"/>
                <w:sz w:val="21"/>
              </w:rPr>
              <w:t>”</w:t>
            </w:r>
            <w:r>
              <w:rPr>
                <w:spacing w:val="-7"/>
                <w:sz w:val="21"/>
              </w:rPr>
              <w:t>的总量控制刚性要求，实施</w:t>
            </w:r>
            <w:r>
              <w:rPr>
                <w:rFonts w:ascii="Times New Roman" w:hAnsi="Times New Roman" w:eastAsia="Times New Roman"/>
                <w:sz w:val="21"/>
              </w:rPr>
              <w:t>“</w:t>
            </w:r>
            <w:r>
              <w:rPr>
                <w:spacing w:val="-2"/>
                <w:sz w:val="21"/>
              </w:rPr>
              <w:t>上新压</w:t>
            </w:r>
          </w:p>
        </w:tc>
        <w:tc>
          <w:tcPr>
            <w:tcW w:w="1822" w:type="dxa"/>
            <w:tcBorders>
              <w:top w:val="single" w:sz="6" w:space="0" w:color="000000"/>
              <w:left w:val="single" w:sz="6" w:space="0" w:color="000000"/>
              <w:right w:val="single" w:sz="6" w:space="0" w:color="000000"/>
            </w:tcBorders>
          </w:tcPr>
          <w:p>
            <w:pPr>
              <w:pStyle w:val="TableParagraph"/>
              <w:spacing w:line="168" w:lineRule="auto" w:before="17"/>
              <w:ind w:left="115" w:right="60"/>
              <w:jc w:val="left"/>
              <w:rPr>
                <w:sz w:val="21"/>
              </w:rPr>
            </w:pPr>
            <w:r>
              <w:rPr>
                <w:spacing w:val="21"/>
                <w:sz w:val="21"/>
              </w:rPr>
              <w:t>项目的建设满足区域环境质量底</w:t>
            </w:r>
          </w:p>
          <w:p>
            <w:pPr>
              <w:pStyle w:val="TableParagraph"/>
              <w:spacing w:line="275" w:lineRule="exact"/>
              <w:ind w:left="115"/>
              <w:jc w:val="left"/>
              <w:rPr>
                <w:sz w:val="21"/>
              </w:rPr>
            </w:pPr>
            <w:r>
              <w:rPr>
                <w:spacing w:val="-13"/>
                <w:sz w:val="21"/>
              </w:rPr>
              <w:t>线要求，项目废气</w:t>
            </w:r>
          </w:p>
        </w:tc>
        <w:tc>
          <w:tcPr>
            <w:tcW w:w="902" w:type="dxa"/>
            <w:tcBorders>
              <w:top w:val="single" w:sz="6" w:space="0" w:color="000000"/>
              <w:left w:val="single" w:sz="6" w:space="0" w:color="000000"/>
            </w:tcBorders>
          </w:tcPr>
          <w:p>
            <w:pPr>
              <w:pStyle w:val="TableParagraph"/>
              <w:spacing w:before="2"/>
              <w:jc w:val="left"/>
              <w:rPr>
                <w:sz w:val="11"/>
              </w:rPr>
            </w:pPr>
          </w:p>
          <w:p>
            <w:pPr>
              <w:pStyle w:val="TableParagraph"/>
              <w:spacing w:before="1"/>
              <w:ind w:left="123" w:right="86"/>
              <w:rPr>
                <w:sz w:val="21"/>
              </w:rPr>
            </w:pPr>
            <w:r>
              <w:rPr>
                <w:sz w:val="21"/>
              </w:rPr>
              <w:t>符合</w:t>
            </w:r>
          </w:p>
        </w:tc>
      </w:tr>
    </w:tbl>
    <w:p>
      <w:pPr>
        <w:spacing w:after="0"/>
        <w:rPr>
          <w:sz w:val="21"/>
        </w:rPr>
        <w:sectPr>
          <w:pgSz w:w="11910" w:h="16840"/>
          <w:pgMar w:header="877" w:footer="973" w:top="1420" w:bottom="1160" w:left="1560" w:right="1560"/>
        </w:sect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99"/>
        <w:gridCol w:w="1822"/>
        <w:gridCol w:w="902"/>
      </w:tblGrid>
      <w:tr>
        <w:trPr>
          <w:trHeight w:val="2489" w:hRule="atLeast"/>
        </w:trPr>
        <w:tc>
          <w:tcPr>
            <w:tcW w:w="5799" w:type="dxa"/>
            <w:tcBorders>
              <w:bottom w:val="nil"/>
              <w:right w:val="single" w:sz="6" w:space="0" w:color="000000"/>
            </w:tcBorders>
          </w:tcPr>
          <w:p>
            <w:pPr>
              <w:pStyle w:val="TableParagraph"/>
              <w:spacing w:line="168" w:lineRule="auto" w:before="17"/>
              <w:ind w:left="107" w:right="4"/>
              <w:jc w:val="both"/>
              <w:rPr>
                <w:sz w:val="21"/>
              </w:rPr>
            </w:pPr>
            <w:r>
              <w:rPr>
                <w:sz w:val="21"/>
              </w:rPr>
              <w:t>旧</w:t>
            </w:r>
            <w:r>
              <w:rPr>
                <w:rFonts w:ascii="Times New Roman" w:hAnsi="Times New Roman" w:eastAsia="Times New Roman"/>
                <w:sz w:val="21"/>
              </w:rPr>
              <w:t>”“</w:t>
            </w:r>
            <w:r>
              <w:rPr>
                <w:spacing w:val="-3"/>
                <w:sz w:val="21"/>
              </w:rPr>
              <w:t>上大压小</w:t>
            </w:r>
            <w:r>
              <w:rPr>
                <w:rFonts w:ascii="Times New Roman" w:hAnsi="Times New Roman" w:eastAsia="Times New Roman"/>
                <w:sz w:val="21"/>
              </w:rPr>
              <w:t>”“</w:t>
            </w:r>
            <w:r>
              <w:rPr>
                <w:spacing w:val="-2"/>
                <w:sz w:val="21"/>
              </w:rPr>
              <w:t>上高压低</w:t>
            </w:r>
            <w:r>
              <w:rPr>
                <w:rFonts w:ascii="Times New Roman" w:hAnsi="Times New Roman" w:eastAsia="Times New Roman"/>
                <w:spacing w:val="-4"/>
                <w:sz w:val="21"/>
              </w:rPr>
              <w:t>”</w:t>
            </w:r>
            <w:r>
              <w:rPr>
                <w:spacing w:val="-3"/>
                <w:sz w:val="21"/>
              </w:rPr>
              <w:t>，腾出</w:t>
            </w:r>
            <w:r>
              <w:rPr>
                <w:rFonts w:ascii="Times New Roman" w:hAnsi="Times New Roman" w:eastAsia="Times New Roman"/>
                <w:spacing w:val="-3"/>
                <w:sz w:val="21"/>
              </w:rPr>
              <w:t>“</w:t>
            </w:r>
            <w:r>
              <w:rPr>
                <w:spacing w:val="-5"/>
                <w:sz w:val="21"/>
              </w:rPr>
              <w:t>旧动能、小项目、低端产能</w:t>
            </w:r>
            <w:r>
              <w:rPr>
                <w:spacing w:val="-4"/>
                <w:w w:val="100"/>
                <w:sz w:val="21"/>
              </w:rPr>
              <w:t>污染物排放的笼子</w:t>
            </w:r>
            <w:r>
              <w:rPr>
                <w:rFonts w:ascii="Times New Roman" w:hAnsi="Times New Roman" w:eastAsia="Times New Roman"/>
                <w:spacing w:val="-2"/>
                <w:w w:val="100"/>
                <w:sz w:val="21"/>
              </w:rPr>
              <w:t>”</w:t>
            </w:r>
            <w:r>
              <w:rPr>
                <w:w w:val="100"/>
                <w:sz w:val="21"/>
              </w:rPr>
              <w:t>（</w:t>
            </w:r>
            <w:r>
              <w:rPr>
                <w:spacing w:val="-3"/>
                <w:w w:val="100"/>
                <w:sz w:val="21"/>
              </w:rPr>
              <w:t>小项目指传统产业或污染重的小项目</w:t>
            </w:r>
            <w:r>
              <w:rPr>
                <w:spacing w:val="-106"/>
                <w:w w:val="100"/>
                <w:sz w:val="21"/>
              </w:rPr>
              <w:t>）</w:t>
            </w:r>
            <w:r>
              <w:rPr>
                <w:w w:val="100"/>
                <w:sz w:val="21"/>
              </w:rPr>
              <w:t>，</w:t>
            </w:r>
            <w:r>
              <w:rPr>
                <w:sz w:val="21"/>
              </w:rPr>
              <w:t>换上</w:t>
            </w:r>
            <w:r>
              <w:rPr>
                <w:rFonts w:ascii="Times New Roman" w:hAnsi="Times New Roman" w:eastAsia="Times New Roman"/>
                <w:spacing w:val="-3"/>
                <w:sz w:val="21"/>
              </w:rPr>
              <w:t>“</w:t>
            </w:r>
            <w:r>
              <w:rPr>
                <w:spacing w:val="-7"/>
                <w:sz w:val="21"/>
              </w:rPr>
              <w:t>新动能、大项目、高端产能的鸟</w:t>
            </w:r>
            <w:r>
              <w:rPr>
                <w:rFonts w:ascii="Times New Roman" w:hAnsi="Times New Roman" w:eastAsia="Times New Roman"/>
                <w:spacing w:val="-9"/>
                <w:sz w:val="21"/>
              </w:rPr>
              <w:t>”</w:t>
            </w:r>
            <w:r>
              <w:rPr>
                <w:spacing w:val="-6"/>
                <w:sz w:val="21"/>
              </w:rPr>
              <w:t>，新项目一旦投产，被</w:t>
            </w:r>
            <w:r>
              <w:rPr>
                <w:spacing w:val="-9"/>
                <w:sz w:val="21"/>
              </w:rPr>
              <w:t>整合替代的老项目必须同时停产，倒逼新旧动能及时转换，杜绝</w:t>
            </w:r>
            <w:r>
              <w:rPr>
                <w:rFonts w:ascii="Times New Roman" w:hAnsi="Times New Roman" w:eastAsia="Times New Roman"/>
                <w:spacing w:val="-9"/>
                <w:sz w:val="21"/>
              </w:rPr>
              <w:t>“</w:t>
            </w:r>
            <w:r>
              <w:rPr>
                <w:spacing w:val="-3"/>
                <w:sz w:val="21"/>
              </w:rPr>
              <w:t>新瓶装旧酒</w:t>
            </w:r>
            <w:r>
              <w:rPr>
                <w:rFonts w:ascii="Times New Roman" w:hAnsi="Times New Roman" w:eastAsia="Times New Roman"/>
                <w:sz w:val="21"/>
              </w:rPr>
              <w:t>”“</w:t>
            </w:r>
            <w:r>
              <w:rPr>
                <w:spacing w:val="-2"/>
                <w:sz w:val="21"/>
              </w:rPr>
              <w:t>新旧并存</w:t>
            </w:r>
            <w:r>
              <w:rPr>
                <w:rFonts w:ascii="Times New Roman" w:hAnsi="Times New Roman" w:eastAsia="Times New Roman"/>
                <w:sz w:val="21"/>
              </w:rPr>
              <w:t>”</w:t>
            </w:r>
            <w:r>
              <w:rPr>
                <w:spacing w:val="-8"/>
                <w:sz w:val="21"/>
              </w:rPr>
              <w:t>的假转换。严禁钢铁、水泥、平板</w:t>
            </w:r>
            <w:r>
              <w:rPr>
                <w:spacing w:val="-11"/>
                <w:sz w:val="21"/>
              </w:rPr>
              <w:t>玻璃、电解铝、焦化、铸造等行业新增产能，对确有必要新建</w:t>
            </w:r>
            <w:r>
              <w:rPr>
                <w:spacing w:val="-8"/>
                <w:sz w:val="21"/>
              </w:rPr>
              <w:t>的必须实施等量或减量置换。</w:t>
            </w:r>
            <w:r>
              <w:rPr>
                <w:rFonts w:ascii="Times New Roman" w:hAnsi="Times New Roman" w:eastAsia="Times New Roman"/>
                <w:sz w:val="21"/>
              </w:rPr>
              <w:t>2018 </w:t>
            </w:r>
            <w:r>
              <w:rPr>
                <w:spacing w:val="-2"/>
                <w:sz w:val="21"/>
              </w:rPr>
              <w:t>年年底前，原则上不再审</w:t>
            </w:r>
          </w:p>
          <w:p>
            <w:pPr>
              <w:pStyle w:val="TableParagraph"/>
              <w:spacing w:line="270" w:lineRule="exact"/>
              <w:ind w:left="107"/>
              <w:jc w:val="both"/>
              <w:rPr>
                <w:sz w:val="21"/>
              </w:rPr>
            </w:pPr>
            <w:r>
              <w:rPr>
                <w:spacing w:val="-3"/>
                <w:sz w:val="21"/>
              </w:rPr>
              <w:t>批新建煤矿项目、新增产能的技术改造项目和产能核增项目，</w:t>
            </w:r>
          </w:p>
        </w:tc>
        <w:tc>
          <w:tcPr>
            <w:tcW w:w="1822" w:type="dxa"/>
            <w:tcBorders>
              <w:left w:val="single" w:sz="6" w:space="0" w:color="000000"/>
              <w:bottom w:val="nil"/>
              <w:right w:val="single" w:sz="6" w:space="0" w:color="000000"/>
            </w:tcBorders>
          </w:tcPr>
          <w:p>
            <w:pPr>
              <w:pStyle w:val="TableParagraph"/>
              <w:spacing w:line="168" w:lineRule="auto" w:before="17"/>
              <w:ind w:left="115" w:right="60"/>
              <w:jc w:val="left"/>
              <w:rPr>
                <w:sz w:val="21"/>
              </w:rPr>
            </w:pPr>
            <w:r>
              <w:rPr>
                <w:sz w:val="21"/>
              </w:rPr>
              <w:t>满足排放标准后达标外排。</w:t>
            </w:r>
          </w:p>
        </w:tc>
        <w:tc>
          <w:tcPr>
            <w:tcW w:w="902" w:type="dxa"/>
            <w:vMerge w:val="restart"/>
            <w:tcBorders>
              <w:left w:val="single" w:sz="6" w:space="0" w:color="000000"/>
              <w:bottom w:val="single" w:sz="6" w:space="0" w:color="000000"/>
            </w:tcBorders>
          </w:tcPr>
          <w:p>
            <w:pPr>
              <w:pStyle w:val="TableParagraph"/>
              <w:jc w:val="left"/>
              <w:rPr>
                <w:rFonts w:ascii="Times New Roman"/>
                <w:sz w:val="20"/>
              </w:rPr>
            </w:pPr>
          </w:p>
        </w:tc>
      </w:tr>
      <w:tr>
        <w:trPr>
          <w:trHeight w:val="303" w:hRule="atLeast"/>
        </w:trPr>
        <w:tc>
          <w:tcPr>
            <w:tcW w:w="5799" w:type="dxa"/>
            <w:tcBorders>
              <w:top w:val="nil"/>
              <w:bottom w:val="single" w:sz="6" w:space="0" w:color="000000"/>
              <w:right w:val="single" w:sz="6" w:space="0" w:color="000000"/>
            </w:tcBorders>
          </w:tcPr>
          <w:p>
            <w:pPr>
              <w:pStyle w:val="TableParagraph"/>
              <w:spacing w:line="283" w:lineRule="exact"/>
              <w:ind w:left="107"/>
              <w:jc w:val="left"/>
              <w:rPr>
                <w:sz w:val="21"/>
              </w:rPr>
            </w:pPr>
            <w:r>
              <w:rPr>
                <w:sz w:val="21"/>
              </w:rPr>
              <w:t>确需新建、技改提能和核增产能的，一律实行减量置换。</w:t>
            </w:r>
          </w:p>
        </w:tc>
        <w:tc>
          <w:tcPr>
            <w:tcW w:w="1822"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902" w:type="dxa"/>
            <w:vMerge/>
            <w:tcBorders>
              <w:top w:val="nil"/>
              <w:left w:val="single" w:sz="6" w:space="0" w:color="000000"/>
              <w:bottom w:val="single" w:sz="6" w:space="0" w:color="000000"/>
            </w:tcBorders>
          </w:tcPr>
          <w:p>
            <w:pPr>
              <w:rPr>
                <w:sz w:val="2"/>
                <w:szCs w:val="2"/>
              </w:rPr>
            </w:pPr>
          </w:p>
        </w:tc>
      </w:tr>
      <w:tr>
        <w:trPr>
          <w:trHeight w:val="315" w:hRule="atLeast"/>
        </w:trPr>
        <w:tc>
          <w:tcPr>
            <w:tcW w:w="5799" w:type="dxa"/>
            <w:tcBorders>
              <w:top w:val="single" w:sz="6" w:space="0" w:color="000000"/>
              <w:bottom w:val="nil"/>
              <w:right w:val="single" w:sz="6" w:space="0" w:color="000000"/>
            </w:tcBorders>
          </w:tcPr>
          <w:p>
            <w:pPr>
              <w:pStyle w:val="TableParagraph"/>
              <w:spacing w:line="295" w:lineRule="exact"/>
              <w:ind w:left="107" w:right="-15"/>
              <w:jc w:val="left"/>
              <w:rPr>
                <w:sz w:val="21"/>
              </w:rPr>
            </w:pPr>
            <w:r>
              <w:rPr>
                <w:spacing w:val="-3"/>
                <w:sz w:val="21"/>
              </w:rPr>
              <w:t>着力控制新增煤炭消费。严格控制新上耗煤项目审批、核准、</w:t>
            </w:r>
          </w:p>
        </w:tc>
        <w:tc>
          <w:tcPr>
            <w:tcW w:w="1822"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902" w:type="dxa"/>
            <w:tcBorders>
              <w:top w:val="single" w:sz="6" w:space="0" w:color="000000"/>
              <w:left w:val="single" w:sz="6" w:space="0" w:color="000000"/>
              <w:bottom w:val="nil"/>
            </w:tcBorders>
          </w:tcPr>
          <w:p>
            <w:pPr>
              <w:pStyle w:val="TableParagraph"/>
              <w:jc w:val="left"/>
              <w:rPr>
                <w:rFonts w:ascii="Times New Roman"/>
                <w:sz w:val="20"/>
              </w:rPr>
            </w:pPr>
          </w:p>
        </w:tc>
      </w:tr>
      <w:tr>
        <w:trPr>
          <w:trHeight w:val="312" w:hRule="atLeast"/>
        </w:trPr>
        <w:tc>
          <w:tcPr>
            <w:tcW w:w="5799" w:type="dxa"/>
            <w:tcBorders>
              <w:top w:val="nil"/>
              <w:bottom w:val="nil"/>
              <w:right w:val="single" w:sz="6" w:space="0" w:color="000000"/>
            </w:tcBorders>
          </w:tcPr>
          <w:p>
            <w:pPr>
              <w:pStyle w:val="TableParagraph"/>
              <w:spacing w:line="292" w:lineRule="exact"/>
              <w:ind w:left="107"/>
              <w:jc w:val="left"/>
              <w:rPr>
                <w:sz w:val="21"/>
              </w:rPr>
            </w:pPr>
            <w:r>
              <w:rPr>
                <w:spacing w:val="-11"/>
                <w:sz w:val="21"/>
              </w:rPr>
              <w:t>备案，鼓励天然气、电力等清洁能源替代煤炭消费。重点区域</w:t>
            </w:r>
          </w:p>
        </w:tc>
        <w:tc>
          <w:tcPr>
            <w:tcW w:w="1822"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902" w:type="dxa"/>
            <w:tcBorders>
              <w:top w:val="nil"/>
              <w:left w:val="single" w:sz="6" w:space="0" w:color="000000"/>
              <w:bottom w:val="nil"/>
            </w:tcBorders>
          </w:tcPr>
          <w:p>
            <w:pPr>
              <w:pStyle w:val="TableParagraph"/>
              <w:jc w:val="left"/>
              <w:rPr>
                <w:rFonts w:ascii="Times New Roman"/>
                <w:sz w:val="20"/>
              </w:rPr>
            </w:pPr>
          </w:p>
        </w:tc>
      </w:tr>
      <w:tr>
        <w:trPr>
          <w:trHeight w:val="312" w:hRule="atLeast"/>
        </w:trPr>
        <w:tc>
          <w:tcPr>
            <w:tcW w:w="5799" w:type="dxa"/>
            <w:tcBorders>
              <w:top w:val="nil"/>
              <w:bottom w:val="nil"/>
              <w:right w:val="single" w:sz="6" w:space="0" w:color="000000"/>
            </w:tcBorders>
          </w:tcPr>
          <w:p>
            <w:pPr>
              <w:pStyle w:val="TableParagraph"/>
              <w:spacing w:line="292" w:lineRule="exact"/>
              <w:ind w:left="107"/>
              <w:jc w:val="left"/>
              <w:rPr>
                <w:sz w:val="21"/>
              </w:rPr>
            </w:pPr>
            <w:r>
              <w:rPr>
                <w:spacing w:val="-10"/>
                <w:sz w:val="21"/>
              </w:rPr>
              <w:t>不再新增燃煤机组装机容量，新增用电量主要依靠非化石能源</w:t>
            </w:r>
          </w:p>
        </w:tc>
        <w:tc>
          <w:tcPr>
            <w:tcW w:w="1822"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902" w:type="dxa"/>
            <w:tcBorders>
              <w:top w:val="nil"/>
              <w:left w:val="single" w:sz="6" w:space="0" w:color="000000"/>
              <w:bottom w:val="nil"/>
            </w:tcBorders>
          </w:tcPr>
          <w:p>
            <w:pPr>
              <w:pStyle w:val="TableParagraph"/>
              <w:jc w:val="left"/>
              <w:rPr>
                <w:rFonts w:ascii="Times New Roman"/>
                <w:sz w:val="20"/>
              </w:rPr>
            </w:pPr>
          </w:p>
        </w:tc>
      </w:tr>
      <w:tr>
        <w:trPr>
          <w:trHeight w:val="624" w:hRule="atLeast"/>
        </w:trPr>
        <w:tc>
          <w:tcPr>
            <w:tcW w:w="5799" w:type="dxa"/>
            <w:tcBorders>
              <w:top w:val="nil"/>
              <w:bottom w:val="nil"/>
              <w:right w:val="single" w:sz="6" w:space="0" w:color="000000"/>
            </w:tcBorders>
          </w:tcPr>
          <w:p>
            <w:pPr>
              <w:pStyle w:val="TableParagraph"/>
              <w:spacing w:line="300" w:lineRule="exact"/>
              <w:ind w:left="107"/>
              <w:jc w:val="left"/>
              <w:rPr>
                <w:sz w:val="21"/>
              </w:rPr>
            </w:pPr>
            <w:r>
              <w:rPr>
                <w:spacing w:val="-10"/>
                <w:sz w:val="21"/>
              </w:rPr>
              <w:t>发电和外输电满足。完善煤炭替代审查制度，制定出台山东省</w:t>
            </w:r>
          </w:p>
          <w:p>
            <w:pPr>
              <w:pStyle w:val="TableParagraph"/>
              <w:spacing w:line="304" w:lineRule="exact"/>
              <w:ind w:left="107"/>
              <w:jc w:val="left"/>
              <w:rPr>
                <w:sz w:val="21"/>
              </w:rPr>
            </w:pPr>
            <w:r>
              <w:rPr>
                <w:spacing w:val="-8"/>
                <w:sz w:val="21"/>
              </w:rPr>
              <w:t>耗煤项目煤炭消费减量替代管理暂行办法，提高煤炭利用效率</w:t>
            </w:r>
          </w:p>
        </w:tc>
        <w:tc>
          <w:tcPr>
            <w:tcW w:w="1822" w:type="dxa"/>
            <w:tcBorders>
              <w:top w:val="nil"/>
              <w:left w:val="single" w:sz="6" w:space="0" w:color="000000"/>
              <w:bottom w:val="nil"/>
              <w:right w:val="single" w:sz="6" w:space="0" w:color="000000"/>
            </w:tcBorders>
          </w:tcPr>
          <w:p>
            <w:pPr>
              <w:pStyle w:val="TableParagraph"/>
              <w:spacing w:line="300" w:lineRule="exact"/>
              <w:ind w:left="115"/>
              <w:jc w:val="left"/>
              <w:rPr>
                <w:sz w:val="21"/>
              </w:rPr>
            </w:pPr>
            <w:r>
              <w:rPr>
                <w:sz w:val="21"/>
              </w:rPr>
              <w:t>项目不涉及煤炭</w:t>
            </w:r>
          </w:p>
          <w:p>
            <w:pPr>
              <w:pStyle w:val="TableParagraph"/>
              <w:spacing w:line="304" w:lineRule="exact"/>
              <w:ind w:left="115"/>
              <w:jc w:val="left"/>
              <w:rPr>
                <w:sz w:val="21"/>
              </w:rPr>
            </w:pPr>
            <w:r>
              <w:rPr>
                <w:sz w:val="21"/>
              </w:rPr>
              <w:t>使用</w:t>
            </w:r>
          </w:p>
        </w:tc>
        <w:tc>
          <w:tcPr>
            <w:tcW w:w="902" w:type="dxa"/>
            <w:tcBorders>
              <w:top w:val="nil"/>
              <w:left w:val="single" w:sz="6" w:space="0" w:color="000000"/>
              <w:bottom w:val="nil"/>
            </w:tcBorders>
          </w:tcPr>
          <w:p>
            <w:pPr>
              <w:pStyle w:val="TableParagraph"/>
              <w:spacing w:before="77"/>
              <w:ind w:left="247"/>
              <w:jc w:val="left"/>
              <w:rPr>
                <w:sz w:val="21"/>
              </w:rPr>
            </w:pPr>
            <w:r>
              <w:rPr>
                <w:sz w:val="21"/>
              </w:rPr>
              <w:t>符合</w:t>
            </w:r>
          </w:p>
        </w:tc>
      </w:tr>
      <w:tr>
        <w:trPr>
          <w:trHeight w:val="311" w:hRule="atLeast"/>
        </w:trPr>
        <w:tc>
          <w:tcPr>
            <w:tcW w:w="5799" w:type="dxa"/>
            <w:tcBorders>
              <w:top w:val="nil"/>
              <w:bottom w:val="nil"/>
              <w:right w:val="single" w:sz="6" w:space="0" w:color="000000"/>
            </w:tcBorders>
          </w:tcPr>
          <w:p>
            <w:pPr>
              <w:pStyle w:val="TableParagraph"/>
              <w:spacing w:line="292" w:lineRule="exact"/>
              <w:ind w:left="107"/>
              <w:jc w:val="left"/>
              <w:rPr>
                <w:sz w:val="21"/>
              </w:rPr>
            </w:pPr>
            <w:r>
              <w:rPr>
                <w:spacing w:val="-9"/>
                <w:sz w:val="21"/>
              </w:rPr>
              <w:t>低的行业煤炭减量替代系数。对于确需建设的耗煤项目，严格</w:t>
            </w:r>
          </w:p>
        </w:tc>
        <w:tc>
          <w:tcPr>
            <w:tcW w:w="1822"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902" w:type="dxa"/>
            <w:tcBorders>
              <w:top w:val="nil"/>
              <w:left w:val="single" w:sz="6" w:space="0" w:color="000000"/>
              <w:bottom w:val="nil"/>
            </w:tcBorders>
          </w:tcPr>
          <w:p>
            <w:pPr>
              <w:pStyle w:val="TableParagraph"/>
              <w:jc w:val="left"/>
              <w:rPr>
                <w:rFonts w:ascii="Times New Roman"/>
                <w:sz w:val="20"/>
              </w:rPr>
            </w:pPr>
          </w:p>
        </w:tc>
      </w:tr>
      <w:tr>
        <w:trPr>
          <w:trHeight w:val="312" w:hRule="atLeast"/>
        </w:trPr>
        <w:tc>
          <w:tcPr>
            <w:tcW w:w="5799" w:type="dxa"/>
            <w:tcBorders>
              <w:top w:val="nil"/>
              <w:bottom w:val="nil"/>
              <w:right w:val="single" w:sz="6" w:space="0" w:color="000000"/>
            </w:tcBorders>
          </w:tcPr>
          <w:p>
            <w:pPr>
              <w:pStyle w:val="TableParagraph"/>
              <w:spacing w:line="292" w:lineRule="exact"/>
              <w:ind w:left="107"/>
              <w:jc w:val="left"/>
              <w:rPr>
                <w:sz w:val="21"/>
              </w:rPr>
            </w:pPr>
            <w:r>
              <w:rPr>
                <w:spacing w:val="-10"/>
                <w:sz w:val="21"/>
              </w:rPr>
              <w:t>落实替代源及替代比例，所有新、改、扩建项目一律实施煤炭</w:t>
            </w:r>
          </w:p>
        </w:tc>
        <w:tc>
          <w:tcPr>
            <w:tcW w:w="1822"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902" w:type="dxa"/>
            <w:tcBorders>
              <w:top w:val="nil"/>
              <w:left w:val="single" w:sz="6" w:space="0" w:color="000000"/>
              <w:bottom w:val="nil"/>
            </w:tcBorders>
          </w:tcPr>
          <w:p>
            <w:pPr>
              <w:pStyle w:val="TableParagraph"/>
              <w:jc w:val="left"/>
              <w:rPr>
                <w:rFonts w:ascii="Times New Roman"/>
                <w:sz w:val="20"/>
              </w:rPr>
            </w:pPr>
          </w:p>
        </w:tc>
      </w:tr>
      <w:tr>
        <w:trPr>
          <w:trHeight w:val="308" w:hRule="atLeast"/>
        </w:trPr>
        <w:tc>
          <w:tcPr>
            <w:tcW w:w="5799" w:type="dxa"/>
            <w:tcBorders>
              <w:top w:val="nil"/>
              <w:right w:val="single" w:sz="6" w:space="0" w:color="000000"/>
            </w:tcBorders>
          </w:tcPr>
          <w:p>
            <w:pPr>
              <w:pStyle w:val="TableParagraph"/>
              <w:spacing w:line="288" w:lineRule="exact"/>
              <w:ind w:left="107"/>
              <w:jc w:val="left"/>
              <w:rPr>
                <w:sz w:val="21"/>
              </w:rPr>
            </w:pPr>
            <w:r>
              <w:rPr>
                <w:sz w:val="21"/>
              </w:rPr>
              <w:t>减量或等量替代。</w:t>
            </w:r>
          </w:p>
        </w:tc>
        <w:tc>
          <w:tcPr>
            <w:tcW w:w="1822" w:type="dxa"/>
            <w:tcBorders>
              <w:top w:val="nil"/>
              <w:left w:val="single" w:sz="6" w:space="0" w:color="000000"/>
              <w:right w:val="single" w:sz="6" w:space="0" w:color="000000"/>
            </w:tcBorders>
          </w:tcPr>
          <w:p>
            <w:pPr>
              <w:pStyle w:val="TableParagraph"/>
              <w:jc w:val="left"/>
              <w:rPr>
                <w:rFonts w:ascii="Times New Roman"/>
                <w:sz w:val="20"/>
              </w:rPr>
            </w:pPr>
          </w:p>
        </w:tc>
        <w:tc>
          <w:tcPr>
            <w:tcW w:w="902" w:type="dxa"/>
            <w:tcBorders>
              <w:top w:val="nil"/>
              <w:left w:val="single" w:sz="6" w:space="0" w:color="000000"/>
            </w:tcBorders>
          </w:tcPr>
          <w:p>
            <w:pPr>
              <w:pStyle w:val="TableParagraph"/>
              <w:jc w:val="left"/>
              <w:rPr>
                <w:rFonts w:ascii="Times New Roman"/>
                <w:sz w:val="20"/>
              </w:rPr>
            </w:pPr>
          </w:p>
        </w:tc>
      </w:tr>
    </w:tbl>
    <w:p>
      <w:pPr>
        <w:pStyle w:val="BodyText"/>
        <w:spacing w:line="465" w:lineRule="exact"/>
        <w:ind w:left="720"/>
      </w:pPr>
      <w:r>
        <w:rPr>
          <w:rFonts w:ascii="Times New Roman" w:eastAsia="Times New Roman"/>
        </w:rPr>
        <w:t>10</w:t>
      </w:r>
      <w:r>
        <w:rPr/>
        <w:t>、与山东省化工投资项目管理暂行规定的符合性分析</w:t>
      </w:r>
    </w:p>
    <w:p>
      <w:pPr>
        <w:pStyle w:val="BodyText"/>
        <w:spacing w:line="220" w:lineRule="auto" w:before="8"/>
        <w:ind w:left="240" w:right="237" w:firstLine="479"/>
        <w:jc w:val="both"/>
      </w:pPr>
      <w:r>
        <w:rPr>
          <w:spacing w:val="-11"/>
        </w:rPr>
        <w:t>根据《山东省人民政府办公厅发布的关于印发山东省化工投资项目管理暂行</w:t>
      </w:r>
      <w:r>
        <w:rPr>
          <w:spacing w:val="-4"/>
        </w:rPr>
        <w:t>规定的通知》</w:t>
      </w:r>
      <w:r>
        <w:rPr>
          <w:spacing w:val="4"/>
        </w:rPr>
        <w:t>（</w:t>
      </w:r>
      <w:r>
        <w:rPr>
          <w:spacing w:val="2"/>
        </w:rPr>
        <w:t>鲁政办字</w:t>
      </w:r>
      <w:r>
        <w:rPr>
          <w:rFonts w:ascii="Times New Roman" w:eastAsia="Times New Roman"/>
        </w:rPr>
        <w:t>[2017]215</w:t>
      </w:r>
      <w:r>
        <w:rPr/>
        <w:t>号）要求，本项目的建设情况与该文件的符合性见表</w:t>
      </w:r>
      <w:r>
        <w:rPr>
          <w:rFonts w:ascii="Times New Roman" w:eastAsia="Times New Roman"/>
        </w:rPr>
        <w:t>11.1-11</w:t>
      </w:r>
      <w:r>
        <w:rPr/>
        <w:t>。</w:t>
      </w:r>
    </w:p>
    <w:p>
      <w:pPr>
        <w:tabs>
          <w:tab w:pos="2624" w:val="left" w:leader="none"/>
        </w:tabs>
        <w:spacing w:before="64"/>
        <w:ind w:left="1524" w:right="0" w:firstLine="0"/>
        <w:jc w:val="left"/>
        <w:rPr>
          <w:sz w:val="21"/>
        </w:rPr>
      </w:pPr>
      <w:r>
        <w:rPr>
          <w:sz w:val="21"/>
        </w:rPr>
        <w:t>表</w:t>
      </w:r>
      <w:r>
        <w:rPr>
          <w:spacing w:val="9"/>
          <w:sz w:val="21"/>
        </w:rPr>
        <w:t> </w:t>
      </w:r>
      <w:r>
        <w:rPr>
          <w:rFonts w:ascii="Times New Roman" w:eastAsia="Times New Roman"/>
          <w:b/>
          <w:spacing w:val="-4"/>
          <w:sz w:val="21"/>
        </w:rPr>
        <w:t>11.1-11</w:t>
        <w:tab/>
      </w:r>
      <w:r>
        <w:rPr>
          <w:sz w:val="21"/>
        </w:rPr>
        <w:t>项目与山东</w:t>
      </w:r>
      <w:r>
        <w:rPr>
          <w:spacing w:val="-3"/>
          <w:sz w:val="21"/>
        </w:rPr>
        <w:t>省</w:t>
      </w:r>
      <w:r>
        <w:rPr>
          <w:sz w:val="21"/>
        </w:rPr>
        <w:t>化工投资项目管理</w:t>
      </w:r>
      <w:r>
        <w:rPr>
          <w:spacing w:val="-3"/>
          <w:sz w:val="21"/>
        </w:rPr>
        <w:t>暂</w:t>
      </w:r>
      <w:r>
        <w:rPr>
          <w:sz w:val="21"/>
        </w:rPr>
        <w:t>行</w:t>
      </w:r>
      <w:r>
        <w:rPr>
          <w:spacing w:val="-3"/>
          <w:sz w:val="21"/>
        </w:rPr>
        <w:t>规</w:t>
      </w:r>
      <w:r>
        <w:rPr>
          <w:sz w:val="21"/>
        </w:rPr>
        <w:t>定符合情况</w:t>
      </w:r>
    </w:p>
    <w:p>
      <w:pPr>
        <w:pStyle w:val="BodyText"/>
        <w:spacing w:before="20"/>
        <w:rPr>
          <w:sz w:val="2"/>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7"/>
        <w:gridCol w:w="4299"/>
        <w:gridCol w:w="2835"/>
        <w:gridCol w:w="902"/>
      </w:tblGrid>
      <w:tr>
        <w:trPr>
          <w:trHeight w:val="625" w:hRule="atLeast"/>
        </w:trPr>
        <w:tc>
          <w:tcPr>
            <w:tcW w:w="487" w:type="dxa"/>
            <w:tcBorders>
              <w:bottom w:val="single" w:sz="6" w:space="0" w:color="000000"/>
              <w:right w:val="single" w:sz="6" w:space="0" w:color="000000"/>
            </w:tcBorders>
          </w:tcPr>
          <w:p>
            <w:pPr>
              <w:pStyle w:val="TableParagraph"/>
              <w:spacing w:line="302" w:lineRule="exact"/>
              <w:ind w:left="136"/>
              <w:jc w:val="left"/>
              <w:rPr>
                <w:sz w:val="21"/>
              </w:rPr>
            </w:pPr>
            <w:r>
              <w:rPr>
                <w:w w:val="100"/>
                <w:sz w:val="21"/>
              </w:rPr>
              <w:t>序</w:t>
            </w:r>
          </w:p>
          <w:p>
            <w:pPr>
              <w:pStyle w:val="TableParagraph"/>
              <w:spacing w:line="303" w:lineRule="exact"/>
              <w:ind w:left="136"/>
              <w:jc w:val="left"/>
              <w:rPr>
                <w:sz w:val="21"/>
              </w:rPr>
            </w:pPr>
            <w:r>
              <w:rPr>
                <w:w w:val="100"/>
                <w:sz w:val="21"/>
              </w:rPr>
              <w:t>号</w:t>
            </w:r>
          </w:p>
        </w:tc>
        <w:tc>
          <w:tcPr>
            <w:tcW w:w="4299" w:type="dxa"/>
            <w:tcBorders>
              <w:left w:val="single" w:sz="6" w:space="0" w:color="000000"/>
              <w:bottom w:val="single" w:sz="6" w:space="0" w:color="000000"/>
              <w:right w:val="single" w:sz="6" w:space="0" w:color="000000"/>
            </w:tcBorders>
          </w:tcPr>
          <w:p>
            <w:pPr>
              <w:pStyle w:val="TableParagraph"/>
              <w:spacing w:before="79"/>
              <w:ind w:left="369"/>
              <w:jc w:val="left"/>
              <w:rPr>
                <w:sz w:val="21"/>
              </w:rPr>
            </w:pPr>
            <w:r>
              <w:rPr>
                <w:sz w:val="21"/>
              </w:rPr>
              <w:t>山东省化工投资项目管理暂行规定要求</w:t>
            </w:r>
          </w:p>
        </w:tc>
        <w:tc>
          <w:tcPr>
            <w:tcW w:w="2835" w:type="dxa"/>
            <w:tcBorders>
              <w:left w:val="single" w:sz="6" w:space="0" w:color="000000"/>
              <w:bottom w:val="single" w:sz="6" w:space="0" w:color="000000"/>
              <w:right w:val="single" w:sz="6" w:space="0" w:color="000000"/>
            </w:tcBorders>
          </w:tcPr>
          <w:p>
            <w:pPr>
              <w:pStyle w:val="TableParagraph"/>
              <w:spacing w:before="79"/>
              <w:ind w:left="116" w:right="87"/>
              <w:rPr>
                <w:sz w:val="21"/>
              </w:rPr>
            </w:pPr>
            <w:r>
              <w:rPr>
                <w:sz w:val="21"/>
              </w:rPr>
              <w:t>本项目情况</w:t>
            </w:r>
          </w:p>
        </w:tc>
        <w:tc>
          <w:tcPr>
            <w:tcW w:w="902" w:type="dxa"/>
            <w:tcBorders>
              <w:left w:val="single" w:sz="6" w:space="0" w:color="000000"/>
              <w:bottom w:val="single" w:sz="6" w:space="0" w:color="000000"/>
            </w:tcBorders>
          </w:tcPr>
          <w:p>
            <w:pPr>
              <w:pStyle w:val="TableParagraph"/>
              <w:spacing w:before="79"/>
              <w:ind w:left="123" w:right="86"/>
              <w:rPr>
                <w:sz w:val="21"/>
              </w:rPr>
            </w:pPr>
            <w:r>
              <w:rPr>
                <w:sz w:val="21"/>
              </w:rPr>
              <w:t>符合性</w:t>
            </w:r>
          </w:p>
        </w:tc>
      </w:tr>
      <w:tr>
        <w:trPr>
          <w:trHeight w:val="1871" w:hRule="atLeast"/>
        </w:trPr>
        <w:tc>
          <w:tcPr>
            <w:tcW w:w="487" w:type="dxa"/>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8"/>
              <w:jc w:val="left"/>
              <w:rPr>
                <w:sz w:val="16"/>
              </w:rPr>
            </w:pPr>
          </w:p>
          <w:p>
            <w:pPr>
              <w:pStyle w:val="TableParagraph"/>
              <w:ind w:right="167"/>
              <w:jc w:val="right"/>
              <w:rPr>
                <w:rFonts w:ascii="Times New Roman"/>
                <w:sz w:val="21"/>
              </w:rPr>
            </w:pPr>
            <w:r>
              <w:rPr>
                <w:rFonts w:ascii="Times New Roman"/>
                <w:w w:val="100"/>
                <w:sz w:val="21"/>
              </w:rPr>
              <w:t>1</w:t>
            </w:r>
          </w:p>
        </w:tc>
        <w:tc>
          <w:tcPr>
            <w:tcW w:w="4299"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5"/>
              <w:ind w:left="115" w:right="81"/>
              <w:jc w:val="both"/>
              <w:rPr>
                <w:sz w:val="21"/>
              </w:rPr>
            </w:pPr>
            <w:r>
              <w:rPr>
                <w:sz w:val="21"/>
              </w:rPr>
              <w:t>项目必须属于产业政策鼓励类或允许类，严</w:t>
            </w:r>
            <w:r>
              <w:rPr>
                <w:spacing w:val="-2"/>
                <w:sz w:val="21"/>
              </w:rPr>
              <w:t>控限制类项目</w:t>
            </w:r>
            <w:r>
              <w:rPr>
                <w:rFonts w:ascii="Times New Roman" w:eastAsia="Times New Roman"/>
                <w:sz w:val="21"/>
              </w:rPr>
              <w:t>(</w:t>
            </w:r>
            <w:r>
              <w:rPr>
                <w:spacing w:val="-3"/>
                <w:sz w:val="21"/>
              </w:rPr>
              <w:t>搬迁入园项目除外</w:t>
            </w:r>
            <w:r>
              <w:rPr>
                <w:rFonts w:ascii="Times New Roman" w:eastAsia="Times New Roman"/>
                <w:spacing w:val="-26"/>
                <w:sz w:val="21"/>
              </w:rPr>
              <w:t>)</w:t>
            </w:r>
            <w:r>
              <w:rPr>
                <w:spacing w:val="-8"/>
                <w:sz w:val="21"/>
              </w:rPr>
              <w:t>，严禁投资</w:t>
            </w:r>
            <w:r>
              <w:rPr>
                <w:sz w:val="21"/>
              </w:rPr>
              <w:t>淘汰类项目；搬迁入园项目要着力提升工艺装备水平，实现转型升级；鼓励发展产品档次高、附加值高、替代进口，工艺、技术、</w:t>
            </w:r>
          </w:p>
          <w:p>
            <w:pPr>
              <w:pStyle w:val="TableParagraph"/>
              <w:spacing w:line="279" w:lineRule="exact"/>
              <w:ind w:left="115"/>
              <w:jc w:val="both"/>
              <w:rPr>
                <w:sz w:val="21"/>
              </w:rPr>
            </w:pPr>
            <w:r>
              <w:rPr>
                <w:sz w:val="21"/>
              </w:rPr>
              <w:t>装备水平国际国内领先的项目</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2"/>
              <w:jc w:val="left"/>
              <w:rPr>
                <w:sz w:val="13"/>
              </w:rPr>
            </w:pPr>
          </w:p>
          <w:p>
            <w:pPr>
              <w:pStyle w:val="TableParagraph"/>
              <w:ind w:left="116" w:right="85"/>
              <w:rPr>
                <w:sz w:val="21"/>
              </w:rPr>
            </w:pPr>
            <w:r>
              <w:rPr>
                <w:sz w:val="21"/>
              </w:rPr>
              <w:t>项目属于允许类建设项目</w:t>
            </w:r>
          </w:p>
        </w:tc>
        <w:tc>
          <w:tcPr>
            <w:tcW w:w="902" w:type="dxa"/>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2"/>
              <w:jc w:val="left"/>
              <w:rPr>
                <w:sz w:val="13"/>
              </w:rPr>
            </w:pPr>
          </w:p>
          <w:p>
            <w:pPr>
              <w:pStyle w:val="TableParagraph"/>
              <w:ind w:left="123" w:right="86"/>
              <w:rPr>
                <w:sz w:val="21"/>
              </w:rPr>
            </w:pPr>
            <w:r>
              <w:rPr>
                <w:sz w:val="21"/>
              </w:rPr>
              <w:t>符合</w:t>
            </w:r>
          </w:p>
        </w:tc>
      </w:tr>
      <w:tr>
        <w:trPr>
          <w:trHeight w:val="1247" w:hRule="atLeast"/>
        </w:trPr>
        <w:tc>
          <w:tcPr>
            <w:tcW w:w="487" w:type="dxa"/>
            <w:tcBorders>
              <w:top w:val="single" w:sz="6" w:space="0" w:color="000000"/>
              <w:bottom w:val="single" w:sz="6" w:space="0" w:color="000000"/>
              <w:right w:val="single" w:sz="6" w:space="0" w:color="000000"/>
            </w:tcBorders>
          </w:tcPr>
          <w:p>
            <w:pPr>
              <w:pStyle w:val="TableParagraph"/>
              <w:spacing w:before="14"/>
              <w:jc w:val="left"/>
              <w:rPr>
                <w:sz w:val="23"/>
              </w:rPr>
            </w:pPr>
          </w:p>
          <w:p>
            <w:pPr>
              <w:pStyle w:val="TableParagraph"/>
              <w:ind w:right="167"/>
              <w:jc w:val="right"/>
              <w:rPr>
                <w:rFonts w:ascii="Times New Roman"/>
                <w:sz w:val="21"/>
              </w:rPr>
            </w:pPr>
            <w:r>
              <w:rPr>
                <w:rFonts w:ascii="Times New Roman"/>
                <w:w w:val="100"/>
                <w:sz w:val="21"/>
              </w:rPr>
              <w:t>2</w:t>
            </w:r>
          </w:p>
        </w:tc>
        <w:tc>
          <w:tcPr>
            <w:tcW w:w="4299"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5"/>
              <w:ind w:left="115" w:right="85"/>
              <w:jc w:val="both"/>
              <w:rPr>
                <w:sz w:val="21"/>
              </w:rPr>
            </w:pPr>
            <w:r>
              <w:rPr>
                <w:sz w:val="21"/>
              </w:rPr>
              <w:t>项目建设的同时，要按照有关规定配套建设安全、环保、消防设施，鼓励建设安全隐患整治、环保综合治理项目；严格限制新建剧</w:t>
            </w:r>
          </w:p>
          <w:p>
            <w:pPr>
              <w:pStyle w:val="TableParagraph"/>
              <w:spacing w:line="278" w:lineRule="exact"/>
              <w:ind w:left="115"/>
              <w:jc w:val="both"/>
              <w:rPr>
                <w:sz w:val="21"/>
              </w:rPr>
            </w:pPr>
            <w:r>
              <w:rPr>
                <w:sz w:val="21"/>
              </w:rPr>
              <w:t>毒化学品项目</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5"/>
              </w:rPr>
            </w:pPr>
          </w:p>
          <w:p>
            <w:pPr>
              <w:pStyle w:val="TableParagraph"/>
              <w:spacing w:line="168" w:lineRule="auto" w:before="1"/>
              <w:ind w:left="689" w:right="131" w:hanging="526"/>
              <w:jc w:val="left"/>
              <w:rPr>
                <w:sz w:val="21"/>
              </w:rPr>
            </w:pPr>
            <w:r>
              <w:rPr>
                <w:sz w:val="21"/>
              </w:rPr>
              <w:t>项目已按有关规定设计配套安全、消防设施</w:t>
            </w:r>
          </w:p>
        </w:tc>
        <w:tc>
          <w:tcPr>
            <w:tcW w:w="902" w:type="dxa"/>
            <w:tcBorders>
              <w:top w:val="single" w:sz="6" w:space="0" w:color="000000"/>
              <w:left w:val="single" w:sz="6" w:space="0" w:color="000000"/>
              <w:bottom w:val="single" w:sz="6" w:space="0" w:color="000000"/>
            </w:tcBorders>
          </w:tcPr>
          <w:p>
            <w:pPr>
              <w:pStyle w:val="TableParagraph"/>
              <w:spacing w:before="8"/>
              <w:jc w:val="left"/>
              <w:rPr>
                <w:sz w:val="18"/>
              </w:rPr>
            </w:pPr>
          </w:p>
          <w:p>
            <w:pPr>
              <w:pStyle w:val="TableParagraph"/>
              <w:ind w:left="123" w:right="86"/>
              <w:rPr>
                <w:sz w:val="21"/>
              </w:rPr>
            </w:pPr>
            <w:r>
              <w:rPr>
                <w:sz w:val="21"/>
              </w:rPr>
              <w:t>符合</w:t>
            </w:r>
          </w:p>
        </w:tc>
      </w:tr>
      <w:tr>
        <w:trPr>
          <w:trHeight w:val="937" w:hRule="atLeast"/>
        </w:trPr>
        <w:tc>
          <w:tcPr>
            <w:tcW w:w="487" w:type="dxa"/>
            <w:tcBorders>
              <w:top w:val="single" w:sz="6" w:space="0" w:color="000000"/>
              <w:bottom w:val="single" w:sz="6" w:space="0" w:color="000000"/>
              <w:right w:val="single" w:sz="6" w:space="0" w:color="000000"/>
            </w:tcBorders>
          </w:tcPr>
          <w:p>
            <w:pPr>
              <w:pStyle w:val="TableParagraph"/>
              <w:spacing w:before="9"/>
              <w:jc w:val="left"/>
              <w:rPr>
                <w:sz w:val="16"/>
              </w:rPr>
            </w:pPr>
          </w:p>
          <w:p>
            <w:pPr>
              <w:pStyle w:val="TableParagraph"/>
              <w:ind w:right="167"/>
              <w:jc w:val="right"/>
              <w:rPr>
                <w:rFonts w:ascii="Times New Roman"/>
                <w:sz w:val="21"/>
              </w:rPr>
            </w:pPr>
            <w:r>
              <w:rPr>
                <w:rFonts w:ascii="Times New Roman"/>
                <w:w w:val="100"/>
                <w:sz w:val="21"/>
              </w:rPr>
              <w:t>3</w:t>
            </w:r>
          </w:p>
        </w:tc>
        <w:tc>
          <w:tcPr>
            <w:tcW w:w="4299"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15" w:right="85"/>
              <w:jc w:val="left"/>
              <w:rPr>
                <w:sz w:val="21"/>
              </w:rPr>
            </w:pPr>
            <w:r>
              <w:rPr>
                <w:sz w:val="21"/>
              </w:rPr>
              <w:t>新建、扩建项目原则上进入省政府公布的化工园区、专业化工园区或化工重点监控点建</w:t>
            </w:r>
          </w:p>
          <w:p>
            <w:pPr>
              <w:pStyle w:val="TableParagraph"/>
              <w:spacing w:line="277" w:lineRule="exact"/>
              <w:ind w:left="115"/>
              <w:jc w:val="left"/>
              <w:rPr>
                <w:sz w:val="21"/>
              </w:rPr>
            </w:pPr>
            <w:r>
              <w:rPr>
                <w:w w:val="100"/>
                <w:sz w:val="21"/>
              </w:rPr>
              <w:t>设</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16" w:right="85"/>
              <w:rPr>
                <w:sz w:val="21"/>
              </w:rPr>
            </w:pPr>
            <w:r>
              <w:rPr>
                <w:sz w:val="21"/>
              </w:rPr>
              <w:t>项目位于莒南县化工园区</w:t>
            </w:r>
          </w:p>
          <w:p>
            <w:pPr>
              <w:pStyle w:val="TableParagraph"/>
              <w:spacing w:line="312" w:lineRule="exact"/>
              <w:ind w:left="115" w:right="-29"/>
              <w:rPr>
                <w:sz w:val="21"/>
              </w:rPr>
            </w:pPr>
            <w:r>
              <w:rPr>
                <w:spacing w:val="-3"/>
                <w:sz w:val="21"/>
              </w:rPr>
              <w:t>内；该园区已完成园区认定，</w:t>
            </w:r>
          </w:p>
          <w:p>
            <w:pPr>
              <w:pStyle w:val="TableParagraph"/>
              <w:spacing w:line="303" w:lineRule="exact"/>
              <w:ind w:left="116" w:right="87"/>
              <w:rPr>
                <w:sz w:val="21"/>
              </w:rPr>
            </w:pPr>
            <w:r>
              <w:rPr>
                <w:sz w:val="21"/>
              </w:rPr>
              <w:t>属山东省第三批化工园区。</w:t>
            </w:r>
          </w:p>
        </w:tc>
        <w:tc>
          <w:tcPr>
            <w:tcW w:w="902" w:type="dxa"/>
            <w:tcBorders>
              <w:top w:val="single" w:sz="6" w:space="0" w:color="000000"/>
              <w:left w:val="single" w:sz="6" w:space="0" w:color="000000"/>
              <w:bottom w:val="single" w:sz="6" w:space="0" w:color="000000"/>
            </w:tcBorders>
          </w:tcPr>
          <w:p>
            <w:pPr>
              <w:pStyle w:val="TableParagraph"/>
              <w:spacing w:before="2"/>
              <w:jc w:val="left"/>
              <w:rPr>
                <w:sz w:val="11"/>
              </w:rPr>
            </w:pPr>
          </w:p>
          <w:p>
            <w:pPr>
              <w:pStyle w:val="TableParagraph"/>
              <w:spacing w:before="1"/>
              <w:ind w:left="123" w:right="86"/>
              <w:rPr>
                <w:sz w:val="21"/>
              </w:rPr>
            </w:pPr>
            <w:r>
              <w:rPr>
                <w:sz w:val="21"/>
              </w:rPr>
              <w:t>符合</w:t>
            </w:r>
          </w:p>
        </w:tc>
      </w:tr>
      <w:tr>
        <w:trPr>
          <w:trHeight w:val="933" w:hRule="atLeast"/>
        </w:trPr>
        <w:tc>
          <w:tcPr>
            <w:tcW w:w="487" w:type="dxa"/>
            <w:tcBorders>
              <w:top w:val="single" w:sz="6" w:space="0" w:color="000000"/>
              <w:right w:val="single" w:sz="6" w:space="0" w:color="000000"/>
            </w:tcBorders>
          </w:tcPr>
          <w:p>
            <w:pPr>
              <w:pStyle w:val="TableParagraph"/>
              <w:spacing w:before="6"/>
              <w:jc w:val="left"/>
              <w:rPr>
                <w:sz w:val="16"/>
              </w:rPr>
            </w:pPr>
          </w:p>
          <w:p>
            <w:pPr>
              <w:pStyle w:val="TableParagraph"/>
              <w:spacing w:before="1"/>
              <w:ind w:right="167"/>
              <w:jc w:val="right"/>
              <w:rPr>
                <w:rFonts w:ascii="Times New Roman"/>
                <w:sz w:val="21"/>
              </w:rPr>
            </w:pPr>
            <w:r>
              <w:rPr>
                <w:rFonts w:ascii="Times New Roman"/>
                <w:w w:val="100"/>
                <w:sz w:val="21"/>
              </w:rPr>
              <w:t>4</w:t>
            </w:r>
          </w:p>
        </w:tc>
        <w:tc>
          <w:tcPr>
            <w:tcW w:w="4299" w:type="dxa"/>
            <w:tcBorders>
              <w:top w:val="single" w:sz="6" w:space="0" w:color="000000"/>
              <w:left w:val="single" w:sz="6" w:space="0" w:color="000000"/>
              <w:right w:val="single" w:sz="6" w:space="0" w:color="000000"/>
            </w:tcBorders>
          </w:tcPr>
          <w:p>
            <w:pPr>
              <w:pStyle w:val="TableParagraph"/>
              <w:spacing w:line="168" w:lineRule="auto" w:before="171"/>
              <w:ind w:left="115" w:right="85"/>
              <w:jc w:val="left"/>
              <w:rPr>
                <w:sz w:val="21"/>
              </w:rPr>
            </w:pPr>
            <w:r>
              <w:rPr>
                <w:sz w:val="21"/>
              </w:rPr>
              <w:t>所有化工类新建、改建、扩建项目的核准或备案权限，上收至市级投资主管部门</w:t>
            </w:r>
          </w:p>
        </w:tc>
        <w:tc>
          <w:tcPr>
            <w:tcW w:w="2835" w:type="dxa"/>
            <w:tcBorders>
              <w:top w:val="single" w:sz="6" w:space="0" w:color="000000"/>
              <w:left w:val="single" w:sz="6" w:space="0" w:color="000000"/>
              <w:right w:val="single" w:sz="6" w:space="0" w:color="000000"/>
            </w:tcBorders>
          </w:tcPr>
          <w:p>
            <w:pPr>
              <w:pStyle w:val="TableParagraph"/>
              <w:spacing w:line="168" w:lineRule="auto" w:before="15"/>
              <w:ind w:left="163" w:right="131"/>
              <w:jc w:val="left"/>
              <w:rPr>
                <w:sz w:val="21"/>
              </w:rPr>
            </w:pPr>
            <w:r>
              <w:rPr>
                <w:spacing w:val="-3"/>
                <w:sz w:val="21"/>
              </w:rPr>
              <w:t>项目已取得备案文件及环评批复，目前，本项目发生重</w:t>
            </w:r>
          </w:p>
          <w:p>
            <w:pPr>
              <w:pStyle w:val="TableParagraph"/>
              <w:spacing w:line="275" w:lineRule="exact"/>
              <w:ind w:left="163"/>
              <w:jc w:val="left"/>
              <w:rPr>
                <w:sz w:val="21"/>
              </w:rPr>
            </w:pPr>
            <w:r>
              <w:rPr>
                <w:spacing w:val="-3"/>
                <w:sz w:val="21"/>
              </w:rPr>
              <w:t>大变更，须重新报批环评。</w:t>
            </w:r>
          </w:p>
        </w:tc>
        <w:tc>
          <w:tcPr>
            <w:tcW w:w="902" w:type="dxa"/>
            <w:tcBorders>
              <w:top w:val="single" w:sz="6" w:space="0" w:color="000000"/>
              <w:left w:val="single" w:sz="6" w:space="0" w:color="000000"/>
            </w:tcBorders>
          </w:tcPr>
          <w:p>
            <w:pPr>
              <w:pStyle w:val="TableParagraph"/>
              <w:jc w:val="left"/>
              <w:rPr>
                <w:sz w:val="11"/>
              </w:rPr>
            </w:pPr>
          </w:p>
          <w:p>
            <w:pPr>
              <w:pStyle w:val="TableParagraph"/>
              <w:ind w:left="123" w:right="86"/>
              <w:rPr>
                <w:sz w:val="21"/>
              </w:rPr>
            </w:pPr>
            <w:r>
              <w:rPr>
                <w:sz w:val="21"/>
              </w:rPr>
              <w:t>符合</w:t>
            </w:r>
          </w:p>
        </w:tc>
      </w:tr>
    </w:tbl>
    <w:p>
      <w:pPr>
        <w:spacing w:after="0"/>
        <w:rPr>
          <w:sz w:val="21"/>
        </w:rPr>
        <w:sectPr>
          <w:pgSz w:w="11910" w:h="16840"/>
          <w:pgMar w:header="877" w:footer="973" w:top="1420" w:bottom="1160" w:left="1560" w:right="1560"/>
        </w:sect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7"/>
        <w:gridCol w:w="4299"/>
        <w:gridCol w:w="2835"/>
        <w:gridCol w:w="902"/>
      </w:tblGrid>
      <w:tr>
        <w:trPr>
          <w:trHeight w:val="620" w:hRule="atLeast"/>
        </w:trPr>
        <w:tc>
          <w:tcPr>
            <w:tcW w:w="487" w:type="dxa"/>
            <w:tcBorders>
              <w:bottom w:val="nil"/>
              <w:right w:val="single" w:sz="6" w:space="0" w:color="000000"/>
            </w:tcBorders>
          </w:tcPr>
          <w:p>
            <w:pPr>
              <w:pStyle w:val="TableParagraph"/>
              <w:jc w:val="left"/>
              <w:rPr>
                <w:rFonts w:ascii="Times New Roman"/>
                <w:sz w:val="20"/>
              </w:rPr>
            </w:pPr>
          </w:p>
        </w:tc>
        <w:tc>
          <w:tcPr>
            <w:tcW w:w="4299" w:type="dxa"/>
            <w:tcBorders>
              <w:left w:val="single" w:sz="6" w:space="0" w:color="000000"/>
              <w:bottom w:val="nil"/>
              <w:right w:val="single" w:sz="6" w:space="0" w:color="000000"/>
            </w:tcBorders>
          </w:tcPr>
          <w:p>
            <w:pPr>
              <w:pStyle w:val="TableParagraph"/>
              <w:spacing w:line="302" w:lineRule="exact"/>
              <w:ind w:left="115"/>
              <w:jc w:val="left"/>
              <w:rPr>
                <w:sz w:val="21"/>
              </w:rPr>
            </w:pPr>
            <w:r>
              <w:rPr>
                <w:sz w:val="21"/>
              </w:rPr>
              <w:t>除产品填补国内空白或工艺技术达到国内领</w:t>
            </w:r>
          </w:p>
          <w:p>
            <w:pPr>
              <w:pStyle w:val="TableParagraph"/>
              <w:spacing w:line="299" w:lineRule="exact"/>
              <w:ind w:left="115"/>
              <w:jc w:val="left"/>
              <w:rPr>
                <w:sz w:val="21"/>
              </w:rPr>
            </w:pPr>
            <w:r>
              <w:rPr>
                <w:sz w:val="21"/>
              </w:rPr>
              <w:t>先水平的创新成果转化项目和搬迁入园项目</w:t>
            </w:r>
          </w:p>
        </w:tc>
        <w:tc>
          <w:tcPr>
            <w:tcW w:w="2835" w:type="dxa"/>
            <w:tcBorders>
              <w:left w:val="single" w:sz="6" w:space="0" w:color="000000"/>
              <w:bottom w:val="nil"/>
              <w:right w:val="single" w:sz="6" w:space="0" w:color="000000"/>
            </w:tcBorders>
          </w:tcPr>
          <w:p>
            <w:pPr>
              <w:pStyle w:val="TableParagraph"/>
              <w:jc w:val="left"/>
              <w:rPr>
                <w:sz w:val="11"/>
              </w:rPr>
            </w:pPr>
          </w:p>
          <w:p>
            <w:pPr>
              <w:pStyle w:val="TableParagraph"/>
              <w:spacing w:line="366" w:lineRule="exact"/>
              <w:ind w:left="163"/>
              <w:jc w:val="left"/>
              <w:rPr>
                <w:sz w:val="21"/>
              </w:rPr>
            </w:pPr>
            <w:r>
              <w:rPr>
                <w:sz w:val="21"/>
              </w:rPr>
              <w:t>项目已取得备案文件及环评</w:t>
            </w:r>
          </w:p>
        </w:tc>
        <w:tc>
          <w:tcPr>
            <w:tcW w:w="902" w:type="dxa"/>
            <w:tcBorders>
              <w:left w:val="single" w:sz="6" w:space="0" w:color="000000"/>
              <w:bottom w:val="nil"/>
            </w:tcBorders>
          </w:tcPr>
          <w:p>
            <w:pPr>
              <w:pStyle w:val="TableParagraph"/>
              <w:jc w:val="left"/>
              <w:rPr>
                <w:rFonts w:ascii="Times New Roman"/>
                <w:sz w:val="20"/>
              </w:rPr>
            </w:pPr>
          </w:p>
        </w:tc>
      </w:tr>
      <w:tr>
        <w:trPr>
          <w:trHeight w:val="939" w:hRule="atLeast"/>
        </w:trPr>
        <w:tc>
          <w:tcPr>
            <w:tcW w:w="487" w:type="dxa"/>
            <w:tcBorders>
              <w:top w:val="nil"/>
              <w:bottom w:val="single" w:sz="6" w:space="0" w:color="000000"/>
              <w:right w:val="single" w:sz="6" w:space="0" w:color="000000"/>
            </w:tcBorders>
          </w:tcPr>
          <w:p>
            <w:pPr>
              <w:pStyle w:val="TableParagraph"/>
              <w:spacing w:before="38"/>
              <w:ind w:right="167"/>
              <w:jc w:val="right"/>
              <w:rPr>
                <w:rFonts w:ascii="Times New Roman"/>
                <w:sz w:val="21"/>
              </w:rPr>
            </w:pPr>
            <w:r>
              <w:rPr>
                <w:rFonts w:ascii="Times New Roman"/>
                <w:w w:val="100"/>
                <w:sz w:val="21"/>
              </w:rPr>
              <w:t>5</w:t>
            </w:r>
          </w:p>
        </w:tc>
        <w:tc>
          <w:tcPr>
            <w:tcW w:w="4299" w:type="dxa"/>
            <w:tcBorders>
              <w:top w:val="nil"/>
              <w:left w:val="single" w:sz="6" w:space="0" w:color="000000"/>
              <w:bottom w:val="single" w:sz="6" w:space="0" w:color="000000"/>
              <w:right w:val="single" w:sz="6" w:space="0" w:color="000000"/>
            </w:tcBorders>
          </w:tcPr>
          <w:p>
            <w:pPr>
              <w:pStyle w:val="TableParagraph"/>
              <w:spacing w:line="168" w:lineRule="auto" w:before="19"/>
              <w:ind w:left="115" w:right="22"/>
              <w:jc w:val="left"/>
              <w:rPr>
                <w:sz w:val="21"/>
              </w:rPr>
            </w:pPr>
            <w:r>
              <w:rPr>
                <w:sz w:val="21"/>
              </w:rPr>
              <w:t>外，各地原则上不再核准或备案固定资产投资额低于 </w:t>
            </w:r>
            <w:r>
              <w:rPr>
                <w:rFonts w:ascii="Times New Roman" w:eastAsia="Times New Roman"/>
                <w:sz w:val="21"/>
              </w:rPr>
              <w:t>3 </w:t>
            </w:r>
            <w:r>
              <w:rPr>
                <w:sz w:val="21"/>
              </w:rPr>
              <w:t>亿元</w:t>
            </w:r>
            <w:r>
              <w:rPr>
                <w:rFonts w:ascii="Times New Roman" w:eastAsia="Times New Roman"/>
                <w:sz w:val="21"/>
              </w:rPr>
              <w:t>(</w:t>
            </w:r>
            <w:r>
              <w:rPr>
                <w:sz w:val="21"/>
              </w:rPr>
              <w:t>不含土地费用</w:t>
            </w:r>
            <w:r>
              <w:rPr>
                <w:rFonts w:ascii="Times New Roman" w:eastAsia="Times New Roman"/>
                <w:sz w:val="21"/>
              </w:rPr>
              <w:t>)</w:t>
            </w:r>
            <w:r>
              <w:rPr>
                <w:sz w:val="21"/>
              </w:rPr>
              <w:t>的新建、扩建</w:t>
            </w:r>
          </w:p>
          <w:p>
            <w:pPr>
              <w:pStyle w:val="TableParagraph"/>
              <w:spacing w:line="277" w:lineRule="exact"/>
              <w:ind w:left="115"/>
              <w:jc w:val="left"/>
              <w:rPr>
                <w:sz w:val="21"/>
              </w:rPr>
            </w:pPr>
            <w:r>
              <w:rPr>
                <w:sz w:val="21"/>
              </w:rPr>
              <w:t>危化品项目</w:t>
            </w:r>
          </w:p>
        </w:tc>
        <w:tc>
          <w:tcPr>
            <w:tcW w:w="2835" w:type="dxa"/>
            <w:tcBorders>
              <w:top w:val="nil"/>
              <w:left w:val="single" w:sz="6" w:space="0" w:color="000000"/>
              <w:bottom w:val="single" w:sz="6" w:space="0" w:color="000000"/>
              <w:right w:val="single" w:sz="6" w:space="0" w:color="000000"/>
            </w:tcBorders>
          </w:tcPr>
          <w:p>
            <w:pPr>
              <w:pStyle w:val="TableParagraph"/>
              <w:spacing w:line="168" w:lineRule="auto" w:before="19"/>
              <w:ind w:left="163" w:right="131"/>
              <w:jc w:val="left"/>
              <w:rPr>
                <w:sz w:val="21"/>
              </w:rPr>
            </w:pPr>
            <w:r>
              <w:rPr>
                <w:sz w:val="21"/>
              </w:rPr>
              <w:t>批复，目前，本项目发生重大变更，须重新报批环评。</w:t>
            </w:r>
          </w:p>
        </w:tc>
        <w:tc>
          <w:tcPr>
            <w:tcW w:w="902" w:type="dxa"/>
            <w:tcBorders>
              <w:top w:val="nil"/>
              <w:left w:val="single" w:sz="6" w:space="0" w:color="000000"/>
              <w:bottom w:val="single" w:sz="6" w:space="0" w:color="000000"/>
            </w:tcBorders>
          </w:tcPr>
          <w:p>
            <w:pPr>
              <w:pStyle w:val="TableParagraph"/>
              <w:spacing w:line="371" w:lineRule="exact"/>
              <w:ind w:left="123" w:right="86"/>
              <w:rPr>
                <w:sz w:val="21"/>
              </w:rPr>
            </w:pPr>
            <w:r>
              <w:rPr>
                <w:sz w:val="21"/>
              </w:rPr>
              <w:t>符合</w:t>
            </w:r>
          </w:p>
        </w:tc>
      </w:tr>
      <w:tr>
        <w:trPr>
          <w:trHeight w:val="939" w:hRule="atLeast"/>
        </w:trPr>
        <w:tc>
          <w:tcPr>
            <w:tcW w:w="487" w:type="dxa"/>
            <w:tcBorders>
              <w:top w:val="single" w:sz="6" w:space="0" w:color="000000"/>
              <w:bottom w:val="nil"/>
              <w:right w:val="single" w:sz="6" w:space="0" w:color="000000"/>
            </w:tcBorders>
          </w:tcPr>
          <w:p>
            <w:pPr>
              <w:pStyle w:val="TableParagraph"/>
              <w:jc w:val="left"/>
              <w:rPr>
                <w:rFonts w:ascii="Times New Roman"/>
                <w:sz w:val="20"/>
              </w:rPr>
            </w:pPr>
          </w:p>
        </w:tc>
        <w:tc>
          <w:tcPr>
            <w:tcW w:w="4299" w:type="dxa"/>
            <w:tcBorders>
              <w:top w:val="single" w:sz="6" w:space="0" w:color="000000"/>
              <w:left w:val="single" w:sz="6" w:space="0" w:color="000000"/>
              <w:bottom w:val="nil"/>
              <w:right w:val="single" w:sz="6" w:space="0" w:color="000000"/>
            </w:tcBorders>
          </w:tcPr>
          <w:p>
            <w:pPr>
              <w:pStyle w:val="TableParagraph"/>
              <w:spacing w:line="168" w:lineRule="auto" w:before="17"/>
              <w:ind w:left="115" w:right="81"/>
              <w:jc w:val="left"/>
              <w:rPr>
                <w:sz w:val="21"/>
              </w:rPr>
            </w:pPr>
            <w:r>
              <w:rPr>
                <w:sz w:val="21"/>
              </w:rPr>
              <w:t>除列入国家石油和化工产业规划布局方案、</w:t>
            </w:r>
            <w:r>
              <w:rPr>
                <w:spacing w:val="-1"/>
                <w:sz w:val="21"/>
              </w:rPr>
              <w:t>国家</w:t>
            </w:r>
            <w:r>
              <w:rPr>
                <w:rFonts w:ascii="Times New Roman" w:hAnsi="Times New Roman" w:eastAsia="Times New Roman"/>
                <w:spacing w:val="-3"/>
                <w:sz w:val="21"/>
              </w:rPr>
              <w:t>“</w:t>
            </w:r>
            <w:r>
              <w:rPr>
                <w:spacing w:val="-2"/>
                <w:sz w:val="21"/>
              </w:rPr>
              <w:t>十三五</w:t>
            </w:r>
            <w:r>
              <w:rPr>
                <w:rFonts w:ascii="Times New Roman" w:hAnsi="Times New Roman" w:eastAsia="Times New Roman"/>
                <w:sz w:val="21"/>
              </w:rPr>
              <w:t>”</w:t>
            </w:r>
            <w:r>
              <w:rPr>
                <w:spacing w:val="-11"/>
                <w:sz w:val="21"/>
              </w:rPr>
              <w:t>石油和化工行业发展规划、省新</w:t>
            </w:r>
          </w:p>
          <w:p>
            <w:pPr>
              <w:pStyle w:val="TableParagraph"/>
              <w:spacing w:line="278" w:lineRule="exact"/>
              <w:ind w:left="115"/>
              <w:jc w:val="left"/>
              <w:rPr>
                <w:sz w:val="21"/>
              </w:rPr>
            </w:pPr>
            <w:r>
              <w:rPr>
                <w:sz w:val="21"/>
              </w:rPr>
              <w:t>旧动能转换重大工程项目、省高端石化产业</w:t>
            </w:r>
          </w:p>
        </w:tc>
        <w:tc>
          <w:tcPr>
            <w:tcW w:w="2835"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tc>
        <w:tc>
          <w:tcPr>
            <w:tcW w:w="902" w:type="dxa"/>
            <w:tcBorders>
              <w:top w:val="single" w:sz="6" w:space="0" w:color="000000"/>
              <w:left w:val="single" w:sz="6" w:space="0" w:color="000000"/>
              <w:bottom w:val="nil"/>
            </w:tcBorders>
          </w:tcPr>
          <w:p>
            <w:pPr>
              <w:pStyle w:val="TableParagraph"/>
              <w:jc w:val="left"/>
              <w:rPr>
                <w:rFonts w:ascii="Times New Roman"/>
                <w:sz w:val="20"/>
              </w:rPr>
            </w:pPr>
          </w:p>
        </w:tc>
      </w:tr>
      <w:tr>
        <w:trPr>
          <w:trHeight w:val="1248" w:hRule="atLeast"/>
        </w:trPr>
        <w:tc>
          <w:tcPr>
            <w:tcW w:w="487" w:type="dxa"/>
            <w:tcBorders>
              <w:top w:val="nil"/>
              <w:bottom w:val="nil"/>
              <w:right w:val="single" w:sz="6" w:space="0" w:color="000000"/>
            </w:tcBorders>
          </w:tcPr>
          <w:p>
            <w:pPr>
              <w:pStyle w:val="TableParagraph"/>
              <w:spacing w:before="6"/>
              <w:jc w:val="left"/>
              <w:rPr>
                <w:sz w:val="16"/>
              </w:rPr>
            </w:pPr>
          </w:p>
          <w:p>
            <w:pPr>
              <w:pStyle w:val="TableParagraph"/>
              <w:ind w:right="167"/>
              <w:jc w:val="right"/>
              <w:rPr>
                <w:rFonts w:ascii="Times New Roman"/>
                <w:sz w:val="21"/>
              </w:rPr>
            </w:pPr>
            <w:r>
              <w:rPr>
                <w:rFonts w:ascii="Times New Roman"/>
                <w:w w:val="100"/>
                <w:sz w:val="21"/>
              </w:rPr>
              <w:t>6</w:t>
            </w:r>
          </w:p>
        </w:tc>
        <w:tc>
          <w:tcPr>
            <w:tcW w:w="4299" w:type="dxa"/>
            <w:tcBorders>
              <w:top w:val="nil"/>
              <w:left w:val="single" w:sz="6" w:space="0" w:color="000000"/>
              <w:bottom w:val="nil"/>
              <w:right w:val="single" w:sz="6" w:space="0" w:color="000000"/>
            </w:tcBorders>
          </w:tcPr>
          <w:p>
            <w:pPr>
              <w:pStyle w:val="TableParagraph"/>
              <w:spacing w:line="168" w:lineRule="auto" w:before="14"/>
              <w:ind w:left="115" w:right="81"/>
              <w:jc w:val="both"/>
              <w:rPr>
                <w:sz w:val="21"/>
              </w:rPr>
            </w:pPr>
            <w:r>
              <w:rPr>
                <w:sz w:val="21"/>
              </w:rPr>
              <w:t>发展规划、省高端化工产业发展规划等省重点项目，以及大型冶金项目现场制气、冶炼</w:t>
            </w:r>
            <w:r>
              <w:rPr>
                <w:spacing w:val="-2"/>
                <w:sz w:val="21"/>
              </w:rPr>
              <w:t>尾气制硫酸</w:t>
            </w:r>
            <w:r>
              <w:rPr>
                <w:rFonts w:ascii="Times New Roman" w:eastAsia="Times New Roman"/>
                <w:spacing w:val="-4"/>
                <w:sz w:val="21"/>
              </w:rPr>
              <w:t>(</w:t>
            </w:r>
            <w:r>
              <w:rPr>
                <w:sz w:val="21"/>
              </w:rPr>
              <w:t>硫磺</w:t>
            </w:r>
            <w:r>
              <w:rPr>
                <w:rFonts w:ascii="Times New Roman" w:eastAsia="Times New Roman"/>
                <w:spacing w:val="-4"/>
                <w:sz w:val="21"/>
              </w:rPr>
              <w:t>)</w:t>
            </w:r>
            <w:r>
              <w:rPr>
                <w:spacing w:val="-9"/>
                <w:sz w:val="21"/>
              </w:rPr>
              <w:t>、废弃物生产有机肥、溴素</w:t>
            </w:r>
          </w:p>
          <w:p>
            <w:pPr>
              <w:pStyle w:val="TableParagraph"/>
              <w:spacing w:line="279" w:lineRule="exact"/>
              <w:ind w:left="115"/>
              <w:jc w:val="both"/>
              <w:rPr>
                <w:sz w:val="21"/>
              </w:rPr>
            </w:pPr>
            <w:r>
              <w:rPr>
                <w:sz w:val="21"/>
              </w:rPr>
              <w:t>等不适合入园项目外，严格控制在省政府公</w:t>
            </w:r>
          </w:p>
        </w:tc>
        <w:tc>
          <w:tcPr>
            <w:tcW w:w="2835" w:type="dxa"/>
            <w:tcBorders>
              <w:top w:val="nil"/>
              <w:left w:val="single" w:sz="6" w:space="0" w:color="000000"/>
              <w:bottom w:val="nil"/>
              <w:right w:val="single" w:sz="6" w:space="0" w:color="000000"/>
            </w:tcBorders>
          </w:tcPr>
          <w:p>
            <w:pPr>
              <w:pStyle w:val="TableParagraph"/>
              <w:spacing w:line="168" w:lineRule="auto" w:before="170"/>
              <w:ind w:left="794" w:right="131" w:hanging="632"/>
              <w:jc w:val="left"/>
              <w:rPr>
                <w:sz w:val="21"/>
              </w:rPr>
            </w:pPr>
            <w:r>
              <w:rPr>
                <w:sz w:val="21"/>
              </w:rPr>
              <w:t>项目位于莒南县化工园区， 属于化工园区</w:t>
            </w:r>
          </w:p>
        </w:tc>
        <w:tc>
          <w:tcPr>
            <w:tcW w:w="902" w:type="dxa"/>
            <w:tcBorders>
              <w:top w:val="nil"/>
              <w:left w:val="single" w:sz="6" w:space="0" w:color="000000"/>
              <w:bottom w:val="nil"/>
            </w:tcBorders>
          </w:tcPr>
          <w:p>
            <w:pPr>
              <w:pStyle w:val="TableParagraph"/>
              <w:spacing w:before="21"/>
              <w:jc w:val="left"/>
              <w:rPr>
                <w:sz w:val="10"/>
              </w:rPr>
            </w:pPr>
          </w:p>
          <w:p>
            <w:pPr>
              <w:pStyle w:val="TableParagraph"/>
              <w:ind w:left="123" w:right="86"/>
              <w:rPr>
                <w:sz w:val="21"/>
              </w:rPr>
            </w:pPr>
            <w:r>
              <w:rPr>
                <w:sz w:val="21"/>
              </w:rPr>
              <w:t>符合</w:t>
            </w:r>
          </w:p>
        </w:tc>
      </w:tr>
      <w:tr>
        <w:trPr>
          <w:trHeight w:val="312" w:hRule="atLeast"/>
        </w:trPr>
        <w:tc>
          <w:tcPr>
            <w:tcW w:w="487" w:type="dxa"/>
            <w:tcBorders>
              <w:top w:val="nil"/>
              <w:bottom w:val="nil"/>
              <w:right w:val="single" w:sz="6" w:space="0" w:color="000000"/>
            </w:tcBorders>
          </w:tcPr>
          <w:p>
            <w:pPr>
              <w:pStyle w:val="TableParagraph"/>
              <w:jc w:val="left"/>
              <w:rPr>
                <w:rFonts w:ascii="Times New Roman"/>
                <w:sz w:val="20"/>
              </w:rPr>
            </w:pPr>
          </w:p>
        </w:tc>
        <w:tc>
          <w:tcPr>
            <w:tcW w:w="4299" w:type="dxa"/>
            <w:tcBorders>
              <w:top w:val="nil"/>
              <w:left w:val="single" w:sz="6" w:space="0" w:color="000000"/>
              <w:bottom w:val="nil"/>
              <w:right w:val="single" w:sz="6" w:space="0" w:color="000000"/>
            </w:tcBorders>
          </w:tcPr>
          <w:p>
            <w:pPr>
              <w:pStyle w:val="TableParagraph"/>
              <w:spacing w:line="292" w:lineRule="exact"/>
              <w:ind w:left="115"/>
              <w:jc w:val="left"/>
              <w:rPr>
                <w:sz w:val="21"/>
              </w:rPr>
            </w:pPr>
            <w:r>
              <w:rPr>
                <w:sz w:val="21"/>
              </w:rPr>
              <w:t>布的化工园区、专业化工园区和重点监控点</w:t>
            </w:r>
          </w:p>
        </w:tc>
        <w:tc>
          <w:tcPr>
            <w:tcW w:w="2835" w:type="dxa"/>
            <w:tcBorders>
              <w:top w:val="nil"/>
              <w:left w:val="single" w:sz="6" w:space="0" w:color="000000"/>
              <w:bottom w:val="nil"/>
              <w:right w:val="single" w:sz="6" w:space="0" w:color="000000"/>
            </w:tcBorders>
          </w:tcPr>
          <w:p>
            <w:pPr>
              <w:pStyle w:val="TableParagraph"/>
              <w:jc w:val="left"/>
              <w:rPr>
                <w:rFonts w:ascii="Times New Roman"/>
                <w:sz w:val="20"/>
              </w:rPr>
            </w:pPr>
          </w:p>
        </w:tc>
        <w:tc>
          <w:tcPr>
            <w:tcW w:w="902" w:type="dxa"/>
            <w:tcBorders>
              <w:top w:val="nil"/>
              <w:left w:val="single" w:sz="6" w:space="0" w:color="000000"/>
              <w:bottom w:val="nil"/>
            </w:tcBorders>
          </w:tcPr>
          <w:p>
            <w:pPr>
              <w:pStyle w:val="TableParagraph"/>
              <w:jc w:val="left"/>
              <w:rPr>
                <w:rFonts w:ascii="Times New Roman"/>
                <w:sz w:val="20"/>
              </w:rPr>
            </w:pPr>
          </w:p>
        </w:tc>
      </w:tr>
      <w:tr>
        <w:trPr>
          <w:trHeight w:val="310" w:hRule="atLeast"/>
        </w:trPr>
        <w:tc>
          <w:tcPr>
            <w:tcW w:w="487" w:type="dxa"/>
            <w:tcBorders>
              <w:top w:val="nil"/>
              <w:bottom w:val="single" w:sz="6" w:space="0" w:color="000000"/>
              <w:right w:val="single" w:sz="6" w:space="0" w:color="000000"/>
            </w:tcBorders>
          </w:tcPr>
          <w:p>
            <w:pPr>
              <w:pStyle w:val="TableParagraph"/>
              <w:jc w:val="left"/>
              <w:rPr>
                <w:rFonts w:ascii="Times New Roman"/>
                <w:sz w:val="20"/>
              </w:rPr>
            </w:pPr>
          </w:p>
        </w:tc>
        <w:tc>
          <w:tcPr>
            <w:tcW w:w="4299" w:type="dxa"/>
            <w:tcBorders>
              <w:top w:val="nil"/>
              <w:left w:val="single" w:sz="6" w:space="0" w:color="000000"/>
              <w:bottom w:val="single" w:sz="6" w:space="0" w:color="000000"/>
              <w:right w:val="single" w:sz="6" w:space="0" w:color="000000"/>
            </w:tcBorders>
          </w:tcPr>
          <w:p>
            <w:pPr>
              <w:pStyle w:val="TableParagraph"/>
              <w:spacing w:line="291" w:lineRule="exact"/>
              <w:ind w:left="115"/>
              <w:jc w:val="left"/>
              <w:rPr>
                <w:sz w:val="21"/>
              </w:rPr>
            </w:pPr>
            <w:r>
              <w:rPr>
                <w:sz w:val="21"/>
              </w:rPr>
              <w:t>之外实施新建、扩建化工项目</w:t>
            </w:r>
          </w:p>
        </w:tc>
        <w:tc>
          <w:tcPr>
            <w:tcW w:w="2835" w:type="dxa"/>
            <w:tcBorders>
              <w:top w:val="nil"/>
              <w:left w:val="single" w:sz="6" w:space="0" w:color="000000"/>
              <w:bottom w:val="single" w:sz="6" w:space="0" w:color="000000"/>
              <w:right w:val="single" w:sz="6" w:space="0" w:color="000000"/>
            </w:tcBorders>
          </w:tcPr>
          <w:p>
            <w:pPr>
              <w:pStyle w:val="TableParagraph"/>
              <w:jc w:val="left"/>
              <w:rPr>
                <w:rFonts w:ascii="Times New Roman"/>
                <w:sz w:val="20"/>
              </w:rPr>
            </w:pPr>
          </w:p>
        </w:tc>
        <w:tc>
          <w:tcPr>
            <w:tcW w:w="902" w:type="dxa"/>
            <w:tcBorders>
              <w:top w:val="nil"/>
              <w:left w:val="single" w:sz="6" w:space="0" w:color="000000"/>
              <w:bottom w:val="single" w:sz="6" w:space="0" w:color="000000"/>
            </w:tcBorders>
          </w:tcPr>
          <w:p>
            <w:pPr>
              <w:pStyle w:val="TableParagraph"/>
              <w:jc w:val="left"/>
              <w:rPr>
                <w:rFonts w:ascii="Times New Roman"/>
                <w:sz w:val="20"/>
              </w:rPr>
            </w:pPr>
          </w:p>
        </w:tc>
      </w:tr>
      <w:tr>
        <w:trPr>
          <w:trHeight w:val="1248" w:hRule="atLeast"/>
        </w:trPr>
        <w:tc>
          <w:tcPr>
            <w:tcW w:w="487" w:type="dxa"/>
            <w:tcBorders>
              <w:top w:val="single" w:sz="6" w:space="0" w:color="000000"/>
              <w:bottom w:val="nil"/>
              <w:right w:val="single" w:sz="6" w:space="0" w:color="000000"/>
            </w:tcBorders>
          </w:tcPr>
          <w:p>
            <w:pPr>
              <w:pStyle w:val="TableParagraph"/>
              <w:jc w:val="left"/>
              <w:rPr>
                <w:sz w:val="31"/>
              </w:rPr>
            </w:pPr>
          </w:p>
          <w:p>
            <w:pPr>
              <w:pStyle w:val="TableParagraph"/>
              <w:spacing w:before="1"/>
              <w:ind w:right="167"/>
              <w:jc w:val="right"/>
              <w:rPr>
                <w:rFonts w:ascii="Times New Roman"/>
                <w:sz w:val="21"/>
              </w:rPr>
            </w:pPr>
            <w:r>
              <w:rPr>
                <w:rFonts w:ascii="Times New Roman"/>
                <w:w w:val="100"/>
                <w:sz w:val="21"/>
              </w:rPr>
              <w:t>7</w:t>
            </w:r>
          </w:p>
        </w:tc>
        <w:tc>
          <w:tcPr>
            <w:tcW w:w="4299" w:type="dxa"/>
            <w:tcBorders>
              <w:top w:val="single" w:sz="6" w:space="0" w:color="000000"/>
              <w:left w:val="single" w:sz="6" w:space="0" w:color="000000"/>
              <w:bottom w:val="nil"/>
              <w:right w:val="single" w:sz="6" w:space="0" w:color="000000"/>
            </w:tcBorders>
          </w:tcPr>
          <w:p>
            <w:pPr>
              <w:pStyle w:val="TableParagraph"/>
              <w:spacing w:line="168" w:lineRule="auto" w:before="15"/>
              <w:ind w:left="115" w:right="81"/>
              <w:jc w:val="both"/>
              <w:rPr>
                <w:sz w:val="21"/>
              </w:rPr>
            </w:pPr>
            <w:r>
              <w:rPr>
                <w:sz w:val="21"/>
              </w:rPr>
              <w:t>涉及重点监管的危险化工工艺、重点监管的</w:t>
            </w:r>
            <w:r>
              <w:rPr>
                <w:spacing w:val="-4"/>
                <w:sz w:val="21"/>
              </w:rPr>
              <w:t>危险化学品和重大危险源</w:t>
            </w:r>
            <w:r>
              <w:rPr>
                <w:sz w:val="21"/>
              </w:rPr>
              <w:t>（</w:t>
            </w:r>
            <w:r>
              <w:rPr>
                <w:spacing w:val="-1"/>
                <w:sz w:val="21"/>
              </w:rPr>
              <w:t>以下简称</w:t>
            </w:r>
            <w:r>
              <w:rPr>
                <w:rFonts w:ascii="Times New Roman" w:hAnsi="Times New Roman" w:eastAsia="Times New Roman"/>
                <w:spacing w:val="-3"/>
                <w:sz w:val="21"/>
              </w:rPr>
              <w:t>“</w:t>
            </w:r>
            <w:r>
              <w:rPr>
                <w:spacing w:val="-2"/>
                <w:sz w:val="21"/>
              </w:rPr>
              <w:t>两重点一重大</w:t>
            </w:r>
            <w:r>
              <w:rPr>
                <w:rFonts w:ascii="Times New Roman" w:hAnsi="Times New Roman" w:eastAsia="Times New Roman"/>
                <w:spacing w:val="-1"/>
                <w:sz w:val="21"/>
              </w:rPr>
              <w:t>”</w:t>
            </w:r>
            <w:r>
              <w:rPr>
                <w:spacing w:val="-1"/>
                <w:sz w:val="21"/>
              </w:rPr>
              <w:t>）</w:t>
            </w:r>
            <w:r>
              <w:rPr>
                <w:spacing w:val="-3"/>
                <w:sz w:val="21"/>
              </w:rPr>
              <w:t>的非省重点项目，由省化工专项行</w:t>
            </w:r>
          </w:p>
          <w:p>
            <w:pPr>
              <w:pStyle w:val="TableParagraph"/>
              <w:spacing w:line="279" w:lineRule="exact"/>
              <w:ind w:left="115"/>
              <w:jc w:val="both"/>
              <w:rPr>
                <w:sz w:val="21"/>
              </w:rPr>
            </w:pPr>
            <w:r>
              <w:rPr>
                <w:sz w:val="21"/>
              </w:rPr>
              <w:t>动办牵头，组织省有关部门联合审查后，按</w:t>
            </w:r>
          </w:p>
        </w:tc>
        <w:tc>
          <w:tcPr>
            <w:tcW w:w="2835" w:type="dxa"/>
            <w:tcBorders>
              <w:top w:val="single" w:sz="6" w:space="0" w:color="000000"/>
              <w:left w:val="single" w:sz="6" w:space="0" w:color="000000"/>
              <w:bottom w:val="nil"/>
              <w:right w:val="single" w:sz="6" w:space="0" w:color="000000"/>
            </w:tcBorders>
          </w:tcPr>
          <w:p>
            <w:pPr>
              <w:pStyle w:val="TableParagraph"/>
              <w:spacing w:before="8"/>
              <w:jc w:val="left"/>
              <w:rPr>
                <w:sz w:val="15"/>
              </w:rPr>
            </w:pPr>
          </w:p>
          <w:p>
            <w:pPr>
              <w:pStyle w:val="TableParagraph"/>
              <w:spacing w:line="168" w:lineRule="auto" w:before="1"/>
              <w:ind w:left="163" w:right="131"/>
              <w:jc w:val="left"/>
              <w:rPr>
                <w:sz w:val="21"/>
              </w:rPr>
            </w:pPr>
            <w:r>
              <w:rPr>
                <w:spacing w:val="-3"/>
                <w:sz w:val="21"/>
              </w:rPr>
              <w:t>项目已取得备案文件及环评批复，目前，本项目发生重</w:t>
            </w:r>
          </w:p>
          <w:p>
            <w:pPr>
              <w:pStyle w:val="TableParagraph"/>
              <w:spacing w:line="278" w:lineRule="exact"/>
              <w:ind w:left="163"/>
              <w:jc w:val="left"/>
              <w:rPr>
                <w:sz w:val="21"/>
              </w:rPr>
            </w:pPr>
            <w:r>
              <w:rPr>
                <w:spacing w:val="-3"/>
                <w:sz w:val="21"/>
              </w:rPr>
              <w:t>大变更，须重新报批环评。</w:t>
            </w:r>
          </w:p>
        </w:tc>
        <w:tc>
          <w:tcPr>
            <w:tcW w:w="902" w:type="dxa"/>
            <w:tcBorders>
              <w:top w:val="single" w:sz="6" w:space="0" w:color="000000"/>
              <w:left w:val="single" w:sz="6" w:space="0" w:color="000000"/>
              <w:bottom w:val="nil"/>
            </w:tcBorders>
          </w:tcPr>
          <w:p>
            <w:pPr>
              <w:pStyle w:val="TableParagraph"/>
              <w:spacing w:before="16"/>
              <w:jc w:val="left"/>
              <w:rPr>
                <w:sz w:val="22"/>
              </w:rPr>
            </w:pPr>
          </w:p>
          <w:p>
            <w:pPr>
              <w:pStyle w:val="TableParagraph"/>
              <w:spacing w:line="168" w:lineRule="auto"/>
              <w:ind w:left="247" w:right="207"/>
              <w:jc w:val="left"/>
              <w:rPr>
                <w:sz w:val="21"/>
              </w:rPr>
            </w:pPr>
            <w:r>
              <w:rPr>
                <w:sz w:val="21"/>
              </w:rPr>
              <w:t>基本符合</w:t>
            </w:r>
          </w:p>
        </w:tc>
      </w:tr>
      <w:tr>
        <w:trPr>
          <w:trHeight w:val="308" w:hRule="atLeast"/>
        </w:trPr>
        <w:tc>
          <w:tcPr>
            <w:tcW w:w="487" w:type="dxa"/>
            <w:tcBorders>
              <w:top w:val="nil"/>
              <w:right w:val="single" w:sz="6" w:space="0" w:color="000000"/>
            </w:tcBorders>
          </w:tcPr>
          <w:p>
            <w:pPr>
              <w:pStyle w:val="TableParagraph"/>
              <w:jc w:val="left"/>
              <w:rPr>
                <w:rFonts w:ascii="Times New Roman"/>
                <w:sz w:val="20"/>
              </w:rPr>
            </w:pPr>
          </w:p>
        </w:tc>
        <w:tc>
          <w:tcPr>
            <w:tcW w:w="4299" w:type="dxa"/>
            <w:tcBorders>
              <w:top w:val="nil"/>
              <w:left w:val="single" w:sz="6" w:space="0" w:color="000000"/>
              <w:right w:val="single" w:sz="6" w:space="0" w:color="000000"/>
            </w:tcBorders>
          </w:tcPr>
          <w:p>
            <w:pPr>
              <w:pStyle w:val="TableParagraph"/>
              <w:spacing w:line="288" w:lineRule="exact"/>
              <w:ind w:left="115"/>
              <w:jc w:val="left"/>
              <w:rPr>
                <w:sz w:val="21"/>
              </w:rPr>
            </w:pPr>
            <w:r>
              <w:rPr>
                <w:sz w:val="21"/>
              </w:rPr>
              <w:t>权限由相应核准备案机关办理</w:t>
            </w:r>
          </w:p>
        </w:tc>
        <w:tc>
          <w:tcPr>
            <w:tcW w:w="2835" w:type="dxa"/>
            <w:tcBorders>
              <w:top w:val="nil"/>
              <w:left w:val="single" w:sz="6" w:space="0" w:color="000000"/>
              <w:right w:val="single" w:sz="6" w:space="0" w:color="000000"/>
            </w:tcBorders>
          </w:tcPr>
          <w:p>
            <w:pPr>
              <w:pStyle w:val="TableParagraph"/>
              <w:jc w:val="left"/>
              <w:rPr>
                <w:rFonts w:ascii="Times New Roman"/>
                <w:sz w:val="20"/>
              </w:rPr>
            </w:pPr>
          </w:p>
        </w:tc>
        <w:tc>
          <w:tcPr>
            <w:tcW w:w="902" w:type="dxa"/>
            <w:tcBorders>
              <w:top w:val="nil"/>
              <w:left w:val="single" w:sz="6" w:space="0" w:color="000000"/>
            </w:tcBorders>
          </w:tcPr>
          <w:p>
            <w:pPr>
              <w:pStyle w:val="TableParagraph"/>
              <w:jc w:val="left"/>
              <w:rPr>
                <w:rFonts w:ascii="Times New Roman"/>
                <w:sz w:val="20"/>
              </w:rPr>
            </w:pPr>
          </w:p>
        </w:tc>
      </w:tr>
    </w:tbl>
    <w:p>
      <w:pPr>
        <w:pStyle w:val="BodyText"/>
        <w:spacing w:before="4"/>
        <w:rPr>
          <w:sz w:val="8"/>
        </w:rPr>
      </w:pPr>
    </w:p>
    <w:p>
      <w:pPr>
        <w:pStyle w:val="BodyText"/>
        <w:spacing w:line="220" w:lineRule="auto"/>
        <w:ind w:left="240" w:right="238" w:firstLine="479"/>
      </w:pPr>
      <w:r>
        <w:rPr/>
        <w:t>由表 </w:t>
      </w:r>
      <w:r>
        <w:rPr>
          <w:rFonts w:ascii="Times New Roman" w:eastAsia="Times New Roman"/>
        </w:rPr>
        <w:t>11.1-11 </w:t>
      </w:r>
      <w:r>
        <w:rPr/>
        <w:t>可见，项目基本符合《山东省人民政府办公厅发布的关于印发山东省化工投资项目管理暂行规定的通知》（鲁政办字</w:t>
      </w:r>
      <w:r>
        <w:rPr>
          <w:rFonts w:ascii="Times New Roman" w:eastAsia="Times New Roman"/>
        </w:rPr>
        <w:t>[2017]215 </w:t>
      </w:r>
      <w:r>
        <w:rPr/>
        <w:t>号）的要求。</w:t>
      </w:r>
    </w:p>
    <w:p>
      <w:pPr>
        <w:pStyle w:val="BodyText"/>
        <w:spacing w:line="220" w:lineRule="auto"/>
        <w:ind w:left="240" w:right="229" w:firstLine="479"/>
        <w:jc w:val="right"/>
      </w:pPr>
      <w:r>
        <w:rPr>
          <w:rFonts w:ascii="Times New Roman" w:eastAsia="Times New Roman"/>
        </w:rPr>
        <w:t>10</w:t>
      </w:r>
      <w:r>
        <w:rPr/>
        <w:t>、与《临沂市</w:t>
      </w:r>
      <w:r>
        <w:rPr>
          <w:rFonts w:ascii="Times New Roman" w:eastAsia="Times New Roman"/>
        </w:rPr>
        <w:t>2018-2020</w:t>
      </w:r>
      <w:r>
        <w:rPr/>
        <w:t>年挥发性有机物污染防治工作方案》符合性分析临沂市环境保护局联合市发改委、经信委等</w:t>
      </w:r>
      <w:r>
        <w:rPr>
          <w:rFonts w:ascii="Times New Roman" w:eastAsia="Times New Roman"/>
        </w:rPr>
        <w:t>13</w:t>
      </w:r>
      <w:r>
        <w:rPr/>
        <w:t>个部门联合发布了《临沂市</w:t>
      </w:r>
      <w:r>
        <w:rPr>
          <w:rFonts w:ascii="Times New Roman" w:eastAsia="Times New Roman"/>
        </w:rPr>
        <w:t>2018-2020</w:t>
      </w:r>
      <w:r>
        <w:rPr/>
        <w:t>年挥发性有机物污染防治工作方案》，本项目与其符合性分析见表</w:t>
      </w:r>
    </w:p>
    <w:p>
      <w:pPr>
        <w:pStyle w:val="BodyText"/>
        <w:spacing w:line="477" w:lineRule="exact"/>
        <w:ind w:left="240"/>
      </w:pPr>
      <w:r>
        <w:rPr>
          <w:rFonts w:ascii="Times New Roman" w:eastAsia="Times New Roman"/>
        </w:rPr>
        <w:t>11.1-12</w:t>
      </w:r>
      <w:r>
        <w:rPr/>
        <w:t>。</w:t>
      </w:r>
    </w:p>
    <w:p>
      <w:pPr>
        <w:tabs>
          <w:tab w:pos="1620" w:val="left" w:leader="none"/>
        </w:tabs>
        <w:spacing w:line="442" w:lineRule="exact" w:before="0" w:after="11"/>
        <w:ind w:left="561" w:right="0" w:firstLine="0"/>
        <w:jc w:val="left"/>
        <w:rPr>
          <w:sz w:val="21"/>
        </w:rPr>
      </w:pPr>
      <w:r>
        <w:rPr>
          <w:w w:val="105"/>
          <w:sz w:val="21"/>
        </w:rPr>
        <w:t>表</w:t>
      </w:r>
      <w:r>
        <w:rPr>
          <w:rFonts w:ascii="Times New Roman" w:hAnsi="Times New Roman" w:eastAsia="Times New Roman"/>
          <w:b/>
          <w:spacing w:val="-3"/>
          <w:w w:val="105"/>
          <w:sz w:val="21"/>
        </w:rPr>
        <w:t>11.1-12</w:t>
        <w:tab/>
      </w:r>
      <w:r>
        <w:rPr>
          <w:w w:val="105"/>
          <w:sz w:val="21"/>
        </w:rPr>
        <w:t>项目与</w:t>
      </w:r>
      <w:r>
        <w:rPr>
          <w:w w:val="185"/>
          <w:sz w:val="21"/>
        </w:rPr>
        <w:t>“</w:t>
      </w:r>
      <w:r>
        <w:rPr>
          <w:w w:val="105"/>
          <w:sz w:val="21"/>
        </w:rPr>
        <w:t>临</w:t>
      </w:r>
      <w:r>
        <w:rPr>
          <w:spacing w:val="-3"/>
          <w:w w:val="105"/>
          <w:sz w:val="21"/>
        </w:rPr>
        <w:t>沂</w:t>
      </w:r>
      <w:r>
        <w:rPr>
          <w:w w:val="105"/>
          <w:sz w:val="21"/>
        </w:rPr>
        <w:t>市</w:t>
      </w:r>
      <w:r>
        <w:rPr>
          <w:rFonts w:ascii="Times New Roman" w:hAnsi="Times New Roman" w:eastAsia="Times New Roman"/>
          <w:b/>
          <w:w w:val="105"/>
          <w:sz w:val="21"/>
        </w:rPr>
        <w:t>2018-2020</w:t>
      </w:r>
      <w:r>
        <w:rPr>
          <w:w w:val="105"/>
          <w:sz w:val="21"/>
        </w:rPr>
        <w:t>挥发性有机</w:t>
      </w:r>
      <w:r>
        <w:rPr>
          <w:spacing w:val="-3"/>
          <w:w w:val="105"/>
          <w:sz w:val="21"/>
        </w:rPr>
        <w:t>物</w:t>
      </w:r>
      <w:r>
        <w:rPr>
          <w:w w:val="105"/>
          <w:sz w:val="21"/>
        </w:rPr>
        <w:t>污染防治工作方案</w:t>
      </w:r>
      <w:r>
        <w:rPr>
          <w:spacing w:val="-3"/>
          <w:w w:val="185"/>
          <w:sz w:val="21"/>
        </w:rPr>
        <w:t>”</w:t>
      </w:r>
      <w:r>
        <w:rPr>
          <w:w w:val="105"/>
          <w:sz w:val="21"/>
        </w:rPr>
        <w:t>符</w:t>
      </w:r>
      <w:r>
        <w:rPr>
          <w:spacing w:val="-3"/>
          <w:w w:val="105"/>
          <w:sz w:val="21"/>
        </w:rPr>
        <w:t>合</w:t>
      </w:r>
      <w:r>
        <w:rPr>
          <w:w w:val="105"/>
          <w:sz w:val="21"/>
        </w:rPr>
        <w:t>性分析</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9"/>
        <w:gridCol w:w="2569"/>
        <w:gridCol w:w="1167"/>
      </w:tblGrid>
      <w:tr>
        <w:trPr>
          <w:trHeight w:val="626" w:hRule="atLeast"/>
        </w:trPr>
        <w:tc>
          <w:tcPr>
            <w:tcW w:w="4789" w:type="dxa"/>
            <w:tcBorders>
              <w:bottom w:val="single" w:sz="6" w:space="0" w:color="000000"/>
              <w:right w:val="single" w:sz="6" w:space="0" w:color="000000"/>
            </w:tcBorders>
          </w:tcPr>
          <w:p>
            <w:pPr>
              <w:pStyle w:val="TableParagraph"/>
              <w:spacing w:line="302" w:lineRule="exact"/>
              <w:ind w:left="85" w:right="62"/>
              <w:rPr>
                <w:sz w:val="21"/>
              </w:rPr>
            </w:pPr>
            <w:r>
              <w:rPr>
                <w:sz w:val="21"/>
              </w:rPr>
              <w:t>《临沂市 </w:t>
            </w:r>
            <w:r>
              <w:rPr>
                <w:rFonts w:ascii="Times New Roman" w:eastAsia="Times New Roman"/>
                <w:sz w:val="21"/>
              </w:rPr>
              <w:t>2018-2020 </w:t>
            </w:r>
            <w:r>
              <w:rPr>
                <w:sz w:val="21"/>
              </w:rPr>
              <w:t>年挥发性有机物污染防治工作</w:t>
            </w:r>
          </w:p>
          <w:p>
            <w:pPr>
              <w:pStyle w:val="TableParagraph"/>
              <w:spacing w:line="304" w:lineRule="exact"/>
              <w:ind w:left="84" w:right="62"/>
              <w:rPr>
                <w:sz w:val="21"/>
              </w:rPr>
            </w:pPr>
            <w:r>
              <w:rPr>
                <w:sz w:val="21"/>
              </w:rPr>
              <w:t>方案》的要求</w:t>
            </w:r>
          </w:p>
        </w:tc>
        <w:tc>
          <w:tcPr>
            <w:tcW w:w="2569" w:type="dxa"/>
            <w:tcBorders>
              <w:left w:val="single" w:sz="6" w:space="0" w:color="000000"/>
              <w:bottom w:val="single" w:sz="6" w:space="0" w:color="000000"/>
              <w:right w:val="single" w:sz="6" w:space="0" w:color="000000"/>
            </w:tcBorders>
          </w:tcPr>
          <w:p>
            <w:pPr>
              <w:pStyle w:val="TableParagraph"/>
              <w:spacing w:before="79"/>
              <w:ind w:left="118" w:right="88"/>
              <w:rPr>
                <w:sz w:val="21"/>
              </w:rPr>
            </w:pPr>
            <w:r>
              <w:rPr>
                <w:sz w:val="21"/>
              </w:rPr>
              <w:t>本项目情况</w:t>
            </w:r>
          </w:p>
        </w:tc>
        <w:tc>
          <w:tcPr>
            <w:tcW w:w="1167" w:type="dxa"/>
            <w:tcBorders>
              <w:left w:val="single" w:sz="6" w:space="0" w:color="000000"/>
              <w:bottom w:val="single" w:sz="6" w:space="0" w:color="000000"/>
            </w:tcBorders>
          </w:tcPr>
          <w:p>
            <w:pPr>
              <w:pStyle w:val="TableParagraph"/>
              <w:spacing w:before="79"/>
              <w:ind w:left="254" w:right="220"/>
              <w:rPr>
                <w:sz w:val="21"/>
              </w:rPr>
            </w:pPr>
            <w:r>
              <w:rPr>
                <w:sz w:val="21"/>
              </w:rPr>
              <w:t>符合性</w:t>
            </w:r>
          </w:p>
        </w:tc>
      </w:tr>
      <w:tr>
        <w:trPr>
          <w:trHeight w:val="3431" w:hRule="atLeast"/>
        </w:trPr>
        <w:tc>
          <w:tcPr>
            <w:tcW w:w="4789" w:type="dxa"/>
            <w:tcBorders>
              <w:top w:val="single" w:sz="6" w:space="0" w:color="000000"/>
              <w:bottom w:val="single" w:sz="6" w:space="0" w:color="000000"/>
              <w:right w:val="single" w:sz="6" w:space="0" w:color="000000"/>
            </w:tcBorders>
          </w:tcPr>
          <w:p>
            <w:pPr>
              <w:pStyle w:val="TableParagraph"/>
              <w:spacing w:line="168" w:lineRule="auto" w:before="15"/>
              <w:ind w:left="107" w:right="-29"/>
              <w:jc w:val="both"/>
              <w:rPr>
                <w:sz w:val="21"/>
              </w:rPr>
            </w:pPr>
            <w:r>
              <w:rPr>
                <w:spacing w:val="-6"/>
                <w:sz w:val="21"/>
              </w:rPr>
              <w:t>严格建设项目环境准入。新建涉 </w:t>
            </w:r>
            <w:r>
              <w:rPr>
                <w:rFonts w:ascii="Times New Roman" w:eastAsia="Times New Roman"/>
                <w:sz w:val="21"/>
              </w:rPr>
              <w:t>VOCs </w:t>
            </w:r>
            <w:r>
              <w:rPr>
                <w:spacing w:val="-3"/>
                <w:sz w:val="21"/>
              </w:rPr>
              <w:t>排放的工业</w:t>
            </w:r>
            <w:r>
              <w:rPr>
                <w:spacing w:val="-7"/>
                <w:sz w:val="21"/>
              </w:rPr>
              <w:t>企业要入园区。涉 </w:t>
            </w:r>
            <w:r>
              <w:rPr>
                <w:rFonts w:ascii="Times New Roman" w:eastAsia="Times New Roman"/>
                <w:sz w:val="21"/>
              </w:rPr>
              <w:t>VOCs </w:t>
            </w:r>
            <w:r>
              <w:rPr>
                <w:spacing w:val="-3"/>
                <w:sz w:val="21"/>
              </w:rPr>
              <w:t>排放建设项目环境影响评</w:t>
            </w:r>
            <w:r>
              <w:rPr>
                <w:spacing w:val="-2"/>
                <w:sz w:val="21"/>
              </w:rPr>
              <w:t>价实行区域内 </w:t>
            </w:r>
            <w:r>
              <w:rPr>
                <w:rFonts w:ascii="Times New Roman" w:eastAsia="Times New Roman"/>
                <w:sz w:val="21"/>
              </w:rPr>
              <w:t>VOCs </w:t>
            </w:r>
            <w:r>
              <w:rPr>
                <w:spacing w:val="-7"/>
                <w:sz w:val="21"/>
              </w:rPr>
              <w:t>排放等量或倍量消减替代，并</w:t>
            </w:r>
            <w:r>
              <w:rPr>
                <w:spacing w:val="-8"/>
                <w:sz w:val="21"/>
              </w:rPr>
              <w:t>将替代方案落实到企业排污许可证中，纳入环境执法管理，新、改、扩建涉 </w:t>
            </w:r>
            <w:r>
              <w:rPr>
                <w:rFonts w:ascii="Times New Roman" w:eastAsia="Times New Roman"/>
                <w:sz w:val="21"/>
              </w:rPr>
              <w:t>VOCs </w:t>
            </w:r>
            <w:r>
              <w:rPr>
                <w:spacing w:val="-5"/>
                <w:sz w:val="21"/>
              </w:rPr>
              <w:t>排放项目，应从源</w:t>
            </w:r>
            <w:r>
              <w:rPr>
                <w:spacing w:val="-4"/>
                <w:sz w:val="21"/>
              </w:rPr>
              <w:t>头加强控制，使用低</w:t>
            </w:r>
            <w:r>
              <w:rPr>
                <w:rFonts w:ascii="Times New Roman" w:eastAsia="Times New Roman"/>
                <w:spacing w:val="-4"/>
                <w:sz w:val="21"/>
              </w:rPr>
              <w:t>(</w:t>
            </w:r>
            <w:r>
              <w:rPr>
                <w:sz w:val="21"/>
              </w:rPr>
              <w:t>无</w:t>
            </w:r>
            <w:r>
              <w:rPr>
                <w:rFonts w:ascii="Times New Roman" w:eastAsia="Times New Roman"/>
                <w:sz w:val="21"/>
              </w:rPr>
              <w:t>)VOCs </w:t>
            </w:r>
            <w:r>
              <w:rPr>
                <w:spacing w:val="-3"/>
                <w:sz w:val="21"/>
              </w:rPr>
              <w:t>含量的原辅材料， </w:t>
            </w:r>
            <w:r>
              <w:rPr>
                <w:spacing w:val="-8"/>
                <w:sz w:val="21"/>
              </w:rPr>
              <w:t>提高废气收集效率，安装高效防治措施。禁止建设</w:t>
            </w:r>
            <w:r>
              <w:rPr>
                <w:spacing w:val="-4"/>
                <w:sz w:val="21"/>
              </w:rPr>
              <w:t>生产和使用高 </w:t>
            </w:r>
            <w:r>
              <w:rPr>
                <w:rFonts w:ascii="Times New Roman" w:eastAsia="Times New Roman"/>
                <w:sz w:val="21"/>
              </w:rPr>
              <w:t>VOCs </w:t>
            </w:r>
            <w:r>
              <w:rPr>
                <w:spacing w:val="-8"/>
                <w:sz w:val="21"/>
              </w:rPr>
              <w:t>含量的溶剂型涂料、油墨、胶</w:t>
            </w:r>
            <w:r>
              <w:rPr>
                <w:spacing w:val="-5"/>
                <w:sz w:val="21"/>
              </w:rPr>
              <w:t>黏剂等项目。</w:t>
            </w:r>
            <w:r>
              <w:rPr>
                <w:rFonts w:ascii="Times New Roman" w:eastAsia="Times New Roman"/>
                <w:sz w:val="21"/>
              </w:rPr>
              <w:t>2020 </w:t>
            </w:r>
            <w:r>
              <w:rPr>
                <w:spacing w:val="5"/>
                <w:sz w:val="21"/>
              </w:rPr>
              <w:t>年 </w:t>
            </w:r>
            <w:r>
              <w:rPr>
                <w:rFonts w:ascii="Times New Roman" w:eastAsia="Times New Roman"/>
                <w:sz w:val="21"/>
              </w:rPr>
              <w:t>1 </w:t>
            </w:r>
            <w:r>
              <w:rPr>
                <w:spacing w:val="3"/>
                <w:sz w:val="21"/>
              </w:rPr>
              <w:t>月 </w:t>
            </w:r>
            <w:r>
              <w:rPr>
                <w:rFonts w:ascii="Times New Roman" w:eastAsia="Times New Roman"/>
                <w:sz w:val="21"/>
              </w:rPr>
              <w:t>1 </w:t>
            </w:r>
            <w:r>
              <w:rPr>
                <w:spacing w:val="-3"/>
                <w:sz w:val="21"/>
              </w:rPr>
              <w:t>日起，严格执行涂料、</w:t>
            </w:r>
            <w:r>
              <w:rPr>
                <w:spacing w:val="-8"/>
                <w:sz w:val="21"/>
              </w:rPr>
              <w:t>油墨、胶黏剂、清洗剂等 </w:t>
            </w:r>
            <w:r>
              <w:rPr>
                <w:rFonts w:ascii="Times New Roman" w:eastAsia="Times New Roman"/>
                <w:sz w:val="21"/>
              </w:rPr>
              <w:t>VOCs </w:t>
            </w:r>
            <w:r>
              <w:rPr>
                <w:spacing w:val="-3"/>
                <w:sz w:val="21"/>
              </w:rPr>
              <w:t>含量限值强制性标</w:t>
            </w:r>
          </w:p>
          <w:p>
            <w:pPr>
              <w:pStyle w:val="TableParagraph"/>
              <w:spacing w:line="280" w:lineRule="exact"/>
              <w:ind w:left="85" w:right="62"/>
              <w:rPr>
                <w:sz w:val="21"/>
              </w:rPr>
            </w:pPr>
            <w:r>
              <w:rPr>
                <w:sz w:val="21"/>
              </w:rPr>
              <w:t>准。</w:t>
            </w:r>
          </w:p>
        </w:tc>
        <w:tc>
          <w:tcPr>
            <w:tcW w:w="2569"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0"/>
              <w:jc w:val="left"/>
              <w:rPr>
                <w:sz w:val="17"/>
              </w:rPr>
            </w:pPr>
          </w:p>
          <w:p>
            <w:pPr>
              <w:pStyle w:val="TableParagraph"/>
              <w:spacing w:line="168" w:lineRule="auto"/>
              <w:ind w:left="114" w:right="122"/>
              <w:jc w:val="left"/>
              <w:rPr>
                <w:sz w:val="21"/>
              </w:rPr>
            </w:pPr>
            <w:r>
              <w:rPr>
                <w:spacing w:val="-3"/>
                <w:sz w:val="21"/>
              </w:rPr>
              <w:t>项目厂址位于山东莒南经济开发区化工工业区内， 园区规划环评已通过审 查。本项目已通过环评审批，目前发生重大变更， 需重新报批。</w:t>
            </w:r>
          </w:p>
        </w:tc>
        <w:tc>
          <w:tcPr>
            <w:tcW w:w="1167" w:type="dxa"/>
            <w:tcBorders>
              <w:top w:val="single" w:sz="6" w:space="0" w:color="000000"/>
              <w:left w:val="single" w:sz="6" w:space="0" w:color="000000"/>
              <w:bottom w:val="single" w:sz="6" w:space="0" w:color="000000"/>
            </w:tcBorders>
          </w:tcPr>
          <w:p>
            <w:pPr>
              <w:pStyle w:val="TableParagraph"/>
              <w:jc w:val="left"/>
              <w:rPr>
                <w:sz w:val="20"/>
              </w:rPr>
            </w:pPr>
          </w:p>
          <w:p>
            <w:pPr>
              <w:pStyle w:val="TableParagraph"/>
              <w:jc w:val="left"/>
              <w:rPr>
                <w:sz w:val="20"/>
              </w:rPr>
            </w:pPr>
          </w:p>
          <w:p>
            <w:pPr>
              <w:pStyle w:val="TableParagraph"/>
              <w:spacing w:before="18"/>
              <w:jc w:val="left"/>
              <w:rPr>
                <w:sz w:val="29"/>
              </w:rPr>
            </w:pPr>
          </w:p>
          <w:p>
            <w:pPr>
              <w:pStyle w:val="TableParagraph"/>
              <w:spacing w:before="1"/>
              <w:ind w:left="254" w:right="220"/>
              <w:rPr>
                <w:sz w:val="21"/>
              </w:rPr>
            </w:pPr>
            <w:r>
              <w:rPr>
                <w:sz w:val="21"/>
              </w:rPr>
              <w:t>符合</w:t>
            </w:r>
          </w:p>
        </w:tc>
      </w:tr>
      <w:tr>
        <w:trPr>
          <w:trHeight w:val="311" w:hRule="atLeast"/>
        </w:trPr>
        <w:tc>
          <w:tcPr>
            <w:tcW w:w="4789" w:type="dxa"/>
            <w:tcBorders>
              <w:top w:val="single" w:sz="6" w:space="0" w:color="000000"/>
              <w:right w:val="single" w:sz="6" w:space="0" w:color="000000"/>
            </w:tcBorders>
          </w:tcPr>
          <w:p>
            <w:pPr>
              <w:pStyle w:val="TableParagraph"/>
              <w:spacing w:line="291" w:lineRule="exact"/>
              <w:ind w:left="107"/>
              <w:jc w:val="left"/>
              <w:rPr>
                <w:sz w:val="21"/>
              </w:rPr>
            </w:pPr>
            <w:r>
              <w:rPr>
                <w:sz w:val="21"/>
              </w:rPr>
              <w:t>加快推进化工行业 </w:t>
            </w:r>
            <w:r>
              <w:rPr>
                <w:rFonts w:ascii="Times New Roman" w:eastAsia="Times New Roman"/>
                <w:b/>
                <w:sz w:val="21"/>
              </w:rPr>
              <w:t>VOCs </w:t>
            </w:r>
            <w:r>
              <w:rPr>
                <w:sz w:val="21"/>
              </w:rPr>
              <w:t>综合治理。加大制药、农</w:t>
            </w:r>
          </w:p>
        </w:tc>
        <w:tc>
          <w:tcPr>
            <w:tcW w:w="2569" w:type="dxa"/>
            <w:tcBorders>
              <w:top w:val="single" w:sz="6" w:space="0" w:color="000000"/>
              <w:left w:val="single" w:sz="6" w:space="0" w:color="000000"/>
              <w:right w:val="single" w:sz="6" w:space="0" w:color="000000"/>
            </w:tcBorders>
          </w:tcPr>
          <w:p>
            <w:pPr>
              <w:pStyle w:val="TableParagraph"/>
              <w:spacing w:line="291" w:lineRule="exact"/>
              <w:ind w:left="118" w:right="91"/>
              <w:rPr>
                <w:sz w:val="21"/>
              </w:rPr>
            </w:pPr>
            <w:r>
              <w:rPr>
                <w:sz w:val="21"/>
              </w:rPr>
              <w:t>项目使用低 </w:t>
            </w:r>
            <w:r>
              <w:rPr>
                <w:rFonts w:ascii="Times New Roman" w:eastAsia="Times New Roman"/>
                <w:sz w:val="21"/>
              </w:rPr>
              <w:t>VOCs </w:t>
            </w:r>
            <w:r>
              <w:rPr>
                <w:sz w:val="21"/>
              </w:rPr>
              <w:t>含量的</w:t>
            </w:r>
          </w:p>
        </w:tc>
        <w:tc>
          <w:tcPr>
            <w:tcW w:w="1167" w:type="dxa"/>
            <w:tcBorders>
              <w:top w:val="single" w:sz="6" w:space="0" w:color="000000"/>
              <w:left w:val="single" w:sz="6" w:space="0" w:color="000000"/>
            </w:tcBorders>
          </w:tcPr>
          <w:p>
            <w:pPr>
              <w:pStyle w:val="TableParagraph"/>
              <w:spacing w:line="291" w:lineRule="exact"/>
              <w:ind w:left="254" w:right="220"/>
              <w:rPr>
                <w:sz w:val="21"/>
              </w:rPr>
            </w:pPr>
            <w:r>
              <w:rPr>
                <w:sz w:val="21"/>
              </w:rPr>
              <w:t>符合</w:t>
            </w:r>
          </w:p>
        </w:tc>
      </w:tr>
    </w:tbl>
    <w:p>
      <w:pPr>
        <w:spacing w:after="0" w:line="291" w:lineRule="exact"/>
        <w:rPr>
          <w:sz w:val="21"/>
        </w:rPr>
        <w:sectPr>
          <w:pgSz w:w="11910" w:h="16840"/>
          <w:pgMar w:header="877" w:footer="973" w:top="1420" w:bottom="1160" w:left="1560" w:right="1560"/>
        </w:sect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89"/>
        <w:gridCol w:w="2569"/>
        <w:gridCol w:w="1167"/>
      </w:tblGrid>
      <w:tr>
        <w:trPr>
          <w:trHeight w:val="1871" w:hRule="atLeast"/>
        </w:trPr>
        <w:tc>
          <w:tcPr>
            <w:tcW w:w="4789" w:type="dxa"/>
            <w:tcBorders>
              <w:left w:val="single" w:sz="12" w:space="0" w:color="000000"/>
              <w:bottom w:val="single" w:sz="12" w:space="0" w:color="000000"/>
            </w:tcBorders>
          </w:tcPr>
          <w:p>
            <w:pPr>
              <w:pStyle w:val="TableParagraph"/>
              <w:spacing w:line="168" w:lineRule="auto" w:before="15"/>
              <w:ind w:left="107" w:right="84"/>
              <w:jc w:val="both"/>
              <w:rPr>
                <w:sz w:val="21"/>
              </w:rPr>
            </w:pPr>
            <w:r>
              <w:rPr>
                <w:spacing w:val="-2"/>
                <w:sz w:val="21"/>
              </w:rPr>
              <w:t>药、煤化工</w:t>
            </w:r>
            <w:r>
              <w:rPr>
                <w:sz w:val="21"/>
              </w:rPr>
              <w:t>（</w:t>
            </w:r>
            <w:r>
              <w:rPr>
                <w:spacing w:val="-3"/>
                <w:sz w:val="21"/>
              </w:rPr>
              <w:t>含现代煤化工、炼焦、合成氨等</w:t>
            </w:r>
            <w:r>
              <w:rPr>
                <w:spacing w:val="-106"/>
                <w:sz w:val="21"/>
              </w:rPr>
              <w:t>）</w:t>
            </w:r>
            <w:r>
              <w:rPr>
                <w:sz w:val="21"/>
              </w:rPr>
              <w:t>、</w:t>
            </w:r>
            <w:r>
              <w:rPr>
                <w:spacing w:val="-8"/>
                <w:sz w:val="21"/>
              </w:rPr>
              <w:t>橡胶制品、有机涂料、油墨、颜料、胶粘剂、化学</w:t>
            </w:r>
            <w:r>
              <w:rPr>
                <w:spacing w:val="-5"/>
                <w:sz w:val="21"/>
              </w:rPr>
              <w:t>助剂、日用化工等化工行业 </w:t>
            </w:r>
            <w:r>
              <w:rPr>
                <w:rFonts w:ascii="Times New Roman" w:eastAsia="Times New Roman"/>
                <w:sz w:val="21"/>
              </w:rPr>
              <w:t>VOCs </w:t>
            </w:r>
            <w:r>
              <w:rPr>
                <w:spacing w:val="-3"/>
                <w:sz w:val="21"/>
              </w:rPr>
              <w:t>治理力度。</w:t>
            </w:r>
          </w:p>
          <w:p>
            <w:pPr>
              <w:pStyle w:val="TableParagraph"/>
              <w:spacing w:line="168" w:lineRule="auto" w:before="1"/>
              <w:ind w:left="107" w:right="84"/>
              <w:jc w:val="both"/>
              <w:rPr>
                <w:sz w:val="21"/>
              </w:rPr>
            </w:pPr>
            <w:r>
              <w:rPr>
                <w:sz w:val="21"/>
              </w:rPr>
              <w:t>推广使用低（无）</w:t>
            </w:r>
            <w:r>
              <w:rPr>
                <w:rFonts w:ascii="Times New Roman" w:eastAsia="Times New Roman"/>
                <w:sz w:val="21"/>
              </w:rPr>
              <w:t>VOCs </w:t>
            </w:r>
            <w:r>
              <w:rPr>
                <w:sz w:val="21"/>
              </w:rPr>
              <w:t>含量、低反应活性的原辅材料和产品。制药鼓励使用低（无）</w:t>
            </w:r>
            <w:r>
              <w:rPr>
                <w:rFonts w:ascii="Times New Roman" w:eastAsia="Times New Roman"/>
                <w:sz w:val="21"/>
              </w:rPr>
              <w:t>VOCs </w:t>
            </w:r>
            <w:r>
              <w:rPr>
                <w:sz w:val="21"/>
              </w:rPr>
              <w:t>含量或</w:t>
            </w:r>
          </w:p>
          <w:p>
            <w:pPr>
              <w:pStyle w:val="TableParagraph"/>
              <w:spacing w:line="277" w:lineRule="exact"/>
              <w:ind w:left="107"/>
              <w:jc w:val="both"/>
              <w:rPr>
                <w:sz w:val="21"/>
              </w:rPr>
            </w:pPr>
            <w:r>
              <w:rPr>
                <w:sz w:val="21"/>
              </w:rPr>
              <w:t>低反应活性的溶剂；</w:t>
            </w:r>
          </w:p>
        </w:tc>
        <w:tc>
          <w:tcPr>
            <w:tcW w:w="2569" w:type="dxa"/>
            <w:tcBorders>
              <w:bottom w:val="single" w:sz="12" w:space="0" w:color="000000"/>
            </w:tcBorders>
          </w:tcPr>
          <w:p>
            <w:pPr>
              <w:pStyle w:val="TableParagraph"/>
              <w:spacing w:line="367" w:lineRule="exact"/>
              <w:ind w:left="870"/>
              <w:jc w:val="left"/>
              <w:rPr>
                <w:sz w:val="21"/>
              </w:rPr>
            </w:pPr>
            <w:r>
              <w:rPr>
                <w:sz w:val="21"/>
              </w:rPr>
              <w:t>原辅材料</w:t>
            </w:r>
          </w:p>
        </w:tc>
        <w:tc>
          <w:tcPr>
            <w:tcW w:w="1167" w:type="dxa"/>
            <w:tcBorders>
              <w:bottom w:val="single" w:sz="12" w:space="0" w:color="000000"/>
              <w:right w:val="single" w:sz="12" w:space="0" w:color="000000"/>
            </w:tcBorders>
          </w:tcPr>
          <w:p>
            <w:pPr>
              <w:pStyle w:val="TableParagraph"/>
              <w:jc w:val="left"/>
              <w:rPr>
                <w:rFonts w:ascii="Times New Roman"/>
                <w:sz w:val="20"/>
              </w:rPr>
            </w:pPr>
          </w:p>
        </w:tc>
      </w:tr>
    </w:tbl>
    <w:p>
      <w:pPr>
        <w:pStyle w:val="BodyText"/>
        <w:spacing w:line="465" w:lineRule="exact"/>
        <w:ind w:left="720"/>
      </w:pPr>
      <w:r>
        <w:rPr>
          <w:rFonts w:ascii="Times New Roman" w:eastAsia="Times New Roman"/>
        </w:rPr>
        <w:t>11 </w:t>
      </w:r>
      <w:r>
        <w:rPr>
          <w:spacing w:val="21"/>
        </w:rPr>
        <w:t>、与《临沂市人民政府关于印发临沂市打赢蓝天保卫战作战方案暨</w:t>
      </w:r>
    </w:p>
    <w:p>
      <w:pPr>
        <w:pStyle w:val="BodyText"/>
        <w:spacing w:line="468" w:lineRule="exact"/>
        <w:ind w:left="240"/>
      </w:pPr>
      <w:r>
        <w:rPr>
          <w:rFonts w:ascii="Times New Roman" w:eastAsia="Times New Roman"/>
        </w:rPr>
        <w:t>2018-2020</w:t>
      </w:r>
      <w:r>
        <w:rPr/>
        <w:t>年大气污染防治攻坚行动实施方案的通知》符合性分析</w:t>
      </w:r>
    </w:p>
    <w:p>
      <w:pPr>
        <w:pStyle w:val="BodyText"/>
        <w:spacing w:line="220" w:lineRule="auto" w:before="8"/>
        <w:ind w:left="240" w:right="118" w:firstLine="479"/>
      </w:pPr>
      <w:r>
        <w:rPr>
          <w:spacing w:val="-10"/>
        </w:rPr>
        <w:t>项目建设情况与《临沂市人民政府关于印发临沂市打赢蓝天保卫战作战方案暨</w:t>
      </w:r>
      <w:r>
        <w:rPr>
          <w:rFonts w:ascii="Times New Roman" w:eastAsia="Times New Roman"/>
          <w:spacing w:val="-10"/>
        </w:rPr>
        <w:t>2018-2020</w:t>
      </w:r>
      <w:r>
        <w:rPr>
          <w:spacing w:val="-14"/>
        </w:rPr>
        <w:t>年大气污染防治攻坚行动实施方案的通知》符合性分析见表</w:t>
      </w:r>
      <w:r>
        <w:rPr>
          <w:rFonts w:ascii="Times New Roman" w:eastAsia="Times New Roman"/>
        </w:rPr>
        <w:t>11.1-13</w:t>
      </w:r>
      <w:r>
        <w:rPr/>
        <w:t>。</w:t>
      </w:r>
    </w:p>
    <w:p>
      <w:pPr>
        <w:tabs>
          <w:tab w:pos="2604" w:val="left" w:leader="none"/>
        </w:tabs>
        <w:spacing w:before="7" w:after="24"/>
        <w:ind w:left="1546" w:right="0" w:firstLine="0"/>
        <w:jc w:val="left"/>
        <w:rPr>
          <w:sz w:val="21"/>
        </w:rPr>
      </w:pPr>
      <w:r>
        <w:rPr>
          <w:sz w:val="21"/>
        </w:rPr>
        <w:t>表</w:t>
      </w:r>
      <w:r>
        <w:rPr>
          <w:rFonts w:ascii="Times New Roman" w:eastAsia="Times New Roman"/>
          <w:b/>
          <w:spacing w:val="-3"/>
          <w:sz w:val="21"/>
        </w:rPr>
        <w:t>11.1-13</w:t>
        <w:tab/>
      </w:r>
      <w:r>
        <w:rPr>
          <w:sz w:val="21"/>
        </w:rPr>
        <w:t>与《临沂市</w:t>
      </w:r>
      <w:r>
        <w:rPr>
          <w:spacing w:val="-3"/>
          <w:sz w:val="21"/>
        </w:rPr>
        <w:t>打</w:t>
      </w:r>
      <w:r>
        <w:rPr>
          <w:sz w:val="21"/>
        </w:rPr>
        <w:t>赢蓝天保卫战作战</w:t>
      </w:r>
      <w:r>
        <w:rPr>
          <w:spacing w:val="-3"/>
          <w:sz w:val="21"/>
        </w:rPr>
        <w:t>方</w:t>
      </w:r>
      <w:r>
        <w:rPr>
          <w:sz w:val="21"/>
        </w:rPr>
        <w:t>案</w:t>
      </w:r>
      <w:r>
        <w:rPr>
          <w:spacing w:val="-3"/>
          <w:sz w:val="21"/>
        </w:rPr>
        <w:t>》</w:t>
      </w:r>
      <w:r>
        <w:rPr>
          <w:sz w:val="21"/>
        </w:rPr>
        <w:t>符合性分析</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9"/>
        <w:gridCol w:w="5360"/>
        <w:gridCol w:w="1592"/>
        <w:gridCol w:w="523"/>
      </w:tblGrid>
      <w:tr>
        <w:trPr>
          <w:trHeight w:val="1247" w:hRule="atLeast"/>
        </w:trPr>
        <w:tc>
          <w:tcPr>
            <w:tcW w:w="1049" w:type="dxa"/>
            <w:tcBorders>
              <w:bottom w:val="single" w:sz="6" w:space="0" w:color="000000"/>
              <w:right w:val="single" w:sz="6" w:space="0" w:color="000000"/>
            </w:tcBorders>
          </w:tcPr>
          <w:p>
            <w:pPr>
              <w:pStyle w:val="TableParagraph"/>
              <w:spacing w:before="8"/>
              <w:jc w:val="left"/>
              <w:rPr>
                <w:sz w:val="15"/>
              </w:rPr>
            </w:pPr>
          </w:p>
          <w:p>
            <w:pPr>
              <w:pStyle w:val="TableParagraph"/>
              <w:spacing w:line="168" w:lineRule="auto"/>
              <w:ind w:left="416" w:right="185" w:hanging="212"/>
              <w:jc w:val="left"/>
              <w:rPr>
                <w:sz w:val="21"/>
              </w:rPr>
            </w:pPr>
            <w:r>
              <w:rPr>
                <w:sz w:val="21"/>
              </w:rPr>
              <w:t>分类要求</w:t>
            </w:r>
          </w:p>
        </w:tc>
        <w:tc>
          <w:tcPr>
            <w:tcW w:w="5360" w:type="dxa"/>
            <w:tcBorders>
              <w:left w:val="single" w:sz="6" w:space="0" w:color="000000"/>
              <w:bottom w:val="single" w:sz="6" w:space="0" w:color="000000"/>
              <w:right w:val="single" w:sz="6" w:space="0" w:color="000000"/>
            </w:tcBorders>
          </w:tcPr>
          <w:p>
            <w:pPr>
              <w:pStyle w:val="TableParagraph"/>
              <w:spacing w:before="8"/>
              <w:jc w:val="left"/>
              <w:rPr>
                <w:sz w:val="15"/>
              </w:rPr>
            </w:pPr>
          </w:p>
          <w:p>
            <w:pPr>
              <w:pStyle w:val="TableParagraph"/>
              <w:spacing w:line="168" w:lineRule="auto"/>
              <w:ind w:left="1526" w:right="146" w:hanging="1352"/>
              <w:jc w:val="left"/>
              <w:rPr>
                <w:sz w:val="21"/>
              </w:rPr>
            </w:pPr>
            <w:r>
              <w:rPr>
                <w:sz w:val="21"/>
              </w:rPr>
              <w:t>临沂市打赢蓝天保卫战作战方案暨 </w:t>
            </w:r>
            <w:r>
              <w:rPr>
                <w:rFonts w:ascii="Times New Roman" w:eastAsia="Times New Roman"/>
                <w:b/>
                <w:sz w:val="21"/>
              </w:rPr>
              <w:t>2018-2020 </w:t>
            </w:r>
            <w:r>
              <w:rPr>
                <w:sz w:val="21"/>
              </w:rPr>
              <w:t>年大气污染防治攻坚行动实施方案</w:t>
            </w:r>
          </w:p>
        </w:tc>
        <w:tc>
          <w:tcPr>
            <w:tcW w:w="1592" w:type="dxa"/>
            <w:tcBorders>
              <w:left w:val="single" w:sz="6" w:space="0" w:color="000000"/>
              <w:bottom w:val="single" w:sz="6" w:space="0" w:color="000000"/>
              <w:right w:val="single" w:sz="6" w:space="0" w:color="000000"/>
            </w:tcBorders>
          </w:tcPr>
          <w:p>
            <w:pPr>
              <w:pStyle w:val="TableParagraph"/>
              <w:spacing w:before="7"/>
              <w:jc w:val="left"/>
              <w:rPr>
                <w:sz w:val="18"/>
              </w:rPr>
            </w:pPr>
          </w:p>
          <w:p>
            <w:pPr>
              <w:pStyle w:val="TableParagraph"/>
              <w:ind w:left="381"/>
              <w:jc w:val="left"/>
              <w:rPr>
                <w:sz w:val="21"/>
              </w:rPr>
            </w:pPr>
            <w:r>
              <w:rPr>
                <w:sz w:val="21"/>
              </w:rPr>
              <w:t>项目情况</w:t>
            </w:r>
          </w:p>
        </w:tc>
        <w:tc>
          <w:tcPr>
            <w:tcW w:w="523" w:type="dxa"/>
            <w:tcBorders>
              <w:left w:val="single" w:sz="6" w:space="0" w:color="000000"/>
              <w:bottom w:val="single" w:sz="6" w:space="0" w:color="000000"/>
            </w:tcBorders>
          </w:tcPr>
          <w:p>
            <w:pPr>
              <w:pStyle w:val="TableParagraph"/>
              <w:spacing w:line="168" w:lineRule="auto" w:before="14"/>
              <w:ind w:left="162" w:right="124"/>
              <w:jc w:val="both"/>
              <w:rPr>
                <w:sz w:val="21"/>
              </w:rPr>
            </w:pPr>
            <w:r>
              <w:rPr>
                <w:sz w:val="21"/>
              </w:rPr>
              <w:t>符合情</w:t>
            </w:r>
          </w:p>
          <w:p>
            <w:pPr>
              <w:pStyle w:val="TableParagraph"/>
              <w:spacing w:line="278" w:lineRule="exact"/>
              <w:ind w:left="162"/>
              <w:jc w:val="both"/>
              <w:rPr>
                <w:sz w:val="21"/>
              </w:rPr>
            </w:pPr>
            <w:r>
              <w:rPr>
                <w:w w:val="100"/>
                <w:sz w:val="21"/>
              </w:rPr>
              <w:t>况</w:t>
            </w:r>
          </w:p>
        </w:tc>
      </w:tr>
      <w:tr>
        <w:trPr>
          <w:trHeight w:val="1559" w:hRule="atLeast"/>
        </w:trPr>
        <w:tc>
          <w:tcPr>
            <w:tcW w:w="1049" w:type="dxa"/>
            <w:tcBorders>
              <w:top w:val="single" w:sz="6" w:space="0" w:color="000000"/>
              <w:bottom w:val="single" w:sz="6" w:space="0" w:color="000000"/>
              <w:right w:val="single" w:sz="6" w:space="0" w:color="000000"/>
            </w:tcBorders>
          </w:tcPr>
          <w:p>
            <w:pPr>
              <w:pStyle w:val="TableParagraph"/>
              <w:spacing w:before="16"/>
              <w:jc w:val="left"/>
              <w:rPr>
                <w:sz w:val="22"/>
              </w:rPr>
            </w:pPr>
          </w:p>
          <w:p>
            <w:pPr>
              <w:pStyle w:val="TableParagraph"/>
              <w:spacing w:line="168" w:lineRule="auto"/>
              <w:ind w:left="208" w:right="182"/>
              <w:jc w:val="left"/>
              <w:rPr>
                <w:sz w:val="21"/>
              </w:rPr>
            </w:pPr>
            <w:r>
              <w:rPr>
                <w:sz w:val="21"/>
              </w:rPr>
              <w:t>产业结构优化</w:t>
            </w:r>
          </w:p>
        </w:tc>
        <w:tc>
          <w:tcPr>
            <w:tcW w:w="5360"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5"/>
              <w:ind w:left="114" w:right="-29"/>
              <w:jc w:val="both"/>
              <w:rPr>
                <w:sz w:val="21"/>
              </w:rPr>
            </w:pPr>
            <w:r>
              <w:rPr>
                <w:spacing w:val="-1"/>
                <w:sz w:val="21"/>
              </w:rPr>
              <w:t>严格控制</w:t>
            </w:r>
            <w:r>
              <w:rPr>
                <w:rFonts w:ascii="Times New Roman" w:hAnsi="Times New Roman" w:eastAsia="Times New Roman"/>
                <w:spacing w:val="-3"/>
                <w:sz w:val="21"/>
              </w:rPr>
              <w:t>“</w:t>
            </w:r>
            <w:r>
              <w:rPr>
                <w:sz w:val="21"/>
              </w:rPr>
              <w:t>两高</w:t>
            </w:r>
            <w:r>
              <w:rPr>
                <w:rFonts w:ascii="Times New Roman" w:hAnsi="Times New Roman" w:eastAsia="Times New Roman"/>
                <w:spacing w:val="-3"/>
                <w:sz w:val="21"/>
              </w:rPr>
              <w:t>”</w:t>
            </w:r>
            <w:r>
              <w:rPr>
                <w:spacing w:val="-11"/>
                <w:sz w:val="21"/>
              </w:rPr>
              <w:t>行业新增产能。根据省政府工作要求，合</w:t>
            </w:r>
            <w:r>
              <w:rPr>
                <w:spacing w:val="-6"/>
                <w:sz w:val="21"/>
              </w:rPr>
              <w:t>理布局钢铁产能，严禁水泥、平板玻璃、电解铝、焦化、</w:t>
            </w:r>
            <w:r>
              <w:rPr>
                <w:spacing w:val="-12"/>
                <w:sz w:val="21"/>
              </w:rPr>
              <w:t>铸造等行业新增产能，新增</w:t>
            </w:r>
            <w:r>
              <w:rPr>
                <w:rFonts w:ascii="Times New Roman" w:hAnsi="Times New Roman" w:eastAsia="Times New Roman"/>
                <w:sz w:val="21"/>
              </w:rPr>
              <w:t>“</w:t>
            </w:r>
            <w:r>
              <w:rPr>
                <w:sz w:val="21"/>
              </w:rPr>
              <w:t>两高</w:t>
            </w:r>
            <w:r>
              <w:rPr>
                <w:rFonts w:ascii="Times New Roman" w:hAnsi="Times New Roman" w:eastAsia="Times New Roman"/>
                <w:spacing w:val="-3"/>
                <w:sz w:val="21"/>
              </w:rPr>
              <w:t>”</w:t>
            </w:r>
            <w:r>
              <w:rPr>
                <w:spacing w:val="-3"/>
                <w:sz w:val="21"/>
              </w:rPr>
              <w:t>行业项目必须严格实施减量置换。新项目一旦投产，被整合替代的老项目必须</w:t>
            </w:r>
          </w:p>
          <w:p>
            <w:pPr>
              <w:pStyle w:val="TableParagraph"/>
              <w:spacing w:line="278" w:lineRule="exact"/>
              <w:ind w:left="135" w:right="107"/>
              <w:rPr>
                <w:sz w:val="21"/>
              </w:rPr>
            </w:pPr>
            <w:r>
              <w:rPr>
                <w:sz w:val="21"/>
              </w:rPr>
              <w:t>同时停产。</w:t>
            </w:r>
          </w:p>
        </w:tc>
        <w:tc>
          <w:tcPr>
            <w:tcW w:w="1592" w:type="dxa"/>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2"/>
              </w:rPr>
            </w:pPr>
          </w:p>
          <w:p>
            <w:pPr>
              <w:pStyle w:val="TableParagraph"/>
              <w:spacing w:line="168" w:lineRule="auto"/>
              <w:ind w:left="487" w:right="140" w:hanging="315"/>
              <w:jc w:val="left"/>
              <w:rPr>
                <w:sz w:val="21"/>
              </w:rPr>
            </w:pPr>
            <w:r>
              <w:rPr>
                <w:sz w:val="21"/>
              </w:rPr>
              <w:t>项目不属于以上范围</w:t>
            </w:r>
          </w:p>
        </w:tc>
        <w:tc>
          <w:tcPr>
            <w:tcW w:w="523" w:type="dxa"/>
            <w:tcBorders>
              <w:top w:val="single" w:sz="6" w:space="0" w:color="000000"/>
              <w:left w:val="single" w:sz="6" w:space="0" w:color="000000"/>
              <w:bottom w:val="single" w:sz="6" w:space="0" w:color="000000"/>
            </w:tcBorders>
          </w:tcPr>
          <w:p>
            <w:pPr>
              <w:pStyle w:val="TableParagraph"/>
              <w:spacing w:before="16"/>
              <w:jc w:val="left"/>
              <w:rPr>
                <w:sz w:val="22"/>
              </w:rPr>
            </w:pPr>
          </w:p>
          <w:p>
            <w:pPr>
              <w:pStyle w:val="TableParagraph"/>
              <w:spacing w:line="168" w:lineRule="auto"/>
              <w:ind w:left="162" w:right="124"/>
              <w:jc w:val="left"/>
              <w:rPr>
                <w:sz w:val="21"/>
              </w:rPr>
            </w:pPr>
            <w:r>
              <w:rPr>
                <w:sz w:val="21"/>
              </w:rPr>
              <w:t>符合</w:t>
            </w:r>
          </w:p>
        </w:tc>
      </w:tr>
      <w:tr>
        <w:trPr>
          <w:trHeight w:val="1554" w:hRule="atLeast"/>
        </w:trPr>
        <w:tc>
          <w:tcPr>
            <w:tcW w:w="1049"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7"/>
              <w:jc w:val="left"/>
              <w:rPr>
                <w:sz w:val="15"/>
              </w:rPr>
            </w:pPr>
          </w:p>
          <w:p>
            <w:pPr>
              <w:pStyle w:val="TableParagraph"/>
              <w:spacing w:line="168" w:lineRule="auto"/>
              <w:ind w:left="208" w:right="182"/>
              <w:jc w:val="both"/>
              <w:rPr>
                <w:sz w:val="21"/>
              </w:rPr>
            </w:pPr>
            <w:r>
              <w:rPr>
                <w:sz w:val="21"/>
              </w:rPr>
              <w:t>工业污染深度治理</w:t>
            </w:r>
          </w:p>
        </w:tc>
        <w:tc>
          <w:tcPr>
            <w:tcW w:w="5360"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15"/>
              </w:rPr>
            </w:pPr>
          </w:p>
          <w:p>
            <w:pPr>
              <w:pStyle w:val="TableParagraph"/>
              <w:spacing w:line="168" w:lineRule="auto"/>
              <w:ind w:left="138" w:right="107"/>
              <w:rPr>
                <w:sz w:val="21"/>
              </w:rPr>
            </w:pPr>
            <w:r>
              <w:rPr>
                <w:rFonts w:ascii="Times New Roman" w:eastAsia="Times New Roman"/>
                <w:sz w:val="21"/>
              </w:rPr>
              <w:t>2019 </w:t>
            </w:r>
            <w:r>
              <w:rPr>
                <w:sz w:val="21"/>
              </w:rPr>
              <w:t>年 </w:t>
            </w:r>
            <w:r>
              <w:rPr>
                <w:rFonts w:ascii="Times New Roman" w:eastAsia="Times New Roman"/>
                <w:sz w:val="21"/>
              </w:rPr>
              <w:t>10 </w:t>
            </w:r>
            <w:r>
              <w:rPr>
                <w:sz w:val="21"/>
              </w:rPr>
              <w:t>月 </w:t>
            </w:r>
            <w:r>
              <w:rPr>
                <w:rFonts w:ascii="Times New Roman" w:eastAsia="Times New Roman"/>
                <w:sz w:val="21"/>
              </w:rPr>
              <w:t>30 </w:t>
            </w:r>
            <w:r>
              <w:rPr>
                <w:sz w:val="21"/>
              </w:rPr>
              <w:t>日前，石化、化工、印刷、工业涂装等排放重点源纳入重点排污单位名录，在主要排污口安装污染物排放自动监控设备，并与环保部门联网。</w:t>
            </w:r>
          </w:p>
        </w:tc>
        <w:tc>
          <w:tcPr>
            <w:tcW w:w="1592"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14" w:right="83" w:firstLine="57"/>
              <w:jc w:val="both"/>
              <w:rPr>
                <w:sz w:val="21"/>
              </w:rPr>
            </w:pPr>
            <w:r>
              <w:rPr>
                <w:spacing w:val="-1"/>
                <w:sz w:val="21"/>
              </w:rPr>
              <w:t>项目为医药化</w:t>
            </w:r>
            <w:r>
              <w:rPr>
                <w:spacing w:val="-16"/>
                <w:sz w:val="21"/>
              </w:rPr>
              <w:t>工项目，要求企</w:t>
            </w:r>
            <w:r>
              <w:rPr>
                <w:spacing w:val="-7"/>
                <w:sz w:val="21"/>
              </w:rPr>
              <w:t>业按照要求安</w:t>
            </w:r>
            <w:r>
              <w:rPr>
                <w:spacing w:val="-18"/>
                <w:sz w:val="21"/>
              </w:rPr>
              <w:t>装监控设备，与</w:t>
            </w:r>
          </w:p>
          <w:p>
            <w:pPr>
              <w:pStyle w:val="TableParagraph"/>
              <w:spacing w:line="270" w:lineRule="exact"/>
              <w:ind w:left="172"/>
              <w:jc w:val="both"/>
              <w:rPr>
                <w:sz w:val="21"/>
              </w:rPr>
            </w:pPr>
            <w:r>
              <w:rPr>
                <w:sz w:val="21"/>
              </w:rPr>
              <w:t>环保部门联网</w:t>
            </w:r>
          </w:p>
        </w:tc>
        <w:tc>
          <w:tcPr>
            <w:tcW w:w="523" w:type="dxa"/>
            <w:tcBorders>
              <w:top w:val="single" w:sz="6" w:space="0" w:color="000000"/>
              <w:left w:val="single" w:sz="6" w:space="0" w:color="000000"/>
              <w:bottom w:val="single" w:sz="6" w:space="0" w:color="000000"/>
            </w:tcBorders>
          </w:tcPr>
          <w:p>
            <w:pPr>
              <w:pStyle w:val="TableParagraph"/>
              <w:spacing w:before="18"/>
              <w:jc w:val="left"/>
              <w:rPr>
                <w:sz w:val="22"/>
              </w:rPr>
            </w:pPr>
          </w:p>
          <w:p>
            <w:pPr>
              <w:pStyle w:val="TableParagraph"/>
              <w:spacing w:line="168" w:lineRule="auto" w:before="1"/>
              <w:ind w:left="162" w:right="124"/>
              <w:jc w:val="left"/>
              <w:rPr>
                <w:sz w:val="21"/>
              </w:rPr>
            </w:pPr>
            <w:r>
              <w:rPr>
                <w:sz w:val="21"/>
              </w:rPr>
              <w:t>符合</w:t>
            </w:r>
          </w:p>
        </w:tc>
      </w:tr>
      <w:tr>
        <w:trPr>
          <w:trHeight w:val="622" w:hRule="atLeast"/>
        </w:trPr>
        <w:tc>
          <w:tcPr>
            <w:tcW w:w="1049" w:type="dxa"/>
            <w:vMerge/>
            <w:tcBorders>
              <w:top w:val="nil"/>
              <w:right w:val="single" w:sz="6" w:space="0" w:color="000000"/>
            </w:tcBorders>
          </w:tcPr>
          <w:p>
            <w:pPr>
              <w:rPr>
                <w:sz w:val="2"/>
                <w:szCs w:val="2"/>
              </w:rPr>
            </w:pPr>
          </w:p>
        </w:tc>
        <w:tc>
          <w:tcPr>
            <w:tcW w:w="5360" w:type="dxa"/>
            <w:tcBorders>
              <w:top w:val="single" w:sz="6" w:space="0" w:color="000000"/>
              <w:left w:val="single" w:sz="6" w:space="0" w:color="000000"/>
              <w:bottom w:val="single" w:sz="6" w:space="0" w:color="000000"/>
              <w:right w:val="single" w:sz="6" w:space="0" w:color="000000"/>
            </w:tcBorders>
          </w:tcPr>
          <w:p>
            <w:pPr>
              <w:pStyle w:val="TableParagraph"/>
              <w:spacing w:line="307" w:lineRule="exact"/>
              <w:ind w:left="125" w:right="97"/>
              <w:rPr>
                <w:sz w:val="21"/>
              </w:rPr>
            </w:pPr>
            <w:r>
              <w:rPr>
                <w:rFonts w:ascii="Times New Roman" w:eastAsia="Times New Roman"/>
                <w:sz w:val="21"/>
              </w:rPr>
              <w:t>2020 </w:t>
            </w:r>
            <w:r>
              <w:rPr>
                <w:sz w:val="21"/>
              </w:rPr>
              <w:t>年 </w:t>
            </w:r>
            <w:r>
              <w:rPr>
                <w:rFonts w:ascii="Times New Roman" w:eastAsia="Times New Roman"/>
                <w:sz w:val="21"/>
              </w:rPr>
              <w:t>1 </w:t>
            </w:r>
            <w:r>
              <w:rPr>
                <w:sz w:val="21"/>
              </w:rPr>
              <w:t>月 </w:t>
            </w:r>
            <w:r>
              <w:rPr>
                <w:rFonts w:ascii="Times New Roman" w:eastAsia="Times New Roman"/>
                <w:sz w:val="21"/>
              </w:rPr>
              <w:t>1 </w:t>
            </w:r>
            <w:r>
              <w:rPr>
                <w:sz w:val="21"/>
              </w:rPr>
              <w:t>日起，严格执行涂料、油墨、胶黏剂、清</w:t>
            </w:r>
          </w:p>
          <w:p>
            <w:pPr>
              <w:pStyle w:val="TableParagraph"/>
              <w:spacing w:line="296" w:lineRule="exact"/>
              <w:ind w:left="138" w:right="107"/>
              <w:rPr>
                <w:sz w:val="21"/>
              </w:rPr>
            </w:pPr>
            <w:r>
              <w:rPr>
                <w:sz w:val="21"/>
              </w:rPr>
              <w:t>洗剂等 </w:t>
            </w:r>
            <w:r>
              <w:rPr>
                <w:rFonts w:ascii="Times New Roman" w:eastAsia="Times New Roman"/>
                <w:sz w:val="21"/>
              </w:rPr>
              <w:t>VOCs </w:t>
            </w:r>
            <w:r>
              <w:rPr>
                <w:sz w:val="21"/>
              </w:rPr>
              <w:t>含量限值强制性标准。</w:t>
            </w:r>
          </w:p>
        </w:tc>
        <w:tc>
          <w:tcPr>
            <w:tcW w:w="1592" w:type="dxa"/>
            <w:tcBorders>
              <w:top w:val="single" w:sz="6" w:space="0" w:color="000000"/>
              <w:left w:val="single" w:sz="6" w:space="0" w:color="000000"/>
              <w:bottom w:val="single" w:sz="6" w:space="0" w:color="000000"/>
              <w:right w:val="single" w:sz="6" w:space="0" w:color="000000"/>
            </w:tcBorders>
          </w:tcPr>
          <w:p>
            <w:pPr>
              <w:pStyle w:val="TableParagraph"/>
              <w:spacing w:line="307" w:lineRule="exact"/>
              <w:ind w:left="153" w:right="123"/>
              <w:rPr>
                <w:sz w:val="21"/>
              </w:rPr>
            </w:pPr>
            <w:r>
              <w:rPr>
                <w:sz w:val="21"/>
              </w:rPr>
              <w:t>项目不涉及以</w:t>
            </w:r>
          </w:p>
          <w:p>
            <w:pPr>
              <w:pStyle w:val="TableParagraph"/>
              <w:spacing w:line="296" w:lineRule="exact"/>
              <w:ind w:left="153" w:right="122"/>
              <w:rPr>
                <w:sz w:val="21"/>
              </w:rPr>
            </w:pPr>
            <w:r>
              <w:rPr>
                <w:sz w:val="21"/>
              </w:rPr>
              <w:t>上物质</w:t>
            </w:r>
          </w:p>
        </w:tc>
        <w:tc>
          <w:tcPr>
            <w:tcW w:w="523" w:type="dxa"/>
            <w:tcBorders>
              <w:top w:val="single" w:sz="6" w:space="0" w:color="000000"/>
              <w:left w:val="single" w:sz="6" w:space="0" w:color="000000"/>
              <w:bottom w:val="single" w:sz="6" w:space="0" w:color="000000"/>
            </w:tcBorders>
          </w:tcPr>
          <w:p>
            <w:pPr>
              <w:pStyle w:val="TableParagraph"/>
              <w:spacing w:line="307" w:lineRule="exact"/>
              <w:ind w:left="162"/>
              <w:jc w:val="left"/>
              <w:rPr>
                <w:sz w:val="21"/>
              </w:rPr>
            </w:pPr>
            <w:r>
              <w:rPr>
                <w:w w:val="100"/>
                <w:sz w:val="21"/>
              </w:rPr>
              <w:t>符</w:t>
            </w:r>
          </w:p>
          <w:p>
            <w:pPr>
              <w:pStyle w:val="TableParagraph"/>
              <w:spacing w:line="296" w:lineRule="exact"/>
              <w:ind w:left="162"/>
              <w:jc w:val="left"/>
              <w:rPr>
                <w:sz w:val="21"/>
              </w:rPr>
            </w:pPr>
            <w:r>
              <w:rPr>
                <w:w w:val="100"/>
                <w:sz w:val="21"/>
              </w:rPr>
              <w:t>合</w:t>
            </w:r>
          </w:p>
        </w:tc>
      </w:tr>
      <w:tr>
        <w:trPr>
          <w:trHeight w:val="2185" w:hRule="atLeast"/>
        </w:trPr>
        <w:tc>
          <w:tcPr>
            <w:tcW w:w="1049" w:type="dxa"/>
            <w:vMerge/>
            <w:tcBorders>
              <w:top w:val="nil"/>
              <w:right w:val="single" w:sz="6" w:space="0" w:color="000000"/>
            </w:tcBorders>
          </w:tcPr>
          <w:p>
            <w:pPr>
              <w:rPr>
                <w:sz w:val="2"/>
                <w:szCs w:val="2"/>
              </w:rPr>
            </w:pPr>
          </w:p>
        </w:tc>
        <w:tc>
          <w:tcPr>
            <w:tcW w:w="5360"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1"/>
              </w:rPr>
            </w:pPr>
          </w:p>
          <w:p>
            <w:pPr>
              <w:pStyle w:val="TableParagraph"/>
              <w:spacing w:line="379" w:lineRule="exact"/>
              <w:ind w:left="138"/>
              <w:jc w:val="left"/>
              <w:rPr>
                <w:sz w:val="21"/>
              </w:rPr>
            </w:pPr>
            <w:r>
              <w:rPr>
                <w:rFonts w:ascii="Times New Roman" w:eastAsia="Times New Roman"/>
                <w:sz w:val="21"/>
              </w:rPr>
              <w:t>2019 </w:t>
            </w:r>
            <w:r>
              <w:rPr>
                <w:sz w:val="21"/>
              </w:rPr>
              <w:t>年 </w:t>
            </w:r>
            <w:r>
              <w:rPr>
                <w:rFonts w:ascii="Times New Roman" w:eastAsia="Times New Roman"/>
                <w:sz w:val="21"/>
              </w:rPr>
              <w:t>1 </w:t>
            </w:r>
            <w:r>
              <w:rPr>
                <w:sz w:val="21"/>
              </w:rPr>
              <w:t>月 </w:t>
            </w:r>
            <w:r>
              <w:rPr>
                <w:rFonts w:ascii="Times New Roman" w:eastAsia="Times New Roman"/>
                <w:sz w:val="21"/>
              </w:rPr>
              <w:t>1 </w:t>
            </w:r>
            <w:r>
              <w:rPr>
                <w:sz w:val="21"/>
              </w:rPr>
              <w:t>日起，燃气锅炉执行修订的《锅炉大气污</w:t>
            </w:r>
          </w:p>
          <w:p>
            <w:pPr>
              <w:pStyle w:val="TableParagraph"/>
              <w:spacing w:line="168" w:lineRule="auto" w:before="27"/>
              <w:ind w:left="114" w:right="-29"/>
              <w:jc w:val="both"/>
              <w:rPr>
                <w:sz w:val="21"/>
              </w:rPr>
            </w:pPr>
            <w:r>
              <w:rPr>
                <w:spacing w:val="-18"/>
                <w:sz w:val="21"/>
              </w:rPr>
              <w:t>染物排放标准》</w:t>
            </w:r>
            <w:r>
              <w:rPr>
                <w:sz w:val="21"/>
              </w:rPr>
              <w:t>（</w:t>
            </w:r>
            <w:r>
              <w:rPr>
                <w:rFonts w:ascii="Times New Roman" w:eastAsia="Times New Roman"/>
                <w:sz w:val="21"/>
              </w:rPr>
              <w:t>DB37/2374-2018</w:t>
            </w:r>
            <w:r>
              <w:rPr>
                <w:sz w:val="21"/>
              </w:rPr>
              <w:t>）</w:t>
            </w:r>
            <w:r>
              <w:rPr>
                <w:spacing w:val="3"/>
                <w:sz w:val="21"/>
              </w:rPr>
              <w:t>表 </w:t>
            </w:r>
            <w:r>
              <w:rPr>
                <w:rFonts w:ascii="Times New Roman" w:eastAsia="Times New Roman"/>
                <w:sz w:val="21"/>
              </w:rPr>
              <w:t>2 </w:t>
            </w:r>
            <w:r>
              <w:rPr>
                <w:spacing w:val="-3"/>
                <w:sz w:val="21"/>
              </w:rPr>
              <w:t>大气污染物排放浓度限值。</w:t>
            </w:r>
            <w:r>
              <w:rPr>
                <w:rFonts w:ascii="Times New Roman" w:eastAsia="Times New Roman"/>
                <w:sz w:val="21"/>
              </w:rPr>
              <w:t>6 </w:t>
            </w:r>
            <w:r>
              <w:rPr>
                <w:spacing w:val="3"/>
                <w:sz w:val="21"/>
              </w:rPr>
              <w:t>月 </w:t>
            </w:r>
            <w:r>
              <w:rPr>
                <w:rFonts w:ascii="Times New Roman" w:eastAsia="Times New Roman"/>
                <w:sz w:val="21"/>
              </w:rPr>
              <w:t>30 </w:t>
            </w:r>
            <w:r>
              <w:rPr>
                <w:spacing w:val="-3"/>
                <w:sz w:val="21"/>
              </w:rPr>
              <w:t>日前，生物质发电、垃圾发电企业大气污染物排放达到《山东省火电厂大气污染物排放标准》</w:t>
            </w:r>
          </w:p>
          <w:p>
            <w:pPr>
              <w:pStyle w:val="TableParagraph"/>
              <w:spacing w:line="353" w:lineRule="exact"/>
              <w:ind w:left="135" w:right="107"/>
              <w:rPr>
                <w:sz w:val="21"/>
              </w:rPr>
            </w:pPr>
            <w:r>
              <w:rPr>
                <w:sz w:val="21"/>
              </w:rPr>
              <w:t>（</w:t>
            </w:r>
            <w:r>
              <w:rPr>
                <w:rFonts w:ascii="Times New Roman" w:eastAsia="Times New Roman"/>
                <w:sz w:val="21"/>
              </w:rPr>
              <w:t>DB37/664-2013)</w:t>
            </w:r>
            <w:r>
              <w:rPr>
                <w:sz w:val="21"/>
              </w:rPr>
              <w:t>表 </w:t>
            </w:r>
            <w:r>
              <w:rPr>
                <w:rFonts w:ascii="Times New Roman" w:eastAsia="Times New Roman"/>
                <w:sz w:val="21"/>
              </w:rPr>
              <w:t>3 </w:t>
            </w:r>
            <w:r>
              <w:rPr>
                <w:sz w:val="21"/>
              </w:rPr>
              <w:t>燃煤锅炉限值要求。</w:t>
            </w:r>
          </w:p>
        </w:tc>
        <w:tc>
          <w:tcPr>
            <w:tcW w:w="1592"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172"/>
              <w:jc w:val="left"/>
              <w:rPr>
                <w:sz w:val="21"/>
              </w:rPr>
            </w:pPr>
            <w:r>
              <w:rPr>
                <w:sz w:val="21"/>
              </w:rPr>
              <w:t>项目锅炉满足</w:t>
            </w:r>
          </w:p>
          <w:p>
            <w:pPr>
              <w:pStyle w:val="TableParagraph"/>
              <w:spacing w:line="168" w:lineRule="auto" w:before="26"/>
              <w:ind w:left="119" w:right="-29" w:firstLine="52"/>
              <w:jc w:val="left"/>
              <w:rPr>
                <w:sz w:val="21"/>
              </w:rPr>
            </w:pPr>
            <w:r>
              <w:rPr>
                <w:spacing w:val="-2"/>
                <w:sz w:val="21"/>
              </w:rPr>
              <w:t>《锅炉大气污</w:t>
            </w:r>
            <w:r>
              <w:rPr>
                <w:spacing w:val="-3"/>
                <w:sz w:val="21"/>
              </w:rPr>
              <w:t>染物排放标准》</w:t>
            </w:r>
          </w:p>
          <w:p>
            <w:pPr>
              <w:pStyle w:val="TableParagraph"/>
              <w:spacing w:line="287" w:lineRule="exact"/>
              <w:ind w:left="119"/>
              <w:jc w:val="left"/>
              <w:rPr>
                <w:rFonts w:ascii="Times New Roman" w:eastAsia="Times New Roman"/>
                <w:sz w:val="21"/>
              </w:rPr>
            </w:pPr>
            <w:r>
              <w:rPr>
                <w:sz w:val="21"/>
              </w:rPr>
              <w:t>（</w:t>
            </w:r>
            <w:r>
              <w:rPr>
                <w:rFonts w:ascii="Times New Roman" w:eastAsia="Times New Roman"/>
                <w:sz w:val="21"/>
              </w:rPr>
              <w:t>DB37/2374-2</w:t>
            </w:r>
          </w:p>
          <w:p>
            <w:pPr>
              <w:pStyle w:val="TableParagraph"/>
              <w:spacing w:line="168" w:lineRule="auto" w:before="27"/>
              <w:ind w:left="172" w:right="86" w:hanging="53"/>
              <w:jc w:val="left"/>
              <w:rPr>
                <w:sz w:val="21"/>
              </w:rPr>
            </w:pPr>
            <w:r>
              <w:rPr>
                <w:rFonts w:ascii="Times New Roman" w:eastAsia="Times New Roman"/>
                <w:sz w:val="21"/>
              </w:rPr>
              <w:t>018</w:t>
            </w:r>
            <w:r>
              <w:rPr>
                <w:sz w:val="21"/>
              </w:rPr>
              <w:t>）表 </w:t>
            </w:r>
            <w:r>
              <w:rPr>
                <w:rFonts w:ascii="Times New Roman" w:eastAsia="Times New Roman"/>
                <w:sz w:val="21"/>
              </w:rPr>
              <w:t>2 </w:t>
            </w:r>
            <w:r>
              <w:rPr>
                <w:sz w:val="21"/>
              </w:rPr>
              <w:t>大气污染物排放浓</w:t>
            </w:r>
          </w:p>
          <w:p>
            <w:pPr>
              <w:pStyle w:val="TableParagraph"/>
              <w:spacing w:line="270" w:lineRule="exact"/>
              <w:ind w:left="153" w:right="122"/>
              <w:rPr>
                <w:sz w:val="21"/>
              </w:rPr>
            </w:pPr>
            <w:r>
              <w:rPr>
                <w:sz w:val="21"/>
              </w:rPr>
              <w:t>度限值</w:t>
            </w:r>
          </w:p>
        </w:tc>
        <w:tc>
          <w:tcPr>
            <w:tcW w:w="523" w:type="dxa"/>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20"/>
              <w:jc w:val="left"/>
              <w:rPr>
                <w:sz w:val="17"/>
              </w:rPr>
            </w:pPr>
          </w:p>
          <w:p>
            <w:pPr>
              <w:pStyle w:val="TableParagraph"/>
              <w:spacing w:line="168" w:lineRule="auto"/>
              <w:ind w:left="162" w:right="124"/>
              <w:jc w:val="left"/>
              <w:rPr>
                <w:sz w:val="21"/>
              </w:rPr>
            </w:pPr>
            <w:r>
              <w:rPr>
                <w:sz w:val="21"/>
              </w:rPr>
              <w:t>符合</w:t>
            </w:r>
          </w:p>
        </w:tc>
      </w:tr>
      <w:tr>
        <w:trPr>
          <w:trHeight w:val="2192" w:hRule="atLeast"/>
        </w:trPr>
        <w:tc>
          <w:tcPr>
            <w:tcW w:w="1049" w:type="dxa"/>
            <w:vMerge/>
            <w:tcBorders>
              <w:top w:val="nil"/>
              <w:right w:val="single" w:sz="6" w:space="0" w:color="000000"/>
            </w:tcBorders>
          </w:tcPr>
          <w:p>
            <w:pPr>
              <w:rPr>
                <w:sz w:val="2"/>
                <w:szCs w:val="2"/>
              </w:rPr>
            </w:pPr>
          </w:p>
        </w:tc>
        <w:tc>
          <w:tcPr>
            <w:tcW w:w="5360" w:type="dxa"/>
            <w:tcBorders>
              <w:top w:val="single" w:sz="6" w:space="0" w:color="000000"/>
              <w:left w:val="single" w:sz="6" w:space="0" w:color="000000"/>
              <w:right w:val="single" w:sz="6" w:space="0" w:color="000000"/>
            </w:tcBorders>
          </w:tcPr>
          <w:p>
            <w:pPr>
              <w:pStyle w:val="TableParagraph"/>
              <w:spacing w:line="168" w:lineRule="auto" w:before="22"/>
              <w:ind w:left="114" w:right="-29"/>
              <w:jc w:val="left"/>
              <w:rPr>
                <w:sz w:val="21"/>
              </w:rPr>
            </w:pPr>
            <w:r>
              <w:rPr>
                <w:spacing w:val="-5"/>
                <w:sz w:val="21"/>
              </w:rPr>
              <w:t>无组织排放治理改造。</w:t>
            </w:r>
            <w:r>
              <w:rPr>
                <w:rFonts w:ascii="Times New Roman" w:eastAsia="Times New Roman"/>
                <w:sz w:val="21"/>
              </w:rPr>
              <w:t>2019</w:t>
            </w:r>
            <w:r>
              <w:rPr>
                <w:rFonts w:ascii="Times New Roman" w:eastAsia="Times New Roman"/>
                <w:spacing w:val="3"/>
                <w:sz w:val="21"/>
              </w:rPr>
              <w:t> </w:t>
            </w:r>
            <w:r>
              <w:rPr>
                <w:spacing w:val="4"/>
                <w:sz w:val="21"/>
              </w:rPr>
              <w:t>年 </w:t>
            </w:r>
            <w:r>
              <w:rPr>
                <w:rFonts w:ascii="Times New Roman" w:eastAsia="Times New Roman"/>
                <w:sz w:val="21"/>
              </w:rPr>
              <w:t>9 </w:t>
            </w:r>
            <w:r>
              <w:rPr>
                <w:spacing w:val="4"/>
                <w:sz w:val="21"/>
              </w:rPr>
              <w:t>月 </w:t>
            </w:r>
            <w:r>
              <w:rPr>
                <w:rFonts w:ascii="Times New Roman" w:eastAsia="Times New Roman"/>
                <w:sz w:val="21"/>
              </w:rPr>
              <w:t>30</w:t>
            </w:r>
            <w:r>
              <w:rPr>
                <w:rFonts w:ascii="Times New Roman" w:eastAsia="Times New Roman"/>
                <w:spacing w:val="3"/>
                <w:sz w:val="21"/>
              </w:rPr>
              <w:t> </w:t>
            </w:r>
            <w:r>
              <w:rPr>
                <w:spacing w:val="-7"/>
                <w:sz w:val="21"/>
              </w:rPr>
              <w:t>日前，对钢铁、建</w:t>
            </w:r>
            <w:r>
              <w:rPr>
                <w:spacing w:val="-5"/>
                <w:sz w:val="21"/>
              </w:rPr>
              <w:t>材、有色、火电、焦化、铸造等重点行业及燃煤锅炉开 </w:t>
            </w:r>
            <w:r>
              <w:rPr>
                <w:spacing w:val="-4"/>
                <w:sz w:val="21"/>
              </w:rPr>
              <w:t>展无组织排放排查，建立管理台账，实施物料</w:t>
            </w:r>
            <w:r>
              <w:rPr>
                <w:spacing w:val="-3"/>
                <w:sz w:val="21"/>
              </w:rPr>
              <w:t>（</w:t>
            </w:r>
            <w:r>
              <w:rPr>
                <w:spacing w:val="-2"/>
                <w:sz w:val="21"/>
              </w:rPr>
              <w:t>含废渣</w:t>
            </w:r>
            <w:r>
              <w:rPr>
                <w:sz w:val="21"/>
              </w:rPr>
              <w:t>） </w:t>
            </w:r>
            <w:r>
              <w:rPr>
                <w:spacing w:val="-3"/>
                <w:sz w:val="21"/>
              </w:rPr>
              <w:t>运输、装卸、储存、转移以及企业生产工艺过程等无组 织排放全过程管控，确保不扬尘、不漏排、不遗洒、不 露天。重点扬尘排放点，要安装颗粒物自动在线监测装</w:t>
            </w:r>
          </w:p>
          <w:p>
            <w:pPr>
              <w:pStyle w:val="TableParagraph"/>
              <w:spacing w:line="281" w:lineRule="exact"/>
              <w:ind w:left="114" w:right="-29"/>
              <w:jc w:val="left"/>
              <w:rPr>
                <w:sz w:val="21"/>
              </w:rPr>
            </w:pPr>
            <w:r>
              <w:rPr>
                <w:spacing w:val="-2"/>
                <w:sz w:val="21"/>
              </w:rPr>
              <w:t>置或视频监控设备，监测数据和视频资料保留 </w:t>
            </w:r>
            <w:r>
              <w:rPr>
                <w:rFonts w:ascii="Times New Roman" w:eastAsia="Times New Roman"/>
                <w:sz w:val="21"/>
              </w:rPr>
              <w:t>1</w:t>
            </w:r>
            <w:r>
              <w:rPr>
                <w:rFonts w:ascii="Times New Roman" w:eastAsia="Times New Roman"/>
                <w:spacing w:val="13"/>
                <w:sz w:val="21"/>
              </w:rPr>
              <w:t> </w:t>
            </w:r>
            <w:r>
              <w:rPr>
                <w:spacing w:val="-3"/>
                <w:sz w:val="21"/>
              </w:rPr>
              <w:t>年以上。</w:t>
            </w:r>
          </w:p>
        </w:tc>
        <w:tc>
          <w:tcPr>
            <w:tcW w:w="1592" w:type="dxa"/>
            <w:tcBorders>
              <w:top w:val="single" w:sz="6" w:space="0" w:color="000000"/>
              <w:left w:val="single" w:sz="6" w:space="0" w:color="000000"/>
              <w:right w:val="single" w:sz="6" w:space="0" w:color="000000"/>
            </w:tcBorders>
          </w:tcPr>
          <w:p>
            <w:pPr>
              <w:pStyle w:val="TableParagraph"/>
              <w:spacing w:line="168" w:lineRule="auto" w:before="178"/>
              <w:ind w:left="114" w:right="-29" w:firstLine="57"/>
              <w:jc w:val="left"/>
              <w:rPr>
                <w:sz w:val="21"/>
              </w:rPr>
            </w:pPr>
            <w:r>
              <w:rPr>
                <w:spacing w:val="-2"/>
                <w:sz w:val="21"/>
              </w:rPr>
              <w:t>项目不属于钢</w:t>
            </w:r>
            <w:r>
              <w:rPr>
                <w:spacing w:val="-28"/>
                <w:sz w:val="21"/>
              </w:rPr>
              <w:t>铁、建材、有色、</w:t>
            </w:r>
            <w:r>
              <w:rPr>
                <w:spacing w:val="-24"/>
                <w:sz w:val="21"/>
              </w:rPr>
              <w:t>火电、焦化、铸</w:t>
            </w:r>
            <w:r>
              <w:rPr>
                <w:spacing w:val="-9"/>
                <w:sz w:val="21"/>
              </w:rPr>
              <w:t>造等重点行业， </w:t>
            </w:r>
            <w:r>
              <w:rPr>
                <w:spacing w:val="-5"/>
                <w:sz w:val="21"/>
              </w:rPr>
              <w:t>不使用燃煤锅</w:t>
            </w:r>
          </w:p>
          <w:p>
            <w:pPr>
              <w:pStyle w:val="TableParagraph"/>
              <w:spacing w:line="354" w:lineRule="exact"/>
              <w:ind w:left="26"/>
              <w:rPr>
                <w:sz w:val="21"/>
              </w:rPr>
            </w:pPr>
            <w:r>
              <w:rPr>
                <w:w w:val="100"/>
                <w:sz w:val="21"/>
              </w:rPr>
              <w:t>炉</w:t>
            </w:r>
          </w:p>
        </w:tc>
        <w:tc>
          <w:tcPr>
            <w:tcW w:w="523" w:type="dxa"/>
            <w:tcBorders>
              <w:top w:val="single" w:sz="6" w:space="0" w:color="000000"/>
              <w:left w:val="single" w:sz="6" w:space="0" w:color="000000"/>
            </w:tcBorders>
          </w:tcPr>
          <w:p>
            <w:pPr>
              <w:pStyle w:val="TableParagraph"/>
              <w:jc w:val="left"/>
              <w:rPr>
                <w:sz w:val="20"/>
              </w:rPr>
            </w:pPr>
          </w:p>
          <w:p>
            <w:pPr>
              <w:pStyle w:val="TableParagraph"/>
              <w:spacing w:before="17"/>
              <w:jc w:val="left"/>
              <w:rPr>
                <w:sz w:val="17"/>
              </w:rPr>
            </w:pPr>
          </w:p>
          <w:p>
            <w:pPr>
              <w:pStyle w:val="TableParagraph"/>
              <w:spacing w:line="168" w:lineRule="auto"/>
              <w:ind w:left="162" w:right="124"/>
              <w:jc w:val="left"/>
              <w:rPr>
                <w:sz w:val="21"/>
              </w:rPr>
            </w:pPr>
            <w:r>
              <w:rPr>
                <w:sz w:val="21"/>
              </w:rPr>
              <w:t>符合</w:t>
            </w:r>
          </w:p>
        </w:tc>
      </w:tr>
    </w:tbl>
    <w:p>
      <w:pPr>
        <w:spacing w:after="0" w:line="168" w:lineRule="auto"/>
        <w:jc w:val="left"/>
        <w:rPr>
          <w:sz w:val="21"/>
        </w:rPr>
        <w:sectPr>
          <w:pgSz w:w="11910" w:h="16840"/>
          <w:pgMar w:header="877" w:footer="973" w:top="1420" w:bottom="1160" w:left="1560" w:right="1560"/>
        </w:sectPr>
      </w:pPr>
    </w:p>
    <w:p>
      <w:pPr>
        <w:pStyle w:val="BodyText"/>
        <w:spacing w:line="220" w:lineRule="auto" w:before="3"/>
        <w:ind w:left="240" w:right="241" w:firstLine="479"/>
        <w:jc w:val="both"/>
      </w:pPr>
      <w:r>
        <w:rPr>
          <w:spacing w:val="-11"/>
        </w:rPr>
        <w:t>由上表看出，本项目符合《临沂市人民政府关于印发临沂市打赢蓝天保卫战</w:t>
      </w:r>
      <w:r>
        <w:rPr>
          <w:spacing w:val="13"/>
        </w:rPr>
        <w:t>作战方案暨 </w:t>
      </w:r>
      <w:r>
        <w:rPr>
          <w:rFonts w:ascii="Times New Roman" w:eastAsia="Times New Roman"/>
        </w:rPr>
        <w:t>2018-2020 </w:t>
      </w:r>
      <w:r>
        <w:rPr>
          <w:spacing w:val="7"/>
        </w:rPr>
        <w:t>年大气污染防治攻坚行动实施方案的通知》</w:t>
      </w:r>
      <w:r>
        <w:rPr>
          <w:spacing w:val="14"/>
        </w:rPr>
        <w:t>（</w:t>
      </w:r>
      <w:r>
        <w:rPr>
          <w:spacing w:val="10"/>
        </w:rPr>
        <w:t>临政发</w:t>
      </w:r>
    </w:p>
    <w:p>
      <w:pPr>
        <w:pStyle w:val="BodyText"/>
        <w:spacing w:line="480" w:lineRule="exact"/>
        <w:ind w:left="240"/>
      </w:pPr>
      <w:r>
        <w:rPr>
          <w:rFonts w:ascii="Times New Roman" w:eastAsia="Times New Roman"/>
        </w:rPr>
        <w:t>[2018]19 </w:t>
      </w:r>
      <w:r>
        <w:rPr/>
        <w:t>号）的有关规定。</w:t>
      </w:r>
    </w:p>
    <w:p>
      <w:pPr>
        <w:pStyle w:val="Heading2"/>
        <w:numPr>
          <w:ilvl w:val="1"/>
          <w:numId w:val="21"/>
        </w:numPr>
        <w:tabs>
          <w:tab w:pos="1052" w:val="left" w:leader="none"/>
        </w:tabs>
        <w:spacing w:line="240" w:lineRule="auto" w:before="121" w:after="0"/>
        <w:ind w:left="1051" w:right="0" w:hanging="811"/>
        <w:jc w:val="left"/>
        <w:rPr>
          <w:rFonts w:ascii="Times New Roman" w:eastAsia="Times New Roman"/>
        </w:rPr>
      </w:pPr>
      <w:r>
        <w:rPr/>
        <w:t>选址合理性</w:t>
      </w:r>
    </w:p>
    <w:p>
      <w:pPr>
        <w:pStyle w:val="Heading3"/>
        <w:numPr>
          <w:ilvl w:val="2"/>
          <w:numId w:val="21"/>
        </w:numPr>
        <w:tabs>
          <w:tab w:pos="1201" w:val="left" w:leader="none"/>
        </w:tabs>
        <w:spacing w:line="240" w:lineRule="auto" w:before="134" w:after="0"/>
        <w:ind w:left="1200" w:right="0" w:hanging="960"/>
        <w:jc w:val="left"/>
      </w:pPr>
      <w:r>
        <w:rPr/>
        <w:t>与莒南县城市总体规划符合性分析</w:t>
      </w:r>
    </w:p>
    <w:p>
      <w:pPr>
        <w:pStyle w:val="BodyText"/>
        <w:spacing w:line="220" w:lineRule="auto" w:before="198"/>
        <w:ind w:left="240" w:right="164" w:firstLine="479"/>
        <w:jc w:val="both"/>
      </w:pPr>
      <w:r>
        <w:rPr>
          <w:spacing w:val="-5"/>
        </w:rPr>
        <w:t>项目位于山东莒南经济开发区化工工业区内，淮海路西段路南，莒南经济开发区污水处理厂西侧，根据《莒南县城市总体规划》（</w:t>
      </w:r>
      <w:r>
        <w:rPr>
          <w:rFonts w:ascii="Times New Roman" w:eastAsia="Times New Roman"/>
          <w:spacing w:val="-5"/>
        </w:rPr>
        <w:t>2010-2030</w:t>
      </w:r>
      <w:r>
        <w:rPr>
          <w:spacing w:val="-5"/>
        </w:rPr>
        <w:t>），项目选址不在莒南县城市总体规划（</w:t>
      </w:r>
      <w:r>
        <w:rPr>
          <w:rFonts w:ascii="Times New Roman" w:eastAsia="Times New Roman"/>
          <w:spacing w:val="-5"/>
        </w:rPr>
        <w:t>2010-2030</w:t>
      </w:r>
      <w:r>
        <w:rPr>
          <w:spacing w:val="-5"/>
        </w:rPr>
        <w:t>）范围内，莒南县城市规划图见图</w:t>
      </w:r>
      <w:r>
        <w:rPr>
          <w:rFonts w:ascii="Times New Roman" w:eastAsia="Times New Roman"/>
          <w:spacing w:val="-5"/>
        </w:rPr>
        <w:t>11.2-1</w:t>
      </w:r>
      <w:r>
        <w:rPr>
          <w:spacing w:val="-5"/>
        </w:rPr>
        <w:t>。</w:t>
      </w:r>
    </w:p>
    <w:p>
      <w:pPr>
        <w:pStyle w:val="Heading3"/>
        <w:numPr>
          <w:ilvl w:val="2"/>
          <w:numId w:val="21"/>
        </w:numPr>
        <w:tabs>
          <w:tab w:pos="1201" w:val="left" w:leader="none"/>
        </w:tabs>
        <w:spacing w:line="240" w:lineRule="auto" w:before="150" w:after="0"/>
        <w:ind w:left="1200" w:right="0" w:hanging="960"/>
        <w:jc w:val="left"/>
      </w:pPr>
      <w:r>
        <w:rPr/>
        <w:t>与莒南县化工园区规划符合性分析</w:t>
      </w:r>
    </w:p>
    <w:p>
      <w:pPr>
        <w:pStyle w:val="BodyText"/>
        <w:spacing w:line="220" w:lineRule="auto" w:before="197"/>
        <w:ind w:left="240" w:right="113" w:firstLine="479"/>
        <w:jc w:val="both"/>
      </w:pPr>
      <w:r>
        <w:rPr/>
        <w:t>《莒南县化工园区总体发展规划环境影响报告书》于</w:t>
      </w:r>
      <w:r>
        <w:rPr>
          <w:rFonts w:ascii="Times New Roman" w:eastAsia="Times New Roman"/>
        </w:rPr>
        <w:t>2018</w:t>
      </w:r>
      <w:r>
        <w:rPr/>
        <w:t>年</w:t>
      </w:r>
      <w:r>
        <w:rPr>
          <w:rFonts w:ascii="Times New Roman" w:eastAsia="Times New Roman"/>
        </w:rPr>
        <w:t>6</w:t>
      </w:r>
      <w:r>
        <w:rPr/>
        <w:t>月通过莒南县</w:t>
      </w:r>
      <w:r>
        <w:rPr>
          <w:spacing w:val="-1"/>
        </w:rPr>
        <w:t>环境保护局审批</w:t>
      </w:r>
      <w:r>
        <w:rPr/>
        <w:t>（莒南环评函</w:t>
      </w:r>
      <w:r>
        <w:rPr>
          <w:rFonts w:ascii="Times New Roman" w:eastAsia="Times New Roman"/>
        </w:rPr>
        <w:t>[2018]06</w:t>
      </w:r>
      <w:r>
        <w:rPr>
          <w:spacing w:val="-3"/>
        </w:rPr>
        <w:t>号</w:t>
      </w:r>
      <w:r>
        <w:rPr>
          <w:spacing w:val="-4"/>
        </w:rPr>
        <w:t>）</w:t>
      </w:r>
      <w:r>
        <w:rPr>
          <w:spacing w:val="-3"/>
        </w:rPr>
        <w:t>，同时根据《山东省人民政府办公厅</w:t>
      </w:r>
      <w:r>
        <w:rPr>
          <w:spacing w:val="-4"/>
        </w:rPr>
        <w:t>关于公布第三批化工园区和专业化工园区名单的通知》</w:t>
      </w:r>
      <w:r>
        <w:rPr/>
        <w:t>（鲁政办字</w:t>
      </w:r>
      <w:r>
        <w:rPr>
          <w:rFonts w:ascii="Times New Roman" w:eastAsia="Times New Roman"/>
        </w:rPr>
        <w:t>[2019]4</w:t>
      </w:r>
      <w:r>
        <w:rPr/>
        <w:t>号</w:t>
      </w:r>
      <w:r>
        <w:rPr>
          <w:spacing w:val="-3"/>
        </w:rPr>
        <w:t>）， </w:t>
      </w:r>
      <w:r>
        <w:rPr/>
        <w:t>临沂莒南县化工园区为第三批认定的化工园区。</w:t>
      </w:r>
    </w:p>
    <w:p>
      <w:pPr>
        <w:pStyle w:val="BodyText"/>
        <w:spacing w:line="220" w:lineRule="auto"/>
        <w:ind w:left="240" w:right="233" w:firstLine="479"/>
        <w:jc w:val="both"/>
      </w:pPr>
      <w:r>
        <w:rPr>
          <w:spacing w:val="-8"/>
        </w:rPr>
        <w:t>化工园区四至：东至西五路，西至滨河路，南至黄海路，北至北二路。根据莒南县化工园区总体发展规划（</w:t>
      </w:r>
      <w:r>
        <w:rPr>
          <w:rFonts w:ascii="Times New Roman" w:eastAsia="Times New Roman"/>
          <w:spacing w:val="-8"/>
        </w:rPr>
        <w:t>2017-2030</w:t>
      </w:r>
      <w:r>
        <w:rPr>
          <w:spacing w:val="-8"/>
        </w:rPr>
        <w:t>），项目选址位于化工园区内，用地</w:t>
      </w:r>
      <w:r>
        <w:rPr/>
        <w:t>类型属于工业用地，项目选址符合规划要求，项目与莒南县化工园区规划见图</w:t>
      </w:r>
      <w:r>
        <w:rPr>
          <w:rFonts w:ascii="Times New Roman" w:eastAsia="Times New Roman"/>
        </w:rPr>
        <w:t>11.2-2</w:t>
      </w:r>
      <w:r>
        <w:rPr/>
        <w:t>。</w:t>
      </w:r>
    </w:p>
    <w:p>
      <w:pPr>
        <w:pStyle w:val="BodyText"/>
        <w:spacing w:line="220" w:lineRule="auto"/>
        <w:ind w:left="240" w:right="238" w:firstLine="479"/>
        <w:jc w:val="both"/>
      </w:pPr>
      <w:r>
        <w:rPr>
          <w:spacing w:val="-9"/>
        </w:rPr>
        <w:t>项目与《莒南县化工园区总体发展规划环境影响报告书》审查意见符合性分析见表</w:t>
      </w:r>
      <w:r>
        <w:rPr>
          <w:rFonts w:ascii="Times New Roman" w:eastAsia="Times New Roman"/>
          <w:spacing w:val="-9"/>
        </w:rPr>
        <w:t>11.1-14</w:t>
      </w:r>
      <w:r>
        <w:rPr>
          <w:spacing w:val="-9"/>
        </w:rPr>
        <w:t>。</w:t>
      </w:r>
    </w:p>
    <w:p>
      <w:pPr>
        <w:tabs>
          <w:tab w:pos="1339" w:val="left" w:leader="none"/>
        </w:tabs>
        <w:spacing w:before="6" w:after="24"/>
        <w:ind w:left="281" w:right="0" w:firstLine="0"/>
        <w:jc w:val="left"/>
        <w:rPr>
          <w:sz w:val="21"/>
        </w:rPr>
      </w:pPr>
      <w:r>
        <w:rPr>
          <w:sz w:val="21"/>
        </w:rPr>
        <w:t>表</w:t>
      </w:r>
      <w:r>
        <w:rPr>
          <w:rFonts w:ascii="Times New Roman" w:eastAsia="Times New Roman"/>
          <w:b/>
          <w:spacing w:val="-3"/>
          <w:sz w:val="21"/>
        </w:rPr>
        <w:t>11.1-14</w:t>
        <w:tab/>
      </w:r>
      <w:r>
        <w:rPr>
          <w:sz w:val="21"/>
        </w:rPr>
        <w:t>项目与《莒</w:t>
      </w:r>
      <w:r>
        <w:rPr>
          <w:spacing w:val="-3"/>
          <w:sz w:val="21"/>
        </w:rPr>
        <w:t>南</w:t>
      </w:r>
      <w:r>
        <w:rPr>
          <w:sz w:val="21"/>
        </w:rPr>
        <w:t>县化工园区总体发</w:t>
      </w:r>
      <w:r>
        <w:rPr>
          <w:spacing w:val="-3"/>
          <w:sz w:val="21"/>
        </w:rPr>
        <w:t>展</w:t>
      </w:r>
      <w:r>
        <w:rPr>
          <w:sz w:val="21"/>
        </w:rPr>
        <w:t>规</w:t>
      </w:r>
      <w:r>
        <w:rPr>
          <w:spacing w:val="-3"/>
          <w:sz w:val="21"/>
        </w:rPr>
        <w:t>划</w:t>
      </w:r>
      <w:r>
        <w:rPr>
          <w:sz w:val="21"/>
        </w:rPr>
        <w:t>环境影响报告书》</w:t>
      </w:r>
      <w:r>
        <w:rPr>
          <w:spacing w:val="-3"/>
          <w:sz w:val="21"/>
        </w:rPr>
        <w:t>审</w:t>
      </w:r>
      <w:r>
        <w:rPr>
          <w:sz w:val="21"/>
        </w:rPr>
        <w:t>查</w:t>
      </w:r>
      <w:r>
        <w:rPr>
          <w:spacing w:val="-3"/>
          <w:sz w:val="21"/>
        </w:rPr>
        <w:t>意</w:t>
      </w:r>
      <w:r>
        <w:rPr>
          <w:sz w:val="21"/>
        </w:rPr>
        <w:t>见符合性分析</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9"/>
        <w:gridCol w:w="2833"/>
        <w:gridCol w:w="903"/>
      </w:tblGrid>
      <w:tr>
        <w:trPr>
          <w:trHeight w:val="311" w:hRule="atLeast"/>
        </w:trPr>
        <w:tc>
          <w:tcPr>
            <w:tcW w:w="4789" w:type="dxa"/>
            <w:tcBorders>
              <w:bottom w:val="single" w:sz="6" w:space="0" w:color="000000"/>
              <w:right w:val="single" w:sz="6" w:space="0" w:color="000000"/>
            </w:tcBorders>
          </w:tcPr>
          <w:p>
            <w:pPr>
              <w:pStyle w:val="TableParagraph"/>
              <w:spacing w:line="291" w:lineRule="exact"/>
              <w:ind w:left="83" w:right="62"/>
              <w:rPr>
                <w:sz w:val="21"/>
              </w:rPr>
            </w:pPr>
            <w:r>
              <w:rPr>
                <w:sz w:val="21"/>
              </w:rPr>
              <w:t>审查意见</w:t>
            </w:r>
          </w:p>
        </w:tc>
        <w:tc>
          <w:tcPr>
            <w:tcW w:w="2833" w:type="dxa"/>
            <w:tcBorders>
              <w:left w:val="single" w:sz="6" w:space="0" w:color="000000"/>
              <w:bottom w:val="single" w:sz="6" w:space="0" w:color="000000"/>
              <w:right w:val="single" w:sz="6" w:space="0" w:color="000000"/>
            </w:tcBorders>
          </w:tcPr>
          <w:p>
            <w:pPr>
              <w:pStyle w:val="TableParagraph"/>
              <w:spacing w:line="291" w:lineRule="exact"/>
              <w:ind w:left="897"/>
              <w:jc w:val="left"/>
              <w:rPr>
                <w:sz w:val="21"/>
              </w:rPr>
            </w:pPr>
            <w:r>
              <w:rPr>
                <w:sz w:val="21"/>
              </w:rPr>
              <w:t>本项目情况</w:t>
            </w:r>
          </w:p>
        </w:tc>
        <w:tc>
          <w:tcPr>
            <w:tcW w:w="903" w:type="dxa"/>
            <w:tcBorders>
              <w:left w:val="single" w:sz="6" w:space="0" w:color="000000"/>
              <w:bottom w:val="single" w:sz="6" w:space="0" w:color="000000"/>
            </w:tcBorders>
          </w:tcPr>
          <w:p>
            <w:pPr>
              <w:pStyle w:val="TableParagraph"/>
              <w:spacing w:line="291" w:lineRule="exact"/>
              <w:ind w:left="122" w:right="88"/>
              <w:rPr>
                <w:sz w:val="21"/>
              </w:rPr>
            </w:pPr>
            <w:r>
              <w:rPr>
                <w:sz w:val="21"/>
              </w:rPr>
              <w:t>符合性</w:t>
            </w:r>
          </w:p>
        </w:tc>
      </w:tr>
      <w:tr>
        <w:trPr>
          <w:trHeight w:val="1249" w:hRule="atLeast"/>
        </w:trPr>
        <w:tc>
          <w:tcPr>
            <w:tcW w:w="4789" w:type="dxa"/>
            <w:tcBorders>
              <w:top w:val="single" w:sz="6" w:space="0" w:color="000000"/>
              <w:bottom w:val="single" w:sz="6" w:space="0" w:color="000000"/>
              <w:right w:val="single" w:sz="6" w:space="0" w:color="000000"/>
            </w:tcBorders>
          </w:tcPr>
          <w:p>
            <w:pPr>
              <w:pStyle w:val="TableParagraph"/>
              <w:spacing w:line="168" w:lineRule="auto" w:before="17"/>
              <w:ind w:left="107" w:right="-29"/>
              <w:jc w:val="both"/>
              <w:rPr>
                <w:sz w:val="21"/>
              </w:rPr>
            </w:pPr>
            <w:r>
              <w:rPr>
                <w:spacing w:val="-8"/>
                <w:sz w:val="21"/>
              </w:rPr>
              <w:t>位置与规范范围：莒南县化工园区位于莒南县县城</w:t>
            </w:r>
            <w:r>
              <w:rPr>
                <w:spacing w:val="-16"/>
                <w:sz w:val="21"/>
              </w:rPr>
              <w:t>西北部，园区规划范围为西至滨河路，东至西五路， </w:t>
            </w:r>
            <w:r>
              <w:rPr>
                <w:spacing w:val="-7"/>
                <w:sz w:val="21"/>
              </w:rPr>
              <w:t>北至北疏港路，南至兖石铁路，总规划面积</w:t>
            </w:r>
          </w:p>
          <w:p>
            <w:pPr>
              <w:pStyle w:val="TableParagraph"/>
              <w:spacing w:line="278" w:lineRule="exact"/>
              <w:ind w:left="107"/>
              <w:jc w:val="both"/>
              <w:rPr>
                <w:sz w:val="21"/>
              </w:rPr>
            </w:pPr>
            <w:r>
              <w:rPr>
                <w:rFonts w:ascii="Times New Roman" w:eastAsia="Times New Roman"/>
                <w:sz w:val="21"/>
              </w:rPr>
              <w:t>10.06km</w:t>
            </w:r>
            <w:r>
              <w:rPr>
                <w:rFonts w:ascii="Times New Roman" w:eastAsia="Times New Roman"/>
                <w:position w:val="7"/>
                <w:sz w:val="14"/>
              </w:rPr>
              <w:t>2</w:t>
            </w:r>
            <w:r>
              <w:rPr>
                <w:sz w:val="21"/>
              </w:rPr>
              <w:t>。</w:t>
            </w:r>
          </w:p>
        </w:tc>
        <w:tc>
          <w:tcPr>
            <w:tcW w:w="2833"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15"/>
              </w:rPr>
            </w:pPr>
          </w:p>
          <w:p>
            <w:pPr>
              <w:pStyle w:val="TableParagraph"/>
              <w:spacing w:line="168" w:lineRule="auto"/>
              <w:ind w:left="114" w:right="180"/>
              <w:jc w:val="left"/>
              <w:rPr>
                <w:sz w:val="21"/>
              </w:rPr>
            </w:pPr>
            <w:r>
              <w:rPr>
                <w:sz w:val="21"/>
              </w:rPr>
              <w:t>本项目位于莒南县化工园区内</w:t>
            </w:r>
          </w:p>
        </w:tc>
        <w:tc>
          <w:tcPr>
            <w:tcW w:w="903" w:type="dxa"/>
            <w:tcBorders>
              <w:top w:val="single" w:sz="6" w:space="0" w:color="000000"/>
              <w:left w:val="single" w:sz="6" w:space="0" w:color="000000"/>
              <w:bottom w:val="single" w:sz="6" w:space="0" w:color="000000"/>
            </w:tcBorders>
          </w:tcPr>
          <w:p>
            <w:pPr>
              <w:pStyle w:val="TableParagraph"/>
              <w:spacing w:before="10"/>
              <w:jc w:val="left"/>
              <w:rPr>
                <w:sz w:val="18"/>
              </w:rPr>
            </w:pPr>
          </w:p>
          <w:p>
            <w:pPr>
              <w:pStyle w:val="TableParagraph"/>
              <w:ind w:left="122" w:right="88"/>
              <w:rPr>
                <w:sz w:val="21"/>
              </w:rPr>
            </w:pPr>
            <w:r>
              <w:rPr>
                <w:sz w:val="21"/>
              </w:rPr>
              <w:t>符合</w:t>
            </w:r>
          </w:p>
        </w:tc>
      </w:tr>
      <w:tr>
        <w:trPr>
          <w:trHeight w:val="935" w:hRule="atLeast"/>
        </w:trPr>
        <w:tc>
          <w:tcPr>
            <w:tcW w:w="4789" w:type="dxa"/>
            <w:tcBorders>
              <w:top w:val="single" w:sz="6" w:space="0" w:color="000000"/>
              <w:bottom w:val="single" w:sz="6" w:space="0" w:color="000000"/>
              <w:right w:val="single" w:sz="6" w:space="0" w:color="000000"/>
            </w:tcBorders>
          </w:tcPr>
          <w:p>
            <w:pPr>
              <w:pStyle w:val="TableParagraph"/>
              <w:spacing w:line="168" w:lineRule="auto" w:before="15"/>
              <w:ind w:left="107" w:right="26"/>
              <w:jc w:val="left"/>
              <w:rPr>
                <w:sz w:val="21"/>
              </w:rPr>
            </w:pPr>
            <w:r>
              <w:rPr>
                <w:sz w:val="21"/>
              </w:rPr>
              <w:t>产业定位与总体布局：化工园区以二类、三类工业用地为主，重点发展精细化工、生物工程、化学制</w:t>
            </w:r>
          </w:p>
          <w:p>
            <w:pPr>
              <w:pStyle w:val="TableParagraph"/>
              <w:spacing w:line="277" w:lineRule="exact"/>
              <w:ind w:left="107"/>
              <w:jc w:val="left"/>
              <w:rPr>
                <w:sz w:val="21"/>
              </w:rPr>
            </w:pPr>
            <w:r>
              <w:rPr>
                <w:sz w:val="21"/>
              </w:rPr>
              <w:t>药和专用与日用化学品制造业。</w:t>
            </w:r>
          </w:p>
        </w:tc>
        <w:tc>
          <w:tcPr>
            <w:tcW w:w="2833"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1"/>
              <w:ind w:left="114" w:right="178"/>
              <w:jc w:val="left"/>
              <w:rPr>
                <w:sz w:val="21"/>
              </w:rPr>
            </w:pPr>
            <w:r>
              <w:rPr>
                <w:sz w:val="21"/>
              </w:rPr>
              <w:t>本项目为制药项目，项目符合园区产业定位。</w:t>
            </w:r>
          </w:p>
        </w:tc>
        <w:tc>
          <w:tcPr>
            <w:tcW w:w="903" w:type="dxa"/>
            <w:tcBorders>
              <w:top w:val="single" w:sz="6" w:space="0" w:color="000000"/>
              <w:left w:val="single" w:sz="6" w:space="0" w:color="000000"/>
              <w:bottom w:val="single" w:sz="6" w:space="0" w:color="000000"/>
            </w:tcBorders>
          </w:tcPr>
          <w:p>
            <w:pPr>
              <w:pStyle w:val="TableParagraph"/>
              <w:jc w:val="left"/>
              <w:rPr>
                <w:sz w:val="11"/>
              </w:rPr>
            </w:pPr>
          </w:p>
          <w:p>
            <w:pPr>
              <w:pStyle w:val="TableParagraph"/>
              <w:ind w:left="122" w:right="88"/>
              <w:rPr>
                <w:sz w:val="21"/>
              </w:rPr>
            </w:pPr>
            <w:r>
              <w:rPr>
                <w:sz w:val="21"/>
              </w:rPr>
              <w:t>符合</w:t>
            </w:r>
          </w:p>
        </w:tc>
      </w:tr>
      <w:tr>
        <w:trPr>
          <w:trHeight w:val="623" w:hRule="atLeast"/>
        </w:trPr>
        <w:tc>
          <w:tcPr>
            <w:tcW w:w="4789" w:type="dxa"/>
            <w:tcBorders>
              <w:top w:val="single" w:sz="6" w:space="0" w:color="000000"/>
              <w:right w:val="single" w:sz="6" w:space="0" w:color="000000"/>
            </w:tcBorders>
          </w:tcPr>
          <w:p>
            <w:pPr>
              <w:pStyle w:val="TableParagraph"/>
              <w:spacing w:line="301" w:lineRule="exact"/>
              <w:ind w:left="107"/>
              <w:jc w:val="left"/>
              <w:rPr>
                <w:sz w:val="21"/>
              </w:rPr>
            </w:pPr>
            <w:r>
              <w:rPr>
                <w:sz w:val="21"/>
              </w:rPr>
              <w:t>污染物排放与总量控制：园区内各企业废水经预处</w:t>
            </w:r>
          </w:p>
          <w:p>
            <w:pPr>
              <w:pStyle w:val="TableParagraph"/>
              <w:spacing w:line="303" w:lineRule="exact"/>
              <w:ind w:left="107"/>
              <w:jc w:val="left"/>
              <w:rPr>
                <w:sz w:val="21"/>
              </w:rPr>
            </w:pPr>
            <w:r>
              <w:rPr>
                <w:sz w:val="21"/>
              </w:rPr>
              <w:t>理后，达到《污水排入城镇下水道水质标准》</w:t>
            </w:r>
          </w:p>
        </w:tc>
        <w:tc>
          <w:tcPr>
            <w:tcW w:w="2833" w:type="dxa"/>
            <w:tcBorders>
              <w:top w:val="single" w:sz="6" w:space="0" w:color="000000"/>
              <w:left w:val="single" w:sz="6" w:space="0" w:color="000000"/>
              <w:right w:val="single" w:sz="6" w:space="0" w:color="000000"/>
            </w:tcBorders>
          </w:tcPr>
          <w:p>
            <w:pPr>
              <w:pStyle w:val="TableParagraph"/>
              <w:spacing w:line="301" w:lineRule="exact"/>
              <w:ind w:left="114"/>
              <w:jc w:val="left"/>
              <w:rPr>
                <w:sz w:val="21"/>
              </w:rPr>
            </w:pPr>
            <w:r>
              <w:rPr>
                <w:spacing w:val="-3"/>
                <w:sz w:val="21"/>
              </w:rPr>
              <w:t>本项目废水经厂区污水处理</w:t>
            </w:r>
          </w:p>
          <w:p>
            <w:pPr>
              <w:pStyle w:val="TableParagraph"/>
              <w:spacing w:line="303" w:lineRule="exact"/>
              <w:ind w:left="114"/>
              <w:jc w:val="left"/>
              <w:rPr>
                <w:sz w:val="21"/>
              </w:rPr>
            </w:pPr>
            <w:r>
              <w:rPr>
                <w:spacing w:val="-3"/>
                <w:sz w:val="21"/>
              </w:rPr>
              <w:t>站处理后满足《污水排入城</w:t>
            </w:r>
          </w:p>
        </w:tc>
        <w:tc>
          <w:tcPr>
            <w:tcW w:w="903" w:type="dxa"/>
            <w:tcBorders>
              <w:top w:val="single" w:sz="6" w:space="0" w:color="000000"/>
              <w:left w:val="single" w:sz="6" w:space="0" w:color="000000"/>
            </w:tcBorders>
          </w:tcPr>
          <w:p>
            <w:pPr>
              <w:pStyle w:val="TableParagraph"/>
              <w:spacing w:before="78"/>
              <w:ind w:left="122" w:right="88"/>
              <w:rPr>
                <w:sz w:val="21"/>
              </w:rPr>
            </w:pPr>
            <w:r>
              <w:rPr>
                <w:sz w:val="21"/>
              </w:rPr>
              <w:t>符合</w:t>
            </w:r>
          </w:p>
        </w:tc>
      </w:tr>
    </w:tbl>
    <w:p>
      <w:pPr>
        <w:spacing w:after="0"/>
        <w:rPr>
          <w:sz w:val="21"/>
        </w:rPr>
        <w:sectPr>
          <w:pgSz w:w="11910" w:h="16840"/>
          <w:pgMar w:header="877" w:footer="973" w:top="1420" w:bottom="1160" w:left="1560" w:right="1560"/>
        </w:sect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89"/>
        <w:gridCol w:w="2833"/>
        <w:gridCol w:w="903"/>
      </w:tblGrid>
      <w:tr>
        <w:trPr>
          <w:trHeight w:val="311" w:hRule="atLeast"/>
        </w:trPr>
        <w:tc>
          <w:tcPr>
            <w:tcW w:w="4789" w:type="dxa"/>
            <w:tcBorders>
              <w:bottom w:val="nil"/>
              <w:right w:val="single" w:sz="6" w:space="0" w:color="000000"/>
            </w:tcBorders>
          </w:tcPr>
          <w:p>
            <w:pPr>
              <w:pStyle w:val="TableParagraph"/>
              <w:spacing w:line="291" w:lineRule="exact"/>
              <w:ind w:left="107"/>
              <w:jc w:val="left"/>
              <w:rPr>
                <w:sz w:val="21"/>
              </w:rPr>
            </w:pPr>
            <w:r>
              <w:rPr>
                <w:sz w:val="21"/>
              </w:rPr>
              <w:t>（</w:t>
            </w:r>
            <w:r>
              <w:rPr>
                <w:rFonts w:ascii="Times New Roman" w:eastAsia="Times New Roman"/>
                <w:sz w:val="21"/>
              </w:rPr>
              <w:t>GB/T31962-2015</w:t>
            </w:r>
            <w:r>
              <w:rPr>
                <w:sz w:val="21"/>
              </w:rPr>
              <w:t>）</w:t>
            </w:r>
            <w:r>
              <w:rPr>
                <w:rFonts w:ascii="Times New Roman" w:eastAsia="Times New Roman"/>
                <w:sz w:val="21"/>
              </w:rPr>
              <w:t>A </w:t>
            </w:r>
            <w:r>
              <w:rPr>
                <w:sz w:val="21"/>
              </w:rPr>
              <w:t>等级标准，通过官网排入莒</w:t>
            </w:r>
          </w:p>
        </w:tc>
        <w:tc>
          <w:tcPr>
            <w:tcW w:w="2833" w:type="dxa"/>
            <w:tcBorders>
              <w:left w:val="single" w:sz="6" w:space="0" w:color="000000"/>
              <w:bottom w:val="nil"/>
              <w:right w:val="single" w:sz="6" w:space="0" w:color="000000"/>
            </w:tcBorders>
          </w:tcPr>
          <w:p>
            <w:pPr>
              <w:pStyle w:val="TableParagraph"/>
              <w:spacing w:line="291" w:lineRule="exact"/>
              <w:ind w:left="114"/>
              <w:jc w:val="left"/>
              <w:rPr>
                <w:sz w:val="21"/>
              </w:rPr>
            </w:pPr>
            <w:r>
              <w:rPr>
                <w:sz w:val="21"/>
              </w:rPr>
              <w:t>镇下水道水质标准》</w:t>
            </w:r>
          </w:p>
        </w:tc>
        <w:tc>
          <w:tcPr>
            <w:tcW w:w="903" w:type="dxa"/>
            <w:vMerge w:val="restart"/>
            <w:tcBorders>
              <w:left w:val="single" w:sz="6" w:space="0" w:color="000000"/>
              <w:bottom w:val="single" w:sz="6" w:space="0" w:color="000000"/>
            </w:tcBorders>
          </w:tcPr>
          <w:p>
            <w:pPr>
              <w:pStyle w:val="TableParagraph"/>
              <w:jc w:val="left"/>
              <w:rPr>
                <w:rFonts w:ascii="Times New Roman"/>
                <w:sz w:val="22"/>
              </w:rPr>
            </w:pPr>
          </w:p>
        </w:tc>
      </w:tr>
      <w:tr>
        <w:trPr>
          <w:trHeight w:val="299" w:hRule="atLeast"/>
        </w:trPr>
        <w:tc>
          <w:tcPr>
            <w:tcW w:w="4789" w:type="dxa"/>
            <w:tcBorders>
              <w:top w:val="nil"/>
              <w:bottom w:val="nil"/>
              <w:right w:val="single" w:sz="6" w:space="0" w:color="000000"/>
            </w:tcBorders>
          </w:tcPr>
          <w:p>
            <w:pPr>
              <w:pStyle w:val="TableParagraph"/>
              <w:spacing w:line="279" w:lineRule="exact"/>
              <w:ind w:left="107"/>
              <w:jc w:val="left"/>
              <w:rPr>
                <w:sz w:val="21"/>
              </w:rPr>
            </w:pPr>
            <w:r>
              <w:rPr>
                <w:sz w:val="21"/>
              </w:rPr>
              <w:t>南卓澳水质净化有限公司。</w:t>
            </w:r>
          </w:p>
        </w:tc>
        <w:tc>
          <w:tcPr>
            <w:tcW w:w="2833" w:type="dxa"/>
            <w:tcBorders>
              <w:top w:val="nil"/>
              <w:left w:val="single" w:sz="6" w:space="0" w:color="000000"/>
              <w:bottom w:val="nil"/>
              <w:right w:val="single" w:sz="6" w:space="0" w:color="000000"/>
            </w:tcBorders>
          </w:tcPr>
          <w:p>
            <w:pPr>
              <w:pStyle w:val="TableParagraph"/>
              <w:spacing w:line="279" w:lineRule="exact"/>
              <w:ind w:left="114"/>
              <w:jc w:val="left"/>
              <w:rPr>
                <w:sz w:val="21"/>
              </w:rPr>
            </w:pPr>
            <w:r>
              <w:rPr>
                <w:sz w:val="21"/>
              </w:rPr>
              <w:t>（</w:t>
            </w:r>
            <w:r>
              <w:rPr>
                <w:rFonts w:ascii="Times New Roman" w:eastAsia="Times New Roman"/>
                <w:sz w:val="21"/>
              </w:rPr>
              <w:t>GB/T31962-2015</w:t>
            </w:r>
            <w:r>
              <w:rPr>
                <w:sz w:val="21"/>
              </w:rPr>
              <w:t>）</w:t>
            </w:r>
            <w:r>
              <w:rPr>
                <w:rFonts w:ascii="Times New Roman" w:eastAsia="Times New Roman"/>
                <w:sz w:val="21"/>
              </w:rPr>
              <w:t>A </w:t>
            </w:r>
            <w:r>
              <w:rPr>
                <w:sz w:val="21"/>
              </w:rPr>
              <w:t>等级</w:t>
            </w:r>
          </w:p>
        </w:tc>
        <w:tc>
          <w:tcPr>
            <w:tcW w:w="903" w:type="dxa"/>
            <w:vMerge/>
            <w:tcBorders>
              <w:top w:val="nil"/>
              <w:left w:val="single" w:sz="6" w:space="0" w:color="000000"/>
              <w:bottom w:val="single" w:sz="6" w:space="0" w:color="000000"/>
            </w:tcBorders>
          </w:tcPr>
          <w:p>
            <w:pPr>
              <w:rPr>
                <w:sz w:val="2"/>
                <w:szCs w:val="2"/>
              </w:rPr>
            </w:pPr>
          </w:p>
        </w:tc>
      </w:tr>
      <w:tr>
        <w:trPr>
          <w:trHeight w:val="289" w:hRule="atLeast"/>
        </w:trPr>
        <w:tc>
          <w:tcPr>
            <w:tcW w:w="4789" w:type="dxa"/>
            <w:tcBorders>
              <w:top w:val="nil"/>
              <w:bottom w:val="nil"/>
              <w:right w:val="single" w:sz="6" w:space="0" w:color="000000"/>
            </w:tcBorders>
          </w:tcPr>
          <w:p>
            <w:pPr>
              <w:pStyle w:val="TableParagraph"/>
              <w:jc w:val="left"/>
              <w:rPr>
                <w:rFonts w:ascii="Times New Roman"/>
                <w:sz w:val="20"/>
              </w:rPr>
            </w:pPr>
          </w:p>
        </w:tc>
        <w:tc>
          <w:tcPr>
            <w:tcW w:w="2833" w:type="dxa"/>
            <w:tcBorders>
              <w:top w:val="nil"/>
              <w:left w:val="single" w:sz="6" w:space="0" w:color="000000"/>
              <w:bottom w:val="nil"/>
              <w:right w:val="single" w:sz="6" w:space="0" w:color="000000"/>
            </w:tcBorders>
          </w:tcPr>
          <w:p>
            <w:pPr>
              <w:pStyle w:val="TableParagraph"/>
              <w:spacing w:line="269" w:lineRule="exact"/>
              <w:ind w:left="114"/>
              <w:jc w:val="left"/>
              <w:rPr>
                <w:sz w:val="21"/>
              </w:rPr>
            </w:pPr>
            <w:r>
              <w:rPr>
                <w:sz w:val="21"/>
              </w:rPr>
              <w:t>标准，通过官网排入莒南卓</w:t>
            </w:r>
          </w:p>
        </w:tc>
        <w:tc>
          <w:tcPr>
            <w:tcW w:w="903" w:type="dxa"/>
            <w:vMerge/>
            <w:tcBorders>
              <w:top w:val="nil"/>
              <w:left w:val="single" w:sz="6" w:space="0" w:color="000000"/>
              <w:bottom w:val="single" w:sz="6" w:space="0" w:color="000000"/>
            </w:tcBorders>
          </w:tcPr>
          <w:p>
            <w:pPr>
              <w:rPr>
                <w:sz w:val="2"/>
                <w:szCs w:val="2"/>
              </w:rPr>
            </w:pPr>
          </w:p>
        </w:tc>
      </w:tr>
      <w:tr>
        <w:trPr>
          <w:trHeight w:val="303" w:hRule="atLeast"/>
        </w:trPr>
        <w:tc>
          <w:tcPr>
            <w:tcW w:w="4789" w:type="dxa"/>
            <w:tcBorders>
              <w:top w:val="nil"/>
              <w:bottom w:val="single" w:sz="6" w:space="0" w:color="000000"/>
              <w:right w:val="single" w:sz="6" w:space="0" w:color="000000"/>
            </w:tcBorders>
          </w:tcPr>
          <w:p>
            <w:pPr>
              <w:pStyle w:val="TableParagraph"/>
              <w:jc w:val="left"/>
              <w:rPr>
                <w:rFonts w:ascii="Times New Roman"/>
                <w:sz w:val="22"/>
              </w:rPr>
            </w:pPr>
          </w:p>
        </w:tc>
        <w:tc>
          <w:tcPr>
            <w:tcW w:w="2833" w:type="dxa"/>
            <w:tcBorders>
              <w:top w:val="nil"/>
              <w:left w:val="single" w:sz="6" w:space="0" w:color="000000"/>
              <w:bottom w:val="single" w:sz="6" w:space="0" w:color="000000"/>
              <w:right w:val="single" w:sz="6" w:space="0" w:color="000000"/>
            </w:tcBorders>
          </w:tcPr>
          <w:p>
            <w:pPr>
              <w:pStyle w:val="TableParagraph"/>
              <w:spacing w:line="283" w:lineRule="exact"/>
              <w:ind w:left="114"/>
              <w:jc w:val="left"/>
              <w:rPr>
                <w:sz w:val="21"/>
              </w:rPr>
            </w:pPr>
            <w:r>
              <w:rPr>
                <w:sz w:val="21"/>
              </w:rPr>
              <w:t>澳水质净化有限公司。</w:t>
            </w:r>
          </w:p>
        </w:tc>
        <w:tc>
          <w:tcPr>
            <w:tcW w:w="903" w:type="dxa"/>
            <w:vMerge/>
            <w:tcBorders>
              <w:top w:val="nil"/>
              <w:left w:val="single" w:sz="6" w:space="0" w:color="000000"/>
              <w:bottom w:val="single" w:sz="6" w:space="0" w:color="000000"/>
            </w:tcBorders>
          </w:tcPr>
          <w:p>
            <w:pPr>
              <w:rPr>
                <w:sz w:val="2"/>
                <w:szCs w:val="2"/>
              </w:rPr>
            </w:pPr>
          </w:p>
        </w:tc>
      </w:tr>
      <w:tr>
        <w:trPr>
          <w:trHeight w:val="1249" w:hRule="atLeast"/>
        </w:trPr>
        <w:tc>
          <w:tcPr>
            <w:tcW w:w="4789" w:type="dxa"/>
            <w:tcBorders>
              <w:top w:val="single" w:sz="6" w:space="0" w:color="000000"/>
              <w:bottom w:val="single" w:sz="6" w:space="0" w:color="000000"/>
              <w:right w:val="single" w:sz="6" w:space="0" w:color="000000"/>
            </w:tcBorders>
          </w:tcPr>
          <w:p>
            <w:pPr>
              <w:pStyle w:val="TableParagraph"/>
              <w:spacing w:line="168" w:lineRule="auto" w:before="173"/>
              <w:ind w:left="107" w:right="84"/>
              <w:jc w:val="both"/>
              <w:rPr>
                <w:sz w:val="21"/>
              </w:rPr>
            </w:pPr>
            <w:r>
              <w:rPr>
                <w:spacing w:val="-7"/>
                <w:sz w:val="21"/>
              </w:rPr>
              <w:t>园区内大气污染物排放须满足《山东省区域性大气</w:t>
            </w:r>
            <w:r>
              <w:rPr>
                <w:spacing w:val="-14"/>
                <w:sz w:val="21"/>
              </w:rPr>
              <w:t>污染物综合排放标准》</w:t>
            </w:r>
            <w:r>
              <w:rPr>
                <w:sz w:val="21"/>
              </w:rPr>
              <w:t>（</w:t>
            </w:r>
            <w:r>
              <w:rPr>
                <w:rFonts w:ascii="Times New Roman" w:eastAsia="Times New Roman"/>
                <w:sz w:val="21"/>
              </w:rPr>
              <w:t>DB37/2376-2013</w:t>
            </w:r>
            <w:r>
              <w:rPr>
                <w:sz w:val="21"/>
              </w:rPr>
              <w:t>）</w:t>
            </w:r>
            <w:r>
              <w:rPr>
                <w:spacing w:val="-3"/>
                <w:sz w:val="21"/>
              </w:rPr>
              <w:t>及相关行业标准特别排放限值要求。</w:t>
            </w:r>
          </w:p>
        </w:tc>
        <w:tc>
          <w:tcPr>
            <w:tcW w:w="2833"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14" w:right="74"/>
              <w:jc w:val="both"/>
              <w:rPr>
                <w:sz w:val="21"/>
              </w:rPr>
            </w:pPr>
            <w:r>
              <w:rPr>
                <w:spacing w:val="-3"/>
                <w:sz w:val="21"/>
              </w:rPr>
              <w:t>项目废气污染物满足《山东省区域性大气污染物综合排</w:t>
            </w:r>
            <w:r>
              <w:rPr>
                <w:spacing w:val="-28"/>
                <w:sz w:val="21"/>
              </w:rPr>
              <w:t>放标准》</w:t>
            </w:r>
            <w:r>
              <w:rPr>
                <w:spacing w:val="-1"/>
                <w:sz w:val="21"/>
              </w:rPr>
              <w:t>（</w:t>
            </w:r>
            <w:r>
              <w:rPr>
                <w:rFonts w:ascii="Times New Roman" w:eastAsia="Times New Roman"/>
                <w:spacing w:val="-1"/>
                <w:sz w:val="21"/>
              </w:rPr>
              <w:t>DB37/2376-2013</w:t>
            </w:r>
            <w:r>
              <w:rPr>
                <w:spacing w:val="-1"/>
                <w:sz w:val="21"/>
              </w:rPr>
              <w:t>）</w:t>
            </w:r>
          </w:p>
          <w:p>
            <w:pPr>
              <w:pStyle w:val="TableParagraph"/>
              <w:spacing w:line="278" w:lineRule="exact"/>
              <w:ind w:left="114"/>
              <w:jc w:val="both"/>
              <w:rPr>
                <w:sz w:val="21"/>
              </w:rPr>
            </w:pPr>
            <w:r>
              <w:rPr>
                <w:sz w:val="21"/>
              </w:rPr>
              <w:t>标准要求。</w:t>
            </w:r>
          </w:p>
        </w:tc>
        <w:tc>
          <w:tcPr>
            <w:tcW w:w="903" w:type="dxa"/>
            <w:tcBorders>
              <w:top w:val="single" w:sz="6" w:space="0" w:color="000000"/>
              <w:left w:val="single" w:sz="6" w:space="0" w:color="000000"/>
              <w:bottom w:val="single" w:sz="6" w:space="0" w:color="000000"/>
            </w:tcBorders>
          </w:tcPr>
          <w:p>
            <w:pPr>
              <w:pStyle w:val="TableParagraph"/>
              <w:spacing w:before="10"/>
              <w:jc w:val="left"/>
              <w:rPr>
                <w:sz w:val="18"/>
              </w:rPr>
            </w:pPr>
          </w:p>
          <w:p>
            <w:pPr>
              <w:pStyle w:val="TableParagraph"/>
              <w:ind w:left="122" w:right="88"/>
              <w:rPr>
                <w:sz w:val="21"/>
              </w:rPr>
            </w:pPr>
            <w:r>
              <w:rPr>
                <w:sz w:val="21"/>
              </w:rPr>
              <w:t>符合</w:t>
            </w:r>
          </w:p>
        </w:tc>
      </w:tr>
      <w:tr>
        <w:trPr>
          <w:trHeight w:val="933" w:hRule="atLeast"/>
        </w:trPr>
        <w:tc>
          <w:tcPr>
            <w:tcW w:w="4789" w:type="dxa"/>
            <w:tcBorders>
              <w:top w:val="single" w:sz="6" w:space="0" w:color="000000"/>
              <w:right w:val="single" w:sz="6" w:space="0" w:color="000000"/>
            </w:tcBorders>
          </w:tcPr>
          <w:p>
            <w:pPr>
              <w:pStyle w:val="TableParagraph"/>
              <w:spacing w:line="168" w:lineRule="auto" w:before="15"/>
              <w:ind w:left="107" w:right="20"/>
              <w:jc w:val="left"/>
              <w:rPr>
                <w:sz w:val="21"/>
              </w:rPr>
            </w:pPr>
            <w:r>
              <w:rPr>
                <w:sz w:val="21"/>
              </w:rPr>
              <w:t>环境容量与主要污染物总量控制：园区项目污染物排放须依据相关法律法规及政策规定，应当符合总</w:t>
            </w:r>
          </w:p>
          <w:p>
            <w:pPr>
              <w:pStyle w:val="TableParagraph"/>
              <w:spacing w:line="275" w:lineRule="exact"/>
              <w:ind w:left="107"/>
              <w:jc w:val="left"/>
              <w:rPr>
                <w:sz w:val="21"/>
              </w:rPr>
            </w:pPr>
            <w:r>
              <w:rPr>
                <w:sz w:val="21"/>
              </w:rPr>
              <w:t>量控制要求。</w:t>
            </w:r>
          </w:p>
        </w:tc>
        <w:tc>
          <w:tcPr>
            <w:tcW w:w="2833" w:type="dxa"/>
            <w:tcBorders>
              <w:top w:val="single" w:sz="6" w:space="0" w:color="000000"/>
              <w:left w:val="single" w:sz="6" w:space="0" w:color="000000"/>
              <w:right w:val="single" w:sz="6" w:space="0" w:color="000000"/>
            </w:tcBorders>
          </w:tcPr>
          <w:p>
            <w:pPr>
              <w:pStyle w:val="TableParagraph"/>
              <w:spacing w:line="168" w:lineRule="auto" w:before="171"/>
              <w:ind w:left="114" w:right="178"/>
              <w:jc w:val="left"/>
              <w:rPr>
                <w:sz w:val="21"/>
              </w:rPr>
            </w:pPr>
            <w:r>
              <w:rPr>
                <w:sz w:val="21"/>
              </w:rPr>
              <w:t>项目污染物排放满足总量控制要求。</w:t>
            </w:r>
          </w:p>
        </w:tc>
        <w:tc>
          <w:tcPr>
            <w:tcW w:w="903" w:type="dxa"/>
            <w:tcBorders>
              <w:top w:val="single" w:sz="6" w:space="0" w:color="000000"/>
              <w:left w:val="single" w:sz="6" w:space="0" w:color="000000"/>
            </w:tcBorders>
          </w:tcPr>
          <w:p>
            <w:pPr>
              <w:pStyle w:val="TableParagraph"/>
              <w:jc w:val="left"/>
              <w:rPr>
                <w:sz w:val="11"/>
              </w:rPr>
            </w:pPr>
          </w:p>
          <w:p>
            <w:pPr>
              <w:pStyle w:val="TableParagraph"/>
              <w:ind w:left="122" w:right="88"/>
              <w:rPr>
                <w:sz w:val="21"/>
              </w:rPr>
            </w:pPr>
            <w:r>
              <w:rPr>
                <w:sz w:val="21"/>
              </w:rPr>
              <w:t>符合</w:t>
            </w:r>
          </w:p>
        </w:tc>
      </w:tr>
    </w:tbl>
    <w:p>
      <w:pPr>
        <w:pStyle w:val="BodyText"/>
        <w:spacing w:line="220" w:lineRule="auto" w:before="5"/>
        <w:ind w:left="240" w:right="119" w:firstLine="479"/>
        <w:jc w:val="both"/>
      </w:pPr>
      <w:r>
        <w:rPr>
          <w:spacing w:val="-16"/>
        </w:rPr>
        <w:t>由上表可见，项目建设符合《莒南县化工园区总体发展规划环境影响报告书》审查意见文件要求。</w:t>
      </w:r>
    </w:p>
    <w:p>
      <w:pPr>
        <w:spacing w:before="150"/>
        <w:ind w:left="240" w:right="0" w:firstLine="0"/>
        <w:jc w:val="left"/>
        <w:rPr>
          <w:rFonts w:ascii="Droid Sans Fallback" w:eastAsia="Droid Sans Fallback" w:hint="eastAsia"/>
          <w:sz w:val="32"/>
        </w:rPr>
      </w:pPr>
      <w:r>
        <w:rPr>
          <w:rFonts w:ascii="Times New Roman" w:eastAsia="Times New Roman"/>
          <w:b/>
          <w:sz w:val="32"/>
        </w:rPr>
        <w:t>10.2.3</w:t>
      </w:r>
      <w:r>
        <w:rPr>
          <w:rFonts w:ascii="Times New Roman" w:eastAsia="Times New Roman"/>
          <w:b/>
          <w:spacing w:val="79"/>
          <w:sz w:val="32"/>
        </w:rPr>
        <w:t> </w:t>
      </w:r>
      <w:r>
        <w:rPr>
          <w:rFonts w:ascii="Droid Sans Fallback" w:eastAsia="Droid Sans Fallback" w:hint="eastAsia"/>
          <w:sz w:val="32"/>
        </w:rPr>
        <w:t>环境功能区划的符合性</w:t>
      </w:r>
    </w:p>
    <w:p>
      <w:pPr>
        <w:pStyle w:val="BodyText"/>
        <w:spacing w:line="220" w:lineRule="auto" w:before="197"/>
        <w:ind w:left="240" w:right="239" w:firstLine="479"/>
        <w:jc w:val="both"/>
      </w:pPr>
      <w:r>
        <w:rPr/>
        <w:t>项目区域环境空气规划为二类区，声环境规划为</w:t>
      </w:r>
      <w:r>
        <w:rPr>
          <w:rFonts w:ascii="Times New Roman" w:hAnsi="Times New Roman" w:eastAsia="Times New Roman"/>
        </w:rPr>
        <w:t>3</w:t>
      </w:r>
      <w:r>
        <w:rPr/>
        <w:t>类区，地表水执行Ⅳ类标</w:t>
      </w:r>
      <w:r>
        <w:rPr>
          <w:spacing w:val="-9"/>
        </w:rPr>
        <w:t>准，地下水执行Ⅲ类水质标准。通过对项目产生废气、废水、噪声和固体废物的</w:t>
      </w:r>
      <w:r>
        <w:rPr>
          <w:spacing w:val="-13"/>
        </w:rPr>
        <w:t>有效治理和综合利用，项目可以做到污染物稳定达标排放，项目选址符合莒南县化工园区环境功能区划要求。</w:t>
      </w:r>
    </w:p>
    <w:p>
      <w:pPr>
        <w:spacing w:before="134"/>
        <w:ind w:left="240" w:right="0" w:firstLine="0"/>
        <w:jc w:val="left"/>
        <w:rPr>
          <w:rFonts w:ascii="Droid Sans Fallback" w:eastAsia="Droid Sans Fallback" w:hint="eastAsia"/>
          <w:sz w:val="36"/>
        </w:rPr>
      </w:pPr>
      <w:r>
        <w:rPr>
          <w:rFonts w:ascii="Times New Roman" w:eastAsia="Times New Roman"/>
          <w:b/>
          <w:sz w:val="36"/>
        </w:rPr>
        <w:t>11.3 </w:t>
      </w:r>
      <w:r>
        <w:rPr>
          <w:rFonts w:ascii="Droid Sans Fallback" w:eastAsia="Droid Sans Fallback" w:hint="eastAsia"/>
          <w:sz w:val="36"/>
        </w:rPr>
        <w:t>小 节</w:t>
      </w:r>
    </w:p>
    <w:p>
      <w:pPr>
        <w:pStyle w:val="BodyText"/>
        <w:spacing w:line="220" w:lineRule="auto" w:before="139"/>
        <w:ind w:left="240" w:right="142" w:firstLine="479"/>
        <w:jc w:val="both"/>
      </w:pPr>
      <w:r>
        <w:rPr>
          <w:spacing w:val="-9"/>
        </w:rPr>
        <w:t>综上所述，本次评价认为项目建设符合政府相关文件要求；符合当地总体发</w:t>
      </w:r>
      <w:r>
        <w:rPr>
          <w:spacing w:val="-11"/>
        </w:rPr>
        <w:t>展规划、环境功能区划的有关规定；项目选址，交通方便，建成后对周围环境影响较小。在采取严格措施保护环境空气、水环境、声环境、土壤环境的前提下， 项目的选址在环保方面可行。</w:t>
      </w:r>
    </w:p>
    <w:p>
      <w:pPr>
        <w:spacing w:after="0" w:line="220" w:lineRule="auto"/>
        <w:jc w:val="both"/>
        <w:sectPr>
          <w:pgSz w:w="11910" w:h="16840"/>
          <w:pgMar w:header="877" w:footer="973" w:top="1420" w:bottom="1160" w:left="1560" w:right="1560"/>
        </w:sectPr>
      </w:pPr>
    </w:p>
    <w:p>
      <w:pPr>
        <w:pStyle w:val="BodyText"/>
        <w:spacing w:before="15"/>
        <w:rPr>
          <w:sz w:val="6"/>
        </w:rPr>
      </w:pPr>
    </w:p>
    <w:p>
      <w:pPr>
        <w:pStyle w:val="Heading1"/>
        <w:numPr>
          <w:ilvl w:val="0"/>
          <w:numId w:val="21"/>
        </w:numPr>
        <w:tabs>
          <w:tab w:pos="900" w:val="left" w:leader="none"/>
          <w:tab w:pos="901" w:val="left" w:leader="none"/>
        </w:tabs>
        <w:spacing w:line="726" w:lineRule="exact" w:before="0" w:after="0"/>
        <w:ind w:left="900" w:right="0" w:hanging="660"/>
        <w:jc w:val="left"/>
        <w:rPr>
          <w:rFonts w:ascii="Times New Roman" w:eastAsia="Times New Roman"/>
        </w:rPr>
      </w:pPr>
      <w:r>
        <w:rPr/>
        <w:t>结论与建议</w:t>
      </w:r>
    </w:p>
    <w:p>
      <w:pPr>
        <w:pStyle w:val="Heading4"/>
        <w:numPr>
          <w:ilvl w:val="1"/>
          <w:numId w:val="21"/>
        </w:numPr>
        <w:tabs>
          <w:tab w:pos="1140" w:val="left" w:leader="none"/>
          <w:tab w:pos="1141" w:val="left" w:leader="none"/>
        </w:tabs>
        <w:spacing w:line="588" w:lineRule="exact" w:before="347" w:after="0"/>
        <w:ind w:left="1140" w:right="0" w:hanging="900"/>
        <w:jc w:val="left"/>
      </w:pPr>
      <w:r>
        <w:rPr/>
        <w:t>评价结论</w:t>
      </w:r>
    </w:p>
    <w:p>
      <w:pPr>
        <w:pStyle w:val="Heading5"/>
        <w:numPr>
          <w:ilvl w:val="2"/>
          <w:numId w:val="21"/>
        </w:numPr>
        <w:tabs>
          <w:tab w:pos="1361" w:val="left" w:leader="none"/>
          <w:tab w:pos="1362" w:val="left" w:leader="none"/>
        </w:tabs>
        <w:spacing w:line="544" w:lineRule="exact" w:before="0" w:after="0"/>
        <w:ind w:left="1361" w:right="0" w:hanging="1121"/>
        <w:jc w:val="left"/>
      </w:pPr>
      <w:r>
        <w:rPr>
          <w:spacing w:val="-1"/>
        </w:rPr>
        <w:t>项目概况</w:t>
      </w:r>
    </w:p>
    <w:p>
      <w:pPr>
        <w:pStyle w:val="BodyText"/>
        <w:spacing w:line="486" w:lineRule="exact"/>
        <w:ind w:left="720"/>
      </w:pPr>
      <w:r>
        <w:rPr/>
        <w:t>山东仁和堂药业有限公司成立于 </w:t>
      </w:r>
      <w:r>
        <w:rPr>
          <w:rFonts w:ascii="Times New Roman" w:eastAsia="Times New Roman"/>
        </w:rPr>
        <w:t>1978</w:t>
      </w:r>
      <w:r>
        <w:rPr>
          <w:rFonts w:ascii="Times New Roman" w:eastAsia="Times New Roman"/>
          <w:spacing w:val="2"/>
        </w:rPr>
        <w:t> </w:t>
      </w:r>
      <w:r>
        <w:rPr>
          <w:spacing w:val="4"/>
        </w:rPr>
        <w:t>年 </w:t>
      </w:r>
      <w:r>
        <w:rPr>
          <w:rFonts w:ascii="Times New Roman" w:eastAsia="Times New Roman"/>
        </w:rPr>
        <w:t>12</w:t>
      </w:r>
      <w:r>
        <w:rPr>
          <w:rFonts w:ascii="Times New Roman" w:eastAsia="Times New Roman"/>
          <w:spacing w:val="3"/>
        </w:rPr>
        <w:t> </w:t>
      </w:r>
      <w:r>
        <w:rPr>
          <w:spacing w:val="1"/>
        </w:rPr>
        <w:t>月，公司名称于 </w:t>
      </w:r>
      <w:r>
        <w:rPr>
          <w:rFonts w:ascii="Times New Roman" w:eastAsia="Times New Roman"/>
        </w:rPr>
        <w:t>2017</w:t>
      </w:r>
      <w:r>
        <w:rPr>
          <w:rFonts w:ascii="Times New Roman" w:eastAsia="Times New Roman"/>
          <w:spacing w:val="2"/>
        </w:rPr>
        <w:t> </w:t>
      </w:r>
      <w:r>
        <w:rPr>
          <w:spacing w:val="5"/>
        </w:rPr>
        <w:t>年 </w:t>
      </w:r>
      <w:r>
        <w:rPr>
          <w:rFonts w:ascii="Times New Roman" w:eastAsia="Times New Roman"/>
        </w:rPr>
        <w:t>6</w:t>
      </w:r>
      <w:r>
        <w:rPr>
          <w:rFonts w:ascii="Times New Roman" w:eastAsia="Times New Roman"/>
          <w:spacing w:val="3"/>
        </w:rPr>
        <w:t> </w:t>
      </w:r>
      <w:r>
        <w:rPr/>
        <w:t>月变</w:t>
      </w:r>
    </w:p>
    <w:p>
      <w:pPr>
        <w:pStyle w:val="BodyText"/>
        <w:spacing w:line="468" w:lineRule="exact"/>
        <w:ind w:left="240"/>
      </w:pPr>
      <w:r>
        <w:rPr>
          <w:spacing w:val="-4"/>
        </w:rPr>
        <w:t>更为仁和堂药业有限公司。公司原厂址位于山东省莒南县城民主东路 </w:t>
      </w:r>
      <w:r>
        <w:rPr>
          <w:rFonts w:ascii="Times New Roman" w:eastAsia="Times New Roman"/>
        </w:rPr>
        <w:t>106 </w:t>
      </w:r>
      <w:r>
        <w:rPr>
          <w:spacing w:val="-16"/>
        </w:rPr>
        <w:t>号，全</w:t>
      </w:r>
    </w:p>
    <w:p>
      <w:pPr>
        <w:pStyle w:val="BodyText"/>
        <w:spacing w:line="468" w:lineRule="exact"/>
        <w:ind w:left="240"/>
      </w:pPr>
      <w:r>
        <w:rPr/>
        <w:t>厂共分三个厂区：一厂区位于莒南县城民主东路 </w:t>
      </w:r>
      <w:r>
        <w:rPr>
          <w:rFonts w:ascii="Times New Roman" w:eastAsia="Times New Roman"/>
        </w:rPr>
        <w:t>106</w:t>
      </w:r>
      <w:r>
        <w:rPr>
          <w:rFonts w:ascii="Times New Roman" w:eastAsia="Times New Roman"/>
          <w:spacing w:val="6"/>
        </w:rPr>
        <w:t> </w:t>
      </w:r>
      <w:r>
        <w:rPr>
          <w:spacing w:val="1"/>
        </w:rPr>
        <w:t>号，占地面积 </w:t>
      </w:r>
      <w:r>
        <w:rPr>
          <w:rFonts w:ascii="Times New Roman" w:eastAsia="Times New Roman"/>
        </w:rPr>
        <w:t>28</w:t>
      </w:r>
      <w:r>
        <w:rPr>
          <w:rFonts w:ascii="Times New Roman" w:eastAsia="Times New Roman"/>
          <w:spacing w:val="6"/>
        </w:rPr>
        <w:t> </w:t>
      </w:r>
      <w:r>
        <w:rPr/>
        <w:t>亩；二厂</w:t>
      </w:r>
    </w:p>
    <w:p>
      <w:pPr>
        <w:pStyle w:val="BodyText"/>
        <w:spacing w:line="468" w:lineRule="exact"/>
        <w:ind w:left="240"/>
      </w:pPr>
      <w:r>
        <w:rPr/>
        <w:t>区位于区位于莒南县城南环路东首路南，占地面积 </w:t>
      </w:r>
      <w:r>
        <w:rPr>
          <w:rFonts w:ascii="Times New Roman" w:eastAsia="Times New Roman"/>
        </w:rPr>
        <w:t>43</w:t>
      </w:r>
      <w:r>
        <w:rPr>
          <w:rFonts w:ascii="Times New Roman" w:eastAsia="Times New Roman"/>
          <w:spacing w:val="13"/>
        </w:rPr>
        <w:t> </w:t>
      </w:r>
      <w:r>
        <w:rPr/>
        <w:t>亩；三厂区位于莒南县城</w:t>
      </w:r>
    </w:p>
    <w:p>
      <w:pPr>
        <w:pStyle w:val="BodyText"/>
        <w:spacing w:line="220" w:lineRule="auto" w:before="8"/>
        <w:ind w:left="240" w:right="236"/>
      </w:pPr>
      <w:r>
        <w:rPr/>
        <w:t>淮海路中段路南，占地面积 </w:t>
      </w:r>
      <w:r>
        <w:rPr>
          <w:rFonts w:ascii="Times New Roman" w:eastAsia="Times New Roman"/>
        </w:rPr>
        <w:t>40 </w:t>
      </w:r>
      <w:r>
        <w:rPr/>
        <w:t>亩。一、二厂区主要从事单纯药品分装和复配， 一厂区为片剂加工、二厂区为制剂加工，三厂区从事原料药产品的生产。</w:t>
      </w:r>
    </w:p>
    <w:p>
      <w:pPr>
        <w:pStyle w:val="BodyText"/>
        <w:spacing w:line="220" w:lineRule="auto"/>
        <w:ind w:left="240" w:right="236" w:firstLine="479"/>
        <w:jc w:val="both"/>
      </w:pPr>
      <w:r>
        <w:rPr>
          <w:rFonts w:ascii="Times New Roman" w:eastAsia="Times New Roman"/>
        </w:rPr>
        <w:t>2012</w:t>
      </w:r>
      <w:r>
        <w:rPr>
          <w:rFonts w:ascii="Times New Roman" w:eastAsia="Times New Roman"/>
          <w:spacing w:val="19"/>
        </w:rPr>
        <w:t> </w:t>
      </w:r>
      <w:r>
        <w:rPr/>
        <w:t>年，企业对现有三个厂区进行搬迁，新厂区选址位于山东莒南经济开发区淮海路西段路南、开发区污水处理厂以西，总占地面积 </w:t>
      </w:r>
      <w:r>
        <w:rPr>
          <w:rFonts w:ascii="Times New Roman" w:eastAsia="Times New Roman"/>
        </w:rPr>
        <w:t>208.87</w:t>
      </w:r>
      <w:r>
        <w:rPr>
          <w:rFonts w:ascii="Times New Roman" w:eastAsia="Times New Roman"/>
          <w:spacing w:val="7"/>
        </w:rPr>
        <w:t> </w:t>
      </w:r>
      <w:r>
        <w:rPr/>
        <w:t>亩。</w:t>
      </w:r>
      <w:r>
        <w:rPr>
          <w:rFonts w:ascii="Times New Roman" w:eastAsia="Times New Roman"/>
        </w:rPr>
        <w:t>2012</w:t>
      </w:r>
      <w:r>
        <w:rPr>
          <w:rFonts w:ascii="Times New Roman" w:eastAsia="Times New Roman"/>
          <w:spacing w:val="9"/>
        </w:rPr>
        <w:t> </w:t>
      </w:r>
      <w:r>
        <w:rPr/>
        <w:t>年</w:t>
      </w:r>
    </w:p>
    <w:p>
      <w:pPr>
        <w:pStyle w:val="BodyText"/>
        <w:spacing w:line="220" w:lineRule="auto"/>
        <w:ind w:left="240" w:right="226"/>
      </w:pPr>
      <w:r>
        <w:rPr>
          <w:rFonts w:ascii="Times New Roman" w:hAnsi="Times New Roman" w:eastAsia="Times New Roman"/>
        </w:rPr>
        <w:t>7</w:t>
      </w:r>
      <w:r>
        <w:rPr>
          <w:rFonts w:ascii="Times New Roman" w:hAnsi="Times New Roman" w:eastAsia="Times New Roman"/>
          <w:spacing w:val="1"/>
        </w:rPr>
        <w:t> </w:t>
      </w:r>
      <w:r>
        <w:rPr>
          <w:spacing w:val="-6"/>
        </w:rPr>
        <w:t>月，一厂、二厂的片剂和制剂加工的搬迁项目《山东仁和堂药业有限公司医药</w:t>
      </w:r>
      <w:r>
        <w:rPr>
          <w:spacing w:val="11"/>
        </w:rPr>
        <w:t>工业园</w:t>
      </w:r>
      <w:r>
        <w:rPr>
          <w:rFonts w:ascii="Times New Roman" w:hAnsi="Times New Roman" w:eastAsia="Times New Roman"/>
          <w:spacing w:val="12"/>
        </w:rPr>
        <w:t>—</w:t>
      </w:r>
      <w:r>
        <w:rPr>
          <w:spacing w:val="12"/>
        </w:rPr>
        <w:t>制剂建设项目环境影响报告表》取得环评批复（批复文号：临环函</w:t>
      </w:r>
    </w:p>
    <w:p>
      <w:pPr>
        <w:pStyle w:val="BodyText"/>
        <w:spacing w:line="220" w:lineRule="auto"/>
        <w:ind w:left="240" w:right="234"/>
      </w:pPr>
      <w:r>
        <w:rPr>
          <w:rFonts w:ascii="Times New Roman" w:hAnsi="Times New Roman" w:eastAsia="Times New Roman"/>
        </w:rPr>
        <w:t>[2012]283</w:t>
      </w:r>
      <w:r>
        <w:rPr>
          <w:rFonts w:ascii="Times New Roman" w:hAnsi="Times New Roman" w:eastAsia="Times New Roman"/>
          <w:spacing w:val="1"/>
        </w:rPr>
        <w:t> </w:t>
      </w:r>
      <w:r>
        <w:rPr/>
        <w:t>号</w:t>
      </w:r>
      <w:r>
        <w:rPr>
          <w:spacing w:val="-80"/>
        </w:rPr>
        <w:t>）</w:t>
      </w:r>
      <w:r>
        <w:rPr>
          <w:spacing w:val="-12"/>
        </w:rPr>
        <w:t>，三厂区的原料药生产的搬迁项目《山东仁和堂药业有限公司医药</w:t>
      </w:r>
      <w:r>
        <w:rPr>
          <w:spacing w:val="2"/>
        </w:rPr>
        <w:t>工业园—原料药建设项目环境影响报告书》取得环评批复</w:t>
      </w:r>
      <w:r>
        <w:rPr>
          <w:spacing w:val="4"/>
        </w:rPr>
        <w:t>（</w:t>
      </w:r>
      <w:r>
        <w:rPr>
          <w:spacing w:val="1"/>
        </w:rPr>
        <w:t>批复文号：临环发</w:t>
      </w:r>
    </w:p>
    <w:p>
      <w:pPr>
        <w:pStyle w:val="BodyText"/>
        <w:spacing w:line="220" w:lineRule="auto"/>
        <w:ind w:left="240" w:right="238"/>
      </w:pPr>
      <w:r>
        <w:rPr>
          <w:rFonts w:ascii="Times New Roman" w:eastAsia="Times New Roman"/>
        </w:rPr>
        <w:t>[2012]116 </w:t>
      </w:r>
      <w:r>
        <w:rPr/>
        <w:t>号</w:t>
      </w:r>
      <w:r>
        <w:rPr>
          <w:spacing w:val="-120"/>
        </w:rPr>
        <w:t>）</w:t>
      </w:r>
      <w:r>
        <w:rPr>
          <w:spacing w:val="-3"/>
        </w:rPr>
        <w:t>。</w:t>
      </w:r>
      <w:r>
        <w:rPr>
          <w:rFonts w:ascii="Times New Roman" w:eastAsia="Times New Roman"/>
        </w:rPr>
        <w:t>2015 </w:t>
      </w:r>
      <w:r>
        <w:rPr>
          <w:spacing w:val="2"/>
        </w:rPr>
        <w:t>年 </w:t>
      </w:r>
      <w:r>
        <w:rPr>
          <w:rFonts w:ascii="Times New Roman" w:eastAsia="Times New Roman"/>
        </w:rPr>
        <w:t>10 </w:t>
      </w:r>
      <w:r>
        <w:rPr>
          <w:spacing w:val="-3"/>
        </w:rPr>
        <w:t>月，制剂建设项目和原料药建设项目建设完成，进行试生产。</w:t>
      </w:r>
    </w:p>
    <w:p>
      <w:pPr>
        <w:pStyle w:val="BodyText"/>
        <w:spacing w:line="220" w:lineRule="auto"/>
        <w:ind w:left="240" w:right="236" w:firstLine="479"/>
        <w:jc w:val="both"/>
      </w:pPr>
      <w:r>
        <w:rPr>
          <w:rFonts w:ascii="Times New Roman" w:hAnsi="Times New Roman" w:eastAsia="Times New Roman"/>
        </w:rPr>
        <w:t>2018 </w:t>
      </w:r>
      <w:r>
        <w:rPr/>
        <w:t>年，山东仁和堂药业有限公司医药工业园—原料药建设项目拟进行竣</w:t>
      </w:r>
      <w:r>
        <w:rPr>
          <w:spacing w:val="-9"/>
        </w:rPr>
        <w:t>工环保验收，验收过程中发现，根据《环境影响评价法》和《建设项目环境保护</w:t>
      </w:r>
      <w:r>
        <w:rPr>
          <w:spacing w:val="-12"/>
        </w:rPr>
        <w:t>管理条例》有关规定，参照《关于印发制浆造纸等十四个行业建设项目重大变动</w:t>
      </w:r>
      <w:r>
        <w:rPr>
          <w:spacing w:val="-30"/>
        </w:rPr>
        <w:t>清单的通知》</w:t>
      </w:r>
      <w:r>
        <w:rPr/>
        <w:t>（环办环评</w:t>
      </w:r>
      <w:r>
        <w:rPr>
          <w:rFonts w:ascii="Times New Roman" w:hAnsi="Times New Roman" w:eastAsia="Times New Roman"/>
        </w:rPr>
        <w:t>[2018]6 </w:t>
      </w:r>
      <w:r>
        <w:rPr/>
        <w:t>号）</w:t>
      </w:r>
      <w:r>
        <w:rPr>
          <w:spacing w:val="-9"/>
        </w:rPr>
        <w:t>中《制药建设项目重大变动清单》，本公司</w:t>
      </w:r>
      <w:r>
        <w:rPr>
          <w:spacing w:val="-14"/>
        </w:rPr>
        <w:t>实际建设与原环评对比，属于重大变动，应当重新报批环境影响评价文件。本次</w:t>
      </w:r>
      <w:r>
        <w:rPr>
          <w:spacing w:val="-13"/>
        </w:rPr>
        <w:t>环评根据企业实际建设内容，对仁和堂药业有限公司医药工业园</w:t>
      </w:r>
      <w:r>
        <w:rPr>
          <w:rFonts w:ascii="Times New Roman" w:hAnsi="Times New Roman" w:eastAsia="Times New Roman"/>
        </w:rPr>
        <w:t>-</w:t>
      </w:r>
      <w:r>
        <w:rPr/>
        <w:t>原料药建设项目（重新报批）环境影响进行评价。</w:t>
      </w:r>
    </w:p>
    <w:p>
      <w:pPr>
        <w:pStyle w:val="BodyText"/>
        <w:spacing w:line="460" w:lineRule="exact"/>
        <w:ind w:left="720"/>
      </w:pPr>
      <w:r>
        <w:rPr/>
        <w:t>本项目属于新建项目，主要建设生产车间 </w:t>
      </w:r>
      <w:r>
        <w:rPr>
          <w:rFonts w:ascii="Times New Roman" w:eastAsia="Times New Roman"/>
        </w:rPr>
        <w:t>3 </w:t>
      </w:r>
      <w:r>
        <w:rPr/>
        <w:t>座，其中原料药车间 </w:t>
      </w:r>
      <w:r>
        <w:rPr>
          <w:rFonts w:ascii="Times New Roman" w:eastAsia="Times New Roman"/>
        </w:rPr>
        <w:t>2 </w:t>
      </w:r>
      <w:r>
        <w:rPr/>
        <w:t>座，发酵</w:t>
      </w:r>
    </w:p>
    <w:p>
      <w:pPr>
        <w:pStyle w:val="BodyText"/>
        <w:spacing w:line="468" w:lineRule="exact"/>
        <w:ind w:left="240"/>
      </w:pPr>
      <w:r>
        <w:rPr/>
        <w:t>车间 </w:t>
      </w:r>
      <w:r>
        <w:rPr>
          <w:rFonts w:ascii="Times New Roman" w:eastAsia="Times New Roman"/>
        </w:rPr>
        <w:t>1 </w:t>
      </w:r>
      <w:r>
        <w:rPr/>
        <w:t>座；配套辅助设施包括仓库 </w:t>
      </w:r>
      <w:r>
        <w:rPr>
          <w:rFonts w:ascii="Times New Roman" w:eastAsia="Times New Roman"/>
        </w:rPr>
        <w:t>3 </w:t>
      </w:r>
      <w:r>
        <w:rPr/>
        <w:t>座，动力车间、回收车间、锅炉房各 </w:t>
      </w:r>
      <w:r>
        <w:rPr>
          <w:rFonts w:ascii="Times New Roman" w:eastAsia="Times New Roman"/>
        </w:rPr>
        <w:t>1 </w:t>
      </w:r>
      <w:r>
        <w:rPr/>
        <w:t>座，</w:t>
      </w:r>
    </w:p>
    <w:p>
      <w:pPr>
        <w:pStyle w:val="BodyText"/>
        <w:spacing w:line="489" w:lineRule="exact"/>
        <w:ind w:left="240"/>
        <w:rPr>
          <w:rFonts w:ascii="Times New Roman" w:eastAsia="Times New Roman"/>
        </w:rPr>
      </w:pPr>
      <w:r>
        <w:rPr/>
        <w:t>原料罐区、污水处理站各 </w:t>
      </w:r>
      <w:r>
        <w:rPr>
          <w:rFonts w:ascii="Times New Roman" w:eastAsia="Times New Roman"/>
        </w:rPr>
        <w:t>1 </w:t>
      </w:r>
      <w:r>
        <w:rPr/>
        <w:t>处。生产产品包括化学原料药 </w:t>
      </w:r>
      <w:r>
        <w:rPr>
          <w:rFonts w:ascii="Times New Roman" w:eastAsia="Times New Roman"/>
        </w:rPr>
        <w:t>9 </w:t>
      </w:r>
      <w:r>
        <w:rPr/>
        <w:t>种，生物原料药 </w:t>
      </w:r>
      <w:r>
        <w:rPr>
          <w:rFonts w:ascii="Times New Roman" w:eastAsia="Times New Roman"/>
        </w:rPr>
        <w:t>1</w:t>
      </w:r>
    </w:p>
    <w:p>
      <w:pPr>
        <w:spacing w:after="0" w:line="489" w:lineRule="exact"/>
        <w:rPr>
          <w:rFonts w:ascii="Times New Roman" w:eastAsia="Times New Roman"/>
        </w:rPr>
        <w:sectPr>
          <w:footerReference w:type="default" r:id="rId76"/>
          <w:pgSz w:w="11910" w:h="16840"/>
          <w:pgMar w:footer="973" w:header="877" w:top="1420" w:bottom="1160" w:left="1560" w:right="1560"/>
        </w:sectPr>
      </w:pPr>
    </w:p>
    <w:p>
      <w:pPr>
        <w:pStyle w:val="BodyText"/>
        <w:spacing w:line="463" w:lineRule="exact"/>
        <w:ind w:left="240"/>
      </w:pPr>
      <w:r>
        <w:rPr/>
        <w:t>种。</w:t>
      </w:r>
    </w:p>
    <w:p>
      <w:pPr>
        <w:pStyle w:val="BodyText"/>
        <w:spacing w:line="220" w:lineRule="auto" w:before="8"/>
        <w:ind w:left="240" w:right="142" w:firstLine="479"/>
        <w:jc w:val="both"/>
      </w:pPr>
      <w:r>
        <w:rPr/>
        <w:t>车间共建设 </w:t>
      </w:r>
      <w:r>
        <w:rPr>
          <w:rFonts w:ascii="Times New Roman" w:eastAsia="Times New Roman"/>
        </w:rPr>
        <w:t>7 </w:t>
      </w:r>
      <w:r>
        <w:rPr/>
        <w:t>条生产线，其中，丙戊酸钠、盐酸地芬尼多、盐酸米安色林、</w:t>
      </w:r>
      <w:r>
        <w:rPr>
          <w:spacing w:val="-9"/>
        </w:rPr>
        <w:t>去甲斑蝥素、单硝酸异山梨酯、白葡菌生产线各一条，奧沙普秦、甘羟铝、乳酸</w:t>
      </w:r>
      <w:r>
        <w:rPr>
          <w:spacing w:val="-6"/>
        </w:rPr>
        <w:t>氟罗沙星、盐酸普罗帕酮共用 </w:t>
      </w:r>
      <w:r>
        <w:rPr>
          <w:rFonts w:ascii="Times New Roman" w:eastAsia="Times New Roman"/>
        </w:rPr>
        <w:t>1 </w:t>
      </w:r>
      <w:r>
        <w:rPr>
          <w:spacing w:val="2"/>
        </w:rPr>
        <w:t>生产线，生产规模为丙戊酸钠 </w:t>
      </w:r>
      <w:r>
        <w:rPr>
          <w:rFonts w:ascii="Times New Roman" w:eastAsia="Times New Roman"/>
        </w:rPr>
        <w:t>60t/a</w:t>
      </w:r>
      <w:r>
        <w:rPr/>
        <w:t>、奥沙普秦</w:t>
      </w:r>
    </w:p>
    <w:p>
      <w:pPr>
        <w:pStyle w:val="BodyText"/>
        <w:spacing w:line="220" w:lineRule="auto"/>
        <w:ind w:left="240" w:right="113"/>
        <w:jc w:val="both"/>
      </w:pPr>
      <w:r>
        <w:rPr>
          <w:rFonts w:ascii="Times New Roman" w:eastAsia="Times New Roman"/>
        </w:rPr>
        <w:t>12t/a</w:t>
      </w:r>
      <w:r>
        <w:rPr>
          <w:spacing w:val="-23"/>
        </w:rPr>
        <w:t>、甘羟铝 </w:t>
      </w:r>
      <w:r>
        <w:rPr>
          <w:rFonts w:ascii="Times New Roman" w:eastAsia="Times New Roman"/>
        </w:rPr>
        <w:t>3.5t/a</w:t>
      </w:r>
      <w:r>
        <w:rPr>
          <w:spacing w:val="-16"/>
        </w:rPr>
        <w:t>、乳酸氟罗沙星 </w:t>
      </w:r>
      <w:r>
        <w:rPr>
          <w:rFonts w:ascii="Times New Roman" w:eastAsia="Times New Roman"/>
        </w:rPr>
        <w:t>0.8t/a</w:t>
      </w:r>
      <w:r>
        <w:rPr>
          <w:spacing w:val="-16"/>
        </w:rPr>
        <w:t>、盐酸普罗帕酮 </w:t>
      </w:r>
      <w:r>
        <w:rPr>
          <w:rFonts w:ascii="Times New Roman" w:eastAsia="Times New Roman"/>
        </w:rPr>
        <w:t>9t/a</w:t>
      </w:r>
      <w:r>
        <w:rPr>
          <w:spacing w:val="-16"/>
        </w:rPr>
        <w:t>、盐酸地芬尼多 </w:t>
      </w:r>
      <w:r>
        <w:rPr>
          <w:rFonts w:ascii="Times New Roman" w:eastAsia="Times New Roman"/>
        </w:rPr>
        <w:t>20t/a</w:t>
      </w:r>
      <w:r>
        <w:rPr/>
        <w:t>、单硝酸异山梨酯 </w:t>
      </w:r>
      <w:r>
        <w:rPr>
          <w:rFonts w:ascii="Times New Roman" w:eastAsia="Times New Roman"/>
        </w:rPr>
        <w:t>10t/a</w:t>
      </w:r>
      <w:r>
        <w:rPr>
          <w:spacing w:val="-16"/>
        </w:rPr>
        <w:t>、盐酸米安色林 </w:t>
      </w:r>
      <w:r>
        <w:rPr>
          <w:rFonts w:ascii="Times New Roman" w:eastAsia="Times New Roman"/>
        </w:rPr>
        <w:t>0.3t/a</w:t>
      </w:r>
      <w:r>
        <w:rPr>
          <w:spacing w:val="-17"/>
        </w:rPr>
        <w:t>、去甲斑蝥素 </w:t>
      </w:r>
      <w:r>
        <w:rPr>
          <w:rFonts w:ascii="Times New Roman" w:eastAsia="Times New Roman"/>
        </w:rPr>
        <w:t>0.2t/a</w:t>
      </w:r>
      <w:r>
        <w:rPr>
          <w:spacing w:val="-17"/>
        </w:rPr>
        <w:t>、白葡萄球菌 </w:t>
      </w:r>
      <w:r>
        <w:rPr>
          <w:rFonts w:ascii="Times New Roman" w:eastAsia="Times New Roman"/>
        </w:rPr>
        <w:t>36t/a</w:t>
      </w:r>
      <w:r>
        <w:rPr/>
        <w:t>， 总生产能力 </w:t>
      </w:r>
      <w:r>
        <w:rPr>
          <w:rFonts w:ascii="Times New Roman" w:eastAsia="Times New Roman"/>
        </w:rPr>
        <w:t>151.8t/a</w:t>
      </w:r>
      <w:r>
        <w:rPr/>
        <w:t>。</w:t>
      </w:r>
    </w:p>
    <w:p>
      <w:pPr>
        <w:pStyle w:val="Heading5"/>
        <w:numPr>
          <w:ilvl w:val="2"/>
          <w:numId w:val="21"/>
        </w:numPr>
        <w:tabs>
          <w:tab w:pos="1150" w:val="left" w:leader="none"/>
        </w:tabs>
        <w:spacing w:line="592" w:lineRule="exact" w:before="6" w:after="0"/>
        <w:ind w:left="1150" w:right="0" w:hanging="910"/>
        <w:jc w:val="left"/>
      </w:pPr>
      <w:r>
        <w:rPr>
          <w:spacing w:val="-1"/>
        </w:rPr>
        <w:t>产业政策符合性</w:t>
      </w:r>
    </w:p>
    <w:p>
      <w:pPr>
        <w:pStyle w:val="BodyText"/>
        <w:spacing w:line="220" w:lineRule="auto" w:before="26"/>
        <w:ind w:left="240" w:right="119" w:firstLine="479"/>
        <w:jc w:val="both"/>
      </w:pPr>
      <w:r>
        <w:rPr>
          <w:spacing w:val="1"/>
        </w:rPr>
        <w:t>根据发改委第 </w:t>
      </w:r>
      <w:r>
        <w:rPr>
          <w:rFonts w:ascii="Times New Roman" w:hAnsi="Times New Roman" w:eastAsia="Times New Roman"/>
        </w:rPr>
        <w:t>9 </w:t>
      </w:r>
      <w:r>
        <w:rPr>
          <w:spacing w:val="-6"/>
        </w:rPr>
        <w:t>号令《产业结构调整指导目录</w:t>
      </w:r>
      <w:r>
        <w:rPr>
          <w:spacing w:val="-156"/>
        </w:rPr>
        <w:t>》</w:t>
      </w:r>
      <w:r>
        <w:rPr/>
        <w:t>（</w:t>
      </w:r>
      <w:r>
        <w:rPr>
          <w:rFonts w:ascii="Times New Roman" w:hAnsi="Times New Roman" w:eastAsia="Times New Roman"/>
        </w:rPr>
        <w:t>2011 </w:t>
      </w:r>
      <w:r>
        <w:rPr/>
        <w:t>年本</w:t>
      </w:r>
      <w:r>
        <w:rPr>
          <w:spacing w:val="-78"/>
        </w:rPr>
        <w:t>）</w:t>
      </w:r>
      <w:r>
        <w:rPr>
          <w:spacing w:val="-24"/>
        </w:rPr>
        <w:t>，鼓励类中</w:t>
      </w:r>
      <w:r>
        <w:rPr>
          <w:w w:val="180"/>
        </w:rPr>
        <w:t>“</w:t>
      </w:r>
      <w:r>
        <w:rPr/>
        <w:t>十</w:t>
      </w:r>
      <w:r>
        <w:rPr>
          <w:spacing w:val="-3"/>
        </w:rPr>
        <w:t>三、医药 </w:t>
      </w:r>
      <w:r>
        <w:rPr>
          <w:rFonts w:ascii="Times New Roman" w:hAnsi="Times New Roman" w:eastAsia="Times New Roman"/>
        </w:rPr>
        <w:t>1</w:t>
      </w:r>
      <w:r>
        <w:rPr>
          <w:spacing w:val="-8"/>
        </w:rPr>
        <w:t>、拥有自主知识产权的新药开发和生产，天然药物开发和生产，新型计划生育药物</w:t>
      </w:r>
      <w:r>
        <w:rPr>
          <w:spacing w:val="-8"/>
          <w:w w:val="135"/>
        </w:rPr>
        <w:t>(</w:t>
      </w:r>
      <w:r>
        <w:rPr>
          <w:spacing w:val="-8"/>
        </w:rPr>
        <w:t>包括第三代孕激素的避孕药</w:t>
      </w:r>
      <w:r>
        <w:rPr>
          <w:spacing w:val="-8"/>
          <w:w w:val="135"/>
        </w:rPr>
        <w:t>)</w:t>
      </w:r>
      <w:r>
        <w:rPr>
          <w:spacing w:val="-13"/>
        </w:rPr>
        <w:t>开发和生产，满足我国重大、多发性</w:t>
      </w:r>
      <w:r>
        <w:rPr>
          <w:spacing w:val="-22"/>
        </w:rPr>
        <w:t>疾病防治需求的通用名药物首次开发和生产，药物新剂型、新辅料的开发和生产， </w:t>
      </w:r>
      <w:r>
        <w:rPr>
          <w:spacing w:val="-20"/>
        </w:rPr>
        <w:t>药物生产过程中的膜分离、超临界萃取、新型结晶、手性合成、酶促合成、生物</w:t>
      </w:r>
      <w:r>
        <w:rPr>
          <w:spacing w:val="-12"/>
        </w:rPr>
        <w:t>转化、自控等技术开发与应用，原料药生产节能降耗减排技术、新型药物制剂技</w:t>
      </w:r>
      <w:r>
        <w:rPr>
          <w:spacing w:val="-7"/>
        </w:rPr>
        <w:t>术开发与应用</w:t>
      </w:r>
      <w:r>
        <w:rPr>
          <w:spacing w:val="-118"/>
          <w:w w:val="210"/>
        </w:rPr>
        <w:t>”</w:t>
      </w:r>
      <w:r>
        <w:rPr/>
        <w:t>，本项目属于项目原料药生产节能降耗减排技术开发与应用，属于鼓励类。因此，本项目符合国家产业政策的要求。</w:t>
      </w:r>
    </w:p>
    <w:p>
      <w:pPr>
        <w:pStyle w:val="Heading5"/>
        <w:numPr>
          <w:ilvl w:val="2"/>
          <w:numId w:val="21"/>
        </w:numPr>
        <w:tabs>
          <w:tab w:pos="1150" w:val="left" w:leader="none"/>
        </w:tabs>
        <w:spacing w:line="511" w:lineRule="exact" w:before="0" w:after="0"/>
        <w:ind w:left="1150" w:right="0" w:hanging="910"/>
        <w:jc w:val="left"/>
      </w:pPr>
      <w:r>
        <w:rPr>
          <w:spacing w:val="-3"/>
        </w:rPr>
        <w:t>规划符合性分析及环保管理要求符合性</w:t>
      </w:r>
    </w:p>
    <w:p>
      <w:pPr>
        <w:pStyle w:val="BodyText"/>
        <w:spacing w:line="429" w:lineRule="exact"/>
        <w:ind w:left="720"/>
      </w:pPr>
      <w:r>
        <w:rPr>
          <w:spacing w:val="-3"/>
        </w:rPr>
        <w:t>本项目位于山东莒南经济开发区</w:t>
      </w:r>
      <w:r>
        <w:rPr/>
        <w:t>（调整后</w:t>
      </w:r>
      <w:r>
        <w:rPr>
          <w:spacing w:val="-32"/>
        </w:rPr>
        <w:t>）</w:t>
      </w:r>
      <w:r>
        <w:rPr>
          <w:spacing w:val="-4"/>
        </w:rPr>
        <w:t>南部化工工业区，占地为三类工</w:t>
      </w:r>
    </w:p>
    <w:p>
      <w:pPr>
        <w:pStyle w:val="BodyText"/>
        <w:spacing w:line="220" w:lineRule="auto" w:before="8"/>
        <w:ind w:left="240" w:right="235"/>
      </w:pPr>
      <w:r>
        <w:rPr>
          <w:spacing w:val="-9"/>
        </w:rPr>
        <w:t>业用地。本项目符合经济开发区总体规划。本项目为医药化工建设项目，厂址位</w:t>
      </w:r>
      <w:r>
        <w:rPr/>
        <w:t>于山东莒南经济开发区淮海路西段路南，西侧靠近莒南经济开发区污水处理厂</w:t>
      </w:r>
    </w:p>
    <w:p>
      <w:pPr>
        <w:pStyle w:val="BodyText"/>
        <w:spacing w:line="220" w:lineRule="auto"/>
        <w:ind w:left="240" w:right="116" w:hanging="121"/>
        <w:jc w:val="center"/>
      </w:pPr>
      <w:r>
        <w:rPr/>
        <w:t>（即莒南新区污水处理厂</w:t>
      </w:r>
      <w:r>
        <w:rPr>
          <w:spacing w:val="-32"/>
        </w:rPr>
        <w:t>）</w:t>
      </w:r>
      <w:r>
        <w:rPr>
          <w:spacing w:val="-8"/>
        </w:rPr>
        <w:t>以西，项目搬迁选址不在该园区已批复范围内。随着 </w:t>
      </w:r>
      <w:r>
        <w:rPr>
          <w:spacing w:val="-12"/>
        </w:rPr>
        <w:t>园区不断发展，入园企业增加，园区原批复面积不能满足园区发展需要，莒南县 </w:t>
      </w:r>
      <w:r>
        <w:rPr>
          <w:spacing w:val="-16"/>
        </w:rPr>
        <w:t>对开发区范围进行重新调整，项目搬迁选址将位于莒南经济开发区调整后的化工 </w:t>
      </w:r>
      <w:r>
        <w:rPr>
          <w:spacing w:val="-15"/>
        </w:rPr>
        <w:t>工业区范围内。目前调整后莒南经济开发区的环评正在进行中。调整后的山东莒 </w:t>
      </w:r>
      <w:r>
        <w:rPr>
          <w:spacing w:val="-18"/>
        </w:rPr>
        <w:t>南经济开发区园区环评批复后，项目建设将符合鲁环函</w:t>
      </w:r>
      <w:r>
        <w:rPr>
          <w:spacing w:val="-7"/>
        </w:rPr>
        <w:t>（</w:t>
      </w:r>
      <w:r>
        <w:rPr>
          <w:rFonts w:ascii="Times New Roman" w:hAnsi="Times New Roman" w:eastAsia="Times New Roman"/>
          <w:spacing w:val="-7"/>
        </w:rPr>
        <w:t>2011</w:t>
      </w:r>
      <w:r>
        <w:rPr>
          <w:spacing w:val="-7"/>
        </w:rPr>
        <w:t>）</w:t>
      </w:r>
      <w:r>
        <w:rPr>
          <w:rFonts w:ascii="Times New Roman" w:hAnsi="Times New Roman" w:eastAsia="Times New Roman"/>
          <w:spacing w:val="-7"/>
        </w:rPr>
        <w:t>358 </w:t>
      </w:r>
      <w:r>
        <w:rPr/>
        <w:t>号文的要求。建设项目不存在山东省环保局要求的</w:t>
      </w:r>
      <w:r>
        <w:rPr>
          <w:rFonts w:ascii="Times New Roman" w:hAnsi="Times New Roman" w:eastAsia="Times New Roman"/>
        </w:rPr>
        <w:t>“</w:t>
      </w:r>
      <w:r>
        <w:rPr/>
        <w:t>禁批</w:t>
      </w:r>
      <w:r>
        <w:rPr>
          <w:rFonts w:ascii="Times New Roman" w:hAnsi="Times New Roman" w:eastAsia="Times New Roman"/>
        </w:rPr>
        <w:t>”</w:t>
      </w:r>
      <w:r>
        <w:rPr>
          <w:spacing w:val="4"/>
        </w:rPr>
        <w:t>和</w:t>
      </w:r>
      <w:r>
        <w:rPr>
          <w:rFonts w:ascii="Times New Roman" w:hAnsi="Times New Roman" w:eastAsia="Times New Roman"/>
        </w:rPr>
        <w:t>“</w:t>
      </w:r>
      <w:r>
        <w:rPr/>
        <w:t>限批</w:t>
      </w:r>
      <w:r>
        <w:rPr>
          <w:rFonts w:ascii="Times New Roman" w:hAnsi="Times New Roman" w:eastAsia="Times New Roman"/>
        </w:rPr>
        <w:t>”</w:t>
      </w:r>
      <w:r>
        <w:rPr/>
        <w:t>行为，所处区域位置也</w:t>
      </w:r>
    </w:p>
    <w:p>
      <w:pPr>
        <w:pStyle w:val="BodyText"/>
        <w:spacing w:line="220" w:lineRule="auto"/>
        <w:ind w:left="240" w:right="234"/>
        <w:jc w:val="both"/>
      </w:pPr>
      <w:r>
        <w:rPr/>
        <w:t>不在山东省环保局要求的</w:t>
      </w:r>
      <w:r>
        <w:rPr>
          <w:rFonts w:ascii="Times New Roman" w:hAnsi="Times New Roman" w:eastAsia="Times New Roman"/>
        </w:rPr>
        <w:t>“</w:t>
      </w:r>
      <w:r>
        <w:rPr/>
        <w:t>禁批</w:t>
      </w:r>
      <w:r>
        <w:rPr>
          <w:rFonts w:ascii="Times New Roman" w:hAnsi="Times New Roman" w:eastAsia="Times New Roman"/>
        </w:rPr>
        <w:t>”</w:t>
      </w:r>
      <w:r>
        <w:rPr/>
        <w:t>和</w:t>
      </w:r>
      <w:r>
        <w:rPr>
          <w:rFonts w:ascii="Times New Roman" w:hAnsi="Times New Roman" w:eastAsia="Times New Roman"/>
        </w:rPr>
        <w:t>“</w:t>
      </w:r>
      <w:r>
        <w:rPr/>
        <w:t>限批</w:t>
      </w:r>
      <w:r>
        <w:rPr>
          <w:rFonts w:ascii="Times New Roman" w:hAnsi="Times New Roman" w:eastAsia="Times New Roman"/>
        </w:rPr>
        <w:t>”</w:t>
      </w:r>
      <w:r>
        <w:rPr>
          <w:spacing w:val="-6"/>
        </w:rPr>
        <w:t>范围内，符合文件要求。项目建设符合鲁政办发</w:t>
      </w:r>
      <w:r>
        <w:rPr>
          <w:rFonts w:ascii="Times New Roman" w:hAnsi="Times New Roman" w:eastAsia="Times New Roman"/>
          <w:spacing w:val="-6"/>
        </w:rPr>
        <w:t>[2008]68 </w:t>
      </w:r>
      <w:r>
        <w:rPr>
          <w:spacing w:val="-9"/>
        </w:rPr>
        <w:t>号文《关于进一步加强危险化学品安全生产工作的意见》的要求。</w:t>
      </w:r>
    </w:p>
    <w:p>
      <w:pPr>
        <w:spacing w:after="0" w:line="220" w:lineRule="auto"/>
        <w:jc w:val="both"/>
        <w:sectPr>
          <w:footerReference w:type="default" r:id="rId77"/>
          <w:pgSz w:w="11910" w:h="16840"/>
          <w:pgMar w:footer="973" w:header="877" w:top="1420" w:bottom="1160" w:left="1560" w:right="1560"/>
          <w:pgNumType w:start="2"/>
        </w:sectPr>
      </w:pPr>
    </w:p>
    <w:p>
      <w:pPr>
        <w:pStyle w:val="Heading5"/>
        <w:numPr>
          <w:ilvl w:val="2"/>
          <w:numId w:val="22"/>
        </w:numPr>
        <w:tabs>
          <w:tab w:pos="1150" w:val="left" w:leader="none"/>
        </w:tabs>
        <w:spacing w:line="496" w:lineRule="exact" w:before="0" w:after="0"/>
        <w:ind w:left="1150" w:right="0" w:hanging="910"/>
        <w:jc w:val="left"/>
      </w:pPr>
      <w:r>
        <w:rPr>
          <w:spacing w:val="-3"/>
        </w:rPr>
        <w:t>本项目主要污染因素、治理与排放情况</w:t>
      </w:r>
    </w:p>
    <w:p>
      <w:pPr>
        <w:pStyle w:val="ListParagraph"/>
        <w:numPr>
          <w:ilvl w:val="3"/>
          <w:numId w:val="22"/>
        </w:numPr>
        <w:tabs>
          <w:tab w:pos="1261" w:val="left" w:leader="none"/>
        </w:tabs>
        <w:spacing w:line="428" w:lineRule="exact" w:before="0" w:after="0"/>
        <w:ind w:left="1260" w:right="0" w:hanging="1020"/>
        <w:jc w:val="left"/>
        <w:rPr>
          <w:sz w:val="24"/>
        </w:rPr>
      </w:pPr>
      <w:r>
        <w:rPr>
          <w:sz w:val="24"/>
        </w:rPr>
        <w:t>废气</w:t>
      </w:r>
    </w:p>
    <w:p>
      <w:pPr>
        <w:pStyle w:val="BodyText"/>
        <w:spacing w:line="220" w:lineRule="auto" w:before="8"/>
        <w:ind w:left="240" w:right="238" w:firstLine="479"/>
        <w:jc w:val="both"/>
      </w:pPr>
      <w:r>
        <w:rPr>
          <w:spacing w:val="-5"/>
        </w:rPr>
        <w:t>本项目废气分有组织废气和无组织废气。有组织废气主要有工艺废气、燃气锅炉废等；无组织废气主要为物料储罐区和生产装置区无组织挥发气体。</w:t>
      </w:r>
    </w:p>
    <w:p>
      <w:pPr>
        <w:pStyle w:val="BodyText"/>
        <w:spacing w:line="220" w:lineRule="auto"/>
        <w:ind w:left="240" w:right="239" w:firstLine="479"/>
        <w:jc w:val="both"/>
      </w:pPr>
      <w:r>
        <w:rPr/>
        <w:t>（1）项目工艺废气包括：两个原料药生产车间内各产品生产过程中反应釜</w:t>
      </w:r>
      <w:r>
        <w:rPr>
          <w:spacing w:val="-8"/>
        </w:rPr>
        <w:t>挥发的不凝气、蒸馏冷凝不凝气、药品干燥后不凝废气、药品粉碎粉尘，溶剂回收车间蒸馏不凝气。</w:t>
      </w:r>
    </w:p>
    <w:p>
      <w:pPr>
        <w:pStyle w:val="BodyText"/>
        <w:spacing w:line="220" w:lineRule="auto"/>
        <w:ind w:left="240" w:right="238" w:firstLine="479"/>
        <w:jc w:val="both"/>
      </w:pPr>
      <w:r>
        <w:rPr/>
        <w:t>其中两个原料药生产车间各配备一套碱洗塔+活性炭吸附装置，各产品生产</w:t>
      </w:r>
      <w:r>
        <w:rPr>
          <w:spacing w:val="-7"/>
        </w:rPr>
        <w:t>过程中反应釜挥发的不凝气、蒸馏冷凝不凝气、药品干燥后不凝废气中含有酸性废气或易被水溶解吸收废气或有机废气，均进入车间配套建设的碱洗塔+活性炭</w:t>
      </w:r>
      <w:r>
        <w:rPr>
          <w:spacing w:val="-6"/>
        </w:rPr>
        <w:t>吸附装置处理后，分别经原料药车间 </w:t>
      </w:r>
      <w:r>
        <w:rPr/>
        <w:t>1</w:t>
      </w:r>
      <w:r>
        <w:rPr>
          <w:spacing w:val="4"/>
        </w:rPr>
        <w:t> 配套的 </w:t>
      </w:r>
      <w:r>
        <w:rPr/>
        <w:t>1#</w:t>
      </w:r>
      <w:r>
        <w:rPr>
          <w:spacing w:val="1"/>
        </w:rPr>
        <w:t>排气筒、原料药车间 </w:t>
      </w:r>
      <w:r>
        <w:rPr/>
        <w:t>2</w:t>
      </w:r>
      <w:r>
        <w:rPr>
          <w:spacing w:val="3"/>
        </w:rPr>
        <w:t> 配套的</w:t>
      </w:r>
    </w:p>
    <w:p>
      <w:pPr>
        <w:pStyle w:val="BodyText"/>
        <w:spacing w:line="460" w:lineRule="exact"/>
        <w:ind w:left="240"/>
      </w:pPr>
      <w:r>
        <w:rPr/>
        <w:t>3#排气筒排放。各污染物排放浓度和排放速率均能满足相关标准的要求。</w:t>
      </w:r>
    </w:p>
    <w:p>
      <w:pPr>
        <w:pStyle w:val="BodyText"/>
        <w:spacing w:line="220" w:lineRule="auto" w:before="8"/>
        <w:ind w:left="240" w:right="236" w:firstLine="479"/>
        <w:jc w:val="both"/>
      </w:pPr>
      <w:r>
        <w:rPr>
          <w:spacing w:val="-4"/>
        </w:rPr>
        <w:t>溶剂回收车间废气主要为蒸馏过程产生的不凝有机废气，部分废气为酸性废</w:t>
      </w:r>
      <w:r>
        <w:rPr>
          <w:spacing w:val="-7"/>
        </w:rPr>
        <w:t>气，进入车间配套建设的碱洗塔+活性炭吸附装置处理后，经回收车间配套的 </w:t>
      </w:r>
      <w:r>
        <w:rPr/>
        <w:t>5# 排气筒排放。各污染物排放浓度和排放速率均能满足相关标准的要求。</w:t>
      </w:r>
    </w:p>
    <w:p>
      <w:pPr>
        <w:pStyle w:val="BodyText"/>
        <w:spacing w:line="220" w:lineRule="auto"/>
        <w:ind w:left="240" w:right="237" w:firstLine="479"/>
        <w:jc w:val="both"/>
      </w:pPr>
      <w:r>
        <w:rPr>
          <w:spacing w:val="-6"/>
        </w:rPr>
        <w:t>发酵车间废气主要为喷雾干燥粉尘。先去生产系统配套的布袋除尘装置处置后，再去发酵车间配套建设的车间排风净化系统处理，最后尾气发酵车间的 </w:t>
      </w:r>
      <w:r>
        <w:rPr/>
        <w:t>6# 排气筒车间。各污染物排放浓度和排放速率均能满足相关标准的要求。</w:t>
      </w:r>
    </w:p>
    <w:p>
      <w:pPr>
        <w:pStyle w:val="BodyText"/>
        <w:spacing w:line="220" w:lineRule="auto"/>
        <w:ind w:left="240" w:right="239" w:firstLine="479"/>
        <w:jc w:val="both"/>
      </w:pPr>
      <w:r>
        <w:rPr>
          <w:w w:val="95"/>
          <w:position w:val="2"/>
        </w:rPr>
        <w:t>（2）</w:t>
      </w:r>
      <w:r>
        <w:rPr>
          <w:spacing w:val="5"/>
          <w:w w:val="95"/>
          <w:position w:val="2"/>
        </w:rPr>
        <w:t>燃气锅炉的  </w:t>
      </w:r>
      <w:r>
        <w:rPr>
          <w:w w:val="95"/>
          <w:position w:val="2"/>
        </w:rPr>
        <w:t>SO</w:t>
      </w:r>
      <w:r>
        <w:rPr>
          <w:w w:val="95"/>
          <w:sz w:val="12"/>
        </w:rPr>
        <w:t>2</w:t>
      </w:r>
      <w:r>
        <w:rPr>
          <w:w w:val="95"/>
          <w:position w:val="2"/>
        </w:rPr>
        <w:t>、NO</w:t>
      </w:r>
      <w:r>
        <w:rPr>
          <w:w w:val="95"/>
          <w:sz w:val="12"/>
        </w:rPr>
        <w:t>X</w:t>
      </w:r>
      <w:r>
        <w:rPr>
          <w:w w:val="95"/>
          <w:position w:val="2"/>
        </w:rPr>
        <w:t>、烟尘排放浓度能够满足《锅炉大气污染物排放</w:t>
      </w:r>
      <w:r>
        <w:rPr>
          <w:spacing w:val="-44"/>
          <w:w w:val="95"/>
        </w:rPr>
        <w:t>标准》</w:t>
      </w:r>
      <w:r>
        <w:rPr>
          <w:w w:val="95"/>
        </w:rPr>
        <w:t>（GB 13271-2001）</w:t>
      </w:r>
      <w:r>
        <w:rPr>
          <w:spacing w:val="-1"/>
          <w:w w:val="95"/>
        </w:rPr>
        <w:t>中大气污染物排放限值的要求，同时烟尘排放浓度满足</w:t>
      </w:r>
    </w:p>
    <w:p>
      <w:pPr>
        <w:pStyle w:val="BodyText"/>
        <w:spacing w:line="459" w:lineRule="exact"/>
        <w:ind w:left="240"/>
      </w:pPr>
      <w:r>
        <w:rPr/>
        <w:t>《山东省固定源大气颗粒物综合排放标准》（DB37/1996-2011）要求。</w:t>
      </w:r>
    </w:p>
    <w:p>
      <w:pPr>
        <w:pStyle w:val="BodyText"/>
        <w:spacing w:line="468" w:lineRule="exact"/>
        <w:ind w:left="720"/>
      </w:pPr>
      <w:r>
        <w:rPr/>
        <w:t>（3）无组织排放</w:t>
      </w:r>
    </w:p>
    <w:p>
      <w:pPr>
        <w:pStyle w:val="BodyText"/>
        <w:spacing w:line="220" w:lineRule="auto" w:before="8"/>
        <w:ind w:left="240" w:right="237" w:firstLine="479"/>
        <w:jc w:val="both"/>
      </w:pPr>
      <w:r>
        <w:rPr>
          <w:spacing w:val="-5"/>
        </w:rPr>
        <w:t>本项目生产装置区无组织排放源为反应釜、管道和阀门等连接处的泄漏，包</w:t>
      </w:r>
      <w:r>
        <w:rPr>
          <w:spacing w:val="-11"/>
        </w:rPr>
        <w:t>括车间无组织排放、项目罐区储罐的大呼吸和小呼吸无组织排放。项目为了控制</w:t>
      </w:r>
      <w:r>
        <w:rPr>
          <w:spacing w:val="-13"/>
        </w:rPr>
        <w:t>无组织废气产生量，减少物料损失和防止污染环境，采取了源头控制、过程强化管理等措施。</w:t>
      </w:r>
    </w:p>
    <w:p>
      <w:pPr>
        <w:pStyle w:val="ListParagraph"/>
        <w:numPr>
          <w:ilvl w:val="3"/>
          <w:numId w:val="22"/>
        </w:numPr>
        <w:tabs>
          <w:tab w:pos="1261" w:val="left" w:leader="none"/>
        </w:tabs>
        <w:spacing w:line="460" w:lineRule="exact" w:before="20" w:after="0"/>
        <w:ind w:left="1260" w:right="0" w:hanging="1020"/>
        <w:jc w:val="left"/>
        <w:rPr>
          <w:sz w:val="24"/>
        </w:rPr>
      </w:pPr>
      <w:r>
        <w:rPr>
          <w:sz w:val="24"/>
        </w:rPr>
        <w:t>废水</w:t>
      </w:r>
    </w:p>
    <w:p>
      <w:pPr>
        <w:pStyle w:val="BodyText"/>
        <w:spacing w:line="439" w:lineRule="exact"/>
        <w:ind w:left="720"/>
      </w:pPr>
      <w:r>
        <w:rPr/>
        <w:t>项目运行过程产生的废水包括：各化学原料药生产工艺废水（含分层废水、</w:t>
      </w:r>
    </w:p>
    <w:p>
      <w:pPr>
        <w:pStyle w:val="BodyText"/>
        <w:spacing w:line="220" w:lineRule="auto" w:before="8"/>
        <w:ind w:left="240" w:right="118"/>
      </w:pPr>
      <w:r>
        <w:rPr>
          <w:spacing w:val="-4"/>
        </w:rPr>
        <w:t>洗涤废水、离心母液等</w:t>
      </w:r>
      <w:r>
        <w:rPr>
          <w:spacing w:val="-20"/>
        </w:rPr>
        <w:t>），</w:t>
      </w:r>
      <w:r>
        <w:rPr>
          <w:spacing w:val="-4"/>
        </w:rPr>
        <w:t>白葡菌生产发酵废水，真空泵废水，废气处理装置产</w:t>
      </w:r>
      <w:r>
        <w:rPr>
          <w:spacing w:val="-17"/>
        </w:rPr>
        <w:t>生废水。另外各产品生产车间地面冲洗水、设备冲洗水，循环冷却水系统排污水，</w:t>
      </w:r>
    </w:p>
    <w:p>
      <w:pPr>
        <w:spacing w:after="0" w:line="220" w:lineRule="auto"/>
        <w:sectPr>
          <w:pgSz w:w="11910" w:h="16840"/>
          <w:pgMar w:header="877" w:footer="973" w:top="1420" w:bottom="1160" w:left="1560" w:right="1560"/>
        </w:sectPr>
      </w:pPr>
    </w:p>
    <w:p>
      <w:pPr>
        <w:pStyle w:val="BodyText"/>
        <w:spacing w:line="463" w:lineRule="exact"/>
        <w:ind w:left="240"/>
      </w:pPr>
      <w:r>
        <w:rPr/>
        <w:t>软水制备浓水；还有职工生活污水。</w:t>
      </w:r>
    </w:p>
    <w:p>
      <w:pPr>
        <w:pStyle w:val="BodyText"/>
        <w:spacing w:line="220" w:lineRule="auto" w:before="8"/>
        <w:ind w:left="240" w:right="142" w:firstLine="479"/>
        <w:jc w:val="both"/>
      </w:pPr>
      <w:r>
        <w:rPr>
          <w:spacing w:val="-3"/>
        </w:rPr>
        <w:t>考虑化学原料药各产品化学合成废水大部分为高浓有机废水或高盐废水，先</w:t>
      </w:r>
      <w:r>
        <w:rPr>
          <w:spacing w:val="-9"/>
        </w:rPr>
        <w:t>进入废水预处理装置处理，即经过气浮工艺处理，把油脂类、悬浮物以及大的有</w:t>
      </w:r>
      <w:r>
        <w:rPr>
          <w:spacing w:val="-12"/>
        </w:rPr>
        <w:t>机颗粒去除；气浮水层再经过回收车间蒸馏工艺，去除盐类、低沸点有机物；蒸</w:t>
      </w:r>
      <w:r>
        <w:rPr>
          <w:spacing w:val="-17"/>
        </w:rPr>
        <w:t>馏后的高沸点小分子有机物经微电解、催化氧化工艺处理，降解成生化性能较好的有机物质；再和白葡菌生产发酵废水，真空泵废水，废气处理装置产生废水， </w:t>
      </w:r>
      <w:r>
        <w:rPr>
          <w:spacing w:val="-14"/>
        </w:rPr>
        <w:t>地面冲洗水，设备冲洗水，循环冷却水系统排污水，软水制备浓水，生活污水按一定比例混合进入厂区污水处理站生化处理系统处理。</w:t>
      </w:r>
    </w:p>
    <w:p>
      <w:pPr>
        <w:pStyle w:val="BodyText"/>
        <w:spacing w:line="220" w:lineRule="auto"/>
        <w:ind w:left="240" w:right="235" w:firstLine="479"/>
        <w:jc w:val="both"/>
      </w:pPr>
      <w:r>
        <w:rPr/>
        <w:t>厂区配套建设 </w:t>
      </w:r>
      <w:r>
        <w:rPr>
          <w:rFonts w:ascii="Times New Roman" w:hAnsi="Times New Roman" w:eastAsia="Times New Roman"/>
        </w:rPr>
        <w:t>1 </w:t>
      </w:r>
      <w:r>
        <w:rPr/>
        <w:t>座处理能力 </w:t>
      </w:r>
      <w:r>
        <w:rPr>
          <w:rFonts w:ascii="Times New Roman" w:hAnsi="Times New Roman" w:eastAsia="Times New Roman"/>
        </w:rPr>
        <w:t>300m</w:t>
      </w:r>
      <w:r>
        <w:rPr>
          <w:rFonts w:ascii="Times New Roman" w:hAnsi="Times New Roman" w:eastAsia="Times New Roman"/>
          <w:position w:val="9"/>
          <w:sz w:val="16"/>
        </w:rPr>
        <w:t>3</w:t>
      </w:r>
      <w:r>
        <w:rPr>
          <w:rFonts w:ascii="Times New Roman" w:hAnsi="Times New Roman" w:eastAsia="Times New Roman"/>
        </w:rPr>
        <w:t>/d </w:t>
      </w:r>
      <w:r>
        <w:rPr/>
        <w:t>的污水处理站，采用</w:t>
      </w:r>
      <w:r>
        <w:rPr>
          <w:rFonts w:ascii="Times New Roman" w:hAnsi="Times New Roman" w:eastAsia="Times New Roman"/>
        </w:rPr>
        <w:t>“</w:t>
      </w:r>
      <w:r>
        <w:rPr/>
        <w:t>预处理（气浮</w:t>
      </w:r>
      <w:r>
        <w:rPr>
          <w:rFonts w:ascii="Times New Roman" w:hAnsi="Times New Roman" w:eastAsia="Times New Roman"/>
        </w:rPr>
        <w:t>+ </w:t>
      </w:r>
      <w:r>
        <w:rPr/>
        <w:t>回收车间蒸馏</w:t>
      </w:r>
      <w:r>
        <w:rPr>
          <w:rFonts w:ascii="Times New Roman" w:hAnsi="Times New Roman" w:eastAsia="Times New Roman"/>
        </w:rPr>
        <w:t>+</w:t>
      </w:r>
      <w:r>
        <w:rPr/>
        <w:t>污水处理站微电解、多维催化氧化）</w:t>
      </w:r>
      <w:r>
        <w:rPr>
          <w:rFonts w:ascii="Times New Roman" w:hAnsi="Times New Roman" w:eastAsia="Times New Roman"/>
        </w:rPr>
        <w:t>+ABR </w:t>
      </w:r>
      <w:r>
        <w:rPr/>
        <w:t>厌氧</w:t>
      </w:r>
      <w:r>
        <w:rPr>
          <w:rFonts w:ascii="Times New Roman" w:hAnsi="Times New Roman" w:eastAsia="Times New Roman"/>
        </w:rPr>
        <w:t>+IC </w:t>
      </w:r>
      <w:r>
        <w:rPr/>
        <w:t>厌氧</w:t>
      </w:r>
      <w:r>
        <w:rPr>
          <w:rFonts w:ascii="Times New Roman" w:hAnsi="Times New Roman" w:eastAsia="Times New Roman"/>
        </w:rPr>
        <w:t>+</w:t>
      </w:r>
      <w:r>
        <w:rPr/>
        <w:t>兼氧</w:t>
      </w:r>
      <w:r>
        <w:rPr>
          <w:rFonts w:ascii="Times New Roman" w:hAnsi="Times New Roman" w:eastAsia="Times New Roman"/>
        </w:rPr>
        <w:t>+ </w:t>
      </w:r>
      <w:r>
        <w:rPr>
          <w:w w:val="95"/>
        </w:rPr>
        <w:t>生物接触氧化</w:t>
      </w:r>
      <w:r>
        <w:rPr>
          <w:rFonts w:ascii="Times New Roman" w:hAnsi="Times New Roman" w:eastAsia="Times New Roman"/>
          <w:w w:val="95"/>
        </w:rPr>
        <w:t>”</w:t>
      </w:r>
      <w:r>
        <w:rPr>
          <w:w w:val="95"/>
        </w:rPr>
        <w:t>的处理工艺。本项目废水经污水处理站处理后的废水 COD≤</w:t>
      </w:r>
    </w:p>
    <w:p>
      <w:pPr>
        <w:pStyle w:val="BodyText"/>
        <w:spacing w:line="220" w:lineRule="auto"/>
        <w:ind w:left="240" w:right="113"/>
        <w:jc w:val="both"/>
      </w:pPr>
      <w:r>
        <w:rPr>
          <w:w w:val="90"/>
          <w:position w:val="2"/>
        </w:rPr>
        <w:t>30</w:t>
      </w:r>
      <w:r>
        <w:rPr>
          <w:spacing w:val="-1"/>
          <w:w w:val="90"/>
          <w:position w:val="2"/>
        </w:rPr>
        <w:t>0</w:t>
      </w:r>
      <w:r>
        <w:rPr>
          <w:w w:val="82"/>
          <w:position w:val="2"/>
        </w:rPr>
        <w:t>mg/L</w:t>
      </w:r>
      <w:r>
        <w:rPr>
          <w:spacing w:val="-10"/>
          <w:position w:val="2"/>
        </w:rPr>
        <w:t>、</w:t>
      </w:r>
      <w:r>
        <w:rPr>
          <w:w w:val="68"/>
          <w:position w:val="2"/>
        </w:rPr>
        <w:t>NH</w:t>
      </w:r>
      <w:r>
        <w:rPr>
          <w:w w:val="90"/>
          <w:sz w:val="12"/>
        </w:rPr>
        <w:t>3</w:t>
      </w:r>
      <w:r>
        <w:rPr>
          <w:w w:val="144"/>
          <w:position w:val="2"/>
        </w:rPr>
        <w:t>-</w:t>
      </w:r>
      <w:r>
        <w:rPr>
          <w:w w:val="69"/>
          <w:position w:val="2"/>
        </w:rPr>
        <w:t>N</w:t>
      </w:r>
      <w:r>
        <w:rPr>
          <w:position w:val="2"/>
        </w:rPr>
        <w:t>≤</w:t>
      </w:r>
      <w:r>
        <w:rPr>
          <w:w w:val="90"/>
          <w:position w:val="2"/>
        </w:rPr>
        <w:t>30</w:t>
      </w:r>
      <w:r>
        <w:rPr>
          <w:w w:val="79"/>
          <w:position w:val="2"/>
        </w:rPr>
        <w:t>mg</w:t>
      </w:r>
      <w:r>
        <w:rPr>
          <w:spacing w:val="2"/>
          <w:w w:val="79"/>
          <w:position w:val="2"/>
        </w:rPr>
        <w:t>/</w:t>
      </w:r>
      <w:r>
        <w:rPr>
          <w:w w:val="92"/>
          <w:position w:val="2"/>
        </w:rPr>
        <w:t>L</w:t>
      </w:r>
      <w:r>
        <w:rPr>
          <w:spacing w:val="-12"/>
          <w:position w:val="2"/>
        </w:rPr>
        <w:t>，满足《污水排入城镇下水道水质标准》</w:t>
      </w:r>
      <w:r>
        <w:rPr>
          <w:spacing w:val="1"/>
          <w:position w:val="2"/>
        </w:rPr>
        <w:t>（</w:t>
      </w:r>
      <w:r>
        <w:rPr>
          <w:spacing w:val="2"/>
          <w:w w:val="78"/>
          <w:position w:val="2"/>
        </w:rPr>
        <w:t>C</w:t>
      </w:r>
      <w:r>
        <w:rPr>
          <w:w w:val="91"/>
          <w:position w:val="2"/>
        </w:rPr>
        <w:t>J3</w:t>
      </w:r>
      <w:r>
        <w:rPr>
          <w:w w:val="90"/>
          <w:position w:val="2"/>
        </w:rPr>
        <w:t>43</w:t>
      </w:r>
      <w:r>
        <w:rPr>
          <w:w w:val="144"/>
          <w:position w:val="2"/>
        </w:rPr>
        <w:t>-</w:t>
      </w:r>
      <w:r>
        <w:rPr>
          <w:w w:val="90"/>
          <w:position w:val="2"/>
        </w:rPr>
        <w:t>2010</w:t>
      </w:r>
      <w:r>
        <w:rPr>
          <w:position w:val="2"/>
        </w:rPr>
        <w:t>）</w:t>
      </w:r>
      <w:r>
        <w:rPr>
          <w:spacing w:val="-1"/>
        </w:rPr>
        <w:t>表 </w:t>
      </w:r>
      <w:r>
        <w:rPr/>
        <w:t>1 中 A</w:t>
      </w:r>
      <w:r>
        <w:rPr>
          <w:spacing w:val="-9"/>
        </w:rPr>
        <w:t> 等级标准，进入莒南经济开发区污水处理厂处理后，排水满足《城镇污</w:t>
      </w:r>
      <w:r>
        <w:rPr>
          <w:spacing w:val="-19"/>
          <w:w w:val="95"/>
        </w:rPr>
        <w:t>水处理厂污染物排放标准》</w:t>
      </w:r>
      <w:r>
        <w:rPr>
          <w:w w:val="95"/>
        </w:rPr>
        <w:t>（GB18918-2002）</w:t>
      </w:r>
      <w:r>
        <w:rPr>
          <w:spacing w:val="6"/>
          <w:w w:val="95"/>
        </w:rPr>
        <w:t>中一级  </w:t>
      </w:r>
      <w:r>
        <w:rPr>
          <w:w w:val="95"/>
        </w:rPr>
        <w:t>A  标准，排入白马河，而后</w:t>
      </w:r>
      <w:r>
        <w:rPr/>
        <w:t>汇入鸡龙河。</w:t>
      </w:r>
    </w:p>
    <w:p>
      <w:pPr>
        <w:pStyle w:val="ListParagraph"/>
        <w:numPr>
          <w:ilvl w:val="3"/>
          <w:numId w:val="22"/>
        </w:numPr>
        <w:tabs>
          <w:tab w:pos="1261" w:val="left" w:leader="none"/>
        </w:tabs>
        <w:spacing w:line="462" w:lineRule="exact" w:before="36" w:after="0"/>
        <w:ind w:left="1260" w:right="0" w:hanging="1020"/>
        <w:jc w:val="left"/>
        <w:rPr>
          <w:sz w:val="24"/>
        </w:rPr>
      </w:pPr>
      <w:r>
        <w:rPr>
          <w:sz w:val="24"/>
        </w:rPr>
        <w:t>固体废物</w:t>
      </w:r>
    </w:p>
    <w:p>
      <w:pPr>
        <w:pStyle w:val="BodyText"/>
        <w:spacing w:line="442" w:lineRule="exact"/>
        <w:ind w:left="720"/>
      </w:pPr>
      <w:r>
        <w:rPr/>
        <w:t>本项目固体废物分为生活垃圾和危险废物。</w:t>
      </w:r>
    </w:p>
    <w:p>
      <w:pPr>
        <w:pStyle w:val="BodyText"/>
        <w:spacing w:line="220" w:lineRule="auto" w:before="8"/>
        <w:ind w:left="240" w:right="145" w:firstLine="479"/>
        <w:jc w:val="both"/>
      </w:pPr>
      <w:r>
        <w:rPr/>
        <w:t>项目为医药原料药生产项目，生产过程产生的蒸馏残液、滤渣、离心母液、</w:t>
      </w:r>
      <w:r>
        <w:rPr>
          <w:spacing w:val="-9"/>
        </w:rPr>
        <w:t>洗涤废液、有机废气吸附废活性炭等均为危险废物，全部需委托有危废杂质单位处置。</w:t>
      </w:r>
    </w:p>
    <w:p>
      <w:pPr>
        <w:pStyle w:val="BodyText"/>
        <w:spacing w:line="220" w:lineRule="auto"/>
        <w:ind w:left="240" w:right="229" w:firstLine="479"/>
        <w:jc w:val="both"/>
      </w:pPr>
      <w:r>
        <w:rPr>
          <w:spacing w:val="4"/>
        </w:rPr>
        <w:t>结晶溴化钾盐和污水处理站污泥均应进行特性鉴别，经鉴别后属于危险废</w:t>
      </w:r>
      <w:r>
        <w:rPr>
          <w:spacing w:val="-10"/>
        </w:rPr>
        <w:t>物，按照危险废物由有危废资质单位处置，不属于危险废物则按一般废物进行处</w:t>
      </w:r>
      <w:r>
        <w:rPr>
          <w:spacing w:val="-12"/>
        </w:rPr>
        <w:t>置。。项目日常生活产生的生活垃圾由当地环卫部门清运处置。</w:t>
      </w:r>
    </w:p>
    <w:p>
      <w:pPr>
        <w:pStyle w:val="ListParagraph"/>
        <w:numPr>
          <w:ilvl w:val="3"/>
          <w:numId w:val="22"/>
        </w:numPr>
        <w:tabs>
          <w:tab w:pos="1261" w:val="left" w:leader="none"/>
        </w:tabs>
        <w:spacing w:line="463" w:lineRule="exact" w:before="53" w:after="0"/>
        <w:ind w:left="1260" w:right="0" w:hanging="1020"/>
        <w:jc w:val="both"/>
        <w:rPr>
          <w:sz w:val="24"/>
        </w:rPr>
      </w:pPr>
      <w:r>
        <w:rPr>
          <w:sz w:val="24"/>
        </w:rPr>
        <w:t>噪声</w:t>
      </w:r>
    </w:p>
    <w:p>
      <w:pPr>
        <w:pStyle w:val="BodyText"/>
        <w:spacing w:line="443" w:lineRule="exact"/>
        <w:ind w:left="720"/>
      </w:pPr>
      <w:r>
        <w:rPr/>
        <w:t>本项目对噪声主要采取控制噪声源与隔断噪声传播途径相结合的办法，以控</w:t>
      </w:r>
    </w:p>
    <w:p>
      <w:pPr>
        <w:pStyle w:val="BodyText"/>
        <w:spacing w:line="485" w:lineRule="exact"/>
        <w:ind w:left="240"/>
        <w:jc w:val="both"/>
      </w:pPr>
      <w:r>
        <w:rPr/>
        <w:t>制噪声对厂界外声环境的影响。</w:t>
      </w:r>
    </w:p>
    <w:p>
      <w:pPr>
        <w:pStyle w:val="Heading5"/>
        <w:numPr>
          <w:ilvl w:val="2"/>
          <w:numId w:val="23"/>
        </w:numPr>
        <w:tabs>
          <w:tab w:pos="1150" w:val="left" w:leader="none"/>
        </w:tabs>
        <w:spacing w:line="588" w:lineRule="exact" w:before="0" w:after="0"/>
        <w:ind w:left="1150" w:right="0" w:hanging="910"/>
        <w:jc w:val="both"/>
      </w:pPr>
      <w:r>
        <w:rPr>
          <w:spacing w:val="-1"/>
        </w:rPr>
        <w:t>环境质量现状</w:t>
      </w:r>
    </w:p>
    <w:p>
      <w:pPr>
        <w:pStyle w:val="ListParagraph"/>
        <w:numPr>
          <w:ilvl w:val="3"/>
          <w:numId w:val="23"/>
        </w:numPr>
        <w:tabs>
          <w:tab w:pos="1261" w:val="left" w:leader="none"/>
        </w:tabs>
        <w:spacing w:line="486" w:lineRule="exact" w:before="0" w:after="0"/>
        <w:ind w:left="1260" w:right="0" w:hanging="1020"/>
        <w:jc w:val="both"/>
        <w:rPr>
          <w:sz w:val="24"/>
        </w:rPr>
      </w:pPr>
      <w:r>
        <w:rPr>
          <w:sz w:val="24"/>
        </w:rPr>
        <w:t>环境空气</w:t>
      </w:r>
    </w:p>
    <w:p>
      <w:pPr>
        <w:pStyle w:val="BodyText"/>
        <w:spacing w:line="488" w:lineRule="exact"/>
        <w:ind w:left="815" w:right="213"/>
        <w:jc w:val="center"/>
      </w:pPr>
      <w:r>
        <w:rPr>
          <w:position w:val="2"/>
        </w:rPr>
        <w:t>由环境空气质量现状监测与评价表明，各监测点 </w:t>
      </w:r>
      <w:r>
        <w:rPr>
          <w:rFonts w:ascii="Times New Roman" w:eastAsia="Times New Roman"/>
          <w:position w:val="2"/>
        </w:rPr>
        <w:t>SO</w:t>
      </w:r>
      <w:r>
        <w:rPr>
          <w:rFonts w:ascii="Times New Roman" w:eastAsia="Times New Roman"/>
          <w:sz w:val="16"/>
        </w:rPr>
        <w:t>2 </w:t>
      </w:r>
      <w:r>
        <w:rPr>
          <w:position w:val="2"/>
        </w:rPr>
        <w:t>和 </w:t>
      </w:r>
      <w:r>
        <w:rPr>
          <w:rFonts w:ascii="Times New Roman" w:eastAsia="Times New Roman"/>
          <w:position w:val="2"/>
        </w:rPr>
        <w:t>NO</w:t>
      </w:r>
      <w:r>
        <w:rPr>
          <w:rFonts w:ascii="Times New Roman" w:eastAsia="Times New Roman"/>
          <w:sz w:val="16"/>
        </w:rPr>
        <w:t>2 </w:t>
      </w:r>
      <w:r>
        <w:rPr>
          <w:position w:val="2"/>
        </w:rPr>
        <w:t>小时浓度、日</w:t>
      </w:r>
    </w:p>
    <w:p>
      <w:pPr>
        <w:spacing w:after="0" w:line="488" w:lineRule="exact"/>
        <w:jc w:val="center"/>
        <w:sectPr>
          <w:pgSz w:w="11910" w:h="16840"/>
          <w:pgMar w:header="877" w:footer="973" w:top="1420" w:bottom="1160" w:left="1560" w:right="1560"/>
        </w:sectPr>
      </w:pPr>
    </w:p>
    <w:p>
      <w:pPr>
        <w:pStyle w:val="BodyText"/>
        <w:spacing w:line="462" w:lineRule="exact"/>
        <w:ind w:left="240"/>
      </w:pPr>
      <w:r>
        <w:rPr>
          <w:spacing w:val="-6"/>
        </w:rPr>
        <w:t>均浓度均满足《环境空气质量标准》</w:t>
      </w:r>
      <w:r>
        <w:rPr>
          <w:rFonts w:ascii="Times New Roman" w:eastAsia="Times New Roman"/>
        </w:rPr>
        <w:t>(GB3095-1996)</w:t>
      </w:r>
      <w:r>
        <w:rPr>
          <w:rFonts w:ascii="Times New Roman" w:eastAsia="Times New Roman"/>
          <w:spacing w:val="58"/>
        </w:rPr>
        <w:t> </w:t>
      </w:r>
      <w:r>
        <w:rPr>
          <w:spacing w:val="-3"/>
        </w:rPr>
        <w:t>中二级标准要求。各监测点</w:t>
      </w:r>
    </w:p>
    <w:p>
      <w:pPr>
        <w:pStyle w:val="BodyText"/>
        <w:spacing w:line="220" w:lineRule="auto" w:before="9"/>
        <w:ind w:left="240" w:right="142"/>
        <w:jc w:val="both"/>
      </w:pPr>
      <w:r>
        <w:rPr>
          <w:rFonts w:ascii="Times New Roman" w:eastAsia="Times New Roman"/>
          <w:position w:val="2"/>
        </w:rPr>
        <w:t>TSP</w:t>
      </w:r>
      <w:r>
        <w:rPr>
          <w:spacing w:val="-48"/>
          <w:position w:val="2"/>
        </w:rPr>
        <w:t>、</w:t>
      </w:r>
      <w:r>
        <w:rPr>
          <w:rFonts w:ascii="Times New Roman" w:eastAsia="Times New Roman"/>
          <w:position w:val="2"/>
        </w:rPr>
        <w:t>PM</w:t>
      </w:r>
      <w:r>
        <w:rPr>
          <w:rFonts w:ascii="Times New Roman" w:eastAsia="Times New Roman"/>
          <w:sz w:val="16"/>
        </w:rPr>
        <w:t>10 </w:t>
      </w:r>
      <w:r>
        <w:rPr>
          <w:spacing w:val="-7"/>
          <w:position w:val="2"/>
        </w:rPr>
        <w:t>均出现超标现象，超标原因是由于公司内车辆运输及村庄附近农田扬</w:t>
      </w:r>
      <w:r>
        <w:rPr>
          <w:spacing w:val="-12"/>
        </w:rPr>
        <w:t>尘所致。环境敏感点监测的吡啶、甲醇、氯苯、丙酮、环氧氯丙烷、甲醛、二甲苯、甲苯、乙酸甲酯、四氢呋喃、乙醇、乙酸乙酯、硝酸、三乙胺酯均未检出， </w:t>
      </w:r>
      <w:r>
        <w:rPr>
          <w:spacing w:val="-14"/>
        </w:rPr>
        <w:t>均未出现超标现象；氯化氢、非甲烷总烃、臭气浓度氢在环境敏感点监测值均不超标。整体来看，区域环境空气质量不满足《环境空气质量标准》中二级标准。</w:t>
      </w:r>
    </w:p>
    <w:p>
      <w:pPr>
        <w:pStyle w:val="ListParagraph"/>
        <w:numPr>
          <w:ilvl w:val="3"/>
          <w:numId w:val="23"/>
        </w:numPr>
        <w:tabs>
          <w:tab w:pos="1261" w:val="left" w:leader="none"/>
        </w:tabs>
        <w:spacing w:line="459" w:lineRule="exact" w:before="0" w:after="0"/>
        <w:ind w:left="1260" w:right="0" w:hanging="1020"/>
        <w:jc w:val="left"/>
        <w:rPr>
          <w:sz w:val="24"/>
        </w:rPr>
      </w:pPr>
      <w:r>
        <w:rPr>
          <w:sz w:val="24"/>
        </w:rPr>
        <w:t>地表水</w:t>
      </w:r>
    </w:p>
    <w:p>
      <w:pPr>
        <w:pStyle w:val="BodyText"/>
        <w:spacing w:line="220" w:lineRule="auto" w:before="8"/>
        <w:ind w:left="240" w:right="113" w:firstLine="479"/>
        <w:jc w:val="both"/>
      </w:pPr>
      <w:r>
        <w:rPr>
          <w:w w:val="95"/>
        </w:rPr>
        <w:t>由环境质量现状监测与评价表明：COD</w:t>
      </w:r>
      <w:r>
        <w:rPr>
          <w:spacing w:val="12"/>
          <w:w w:val="95"/>
        </w:rPr>
        <w:t> 在白马河 </w:t>
      </w:r>
      <w:r>
        <w:rPr>
          <w:w w:val="95"/>
        </w:rPr>
        <w:t>2#、3#断面出现超标情况， </w:t>
      </w:r>
      <w:r>
        <w:rPr>
          <w:spacing w:val="-7"/>
        </w:rPr>
        <w:t>其余断面满足足《地表水环境质量标准》</w:t>
      </w:r>
      <w:r>
        <w:rPr/>
        <w:t>（</w:t>
      </w:r>
      <w:r>
        <w:rPr>
          <w:rFonts w:ascii="Times New Roman" w:hAnsi="Times New Roman" w:eastAsia="Times New Roman"/>
        </w:rPr>
        <w:t>GB3838-2002</w:t>
      </w:r>
      <w:r>
        <w:rPr/>
        <w:t>）Ⅳ类标准的要求；悬</w:t>
      </w:r>
      <w:r>
        <w:rPr>
          <w:spacing w:val="-1"/>
          <w:position w:val="2"/>
        </w:rPr>
        <w:t>浮物在白马河 </w:t>
      </w:r>
      <w:r>
        <w:rPr>
          <w:position w:val="2"/>
        </w:rPr>
        <w:t>3#</w:t>
      </w:r>
      <w:r>
        <w:rPr>
          <w:spacing w:val="-5"/>
          <w:position w:val="2"/>
        </w:rPr>
        <w:t>断面超标，其他断面达标；</w:t>
      </w:r>
      <w:r>
        <w:rPr>
          <w:rFonts w:ascii="Times New Roman" w:hAnsi="Times New Roman" w:eastAsia="Times New Roman"/>
          <w:spacing w:val="-5"/>
          <w:position w:val="2"/>
        </w:rPr>
        <w:t>BOD</w:t>
      </w:r>
      <w:r>
        <w:rPr>
          <w:rFonts w:ascii="Times New Roman" w:hAnsi="Times New Roman" w:eastAsia="Times New Roman"/>
          <w:spacing w:val="-5"/>
          <w:sz w:val="16"/>
        </w:rPr>
        <w:t>5 </w:t>
      </w:r>
      <w:r>
        <w:rPr>
          <w:spacing w:val="-4"/>
          <w:position w:val="2"/>
        </w:rPr>
        <w:t>在所有监测断面的均超标；其</w:t>
      </w:r>
      <w:r>
        <w:rPr>
          <w:spacing w:val="-5"/>
        </w:rPr>
        <w:t>余因子在各监测断面均未出现超标情况。总体看来，评价河段已不能满足《地表水环境质量标准</w:t>
      </w:r>
      <w:r>
        <w:rPr>
          <w:spacing w:val="-149"/>
        </w:rPr>
        <w:t>》</w:t>
      </w:r>
      <w:r>
        <w:rPr>
          <w:spacing w:val="-3"/>
        </w:rPr>
        <w:t>（</w:t>
      </w:r>
      <w:r>
        <w:rPr>
          <w:rFonts w:ascii="Times New Roman" w:hAnsi="Times New Roman" w:eastAsia="Times New Roman"/>
          <w:spacing w:val="-3"/>
        </w:rPr>
        <w:t>GB3838-2002</w:t>
      </w:r>
      <w:r>
        <w:rPr>
          <w:spacing w:val="-3"/>
        </w:rPr>
        <w:t>）</w:t>
      </w:r>
      <w:r>
        <w:rPr>
          <w:spacing w:val="-7"/>
        </w:rPr>
        <w:t>Ⅳ类标准的要求。经分析，白马河 </w:t>
      </w:r>
      <w:r>
        <w:rPr>
          <w:rFonts w:ascii="Times New Roman" w:hAnsi="Times New Roman" w:eastAsia="Times New Roman"/>
        </w:rPr>
        <w:t>COD</w:t>
      </w:r>
      <w:r>
        <w:rPr>
          <w:spacing w:val="-29"/>
        </w:rPr>
        <w:t>、</w:t>
      </w:r>
      <w:r>
        <w:rPr>
          <w:rFonts w:ascii="Times New Roman" w:hAnsi="Times New Roman" w:eastAsia="Times New Roman"/>
        </w:rPr>
        <w:t>SS</w:t>
      </w:r>
      <w:r>
        <w:rPr/>
        <w:t>、</w:t>
      </w:r>
    </w:p>
    <w:p>
      <w:pPr>
        <w:pStyle w:val="BodyText"/>
        <w:spacing w:line="220" w:lineRule="auto" w:before="1"/>
        <w:ind w:left="240" w:right="236"/>
      </w:pPr>
      <w:r>
        <w:rPr>
          <w:rFonts w:ascii="Times New Roman" w:eastAsia="Times New Roman"/>
          <w:position w:val="2"/>
        </w:rPr>
        <w:t>BOD</w:t>
      </w:r>
      <w:r>
        <w:rPr>
          <w:rFonts w:ascii="Times New Roman" w:eastAsia="Times New Roman"/>
          <w:sz w:val="16"/>
        </w:rPr>
        <w:t>5 </w:t>
      </w:r>
      <w:r>
        <w:rPr>
          <w:position w:val="2"/>
        </w:rPr>
        <w:t>超标主要是由于上游来水水质较差，同时受当地生活污水排入及农田面源</w:t>
      </w:r>
      <w:r>
        <w:rPr/>
        <w:t>污染造成的。</w:t>
      </w:r>
    </w:p>
    <w:p>
      <w:pPr>
        <w:pStyle w:val="ListParagraph"/>
        <w:numPr>
          <w:ilvl w:val="3"/>
          <w:numId w:val="23"/>
        </w:numPr>
        <w:tabs>
          <w:tab w:pos="1261" w:val="left" w:leader="none"/>
        </w:tabs>
        <w:spacing w:line="459" w:lineRule="exact" w:before="0" w:after="0"/>
        <w:ind w:left="1260" w:right="0" w:hanging="1020"/>
        <w:jc w:val="left"/>
        <w:rPr>
          <w:sz w:val="24"/>
        </w:rPr>
      </w:pPr>
      <w:r>
        <w:rPr>
          <w:sz w:val="24"/>
        </w:rPr>
        <w:t>地下水</w:t>
      </w:r>
    </w:p>
    <w:p>
      <w:pPr>
        <w:pStyle w:val="BodyText"/>
        <w:spacing w:line="220" w:lineRule="auto" w:before="8"/>
        <w:ind w:left="240" w:right="116" w:firstLine="479"/>
        <w:jc w:val="both"/>
      </w:pPr>
      <w:r>
        <w:rPr>
          <w:spacing w:val="-6"/>
        </w:rPr>
        <w:t>地下水现状监测与评价结果表明：所有监测点位中，溶解性总固体、总硬度</w:t>
      </w:r>
      <w:r>
        <w:rPr>
          <w:spacing w:val="6"/>
        </w:rPr>
        <w:t>在 </w:t>
      </w:r>
      <w:r>
        <w:rPr>
          <w:rFonts w:ascii="Times New Roman" w:hAnsi="Times New Roman" w:eastAsia="Times New Roman"/>
        </w:rPr>
        <w:t>1#</w:t>
      </w:r>
      <w:r>
        <w:rPr/>
        <w:t>、</w:t>
      </w:r>
      <w:r>
        <w:rPr>
          <w:rFonts w:ascii="Times New Roman" w:hAnsi="Times New Roman" w:eastAsia="Times New Roman"/>
        </w:rPr>
        <w:t>3#</w:t>
      </w:r>
      <w:r>
        <w:rPr>
          <w:spacing w:val="1"/>
        </w:rPr>
        <w:t>点位出现超标现象，氯化物在 </w:t>
      </w:r>
      <w:r>
        <w:rPr>
          <w:rFonts w:ascii="Times New Roman" w:hAnsi="Times New Roman" w:eastAsia="Times New Roman"/>
        </w:rPr>
        <w:t>1#</w:t>
      </w:r>
      <w:r>
        <w:rPr/>
        <w:t>点位超标，其他各监测因子在各监测</w:t>
      </w:r>
      <w:r>
        <w:rPr>
          <w:spacing w:val="-11"/>
        </w:rPr>
        <w:t>点位均能满足《地下水质量标准》</w:t>
      </w:r>
      <w:r>
        <w:rPr>
          <w:rFonts w:ascii="Times New Roman" w:hAnsi="Times New Roman" w:eastAsia="Times New Roman"/>
        </w:rPr>
        <w:t>(GB/T14848-93)</w:t>
      </w:r>
      <w:r>
        <w:rPr>
          <w:spacing w:val="-7"/>
        </w:rPr>
        <w:t>Ⅲ类标准要求。溶解性总固体、</w:t>
      </w:r>
      <w:r>
        <w:rPr>
          <w:spacing w:val="-11"/>
        </w:rPr>
        <w:t>总硬度、氯化物等出现不同程度的超标现象，主要是由于该地区水文地质条件造</w:t>
      </w:r>
      <w:r>
        <w:rPr>
          <w:spacing w:val="-7"/>
        </w:rPr>
        <w:t>成的，同时 </w:t>
      </w:r>
      <w:r>
        <w:rPr>
          <w:rFonts w:ascii="Times New Roman" w:hAnsi="Times New Roman" w:eastAsia="Times New Roman"/>
        </w:rPr>
        <w:t>1#</w:t>
      </w:r>
      <w:r>
        <w:rPr>
          <w:spacing w:val="9"/>
        </w:rPr>
        <w:t>和 </w:t>
      </w:r>
      <w:r>
        <w:rPr>
          <w:rFonts w:ascii="Times New Roman" w:hAnsi="Times New Roman" w:eastAsia="Times New Roman"/>
        </w:rPr>
        <w:t>3#</w:t>
      </w:r>
      <w:r>
        <w:rPr/>
        <w:t>测点所选用监测井都在农村，且为敞口井，受农村生活污染以及农业污染有关。</w:t>
      </w:r>
    </w:p>
    <w:p>
      <w:pPr>
        <w:pStyle w:val="ListParagraph"/>
        <w:numPr>
          <w:ilvl w:val="3"/>
          <w:numId w:val="23"/>
        </w:numPr>
        <w:tabs>
          <w:tab w:pos="1261" w:val="left" w:leader="none"/>
        </w:tabs>
        <w:spacing w:line="460" w:lineRule="exact" w:before="0" w:after="0"/>
        <w:ind w:left="1260" w:right="0" w:hanging="1020"/>
        <w:jc w:val="left"/>
        <w:rPr>
          <w:sz w:val="24"/>
        </w:rPr>
      </w:pPr>
      <w:r>
        <w:rPr>
          <w:sz w:val="24"/>
        </w:rPr>
        <w:t>声环境</w:t>
      </w:r>
    </w:p>
    <w:p>
      <w:pPr>
        <w:pStyle w:val="BodyText"/>
        <w:spacing w:line="468" w:lineRule="exact"/>
        <w:ind w:left="720"/>
      </w:pPr>
      <w:r>
        <w:rPr>
          <w:spacing w:val="-4"/>
          <w:w w:val="95"/>
        </w:rPr>
        <w:t>项目所在地区噪声均能够满足《声环境质量标准</w:t>
      </w:r>
      <w:r>
        <w:rPr>
          <w:spacing w:val="-171"/>
          <w:w w:val="95"/>
        </w:rPr>
        <w:t>》</w:t>
      </w:r>
      <w:r>
        <w:rPr>
          <w:spacing w:val="-4"/>
          <w:w w:val="95"/>
        </w:rPr>
        <w:t>（GB3096-2008）2</w:t>
      </w:r>
      <w:r>
        <w:rPr>
          <w:spacing w:val="7"/>
          <w:w w:val="95"/>
        </w:rPr>
        <w:t> 类标准。</w:t>
      </w:r>
    </w:p>
    <w:p>
      <w:pPr>
        <w:pStyle w:val="ListParagraph"/>
        <w:numPr>
          <w:ilvl w:val="3"/>
          <w:numId w:val="23"/>
        </w:numPr>
        <w:tabs>
          <w:tab w:pos="1321" w:val="left" w:leader="none"/>
        </w:tabs>
        <w:spacing w:line="468" w:lineRule="exact" w:before="0" w:after="0"/>
        <w:ind w:left="1320" w:right="0" w:hanging="1080"/>
        <w:jc w:val="left"/>
        <w:rPr>
          <w:sz w:val="24"/>
        </w:rPr>
      </w:pPr>
      <w:r>
        <w:rPr>
          <w:sz w:val="24"/>
        </w:rPr>
        <w:t>土壤</w:t>
      </w:r>
    </w:p>
    <w:p>
      <w:pPr>
        <w:pStyle w:val="BodyText"/>
        <w:spacing w:line="220" w:lineRule="auto" w:before="8"/>
        <w:ind w:left="240" w:right="236" w:firstLine="479"/>
        <w:jc w:val="both"/>
      </w:pPr>
      <w:r>
        <w:rPr>
          <w:spacing w:val="-1"/>
        </w:rPr>
        <w:t>由现状监测评价结果可看出，</w:t>
      </w:r>
      <w:r>
        <w:rPr>
          <w:spacing w:val="-9"/>
        </w:rPr>
        <w:t>2</w:t>
      </w:r>
      <w:r>
        <w:rPr>
          <w:spacing w:val="-3"/>
        </w:rPr>
        <w:t> 个监测点的监测因子均能满足《土壤环境质</w:t>
      </w:r>
      <w:r>
        <w:rPr>
          <w:spacing w:val="-33"/>
          <w:w w:val="95"/>
        </w:rPr>
        <w:t>量标准》</w:t>
      </w:r>
      <w:r>
        <w:rPr>
          <w:w w:val="95"/>
        </w:rPr>
        <w:t>（GB15618-1995）中的二级土壤标准和《展览会用地土壤环境质量评价  </w:t>
      </w:r>
      <w:r>
        <w:rPr/>
        <w:t>标准（暂行</w:t>
      </w:r>
      <w:r>
        <w:rPr>
          <w:spacing w:val="-120"/>
        </w:rPr>
        <w:t>）》</w:t>
      </w:r>
      <w:r>
        <w:rPr/>
        <w:t>（</w:t>
      </w:r>
      <w:r>
        <w:rPr>
          <w:rFonts w:ascii="Times New Roman" w:hAnsi="Times New Roman" w:eastAsia="Times New Roman"/>
        </w:rPr>
        <w:t>HJ</w:t>
      </w:r>
      <w:r>
        <w:rPr>
          <w:rFonts w:ascii="Times New Roman" w:hAnsi="Times New Roman" w:eastAsia="Times New Roman"/>
          <w:spacing w:val="1"/>
        </w:rPr>
        <w:t> </w:t>
      </w:r>
      <w:r>
        <w:rPr>
          <w:rFonts w:ascii="Times New Roman" w:hAnsi="Times New Roman" w:eastAsia="Times New Roman"/>
        </w:rPr>
        <w:t>350</w:t>
      </w:r>
      <w:r>
        <w:rPr/>
        <w:t>—</w:t>
      </w:r>
      <w:r>
        <w:rPr>
          <w:rFonts w:ascii="Times New Roman" w:hAnsi="Times New Roman" w:eastAsia="Times New Roman"/>
        </w:rPr>
        <w:t>2007</w:t>
      </w:r>
      <w:r>
        <w:rPr/>
        <w:t>）</w:t>
      </w:r>
      <w:r>
        <w:rPr>
          <w:spacing w:val="1"/>
        </w:rPr>
        <w:t>中表 </w:t>
      </w:r>
      <w:r>
        <w:rPr>
          <w:rFonts w:ascii="Times New Roman" w:hAnsi="Times New Roman" w:eastAsia="Times New Roman"/>
        </w:rPr>
        <w:t>1A </w:t>
      </w:r>
      <w:r>
        <w:rPr/>
        <w:t>级标准要求。</w:t>
      </w:r>
    </w:p>
    <w:p>
      <w:pPr>
        <w:pStyle w:val="Heading5"/>
        <w:numPr>
          <w:ilvl w:val="2"/>
          <w:numId w:val="24"/>
        </w:numPr>
        <w:tabs>
          <w:tab w:pos="1150" w:val="left" w:leader="none"/>
        </w:tabs>
        <w:spacing w:line="592" w:lineRule="exact" w:before="5" w:after="0"/>
        <w:ind w:left="1150" w:right="0" w:hanging="910"/>
        <w:jc w:val="left"/>
      </w:pPr>
      <w:r>
        <w:rPr>
          <w:spacing w:val="-1"/>
        </w:rPr>
        <w:t>环境影响预测及评价</w:t>
      </w:r>
    </w:p>
    <w:p>
      <w:pPr>
        <w:pStyle w:val="ListParagraph"/>
        <w:numPr>
          <w:ilvl w:val="3"/>
          <w:numId w:val="24"/>
        </w:numPr>
        <w:tabs>
          <w:tab w:pos="1261" w:val="left" w:leader="none"/>
        </w:tabs>
        <w:spacing w:line="507" w:lineRule="exact" w:before="0" w:after="0"/>
        <w:ind w:left="1260" w:right="0" w:hanging="1020"/>
        <w:jc w:val="left"/>
        <w:rPr>
          <w:sz w:val="24"/>
        </w:rPr>
      </w:pPr>
      <w:r>
        <w:rPr>
          <w:sz w:val="24"/>
        </w:rPr>
        <w:t>环境空气</w:t>
      </w:r>
    </w:p>
    <w:p>
      <w:pPr>
        <w:spacing w:after="0" w:line="507" w:lineRule="exact"/>
        <w:jc w:val="left"/>
        <w:rPr>
          <w:sz w:val="24"/>
        </w:rPr>
        <w:sectPr>
          <w:pgSz w:w="11910" w:h="16840"/>
          <w:pgMar w:header="877" w:footer="973" w:top="1420" w:bottom="1160" w:left="1560" w:right="1560"/>
        </w:sectPr>
      </w:pPr>
    </w:p>
    <w:p>
      <w:pPr>
        <w:pStyle w:val="BodyText"/>
        <w:spacing w:line="463" w:lineRule="exact"/>
        <w:ind w:left="720"/>
      </w:pPr>
      <w:r>
        <w:rPr/>
        <w:t>环境空气影响预测及评价结果表明：</w:t>
      </w:r>
    </w:p>
    <w:p>
      <w:pPr>
        <w:pStyle w:val="BodyText"/>
        <w:spacing w:line="220" w:lineRule="auto" w:before="8"/>
        <w:ind w:left="240" w:right="119" w:firstLine="479"/>
        <w:jc w:val="both"/>
      </w:pPr>
      <w:r>
        <w:rPr>
          <w:spacing w:val="-4"/>
        </w:rPr>
        <w:t>①本项目有组织排放的各污染物预测轴线浓度均不超标，各污染物在各评价</w:t>
      </w:r>
      <w:r>
        <w:rPr>
          <w:spacing w:val="-11"/>
        </w:rPr>
        <w:t>点贡献值均不超标。除粉尘外各污染因子在评价点最大叠加值都能达标；粉尘在</w:t>
      </w:r>
      <w:r>
        <w:rPr>
          <w:spacing w:val="-19"/>
        </w:rPr>
        <w:t>评价点叠加值超标，但本项目贡献值较小，主要是评价点背景值超标所致。因此， 本项目建成后对周围环境影响较小</w:t>
      </w:r>
    </w:p>
    <w:p>
      <w:pPr>
        <w:pStyle w:val="BodyText"/>
        <w:spacing w:line="220" w:lineRule="auto"/>
        <w:ind w:left="240" w:right="237" w:firstLine="479"/>
        <w:jc w:val="both"/>
      </w:pPr>
      <w:r>
        <w:rPr>
          <w:spacing w:val="-5"/>
        </w:rPr>
        <w:t>②从无组织排放厂界浓度预测结果可知，本工程各污染因子满足《大气污染</w:t>
      </w:r>
      <w:r>
        <w:rPr>
          <w:spacing w:val="-21"/>
        </w:rPr>
        <w:t>物综合排放标准》</w:t>
      </w:r>
      <w:r>
        <w:rPr/>
        <w:t>（</w:t>
      </w:r>
      <w:r>
        <w:rPr>
          <w:rFonts w:ascii="Times New Roman" w:hAnsi="Times New Roman" w:eastAsia="Times New Roman"/>
        </w:rPr>
        <w:t>GB16297-1996</w:t>
      </w:r>
      <w:r>
        <w:rPr/>
        <w:t>）</w:t>
      </w:r>
      <w:r>
        <w:rPr>
          <w:spacing w:val="-2"/>
        </w:rPr>
        <w:t>中无组织排放监控浓度值。因此，工程产生的无组织排放对厂界环境影响较小。</w:t>
      </w:r>
    </w:p>
    <w:p>
      <w:pPr>
        <w:pStyle w:val="BodyText"/>
        <w:spacing w:line="220" w:lineRule="auto"/>
        <w:ind w:left="240" w:right="237" w:firstLine="479"/>
        <w:jc w:val="both"/>
      </w:pPr>
      <w:r>
        <w:rPr>
          <w:spacing w:val="-7"/>
        </w:rPr>
        <w:t>采用《环境影响评价技术导则 大气环境》</w:t>
      </w:r>
      <w:r>
        <w:rPr/>
        <w:t>（</w:t>
      </w:r>
      <w:r>
        <w:rPr>
          <w:rFonts w:ascii="Times New Roman" w:eastAsia="Times New Roman"/>
        </w:rPr>
        <w:t>HJ2.2-2008</w:t>
      </w:r>
      <w:r>
        <w:rPr/>
        <w:t>）推荐模式中的大</w:t>
      </w:r>
      <w:r>
        <w:rPr>
          <w:spacing w:val="-4"/>
        </w:rPr>
        <w:t>气环境防护距离模式计算可不设置大气环境防护距离。根据《制定地方大气污染</w:t>
      </w:r>
      <w:r>
        <w:rPr>
          <w:spacing w:val="-13"/>
        </w:rPr>
        <w:t>物排放标准的技术方法》，确定本项目卫生防护距离为以装置区和储罐区边界外</w:t>
      </w:r>
      <w:r>
        <w:rPr>
          <w:rFonts w:ascii="Times New Roman" w:eastAsia="Times New Roman"/>
          <w:spacing w:val="-13"/>
        </w:rPr>
        <w:t>100m </w:t>
      </w:r>
      <w:r>
        <w:rPr>
          <w:spacing w:val="-13"/>
        </w:rPr>
        <w:t>范围。</w:t>
      </w:r>
    </w:p>
    <w:p>
      <w:pPr>
        <w:pStyle w:val="BodyText"/>
        <w:spacing w:line="220" w:lineRule="auto"/>
        <w:ind w:left="240" w:right="145" w:firstLine="479"/>
        <w:jc w:val="both"/>
      </w:pPr>
      <w:r>
        <w:rPr/>
        <w:t>综上所述，本项目通过采取严格的环保措施，对环境空气质量的影响不大， 不会对周围敏感点产生明显影响，对区域环境空气质量影响较小。因此，从环境空气影响评价的角度来讲，该项目建设是可行的。</w:t>
      </w:r>
    </w:p>
    <w:p>
      <w:pPr>
        <w:pStyle w:val="ListParagraph"/>
        <w:numPr>
          <w:ilvl w:val="3"/>
          <w:numId w:val="24"/>
        </w:numPr>
        <w:tabs>
          <w:tab w:pos="1261" w:val="left" w:leader="none"/>
        </w:tabs>
        <w:spacing w:line="460" w:lineRule="exact" w:before="0" w:after="0"/>
        <w:ind w:left="1260" w:right="0" w:hanging="1020"/>
        <w:jc w:val="left"/>
        <w:rPr>
          <w:sz w:val="24"/>
        </w:rPr>
      </w:pPr>
      <w:r>
        <w:rPr>
          <w:sz w:val="24"/>
        </w:rPr>
        <w:t>地表水</w:t>
      </w:r>
    </w:p>
    <w:p>
      <w:pPr>
        <w:pStyle w:val="BodyText"/>
        <w:spacing w:line="220" w:lineRule="auto" w:before="7"/>
        <w:ind w:left="240" w:right="121" w:firstLine="479"/>
        <w:jc w:val="both"/>
      </w:pPr>
      <w:r>
        <w:rPr/>
        <w:t>本项目废水包括生产废水和少量生活污水，经自建污水处理站处理后，排入莒南经济开发区污水处理厂深度处理，满足《城镇污水处理厂污染物排放标准》</w:t>
      </w:r>
    </w:p>
    <w:p>
      <w:pPr>
        <w:pStyle w:val="BodyText"/>
        <w:spacing w:line="220" w:lineRule="auto"/>
        <w:ind w:left="720" w:right="116" w:hanging="480"/>
      </w:pPr>
      <w:r>
        <w:rPr>
          <w:spacing w:val="-6"/>
          <w:w w:val="95"/>
        </w:rPr>
        <w:t>（GB18918-2002）</w:t>
      </w:r>
      <w:r>
        <w:rPr>
          <w:spacing w:val="8"/>
          <w:w w:val="95"/>
        </w:rPr>
        <w:t>一级 </w:t>
      </w:r>
      <w:r>
        <w:rPr>
          <w:w w:val="95"/>
        </w:rPr>
        <w:t>A</w:t>
      </w:r>
      <w:r>
        <w:rPr>
          <w:spacing w:val="-10"/>
          <w:w w:val="95"/>
        </w:rPr>
        <w:t> 标准要求后排入白马河，然后汇入鸡龙河，最终排沭河。</w:t>
      </w:r>
      <w:r>
        <w:rPr>
          <w:spacing w:val="4"/>
        </w:rPr>
        <w:t>根据本项目废水排放对纳污河流水质预测可知，项目废水经自建污水处理</w:t>
      </w:r>
    </w:p>
    <w:p>
      <w:pPr>
        <w:pStyle w:val="BodyText"/>
        <w:spacing w:line="220" w:lineRule="auto"/>
        <w:ind w:left="240" w:right="236"/>
        <w:jc w:val="both"/>
      </w:pPr>
      <w:r>
        <w:rPr>
          <w:spacing w:val="1"/>
        </w:rPr>
        <w:t>站、污水处理厂处理后排白马河，而后汇入鸡龙河，使得白马河 </w:t>
      </w:r>
      <w:r>
        <w:rPr>
          <w:rFonts w:ascii="Times New Roman" w:hAnsi="Times New Roman" w:eastAsia="Times New Roman"/>
        </w:rPr>
        <w:t>2#</w:t>
      </w:r>
      <w:r>
        <w:rPr/>
        <w:t>完全混合断</w:t>
      </w:r>
      <w:r>
        <w:rPr>
          <w:spacing w:val="4"/>
        </w:rPr>
        <w:t>面、鸡龙河 </w:t>
      </w:r>
      <w:r>
        <w:rPr>
          <w:rFonts w:ascii="Times New Roman" w:hAnsi="Times New Roman" w:eastAsia="Times New Roman"/>
        </w:rPr>
        <w:t>5#</w:t>
      </w:r>
      <w:r>
        <w:rPr>
          <w:spacing w:val="5"/>
        </w:rPr>
        <w:t>衰减断面 </w:t>
      </w:r>
      <w:r>
        <w:rPr>
          <w:rFonts w:ascii="Times New Roman" w:hAnsi="Times New Roman" w:eastAsia="Times New Roman"/>
        </w:rPr>
        <w:t>COD</w:t>
      </w:r>
      <w:r>
        <w:rPr/>
        <w:t>、氨氮浓度略有增大，</w:t>
      </w:r>
      <w:r>
        <w:rPr>
          <w:rFonts w:ascii="Times New Roman" w:hAnsi="Times New Roman" w:eastAsia="Times New Roman"/>
        </w:rPr>
        <w:t>2#</w:t>
      </w:r>
      <w:r>
        <w:rPr>
          <w:spacing w:val="6"/>
        </w:rPr>
        <w:t>混合断面 </w:t>
      </w:r>
      <w:r>
        <w:rPr>
          <w:rFonts w:ascii="Times New Roman" w:hAnsi="Times New Roman" w:eastAsia="Times New Roman"/>
        </w:rPr>
        <w:t>COD </w:t>
      </w:r>
      <w:r>
        <w:rPr/>
        <w:t>超标。但</w:t>
      </w:r>
      <w:r>
        <w:rPr>
          <w:spacing w:val="-5"/>
        </w:rPr>
        <w:t>是通过白马河及鸡龙河自身衰减降解后，衰减断面预测值能够满足《地表水环境质量标准》(GB3838-2002)Ⅳ类标准要求。</w:t>
      </w:r>
    </w:p>
    <w:p>
      <w:pPr>
        <w:pStyle w:val="BodyText"/>
        <w:spacing w:line="460" w:lineRule="exact"/>
        <w:ind w:left="720"/>
      </w:pPr>
      <w:r>
        <w:rPr/>
        <w:t>因此，本项目的建设对当地地表水环境质量影响较轻。</w:t>
      </w:r>
    </w:p>
    <w:p>
      <w:pPr>
        <w:pStyle w:val="ListParagraph"/>
        <w:numPr>
          <w:ilvl w:val="3"/>
          <w:numId w:val="24"/>
        </w:numPr>
        <w:tabs>
          <w:tab w:pos="1261" w:val="left" w:leader="none"/>
        </w:tabs>
        <w:spacing w:line="468" w:lineRule="exact" w:before="0" w:after="0"/>
        <w:ind w:left="1260" w:right="0" w:hanging="1020"/>
        <w:jc w:val="left"/>
        <w:rPr>
          <w:sz w:val="24"/>
        </w:rPr>
      </w:pPr>
      <w:r>
        <w:rPr>
          <w:sz w:val="24"/>
        </w:rPr>
        <w:t>地下水</w:t>
      </w:r>
    </w:p>
    <w:p>
      <w:pPr>
        <w:pStyle w:val="BodyText"/>
        <w:spacing w:line="220" w:lineRule="auto" w:before="8"/>
        <w:ind w:left="240" w:right="143" w:firstLine="479"/>
        <w:jc w:val="both"/>
      </w:pPr>
      <w:r>
        <w:rPr/>
        <w:t>地下水环境影响分析表明：项目投产运营后，通过落实各项环保治理措施， </w:t>
      </w:r>
      <w:r>
        <w:rPr>
          <w:spacing w:val="-7"/>
        </w:rPr>
        <w:t>对厂区输水管网、生产设备区地面、污水处理站、事故水池等加强防渗处理，杜绝各种污水下渗对地下水造成的污染，项目对厂区周围地下水影响较小。</w:t>
      </w:r>
    </w:p>
    <w:p>
      <w:pPr>
        <w:spacing w:after="0" w:line="220" w:lineRule="auto"/>
        <w:jc w:val="both"/>
        <w:sectPr>
          <w:pgSz w:w="11910" w:h="16840"/>
          <w:pgMar w:header="877" w:footer="973" w:top="1420" w:bottom="1160" w:left="1560" w:right="1560"/>
        </w:sectPr>
      </w:pPr>
    </w:p>
    <w:p>
      <w:pPr>
        <w:pStyle w:val="ListParagraph"/>
        <w:numPr>
          <w:ilvl w:val="3"/>
          <w:numId w:val="24"/>
        </w:numPr>
        <w:tabs>
          <w:tab w:pos="1261" w:val="left" w:leader="none"/>
        </w:tabs>
        <w:spacing w:line="483" w:lineRule="exact" w:before="0" w:after="0"/>
        <w:ind w:left="1260" w:right="0" w:hanging="1020"/>
        <w:jc w:val="left"/>
        <w:rPr>
          <w:sz w:val="24"/>
        </w:rPr>
      </w:pPr>
      <w:r>
        <w:rPr>
          <w:sz w:val="24"/>
        </w:rPr>
        <w:t>噪声</w:t>
      </w:r>
    </w:p>
    <w:p>
      <w:pPr>
        <w:pStyle w:val="BodyText"/>
        <w:spacing w:line="235" w:lineRule="auto" w:before="48"/>
        <w:ind w:left="240" w:right="237" w:firstLine="479"/>
        <w:jc w:val="both"/>
      </w:pPr>
      <w:r>
        <w:rPr>
          <w:spacing w:val="-7"/>
        </w:rPr>
        <w:t>由噪声预测结果知，项目运营期间，四个厂界昼夜噪声预测值满足《工业企</w:t>
      </w:r>
      <w:r>
        <w:rPr>
          <w:spacing w:val="-7"/>
          <w:w w:val="95"/>
        </w:rPr>
        <w:t>业厂界环境噪声排放标准》(GB12348-2008)2</w:t>
      </w:r>
      <w:r>
        <w:rPr>
          <w:w w:val="95"/>
        </w:rPr>
        <w:t> 类标准要求。企业边界周围  300m </w:t>
      </w:r>
      <w:r>
        <w:rPr/>
        <w:t>范围内无敏感目标，因此企业噪声经距离衰减后对周围声环境影响较小。</w:t>
      </w:r>
    </w:p>
    <w:p>
      <w:pPr>
        <w:pStyle w:val="ListParagraph"/>
        <w:numPr>
          <w:ilvl w:val="3"/>
          <w:numId w:val="24"/>
        </w:numPr>
        <w:tabs>
          <w:tab w:pos="1261" w:val="left" w:leader="none"/>
        </w:tabs>
        <w:spacing w:line="506" w:lineRule="exact" w:before="0" w:after="0"/>
        <w:ind w:left="1260" w:right="0" w:hanging="1020"/>
        <w:jc w:val="left"/>
        <w:rPr>
          <w:sz w:val="24"/>
        </w:rPr>
      </w:pPr>
      <w:r>
        <w:rPr>
          <w:sz w:val="24"/>
        </w:rPr>
        <w:t>固体废物</w:t>
      </w:r>
    </w:p>
    <w:p>
      <w:pPr>
        <w:pStyle w:val="BodyText"/>
        <w:spacing w:line="244" w:lineRule="auto" w:before="4"/>
        <w:ind w:left="240" w:right="116" w:firstLine="479"/>
        <w:jc w:val="both"/>
      </w:pPr>
      <w:r>
        <w:rPr>
          <w:spacing w:val="-10"/>
        </w:rPr>
        <w:t>项目产生的固体废物采均取了妥善的处理措施，不在厂区内长期贮存。因此， 项目固体废物对环境的影响较小。</w:t>
      </w:r>
    </w:p>
    <w:p>
      <w:pPr>
        <w:pStyle w:val="Heading5"/>
        <w:spacing w:line="501" w:lineRule="exact"/>
        <w:ind w:left="240" w:firstLine="0"/>
      </w:pPr>
      <w:r>
        <w:rPr>
          <w:w w:val="105"/>
        </w:rPr>
        <w:t>12.1.9 总量控制分析</w:t>
      </w:r>
    </w:p>
    <w:p>
      <w:pPr>
        <w:pStyle w:val="BodyText"/>
        <w:spacing w:line="435" w:lineRule="exact"/>
        <w:ind w:left="720"/>
      </w:pPr>
      <w:r>
        <w:rPr>
          <w:position w:val="2"/>
        </w:rPr>
        <w:t>本项目燃气锅炉 SO</w:t>
      </w:r>
      <w:r>
        <w:rPr>
          <w:sz w:val="12"/>
        </w:rPr>
        <w:t>2 </w:t>
      </w:r>
      <w:r>
        <w:rPr>
          <w:position w:val="2"/>
        </w:rPr>
        <w:t>排放量 3.478t/a，氮氧化物排放量 7.072t/a，需申请</w:t>
      </w:r>
    </w:p>
    <w:p>
      <w:pPr>
        <w:pStyle w:val="BodyText"/>
        <w:spacing w:line="468" w:lineRule="exact"/>
        <w:ind w:left="240"/>
      </w:pPr>
      <w:r>
        <w:rPr/>
        <w:t>相应的二氧化硫、氮氧化物总量指标。</w:t>
      </w:r>
    </w:p>
    <w:p>
      <w:pPr>
        <w:pStyle w:val="BodyText"/>
        <w:spacing w:line="220" w:lineRule="auto" w:before="8"/>
        <w:ind w:left="240" w:right="116" w:firstLine="479"/>
        <w:jc w:val="both"/>
      </w:pPr>
      <w:r>
        <w:rPr>
          <w:w w:val="95"/>
        </w:rPr>
        <w:t>本项目生产废水和生活污水厂区排放量为 88320m</w:t>
      </w:r>
      <w:r>
        <w:rPr>
          <w:w w:val="95"/>
          <w:position w:val="12"/>
          <w:sz w:val="12"/>
        </w:rPr>
        <w:t>3</w:t>
      </w:r>
      <w:r>
        <w:rPr>
          <w:w w:val="95"/>
        </w:rPr>
        <w:t>/a，年排放 COD8.832t/a、</w:t>
      </w:r>
      <w:r>
        <w:rPr/>
        <w:t>氨氮 0.883t/a。经过莒南县新区污水处理厂处理后，年排入环境 COD 量为4.416t/a，氨氮量为 0.442t/a。</w:t>
      </w:r>
    </w:p>
    <w:p>
      <w:pPr>
        <w:pStyle w:val="BodyText"/>
        <w:spacing w:line="220" w:lineRule="auto"/>
        <w:ind w:left="240" w:right="236" w:firstLine="479"/>
        <w:jc w:val="both"/>
      </w:pPr>
      <w:r>
        <w:rPr>
          <w:spacing w:val="1"/>
          <w:w w:val="95"/>
        </w:rPr>
        <w:t>考虑同期建设制剂项目废水量 </w:t>
      </w:r>
      <w:r>
        <w:rPr>
          <w:w w:val="95"/>
        </w:rPr>
        <w:t>7343</w:t>
      </w:r>
      <w:r>
        <w:rPr>
          <w:spacing w:val="24"/>
          <w:w w:val="95"/>
        </w:rPr>
        <w:t>  </w:t>
      </w:r>
      <w:r>
        <w:rPr>
          <w:w w:val="95"/>
        </w:rPr>
        <w:t>m</w:t>
      </w:r>
      <w:r>
        <w:rPr>
          <w:w w:val="95"/>
          <w:position w:val="12"/>
          <w:sz w:val="12"/>
        </w:rPr>
        <w:t>3</w:t>
      </w:r>
      <w:r>
        <w:rPr>
          <w:w w:val="95"/>
        </w:rPr>
        <w:t>/a，经开发区污水处理厂处理后排入</w:t>
      </w:r>
      <w:r>
        <w:rPr>
          <w:spacing w:val="-1"/>
        </w:rPr>
        <w:t>外环境的 </w:t>
      </w:r>
      <w:r>
        <w:rPr/>
        <w:t>COD</w:t>
      </w:r>
      <w:r>
        <w:rPr>
          <w:spacing w:val="-1"/>
        </w:rPr>
        <w:t> 量 </w:t>
      </w:r>
      <w:r>
        <w:rPr/>
        <w:t>0.367t/a</w:t>
      </w:r>
      <w:r>
        <w:rPr>
          <w:spacing w:val="-1"/>
        </w:rPr>
        <w:t>，氨氮量 </w:t>
      </w:r>
      <w:r>
        <w:rPr/>
        <w:t>0.037t/a，则仁和堂公司全厂外排废水经开</w:t>
      </w:r>
      <w:r>
        <w:rPr>
          <w:spacing w:val="-1"/>
        </w:rPr>
        <w:t>发区污水处理厂处理后年排入环境 </w:t>
      </w:r>
      <w:r>
        <w:rPr/>
        <w:t>COD</w:t>
      </w:r>
      <w:r>
        <w:rPr>
          <w:spacing w:val="-1"/>
        </w:rPr>
        <w:t> 量为 </w:t>
      </w:r>
      <w:r>
        <w:rPr/>
        <w:t>4.783t/a</w:t>
      </w:r>
      <w:r>
        <w:rPr>
          <w:spacing w:val="-1"/>
        </w:rPr>
        <w:t>，氨氮量为 </w:t>
      </w:r>
      <w:r>
        <w:rPr/>
        <w:t>0.479t/a。由</w:t>
      </w:r>
      <w:r>
        <w:rPr>
          <w:spacing w:val="-5"/>
          <w:w w:val="95"/>
        </w:rPr>
        <w:t>于企业废水不直接排入地表水环境，因此无需单独进行 </w:t>
      </w:r>
      <w:r>
        <w:rPr>
          <w:w w:val="95"/>
        </w:rPr>
        <w:t>COD  和氨氮总量控制指标</w:t>
      </w:r>
      <w:r>
        <w:rPr>
          <w:spacing w:val="-3"/>
          <w:w w:val="95"/>
        </w:rPr>
        <w:t>的申请，</w:t>
      </w:r>
      <w:r>
        <w:rPr>
          <w:spacing w:val="-9"/>
          <w:w w:val="95"/>
        </w:rPr>
        <w:t>COD</w:t>
      </w:r>
      <w:r>
        <w:rPr>
          <w:spacing w:val="-3"/>
          <w:w w:val="95"/>
        </w:rPr>
        <w:t>   和氨氮总量控制指标可从莒南经济开发区污水处理厂总量控制指标</w:t>
      </w:r>
      <w:r>
        <w:rPr>
          <w:spacing w:val="5"/>
          <w:position w:val="2"/>
        </w:rPr>
        <w:t>中调剂。企业需向当地政府申请 </w:t>
      </w:r>
      <w:r>
        <w:rPr>
          <w:position w:val="2"/>
        </w:rPr>
        <w:t>SO</w:t>
      </w:r>
      <w:r>
        <w:rPr>
          <w:sz w:val="12"/>
        </w:rPr>
        <w:t>2 </w:t>
      </w:r>
      <w:r>
        <w:rPr>
          <w:spacing w:val="20"/>
          <w:position w:val="2"/>
        </w:rPr>
        <w:t>和 </w:t>
      </w:r>
      <w:r>
        <w:rPr>
          <w:position w:val="2"/>
        </w:rPr>
        <w:t>NO</w:t>
      </w:r>
      <w:r>
        <w:rPr>
          <w:sz w:val="12"/>
        </w:rPr>
        <w:t>X </w:t>
      </w:r>
      <w:r>
        <w:rPr>
          <w:spacing w:val="6"/>
          <w:position w:val="2"/>
        </w:rPr>
        <w:t>总量控制指标分别为 </w:t>
      </w:r>
      <w:r>
        <w:rPr>
          <w:position w:val="2"/>
        </w:rPr>
        <w:t>3.478t/a</w:t>
      </w:r>
      <w:r>
        <w:rPr>
          <w:spacing w:val="20"/>
          <w:position w:val="2"/>
        </w:rPr>
        <w:t> 和</w:t>
      </w:r>
    </w:p>
    <w:p>
      <w:pPr>
        <w:pStyle w:val="BodyText"/>
        <w:spacing w:line="477" w:lineRule="exact"/>
        <w:ind w:left="240"/>
      </w:pPr>
      <w:r>
        <w:rPr/>
        <w:t>7.072t/a。</w:t>
      </w:r>
    </w:p>
    <w:p>
      <w:pPr>
        <w:pStyle w:val="Heading5"/>
        <w:numPr>
          <w:ilvl w:val="2"/>
          <w:numId w:val="25"/>
        </w:numPr>
        <w:tabs>
          <w:tab w:pos="1292" w:val="left" w:leader="none"/>
        </w:tabs>
        <w:spacing w:line="589" w:lineRule="exact" w:before="0" w:after="0"/>
        <w:ind w:left="1291" w:right="0" w:hanging="1051"/>
        <w:jc w:val="left"/>
      </w:pPr>
      <w:r>
        <w:rPr>
          <w:spacing w:val="-1"/>
        </w:rPr>
        <w:t>公众参与</w:t>
      </w:r>
    </w:p>
    <w:p>
      <w:pPr>
        <w:pStyle w:val="BodyText"/>
        <w:spacing w:line="220" w:lineRule="auto" w:before="27"/>
        <w:ind w:left="240" w:right="118" w:firstLine="479"/>
        <w:jc w:val="both"/>
      </w:pPr>
      <w:r>
        <w:rPr>
          <w:w w:val="95"/>
        </w:rPr>
        <w:t>经调查问卷统计，98%的被调查者赞成本项目的建设，2%的被调查者不表态， </w:t>
      </w:r>
      <w:r>
        <w:rPr/>
        <w:t>没有人持反对意见。</w:t>
      </w:r>
    </w:p>
    <w:p>
      <w:pPr>
        <w:pStyle w:val="Heading5"/>
        <w:numPr>
          <w:ilvl w:val="2"/>
          <w:numId w:val="25"/>
        </w:numPr>
        <w:tabs>
          <w:tab w:pos="1292" w:val="left" w:leader="none"/>
        </w:tabs>
        <w:spacing w:line="592" w:lineRule="exact" w:before="5" w:after="0"/>
        <w:ind w:left="1291" w:right="0" w:hanging="1051"/>
        <w:jc w:val="left"/>
      </w:pPr>
      <w:r>
        <w:rPr>
          <w:spacing w:val="-2"/>
        </w:rPr>
        <w:t>选址合理性分析</w:t>
      </w:r>
    </w:p>
    <w:p>
      <w:pPr>
        <w:pStyle w:val="BodyText"/>
        <w:spacing w:line="220" w:lineRule="auto" w:before="27"/>
        <w:ind w:left="240" w:right="238" w:firstLine="479"/>
        <w:jc w:val="both"/>
      </w:pPr>
      <w:r>
        <w:rPr>
          <w:spacing w:val="-6"/>
        </w:rPr>
        <w:t>本项目厂址符合土地利用性质，对周边环境敏感目标影响小，可利用项目区</w:t>
      </w:r>
      <w:r>
        <w:rPr>
          <w:spacing w:val="-12"/>
        </w:rPr>
        <w:t>内给水、供热、供电、废物综合利用条件，节约能源、优势管理，项目建设对当地水资源利用影响较小，因此，本项目厂址选择是基本合理的。</w:t>
      </w:r>
    </w:p>
    <w:p>
      <w:pPr>
        <w:pStyle w:val="Heading5"/>
        <w:numPr>
          <w:ilvl w:val="2"/>
          <w:numId w:val="25"/>
        </w:numPr>
        <w:tabs>
          <w:tab w:pos="1292" w:val="left" w:leader="none"/>
        </w:tabs>
        <w:spacing w:line="240" w:lineRule="auto" w:before="6" w:after="0"/>
        <w:ind w:left="1291" w:right="0" w:hanging="1051"/>
        <w:jc w:val="left"/>
      </w:pPr>
      <w:r>
        <w:rPr>
          <w:spacing w:val="-1"/>
        </w:rPr>
        <w:t>总体结论</w:t>
      </w:r>
    </w:p>
    <w:p>
      <w:pPr>
        <w:spacing w:after="0" w:line="240" w:lineRule="auto"/>
        <w:jc w:val="left"/>
        <w:sectPr>
          <w:pgSz w:w="11910" w:h="16840"/>
          <w:pgMar w:header="877" w:footer="973" w:top="1420" w:bottom="1160" w:left="1560" w:right="1560"/>
        </w:sectPr>
      </w:pPr>
    </w:p>
    <w:p>
      <w:pPr>
        <w:pStyle w:val="BodyText"/>
        <w:spacing w:before="4"/>
        <w:rPr>
          <w:sz w:val="7"/>
        </w:rPr>
      </w:pPr>
    </w:p>
    <w:p>
      <w:pPr>
        <w:pStyle w:val="BodyText"/>
        <w:spacing w:line="460" w:lineRule="exact"/>
        <w:ind w:left="720"/>
      </w:pPr>
      <w:r>
        <w:rPr/>
        <w:t>山东仁和堂药业有限公司医药工业园——原料药建设项目符合国家有关产</w:t>
      </w:r>
    </w:p>
    <w:p>
      <w:pPr>
        <w:pStyle w:val="BodyText"/>
        <w:spacing w:line="264" w:lineRule="auto" w:before="50"/>
        <w:ind w:left="240" w:right="236"/>
        <w:jc w:val="both"/>
      </w:pPr>
      <w:r>
        <w:rPr>
          <w:spacing w:val="-9"/>
        </w:rPr>
        <w:t>业政策，符合调整后的莒南经济开发区规划。在各项治理措施落实后，搬迁项目</w:t>
      </w:r>
      <w:r>
        <w:rPr>
          <w:spacing w:val="-13"/>
        </w:rPr>
        <w:t>能够满足达标排放、总量控制和清洁生产的要求。在全面落实各项环保和风险防范措施的前提下，从环境保护的角度分析，项目建设总体可行。</w:t>
      </w:r>
    </w:p>
    <w:p>
      <w:pPr>
        <w:pStyle w:val="Heading4"/>
        <w:numPr>
          <w:ilvl w:val="1"/>
          <w:numId w:val="26"/>
        </w:numPr>
        <w:tabs>
          <w:tab w:pos="1141" w:val="left" w:leader="none"/>
        </w:tabs>
        <w:spacing w:line="444" w:lineRule="exact" w:before="0" w:after="0"/>
        <w:ind w:left="1140" w:right="0" w:hanging="900"/>
        <w:jc w:val="both"/>
      </w:pPr>
      <w:r>
        <w:rPr/>
        <w:t>措施与建议</w:t>
      </w:r>
    </w:p>
    <w:p>
      <w:pPr>
        <w:pStyle w:val="Heading5"/>
        <w:numPr>
          <w:ilvl w:val="2"/>
          <w:numId w:val="26"/>
        </w:numPr>
        <w:tabs>
          <w:tab w:pos="1362" w:val="left" w:leader="none"/>
        </w:tabs>
        <w:spacing w:line="542" w:lineRule="exact" w:before="0" w:after="0"/>
        <w:ind w:left="1361" w:right="0" w:hanging="1121"/>
        <w:jc w:val="both"/>
      </w:pPr>
      <w:r>
        <w:rPr>
          <w:spacing w:val="-3"/>
        </w:rPr>
        <w:t>必须采取的环保措施</w:t>
      </w:r>
    </w:p>
    <w:p>
      <w:pPr>
        <w:pStyle w:val="BodyText"/>
        <w:spacing w:line="452" w:lineRule="exact"/>
        <w:ind w:left="720"/>
      </w:pPr>
      <w:r>
        <w:rPr/>
        <w:t>本项目采取的环保措施具体见表 12.2-1。</w:t>
      </w:r>
    </w:p>
    <w:p>
      <w:pPr>
        <w:pStyle w:val="BodyText"/>
        <w:tabs>
          <w:tab w:pos="3404" w:val="left" w:leader="none"/>
        </w:tabs>
        <w:spacing w:line="464" w:lineRule="exact"/>
        <w:ind w:left="2024"/>
      </w:pPr>
      <w:r>
        <w:rPr/>
        <w:t>表</w:t>
      </w:r>
      <w:r>
        <w:rPr>
          <w:spacing w:val="13"/>
        </w:rPr>
        <w:t> </w:t>
      </w:r>
      <w:r>
        <w:rPr/>
        <w:t>12.2-1</w:t>
        <w:tab/>
        <w:t>本项目环保措施汇总情况一览表</w:t>
      </w: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7"/>
        <w:gridCol w:w="861"/>
        <w:gridCol w:w="3920"/>
        <w:gridCol w:w="1980"/>
        <w:gridCol w:w="928"/>
      </w:tblGrid>
      <w:tr>
        <w:trPr>
          <w:trHeight w:val="539" w:hRule="atLeast"/>
        </w:trPr>
        <w:tc>
          <w:tcPr>
            <w:tcW w:w="667" w:type="dxa"/>
          </w:tcPr>
          <w:p>
            <w:pPr>
              <w:pStyle w:val="TableParagraph"/>
              <w:spacing w:before="30"/>
              <w:ind w:right="109"/>
              <w:jc w:val="right"/>
              <w:rPr>
                <w:sz w:val="21"/>
              </w:rPr>
            </w:pPr>
            <w:r>
              <w:rPr>
                <w:sz w:val="21"/>
              </w:rPr>
              <w:t>项目</w:t>
            </w:r>
          </w:p>
        </w:tc>
        <w:tc>
          <w:tcPr>
            <w:tcW w:w="4781" w:type="dxa"/>
            <w:gridSpan w:val="2"/>
          </w:tcPr>
          <w:p>
            <w:pPr>
              <w:pStyle w:val="TableParagraph"/>
              <w:spacing w:before="30"/>
              <w:ind w:left="1952" w:right="1939"/>
              <w:rPr>
                <w:sz w:val="21"/>
              </w:rPr>
            </w:pPr>
            <w:r>
              <w:rPr>
                <w:sz w:val="21"/>
              </w:rPr>
              <w:t>措施内容</w:t>
            </w:r>
          </w:p>
        </w:tc>
        <w:tc>
          <w:tcPr>
            <w:tcW w:w="1980" w:type="dxa"/>
          </w:tcPr>
          <w:p>
            <w:pPr>
              <w:pStyle w:val="TableParagraph"/>
              <w:spacing w:before="30"/>
              <w:ind w:left="28" w:right="12"/>
              <w:rPr>
                <w:sz w:val="21"/>
              </w:rPr>
            </w:pPr>
            <w:r>
              <w:rPr>
                <w:sz w:val="21"/>
              </w:rPr>
              <w:t>执行标准</w:t>
            </w:r>
          </w:p>
        </w:tc>
        <w:tc>
          <w:tcPr>
            <w:tcW w:w="928" w:type="dxa"/>
          </w:tcPr>
          <w:p>
            <w:pPr>
              <w:pStyle w:val="TableParagraph"/>
              <w:spacing w:before="30"/>
              <w:ind w:left="28" w:right="10"/>
              <w:rPr>
                <w:sz w:val="21"/>
              </w:rPr>
            </w:pPr>
            <w:r>
              <w:rPr>
                <w:sz w:val="21"/>
              </w:rPr>
              <w:t>达到效果</w:t>
            </w:r>
          </w:p>
        </w:tc>
      </w:tr>
      <w:tr>
        <w:trPr>
          <w:trHeight w:val="295" w:hRule="atLeast"/>
        </w:trPr>
        <w:tc>
          <w:tcPr>
            <w:tcW w:w="667" w:type="dxa"/>
            <w:tcBorders>
              <w:bottom w:val="nil"/>
            </w:tcBorders>
          </w:tcPr>
          <w:p>
            <w:pPr>
              <w:pStyle w:val="TableParagraph"/>
              <w:jc w:val="left"/>
              <w:rPr>
                <w:rFonts w:ascii="Times New Roman"/>
                <w:sz w:val="20"/>
              </w:rPr>
            </w:pPr>
          </w:p>
        </w:tc>
        <w:tc>
          <w:tcPr>
            <w:tcW w:w="861" w:type="dxa"/>
            <w:tcBorders>
              <w:bottom w:val="nil"/>
            </w:tcBorders>
          </w:tcPr>
          <w:p>
            <w:pPr>
              <w:pStyle w:val="TableParagraph"/>
              <w:jc w:val="left"/>
              <w:rPr>
                <w:rFonts w:ascii="Times New Roman"/>
                <w:sz w:val="20"/>
              </w:rPr>
            </w:pPr>
          </w:p>
        </w:tc>
        <w:tc>
          <w:tcPr>
            <w:tcW w:w="3920" w:type="dxa"/>
            <w:tcBorders>
              <w:bottom w:val="nil"/>
            </w:tcBorders>
          </w:tcPr>
          <w:p>
            <w:pPr>
              <w:pStyle w:val="TableParagraph"/>
              <w:spacing w:line="276" w:lineRule="exact"/>
              <w:ind w:left="29"/>
              <w:jc w:val="left"/>
              <w:rPr>
                <w:sz w:val="21"/>
              </w:rPr>
            </w:pPr>
            <w:r>
              <w:rPr>
                <w:sz w:val="21"/>
              </w:rPr>
              <w:t>工艺有机废气：两原料药车间、溶剂回收</w:t>
            </w:r>
          </w:p>
        </w:tc>
        <w:tc>
          <w:tcPr>
            <w:tcW w:w="1980" w:type="dxa"/>
            <w:vMerge w:val="restart"/>
          </w:tcPr>
          <w:p>
            <w:pPr>
              <w:pStyle w:val="TableParagraph"/>
              <w:spacing w:before="4"/>
              <w:jc w:val="left"/>
              <w:rPr>
                <w:sz w:val="10"/>
              </w:rPr>
            </w:pPr>
          </w:p>
          <w:p>
            <w:pPr>
              <w:pStyle w:val="TableParagraph"/>
              <w:spacing w:line="146" w:lineRule="auto"/>
              <w:ind w:left="29" w:right="27" w:firstLine="16"/>
              <w:jc w:val="both"/>
              <w:rPr>
                <w:rFonts w:ascii="Times New Roman" w:eastAsia="Times New Roman"/>
                <w:sz w:val="21"/>
              </w:rPr>
            </w:pPr>
            <w:r>
              <w:rPr>
                <w:spacing w:val="-3"/>
                <w:sz w:val="21"/>
              </w:rPr>
              <w:t>工艺废气执行《大气污染物综合排放标 </w:t>
            </w:r>
            <w:r>
              <w:rPr>
                <w:spacing w:val="-61"/>
                <w:sz w:val="21"/>
              </w:rPr>
              <w:t>准》</w:t>
            </w:r>
            <w:r>
              <w:rPr>
                <w:sz w:val="21"/>
              </w:rPr>
              <w:t>（</w:t>
            </w:r>
            <w:r>
              <w:rPr>
                <w:rFonts w:ascii="Times New Roman" w:eastAsia="Times New Roman"/>
                <w:sz w:val="21"/>
              </w:rPr>
              <w:t>GB16297-1996</w:t>
            </w:r>
          </w:p>
          <w:p>
            <w:pPr>
              <w:pStyle w:val="TableParagraph"/>
              <w:spacing w:line="146" w:lineRule="auto" w:before="1"/>
              <w:ind w:left="29" w:right="10" w:firstLine="16"/>
              <w:jc w:val="both"/>
              <w:rPr>
                <w:rFonts w:ascii="Times New Roman" w:eastAsia="Times New Roman"/>
                <w:sz w:val="21"/>
              </w:rPr>
            </w:pPr>
            <w:r>
              <w:rPr>
                <w:sz w:val="21"/>
              </w:rPr>
              <w:t>表 </w:t>
            </w:r>
            <w:r>
              <w:rPr>
                <w:rFonts w:ascii="Times New Roman" w:eastAsia="Times New Roman"/>
                <w:sz w:val="21"/>
              </w:rPr>
              <w:t>2 </w:t>
            </w:r>
            <w:r>
              <w:rPr>
                <w:sz w:val="21"/>
              </w:rPr>
              <w:t>中二级标准及根据制药导则附录 </w:t>
            </w:r>
            <w:r>
              <w:rPr>
                <w:rFonts w:ascii="Times New Roman" w:eastAsia="Times New Roman"/>
                <w:sz w:val="21"/>
              </w:rPr>
              <w:t>C </w:t>
            </w:r>
            <w:r>
              <w:rPr>
                <w:sz w:val="21"/>
              </w:rPr>
              <w:t>确定的排放标准；粉尘执行《山东省固定源大气颗粒物综合排放标准》（</w:t>
            </w:r>
            <w:r>
              <w:rPr>
                <w:rFonts w:ascii="Times New Roman" w:eastAsia="Times New Roman"/>
                <w:sz w:val="21"/>
              </w:rPr>
              <w:t>DB37/1996</w:t>
            </w:r>
          </w:p>
          <w:p>
            <w:pPr>
              <w:pStyle w:val="TableParagraph"/>
              <w:spacing w:line="329" w:lineRule="exact"/>
              <w:ind w:left="29"/>
              <w:jc w:val="both"/>
              <w:rPr>
                <w:sz w:val="21"/>
              </w:rPr>
            </w:pPr>
            <w:r>
              <w:rPr>
                <w:rFonts w:ascii="Times New Roman" w:eastAsia="Times New Roman"/>
                <w:spacing w:val="-7"/>
                <w:sz w:val="21"/>
              </w:rPr>
              <w:t>-2011</w:t>
            </w:r>
            <w:r>
              <w:rPr>
                <w:spacing w:val="-7"/>
                <w:sz w:val="21"/>
              </w:rPr>
              <w:t>）</w:t>
            </w:r>
            <w:r>
              <w:rPr>
                <w:spacing w:val="4"/>
                <w:sz w:val="21"/>
              </w:rPr>
              <w:t>表 </w:t>
            </w:r>
            <w:r>
              <w:rPr>
                <w:rFonts w:ascii="Times New Roman" w:eastAsia="Times New Roman"/>
                <w:sz w:val="21"/>
              </w:rPr>
              <w:t>2 </w:t>
            </w:r>
            <w:r>
              <w:rPr>
                <w:spacing w:val="-3"/>
                <w:sz w:val="21"/>
              </w:rPr>
              <w:t>其他工业</w:t>
            </w:r>
          </w:p>
        </w:tc>
        <w:tc>
          <w:tcPr>
            <w:tcW w:w="928" w:type="dxa"/>
            <w:vMerge w:val="restart"/>
          </w:tcPr>
          <w:p>
            <w:pPr>
              <w:pStyle w:val="TableParagraph"/>
              <w:spacing w:before="3"/>
              <w:jc w:val="left"/>
              <w:rPr>
                <w:sz w:val="22"/>
              </w:rPr>
            </w:pPr>
          </w:p>
          <w:p>
            <w:pPr>
              <w:pStyle w:val="TableParagraph"/>
              <w:spacing w:line="308" w:lineRule="exact"/>
              <w:ind w:left="46"/>
              <w:jc w:val="left"/>
              <w:rPr>
                <w:sz w:val="21"/>
              </w:rPr>
            </w:pPr>
            <w:r>
              <w:rPr>
                <w:sz w:val="21"/>
              </w:rPr>
              <w:t>达标排放</w:t>
            </w:r>
          </w:p>
          <w:p>
            <w:pPr>
              <w:pStyle w:val="TableParagraph"/>
              <w:spacing w:line="308" w:lineRule="exact"/>
              <w:ind w:left="-129"/>
              <w:jc w:val="left"/>
              <w:rPr>
                <w:sz w:val="21"/>
              </w:rPr>
            </w:pPr>
            <w:r>
              <w:rPr>
                <w:w w:val="100"/>
                <w:sz w:val="21"/>
              </w:rPr>
              <w:t>）</w:t>
            </w: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车间分别采取碱洗塔装置和活性炭吸附装</w:t>
            </w:r>
          </w:p>
        </w:tc>
        <w:tc>
          <w:tcPr>
            <w:tcW w:w="1980" w:type="dxa"/>
            <w:vMerge/>
            <w:tcBorders>
              <w:top w:val="nil"/>
            </w:tcBorders>
          </w:tcPr>
          <w:p>
            <w:pPr>
              <w:rPr>
                <w:sz w:val="2"/>
                <w:szCs w:val="2"/>
              </w:rPr>
            </w:pPr>
          </w:p>
        </w:tc>
        <w:tc>
          <w:tcPr>
            <w:tcW w:w="928" w:type="dxa"/>
            <w:vMerge/>
            <w:tcBorders>
              <w:top w:val="nil"/>
            </w:tcBorders>
          </w:tcPr>
          <w:p>
            <w:pPr>
              <w:rPr>
                <w:sz w:val="2"/>
                <w:szCs w:val="2"/>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置进行吸收处理，经吸收后的废气分别由</w:t>
            </w:r>
          </w:p>
        </w:tc>
        <w:tc>
          <w:tcPr>
            <w:tcW w:w="1980" w:type="dxa"/>
            <w:vMerge/>
            <w:tcBorders>
              <w:top w:val="nil"/>
            </w:tcBorders>
          </w:tcPr>
          <w:p>
            <w:pPr>
              <w:rPr>
                <w:sz w:val="2"/>
                <w:szCs w:val="2"/>
              </w:rPr>
            </w:pPr>
          </w:p>
        </w:tc>
        <w:tc>
          <w:tcPr>
            <w:tcW w:w="928" w:type="dxa"/>
            <w:vMerge/>
            <w:tcBorders>
              <w:top w:val="nil"/>
            </w:tcBorders>
          </w:tcPr>
          <w:p>
            <w:pPr>
              <w:rPr>
                <w:sz w:val="2"/>
                <w:szCs w:val="2"/>
              </w:rPr>
            </w:pPr>
          </w:p>
        </w:tc>
      </w:tr>
      <w:tr>
        <w:trPr>
          <w:trHeight w:val="259"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39" w:lineRule="exact"/>
              <w:ind w:left="29"/>
              <w:jc w:val="left"/>
              <w:rPr>
                <w:sz w:val="21"/>
              </w:rPr>
            </w:pPr>
            <w:r>
              <w:rPr>
                <w:sz w:val="21"/>
              </w:rPr>
              <w:t>各自车间的排气筒集中外排，排气筒高度</w:t>
            </w:r>
          </w:p>
        </w:tc>
        <w:tc>
          <w:tcPr>
            <w:tcW w:w="1980" w:type="dxa"/>
            <w:vMerge/>
            <w:tcBorders>
              <w:top w:val="nil"/>
            </w:tcBorders>
          </w:tcPr>
          <w:p>
            <w:pPr>
              <w:rPr>
                <w:sz w:val="2"/>
                <w:szCs w:val="2"/>
              </w:rPr>
            </w:pPr>
          </w:p>
        </w:tc>
        <w:tc>
          <w:tcPr>
            <w:tcW w:w="928" w:type="dxa"/>
            <w:vMerge/>
            <w:tcBorders>
              <w:top w:val="nil"/>
            </w:tcBorders>
          </w:tcPr>
          <w:p>
            <w:pPr>
              <w:rPr>
                <w:sz w:val="2"/>
                <w:szCs w:val="2"/>
              </w:rPr>
            </w:pPr>
          </w:p>
        </w:tc>
      </w:tr>
      <w:tr>
        <w:trPr>
          <w:trHeight w:val="298"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jc w:val="left"/>
              <w:rPr>
                <w:rFonts w:ascii="Times New Roman"/>
                <w:sz w:val="20"/>
              </w:rPr>
            </w:pPr>
          </w:p>
        </w:tc>
        <w:tc>
          <w:tcPr>
            <w:tcW w:w="3920" w:type="dxa"/>
            <w:tcBorders>
              <w:top w:val="nil"/>
            </w:tcBorders>
          </w:tcPr>
          <w:p>
            <w:pPr>
              <w:pStyle w:val="TableParagraph"/>
              <w:spacing w:line="278" w:lineRule="exact"/>
              <w:ind w:left="29"/>
              <w:jc w:val="left"/>
              <w:rPr>
                <w:sz w:val="21"/>
              </w:rPr>
            </w:pPr>
            <w:r>
              <w:rPr>
                <w:sz w:val="21"/>
              </w:rPr>
              <w:t>均为 </w:t>
            </w:r>
            <w:r>
              <w:rPr>
                <w:rFonts w:ascii="Times New Roman" w:eastAsia="Times New Roman"/>
                <w:sz w:val="21"/>
              </w:rPr>
              <w:t>20m</w:t>
            </w:r>
            <w:r>
              <w:rPr>
                <w:sz w:val="21"/>
              </w:rPr>
              <w:t>。</w:t>
            </w:r>
          </w:p>
        </w:tc>
        <w:tc>
          <w:tcPr>
            <w:tcW w:w="1980" w:type="dxa"/>
            <w:vMerge/>
            <w:tcBorders>
              <w:top w:val="nil"/>
            </w:tcBorders>
          </w:tcPr>
          <w:p>
            <w:pPr>
              <w:rPr>
                <w:sz w:val="2"/>
                <w:szCs w:val="2"/>
              </w:rPr>
            </w:pPr>
          </w:p>
        </w:tc>
        <w:tc>
          <w:tcPr>
            <w:tcW w:w="928" w:type="dxa"/>
            <w:vMerge/>
            <w:tcBorders>
              <w:top w:val="nil"/>
            </w:tcBorders>
          </w:tcPr>
          <w:p>
            <w:pPr>
              <w:rPr>
                <w:sz w:val="2"/>
                <w:szCs w:val="2"/>
              </w:rPr>
            </w:pPr>
          </w:p>
        </w:tc>
      </w:tr>
      <w:tr>
        <w:trPr>
          <w:trHeight w:val="294"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jc w:val="left"/>
              <w:rPr>
                <w:rFonts w:ascii="Times New Roman"/>
                <w:sz w:val="20"/>
              </w:rPr>
            </w:pPr>
          </w:p>
        </w:tc>
        <w:tc>
          <w:tcPr>
            <w:tcW w:w="3920" w:type="dxa"/>
            <w:tcBorders>
              <w:bottom w:val="nil"/>
            </w:tcBorders>
          </w:tcPr>
          <w:p>
            <w:pPr>
              <w:pStyle w:val="TableParagraph"/>
              <w:spacing w:line="274" w:lineRule="exact"/>
              <w:ind w:left="29"/>
              <w:jc w:val="left"/>
              <w:rPr>
                <w:sz w:val="21"/>
              </w:rPr>
            </w:pPr>
            <w:r>
              <w:rPr>
                <w:sz w:val="21"/>
              </w:rPr>
              <w:t>各种药品粉碎过程产生的粉尘：两原料药</w:t>
            </w:r>
          </w:p>
        </w:tc>
        <w:tc>
          <w:tcPr>
            <w:tcW w:w="1980" w:type="dxa"/>
            <w:vMerge/>
            <w:tcBorders>
              <w:top w:val="nil"/>
            </w:tcBorders>
          </w:tcPr>
          <w:p>
            <w:pPr>
              <w:rPr>
                <w:sz w:val="2"/>
                <w:szCs w:val="2"/>
              </w:rPr>
            </w:pPr>
          </w:p>
        </w:tc>
        <w:tc>
          <w:tcPr>
            <w:tcW w:w="928" w:type="dxa"/>
            <w:tcBorders>
              <w:bottom w:val="nil"/>
            </w:tcBorders>
          </w:tcPr>
          <w:p>
            <w:pPr>
              <w:pStyle w:val="TableParagraph"/>
              <w:jc w:val="left"/>
              <w:rPr>
                <w:rFonts w:ascii="Times New Roman"/>
                <w:sz w:val="20"/>
              </w:rPr>
            </w:pPr>
          </w:p>
        </w:tc>
      </w:tr>
      <w:tr>
        <w:trPr>
          <w:trHeight w:val="254"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34" w:lineRule="exact"/>
              <w:ind w:left="29"/>
              <w:jc w:val="left"/>
              <w:rPr>
                <w:sz w:val="21"/>
              </w:rPr>
            </w:pPr>
            <w:r>
              <w:rPr>
                <w:sz w:val="21"/>
              </w:rPr>
              <w:t>车间、发酵车间粉尘先去生产系统配套的</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540"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spacing w:line="244" w:lineRule="exact"/>
              <w:ind w:left="86" w:right="74"/>
              <w:rPr>
                <w:sz w:val="21"/>
              </w:rPr>
            </w:pPr>
            <w:r>
              <w:rPr>
                <w:sz w:val="21"/>
              </w:rPr>
              <w:t>有组织</w:t>
            </w:r>
          </w:p>
          <w:p>
            <w:pPr>
              <w:pStyle w:val="TableParagraph"/>
              <w:spacing w:line="276" w:lineRule="exact"/>
              <w:ind w:left="101" w:right="89"/>
              <w:rPr>
                <w:sz w:val="21"/>
              </w:rPr>
            </w:pPr>
            <w:r>
              <w:rPr>
                <w:sz w:val="21"/>
              </w:rPr>
              <w:t>废气</w:t>
            </w:r>
          </w:p>
        </w:tc>
        <w:tc>
          <w:tcPr>
            <w:tcW w:w="3920" w:type="dxa"/>
            <w:tcBorders>
              <w:top w:val="nil"/>
              <w:bottom w:val="nil"/>
            </w:tcBorders>
          </w:tcPr>
          <w:p>
            <w:pPr>
              <w:pStyle w:val="TableParagraph"/>
              <w:spacing w:line="259" w:lineRule="exact"/>
              <w:ind w:left="29"/>
              <w:jc w:val="left"/>
              <w:rPr>
                <w:sz w:val="21"/>
              </w:rPr>
            </w:pPr>
            <w:r>
              <w:rPr>
                <w:spacing w:val="-6"/>
                <w:w w:val="100"/>
                <w:sz w:val="21"/>
              </w:rPr>
              <w:t>布袋除尘装置处置</w:t>
            </w:r>
            <w:r>
              <w:rPr>
                <w:w w:val="100"/>
                <w:sz w:val="21"/>
              </w:rPr>
              <w:t>（</w:t>
            </w:r>
            <w:r>
              <w:rPr>
                <w:spacing w:val="-2"/>
                <w:w w:val="100"/>
                <w:sz w:val="21"/>
              </w:rPr>
              <w:t>效率</w:t>
            </w:r>
            <w:r>
              <w:rPr>
                <w:spacing w:val="6"/>
                <w:sz w:val="21"/>
              </w:rPr>
              <w:t> </w:t>
            </w:r>
            <w:r>
              <w:rPr>
                <w:rFonts w:ascii="Times New Roman" w:eastAsia="Times New Roman"/>
                <w:spacing w:val="-3"/>
                <w:w w:val="100"/>
                <w:sz w:val="21"/>
              </w:rPr>
              <w:t>9</w:t>
            </w:r>
            <w:r>
              <w:rPr>
                <w:rFonts w:ascii="Times New Roman" w:eastAsia="Times New Roman"/>
                <w:w w:val="100"/>
                <w:sz w:val="21"/>
              </w:rPr>
              <w:t>9</w:t>
            </w:r>
            <w:r>
              <w:rPr>
                <w:rFonts w:ascii="Times New Roman" w:eastAsia="Times New Roman"/>
                <w:spacing w:val="-1"/>
                <w:w w:val="100"/>
                <w:sz w:val="21"/>
              </w:rPr>
              <w:t>%</w:t>
            </w:r>
            <w:r>
              <w:rPr>
                <w:spacing w:val="-106"/>
                <w:w w:val="100"/>
                <w:sz w:val="21"/>
              </w:rPr>
              <w:t>）</w:t>
            </w:r>
            <w:r>
              <w:rPr>
                <w:spacing w:val="-6"/>
                <w:w w:val="100"/>
                <w:sz w:val="21"/>
              </w:rPr>
              <w:t>，再去配套</w:t>
            </w:r>
          </w:p>
          <w:p>
            <w:pPr>
              <w:pStyle w:val="TableParagraph"/>
              <w:spacing w:line="261" w:lineRule="exact"/>
              <w:ind w:left="29"/>
              <w:jc w:val="left"/>
              <w:rPr>
                <w:sz w:val="21"/>
              </w:rPr>
            </w:pPr>
            <w:r>
              <w:rPr>
                <w:sz w:val="21"/>
              </w:rPr>
              <w:t>建设的车间排风净化系统处理（</w:t>
            </w:r>
            <w:r>
              <w:rPr>
                <w:spacing w:val="1"/>
                <w:sz w:val="21"/>
              </w:rPr>
              <w:t>高效过滤</w:t>
            </w:r>
          </w:p>
        </w:tc>
        <w:tc>
          <w:tcPr>
            <w:tcW w:w="1980" w:type="dxa"/>
            <w:vMerge/>
            <w:tcBorders>
              <w:top w:val="nil"/>
            </w:tcBorders>
          </w:tcPr>
          <w:p>
            <w:pPr>
              <w:rPr>
                <w:sz w:val="2"/>
                <w:szCs w:val="2"/>
              </w:rPr>
            </w:pPr>
          </w:p>
        </w:tc>
        <w:tc>
          <w:tcPr>
            <w:tcW w:w="928" w:type="dxa"/>
            <w:tcBorders>
              <w:top w:val="nil"/>
              <w:bottom w:val="nil"/>
            </w:tcBorders>
          </w:tcPr>
          <w:p>
            <w:pPr>
              <w:pStyle w:val="TableParagraph"/>
              <w:spacing w:before="38"/>
              <w:ind w:left="28" w:right="10"/>
              <w:rPr>
                <w:sz w:val="21"/>
              </w:rPr>
            </w:pPr>
            <w:r>
              <w:rPr>
                <w:sz w:val="21"/>
              </w:rPr>
              <w:t>达标排放</w:t>
            </w:r>
          </w:p>
        </w:tc>
      </w:tr>
      <w:tr>
        <w:trPr>
          <w:trHeight w:val="273"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jc w:val="left"/>
              <w:rPr>
                <w:rFonts w:ascii="Times New Roman"/>
                <w:sz w:val="20"/>
              </w:rPr>
            </w:pPr>
          </w:p>
        </w:tc>
        <w:tc>
          <w:tcPr>
            <w:tcW w:w="3920" w:type="dxa"/>
            <w:tcBorders>
              <w:top w:val="nil"/>
              <w:bottom w:val="nil"/>
            </w:tcBorders>
          </w:tcPr>
          <w:p>
            <w:pPr>
              <w:pStyle w:val="TableParagraph"/>
              <w:spacing w:line="254" w:lineRule="exact"/>
              <w:ind w:left="29"/>
              <w:jc w:val="left"/>
              <w:rPr>
                <w:sz w:val="21"/>
              </w:rPr>
            </w:pPr>
            <w:r>
              <w:rPr>
                <w:spacing w:val="1"/>
                <w:sz w:val="21"/>
              </w:rPr>
              <w:t>器效率 </w:t>
            </w:r>
            <w:r>
              <w:rPr>
                <w:rFonts w:ascii="Times New Roman" w:eastAsia="Times New Roman"/>
                <w:sz w:val="21"/>
              </w:rPr>
              <w:t>90%</w:t>
            </w:r>
            <w:r>
              <w:rPr>
                <w:sz w:val="21"/>
              </w:rPr>
              <w:t>以上</w:t>
            </w:r>
            <w:r>
              <w:rPr>
                <w:spacing w:val="-104"/>
                <w:sz w:val="21"/>
              </w:rPr>
              <w:t>）</w:t>
            </w:r>
            <w:r>
              <w:rPr>
                <w:spacing w:val="-18"/>
                <w:sz w:val="21"/>
              </w:rPr>
              <w:t>，尾气分别经 </w:t>
            </w:r>
            <w:r>
              <w:rPr>
                <w:rFonts w:ascii="Times New Roman" w:eastAsia="Times New Roman"/>
                <w:sz w:val="21"/>
              </w:rPr>
              <w:t>15m </w:t>
            </w:r>
            <w:r>
              <w:rPr>
                <w:sz w:val="21"/>
              </w:rPr>
              <w:t>高排气</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20"/>
              </w:rPr>
            </w:pPr>
          </w:p>
        </w:tc>
      </w:tr>
      <w:tr>
        <w:trPr>
          <w:trHeight w:val="287"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jc w:val="left"/>
              <w:rPr>
                <w:rFonts w:ascii="Times New Roman"/>
                <w:sz w:val="20"/>
              </w:rPr>
            </w:pPr>
          </w:p>
        </w:tc>
        <w:tc>
          <w:tcPr>
            <w:tcW w:w="3920" w:type="dxa"/>
            <w:tcBorders>
              <w:top w:val="nil"/>
            </w:tcBorders>
          </w:tcPr>
          <w:p>
            <w:pPr>
              <w:pStyle w:val="TableParagraph"/>
              <w:spacing w:line="267" w:lineRule="exact"/>
              <w:ind w:left="29"/>
              <w:jc w:val="left"/>
              <w:rPr>
                <w:sz w:val="21"/>
              </w:rPr>
            </w:pPr>
            <w:r>
              <w:rPr>
                <w:sz w:val="21"/>
              </w:rPr>
              <w:t>筒排出车间。</w:t>
            </w:r>
          </w:p>
        </w:tc>
        <w:tc>
          <w:tcPr>
            <w:tcW w:w="1980" w:type="dxa"/>
            <w:vMerge/>
            <w:tcBorders>
              <w:top w:val="nil"/>
            </w:tcBorders>
          </w:tcPr>
          <w:p>
            <w:pPr>
              <w:rPr>
                <w:sz w:val="2"/>
                <w:szCs w:val="2"/>
              </w:rPr>
            </w:pPr>
          </w:p>
        </w:tc>
        <w:tc>
          <w:tcPr>
            <w:tcW w:w="928" w:type="dxa"/>
            <w:tcBorders>
              <w:top w:val="nil"/>
            </w:tcBorders>
          </w:tcPr>
          <w:p>
            <w:pPr>
              <w:pStyle w:val="TableParagraph"/>
              <w:jc w:val="left"/>
              <w:rPr>
                <w:rFonts w:ascii="Times New Roman"/>
                <w:sz w:val="20"/>
              </w:rPr>
            </w:pPr>
          </w:p>
        </w:tc>
      </w:tr>
      <w:tr>
        <w:trPr>
          <w:trHeight w:val="292"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jc w:val="left"/>
              <w:rPr>
                <w:rFonts w:ascii="Times New Roman"/>
                <w:sz w:val="20"/>
              </w:rPr>
            </w:pPr>
          </w:p>
        </w:tc>
        <w:tc>
          <w:tcPr>
            <w:tcW w:w="3920" w:type="dxa"/>
            <w:vMerge w:val="restart"/>
          </w:tcPr>
          <w:p>
            <w:pPr>
              <w:pStyle w:val="TableParagraph"/>
              <w:spacing w:before="12"/>
              <w:jc w:val="left"/>
              <w:rPr>
                <w:sz w:val="15"/>
              </w:rPr>
            </w:pPr>
          </w:p>
          <w:p>
            <w:pPr>
              <w:pStyle w:val="TableParagraph"/>
              <w:spacing w:line="216" w:lineRule="auto"/>
              <w:ind w:left="670" w:right="143" w:hanging="481"/>
              <w:jc w:val="left"/>
              <w:rPr>
                <w:sz w:val="21"/>
              </w:rPr>
            </w:pPr>
            <w:r>
              <w:rPr>
                <w:sz w:val="21"/>
              </w:rPr>
              <w:t>气锅炉废气：燃烧天然气，为清洁能源废气直接经 </w:t>
            </w:r>
            <w:r>
              <w:rPr>
                <w:rFonts w:ascii="Times New Roman" w:eastAsia="Times New Roman"/>
                <w:sz w:val="21"/>
              </w:rPr>
              <w:t>15m </w:t>
            </w:r>
            <w:r>
              <w:rPr>
                <w:sz w:val="21"/>
              </w:rPr>
              <w:t>排气筒排放</w:t>
            </w:r>
          </w:p>
        </w:tc>
        <w:tc>
          <w:tcPr>
            <w:tcW w:w="1980" w:type="dxa"/>
            <w:tcBorders>
              <w:bottom w:val="nil"/>
            </w:tcBorders>
          </w:tcPr>
          <w:p>
            <w:pPr>
              <w:pStyle w:val="TableParagraph"/>
              <w:spacing w:line="272" w:lineRule="exact"/>
              <w:ind w:left="28" w:right="12"/>
              <w:rPr>
                <w:sz w:val="21"/>
              </w:rPr>
            </w:pPr>
            <w:r>
              <w:rPr>
                <w:sz w:val="21"/>
              </w:rPr>
              <w:t>《锅炉大气污染物排</w:t>
            </w:r>
          </w:p>
        </w:tc>
        <w:tc>
          <w:tcPr>
            <w:tcW w:w="928" w:type="dxa"/>
            <w:tcBorders>
              <w:bottom w:val="nil"/>
            </w:tcBorders>
          </w:tcPr>
          <w:p>
            <w:pPr>
              <w:pStyle w:val="TableParagraph"/>
              <w:jc w:val="left"/>
              <w:rPr>
                <w:rFonts w:ascii="Times New Roman"/>
                <w:sz w:val="20"/>
              </w:rPr>
            </w:pPr>
          </w:p>
        </w:tc>
      </w:tr>
      <w:tr>
        <w:trPr>
          <w:trHeight w:val="542"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jc w:val="left"/>
              <w:rPr>
                <w:rFonts w:ascii="Times New Roman"/>
                <w:sz w:val="20"/>
              </w:rPr>
            </w:pPr>
          </w:p>
        </w:tc>
        <w:tc>
          <w:tcPr>
            <w:tcW w:w="3920" w:type="dxa"/>
            <w:vMerge/>
            <w:tcBorders>
              <w:top w:val="nil"/>
            </w:tcBorders>
          </w:tcPr>
          <w:p>
            <w:pPr>
              <w:rPr>
                <w:sz w:val="2"/>
                <w:szCs w:val="2"/>
              </w:rPr>
            </w:pPr>
          </w:p>
        </w:tc>
        <w:tc>
          <w:tcPr>
            <w:tcW w:w="1980" w:type="dxa"/>
            <w:tcBorders>
              <w:top w:val="nil"/>
              <w:bottom w:val="nil"/>
            </w:tcBorders>
          </w:tcPr>
          <w:p>
            <w:pPr>
              <w:pStyle w:val="TableParagraph"/>
              <w:tabs>
                <w:tab w:pos="372" w:val="left" w:leader="none"/>
              </w:tabs>
              <w:spacing w:line="98" w:lineRule="auto" w:before="18"/>
              <w:ind w:left="-159"/>
              <w:jc w:val="left"/>
              <w:rPr>
                <w:rFonts w:ascii="Times New Roman" w:eastAsia="Times New Roman"/>
                <w:sz w:val="21"/>
              </w:rPr>
            </w:pPr>
            <w:r>
              <w:rPr>
                <w:position w:val="-9"/>
                <w:sz w:val="21"/>
              </w:rPr>
              <w:t>，</w:t>
              <w:tab/>
            </w:r>
            <w:r>
              <w:rPr>
                <w:spacing w:val="-28"/>
                <w:sz w:val="21"/>
              </w:rPr>
              <w:t>放标准》</w:t>
            </w:r>
            <w:r>
              <w:rPr>
                <w:sz w:val="21"/>
              </w:rPr>
              <w:t>（</w:t>
            </w:r>
            <w:r>
              <w:rPr>
                <w:rFonts w:ascii="Times New Roman" w:eastAsia="Times New Roman"/>
                <w:sz w:val="21"/>
              </w:rPr>
              <w:t>GB</w:t>
            </w:r>
          </w:p>
          <w:p>
            <w:pPr>
              <w:pStyle w:val="TableParagraph"/>
              <w:spacing w:line="218" w:lineRule="exact"/>
              <w:ind w:left="29"/>
              <w:jc w:val="left"/>
              <w:rPr>
                <w:sz w:val="21"/>
              </w:rPr>
            </w:pPr>
            <w:r>
              <w:rPr>
                <w:rFonts w:ascii="Times New Roman" w:eastAsia="Times New Roman"/>
                <w:w w:val="100"/>
                <w:sz w:val="21"/>
              </w:rPr>
              <w:t>13271</w:t>
            </w:r>
            <w:r>
              <w:rPr>
                <w:rFonts w:ascii="Times New Roman" w:eastAsia="Times New Roman"/>
                <w:spacing w:val="-4"/>
                <w:w w:val="100"/>
                <w:sz w:val="21"/>
              </w:rPr>
              <w:t>-</w:t>
            </w:r>
            <w:r>
              <w:rPr>
                <w:rFonts w:ascii="Times New Roman" w:eastAsia="Times New Roman"/>
                <w:w w:val="100"/>
                <w:sz w:val="21"/>
              </w:rPr>
              <w:t>2001</w:t>
            </w:r>
            <w:r>
              <w:rPr>
                <w:spacing w:val="-106"/>
                <w:w w:val="100"/>
                <w:sz w:val="21"/>
              </w:rPr>
              <w:t>）</w:t>
            </w:r>
            <w:r>
              <w:rPr>
                <w:spacing w:val="-12"/>
                <w:w w:val="100"/>
                <w:sz w:val="21"/>
              </w:rPr>
              <w:t>；烟尘同</w:t>
            </w:r>
          </w:p>
        </w:tc>
        <w:tc>
          <w:tcPr>
            <w:tcW w:w="928" w:type="dxa"/>
            <w:tcBorders>
              <w:top w:val="nil"/>
              <w:bottom w:val="nil"/>
            </w:tcBorders>
          </w:tcPr>
          <w:p>
            <w:pPr>
              <w:pStyle w:val="TableParagraph"/>
              <w:spacing w:line="370" w:lineRule="exact" w:before="152"/>
              <w:ind w:left="28" w:right="10"/>
              <w:rPr>
                <w:sz w:val="21"/>
              </w:rPr>
            </w:pPr>
            <w:r>
              <w:rPr>
                <w:sz w:val="21"/>
              </w:rPr>
              <w:t>达标排放</w:t>
            </w:r>
          </w:p>
        </w:tc>
      </w:tr>
      <w:tr>
        <w:trPr>
          <w:trHeight w:val="534" w:hRule="atLeast"/>
        </w:trPr>
        <w:tc>
          <w:tcPr>
            <w:tcW w:w="667" w:type="dxa"/>
            <w:tcBorders>
              <w:top w:val="nil"/>
              <w:bottom w:val="nil"/>
            </w:tcBorders>
          </w:tcPr>
          <w:p>
            <w:pPr>
              <w:pStyle w:val="TableParagraph"/>
              <w:spacing w:line="403" w:lineRule="exact" w:before="111"/>
              <w:ind w:right="109"/>
              <w:jc w:val="right"/>
              <w:rPr>
                <w:sz w:val="21"/>
              </w:rPr>
            </w:pPr>
            <w:r>
              <w:rPr>
                <w:sz w:val="21"/>
              </w:rPr>
              <w:t>废气</w:t>
            </w:r>
          </w:p>
        </w:tc>
        <w:tc>
          <w:tcPr>
            <w:tcW w:w="861" w:type="dxa"/>
            <w:tcBorders>
              <w:top w:val="nil"/>
            </w:tcBorders>
          </w:tcPr>
          <w:p>
            <w:pPr>
              <w:pStyle w:val="TableParagraph"/>
              <w:jc w:val="left"/>
              <w:rPr>
                <w:rFonts w:ascii="Times New Roman"/>
                <w:sz w:val="20"/>
              </w:rPr>
            </w:pPr>
          </w:p>
        </w:tc>
        <w:tc>
          <w:tcPr>
            <w:tcW w:w="3920" w:type="dxa"/>
            <w:vMerge/>
            <w:tcBorders>
              <w:top w:val="nil"/>
            </w:tcBorders>
          </w:tcPr>
          <w:p>
            <w:pPr>
              <w:rPr>
                <w:sz w:val="2"/>
                <w:szCs w:val="2"/>
              </w:rPr>
            </w:pPr>
          </w:p>
        </w:tc>
        <w:tc>
          <w:tcPr>
            <w:tcW w:w="1980" w:type="dxa"/>
            <w:tcBorders>
              <w:top w:val="nil"/>
            </w:tcBorders>
          </w:tcPr>
          <w:p>
            <w:pPr>
              <w:pStyle w:val="TableParagraph"/>
              <w:spacing w:line="293" w:lineRule="exact"/>
              <w:ind w:left="29" w:right="12"/>
              <w:rPr>
                <w:rFonts w:ascii="Times New Roman" w:eastAsia="Times New Roman"/>
                <w:sz w:val="21"/>
              </w:rPr>
            </w:pPr>
            <w:r>
              <w:rPr>
                <w:sz w:val="21"/>
              </w:rPr>
              <w:t>时执行 </w:t>
            </w:r>
            <w:r>
              <w:rPr>
                <w:rFonts w:ascii="Times New Roman" w:eastAsia="Times New Roman"/>
                <w:sz w:val="21"/>
              </w:rPr>
              <w:t>DB37/ 1996-</w:t>
            </w:r>
          </w:p>
          <w:p>
            <w:pPr>
              <w:pStyle w:val="TableParagraph"/>
              <w:spacing w:line="201" w:lineRule="exact"/>
              <w:ind w:left="28" w:right="12"/>
              <w:rPr>
                <w:rFonts w:ascii="Times New Roman"/>
                <w:sz w:val="21"/>
              </w:rPr>
            </w:pPr>
            <w:r>
              <w:rPr>
                <w:rFonts w:ascii="Times New Roman"/>
                <w:sz w:val="21"/>
              </w:rPr>
              <w:t>2011</w:t>
            </w:r>
          </w:p>
        </w:tc>
        <w:tc>
          <w:tcPr>
            <w:tcW w:w="928" w:type="dxa"/>
            <w:tcBorders>
              <w:top w:val="nil"/>
            </w:tcBorders>
          </w:tcPr>
          <w:p>
            <w:pPr>
              <w:pStyle w:val="TableParagraph"/>
              <w:jc w:val="left"/>
              <w:rPr>
                <w:rFonts w:ascii="Times New Roman"/>
                <w:sz w:val="20"/>
              </w:rPr>
            </w:pPr>
          </w:p>
        </w:tc>
      </w:tr>
      <w:tr>
        <w:trPr>
          <w:trHeight w:val="293" w:hRule="atLeast"/>
        </w:trPr>
        <w:tc>
          <w:tcPr>
            <w:tcW w:w="667" w:type="dxa"/>
            <w:tcBorders>
              <w:top w:val="nil"/>
              <w:bottom w:val="nil"/>
            </w:tcBorders>
          </w:tcPr>
          <w:p>
            <w:pPr>
              <w:pStyle w:val="TableParagraph"/>
              <w:jc w:val="left"/>
              <w:rPr>
                <w:rFonts w:ascii="Times New Roman"/>
                <w:sz w:val="20"/>
              </w:rPr>
            </w:pPr>
          </w:p>
        </w:tc>
        <w:tc>
          <w:tcPr>
            <w:tcW w:w="861" w:type="dxa"/>
            <w:tcBorders>
              <w:bottom w:val="nil"/>
            </w:tcBorders>
          </w:tcPr>
          <w:p>
            <w:pPr>
              <w:pStyle w:val="TableParagraph"/>
              <w:jc w:val="left"/>
              <w:rPr>
                <w:rFonts w:ascii="Times New Roman"/>
                <w:sz w:val="20"/>
              </w:rPr>
            </w:pPr>
          </w:p>
        </w:tc>
        <w:tc>
          <w:tcPr>
            <w:tcW w:w="3920" w:type="dxa"/>
            <w:tcBorders>
              <w:bottom w:val="nil"/>
            </w:tcBorders>
          </w:tcPr>
          <w:p>
            <w:pPr>
              <w:pStyle w:val="TableParagraph"/>
              <w:spacing w:line="273" w:lineRule="exact"/>
              <w:ind w:left="29"/>
              <w:jc w:val="left"/>
              <w:rPr>
                <w:sz w:val="21"/>
              </w:rPr>
            </w:pPr>
            <w:r>
              <w:rPr>
                <w:sz w:val="21"/>
              </w:rPr>
              <w:t>①工艺设备的先进程度和生产的操作管理</w:t>
            </w:r>
          </w:p>
        </w:tc>
        <w:tc>
          <w:tcPr>
            <w:tcW w:w="1980" w:type="dxa"/>
            <w:vMerge w:val="restart"/>
          </w:tcPr>
          <w:p>
            <w:pPr>
              <w:pStyle w:val="TableParagraph"/>
              <w:jc w:val="left"/>
              <w:rPr>
                <w:sz w:val="20"/>
              </w:rPr>
            </w:pPr>
          </w:p>
          <w:p>
            <w:pPr>
              <w:pStyle w:val="TableParagraph"/>
              <w:jc w:val="left"/>
              <w:rPr>
                <w:sz w:val="20"/>
              </w:rPr>
            </w:pPr>
          </w:p>
          <w:p>
            <w:pPr>
              <w:pStyle w:val="TableParagraph"/>
              <w:spacing w:before="8"/>
              <w:jc w:val="left"/>
              <w:rPr>
                <w:sz w:val="26"/>
              </w:rPr>
            </w:pPr>
          </w:p>
          <w:p>
            <w:pPr>
              <w:pStyle w:val="TableParagraph"/>
              <w:spacing w:line="146" w:lineRule="auto"/>
              <w:ind w:left="624" w:right="27" w:hanging="579"/>
              <w:jc w:val="left"/>
              <w:rPr>
                <w:sz w:val="21"/>
              </w:rPr>
            </w:pPr>
            <w:r>
              <w:rPr>
                <w:sz w:val="21"/>
              </w:rPr>
              <w:t>《大气污染物综合排放标准》</w:t>
            </w:r>
          </w:p>
          <w:p>
            <w:pPr>
              <w:pStyle w:val="TableParagraph"/>
              <w:spacing w:line="239" w:lineRule="exact"/>
              <w:ind w:left="46"/>
              <w:jc w:val="left"/>
              <w:rPr>
                <w:sz w:val="21"/>
              </w:rPr>
            </w:pPr>
            <w:r>
              <w:rPr>
                <w:spacing w:val="-2"/>
                <w:w w:val="90"/>
                <w:sz w:val="21"/>
              </w:rPr>
              <w:t>（GB16297-1996）</w:t>
            </w:r>
            <w:r>
              <w:rPr>
                <w:spacing w:val="-1"/>
                <w:w w:val="90"/>
                <w:sz w:val="21"/>
              </w:rPr>
              <w:t>厂</w:t>
            </w:r>
          </w:p>
          <w:p>
            <w:pPr>
              <w:pStyle w:val="TableParagraph"/>
              <w:spacing w:line="272" w:lineRule="exact"/>
              <w:ind w:left="46"/>
              <w:jc w:val="left"/>
              <w:rPr>
                <w:sz w:val="21"/>
              </w:rPr>
            </w:pPr>
            <w:r>
              <w:rPr>
                <w:spacing w:val="-3"/>
                <w:sz w:val="21"/>
              </w:rPr>
              <w:t>界无组织排放浓度监</w:t>
            </w:r>
          </w:p>
          <w:p>
            <w:pPr>
              <w:pStyle w:val="TableParagraph"/>
              <w:tabs>
                <w:tab w:pos="571" w:val="left" w:leader="none"/>
              </w:tabs>
              <w:spacing w:line="359" w:lineRule="exact"/>
              <w:ind w:left="-129"/>
              <w:jc w:val="left"/>
              <w:rPr>
                <w:sz w:val="21"/>
              </w:rPr>
            </w:pPr>
            <w:r>
              <w:rPr>
                <w:sz w:val="21"/>
              </w:rPr>
              <w:t>、</w:t>
              <w:tab/>
              <w:t>控限</w:t>
            </w:r>
            <w:r>
              <w:rPr>
                <w:spacing w:val="-3"/>
                <w:sz w:val="21"/>
              </w:rPr>
              <w:t>值</w:t>
            </w:r>
            <w:r>
              <w:rPr>
                <w:sz w:val="21"/>
              </w:rPr>
              <w:t>。</w:t>
            </w:r>
          </w:p>
        </w:tc>
        <w:tc>
          <w:tcPr>
            <w:tcW w:w="928" w:type="dxa"/>
            <w:tcBorders>
              <w:bottom w:val="nil"/>
            </w:tcBorders>
          </w:tcPr>
          <w:p>
            <w:pPr>
              <w:pStyle w:val="TableParagraph"/>
              <w:jc w:val="left"/>
              <w:rPr>
                <w:rFonts w:ascii="Times New Roman"/>
                <w:sz w:val="20"/>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3" w:lineRule="exact"/>
              <w:ind w:left="29"/>
              <w:jc w:val="left"/>
              <w:rPr>
                <w:sz w:val="21"/>
              </w:rPr>
            </w:pPr>
            <w:r>
              <w:rPr>
                <w:sz w:val="21"/>
              </w:rPr>
              <w:t>水平是控制无组织排放的关键，本项目应</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3" w:lineRule="exact"/>
              <w:ind w:left="29"/>
              <w:jc w:val="left"/>
              <w:rPr>
                <w:sz w:val="21"/>
              </w:rPr>
            </w:pPr>
            <w:r>
              <w:rPr>
                <w:sz w:val="21"/>
              </w:rPr>
              <w:t>采取严格管理制度，并加强员工培训，强</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化操作规程和提高员工操作水平。另外，</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培训时强化员工自觉保护环境的意识。</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②夏季对储罐区进行水喷淋降温。</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807" w:hRule="atLeast"/>
        </w:trPr>
        <w:tc>
          <w:tcPr>
            <w:tcW w:w="667" w:type="dxa"/>
            <w:tcBorders>
              <w:top w:val="nil"/>
              <w:bottom w:val="nil"/>
            </w:tcBorders>
          </w:tcPr>
          <w:p>
            <w:pPr>
              <w:pStyle w:val="TableParagraph"/>
              <w:jc w:val="left"/>
              <w:rPr>
                <w:rFonts w:ascii="Times New Roman"/>
                <w:sz w:val="20"/>
              </w:rPr>
            </w:pPr>
          </w:p>
        </w:tc>
        <w:tc>
          <w:tcPr>
            <w:tcW w:w="861" w:type="dxa"/>
            <w:tcBorders>
              <w:top w:val="nil"/>
              <w:bottom w:val="nil"/>
            </w:tcBorders>
          </w:tcPr>
          <w:p>
            <w:pPr>
              <w:pStyle w:val="TableParagraph"/>
              <w:spacing w:line="146" w:lineRule="auto" w:before="149"/>
              <w:ind w:left="220" w:right="100" w:hanging="106"/>
              <w:jc w:val="left"/>
              <w:rPr>
                <w:sz w:val="21"/>
              </w:rPr>
            </w:pPr>
            <w:r>
              <w:rPr>
                <w:sz w:val="21"/>
              </w:rPr>
              <w:t>无组织排放</w:t>
            </w:r>
          </w:p>
        </w:tc>
        <w:tc>
          <w:tcPr>
            <w:tcW w:w="3920" w:type="dxa"/>
            <w:tcBorders>
              <w:top w:val="nil"/>
              <w:bottom w:val="nil"/>
            </w:tcBorders>
          </w:tcPr>
          <w:p>
            <w:pPr>
              <w:pStyle w:val="TableParagraph"/>
              <w:spacing w:line="146" w:lineRule="auto" w:before="12"/>
              <w:ind w:left="29" w:right="15"/>
              <w:jc w:val="left"/>
              <w:rPr>
                <w:sz w:val="21"/>
              </w:rPr>
            </w:pPr>
            <w:r>
              <w:rPr>
                <w:sz w:val="21"/>
              </w:rPr>
              <w:t>③无组织排放气体主要来自储存区及生产装置区，加强对以上装置的维护和管理，</w:t>
            </w:r>
          </w:p>
          <w:p>
            <w:pPr>
              <w:pStyle w:val="TableParagraph"/>
              <w:spacing w:line="232" w:lineRule="exact"/>
              <w:ind w:left="29"/>
              <w:jc w:val="left"/>
              <w:rPr>
                <w:sz w:val="21"/>
              </w:rPr>
            </w:pPr>
            <w:r>
              <w:rPr>
                <w:sz w:val="21"/>
              </w:rPr>
              <w:t>经常进行检修，发现事故及时正确处理。</w:t>
            </w:r>
          </w:p>
        </w:tc>
        <w:tc>
          <w:tcPr>
            <w:tcW w:w="1980" w:type="dxa"/>
            <w:vMerge/>
            <w:tcBorders>
              <w:top w:val="nil"/>
            </w:tcBorders>
          </w:tcPr>
          <w:p>
            <w:pPr>
              <w:rPr>
                <w:sz w:val="2"/>
                <w:szCs w:val="2"/>
              </w:rPr>
            </w:pPr>
          </w:p>
        </w:tc>
        <w:tc>
          <w:tcPr>
            <w:tcW w:w="928" w:type="dxa"/>
            <w:tcBorders>
              <w:top w:val="nil"/>
              <w:bottom w:val="nil"/>
            </w:tcBorders>
          </w:tcPr>
          <w:p>
            <w:pPr>
              <w:pStyle w:val="TableParagraph"/>
              <w:spacing w:line="146" w:lineRule="auto" w:before="149"/>
              <w:ind w:left="255" w:right="26" w:hanging="209"/>
              <w:jc w:val="left"/>
              <w:rPr>
                <w:sz w:val="21"/>
              </w:rPr>
            </w:pPr>
            <w:r>
              <w:rPr>
                <w:sz w:val="21"/>
              </w:rPr>
              <w:t>厂界浓度达标</w:t>
            </w: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④生产前应对设备易老化的部位，如垫圈</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密封接头与软管连接处等进行检查，发现</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问题及时解决，降低物料“跑、冒、滴、</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w w:val="110"/>
                <w:sz w:val="21"/>
              </w:rPr>
              <w:t>漏</w:t>
            </w:r>
            <w:r>
              <w:rPr>
                <w:w w:val="195"/>
                <w:sz w:val="21"/>
              </w:rPr>
              <w:t>”</w:t>
            </w:r>
            <w:r>
              <w:rPr>
                <w:w w:val="110"/>
                <w:sz w:val="21"/>
              </w:rPr>
              <w:t>发生的机会。</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62" w:hRule="atLeast"/>
        </w:trPr>
        <w:tc>
          <w:tcPr>
            <w:tcW w:w="667" w:type="dxa"/>
            <w:tcBorders>
              <w:top w:val="nil"/>
              <w:bottom w:val="nil"/>
            </w:tcBorders>
          </w:tcPr>
          <w:p>
            <w:pPr>
              <w:pStyle w:val="TableParagraph"/>
              <w:jc w:val="left"/>
              <w:rPr>
                <w:rFonts w:ascii="Times New Roman"/>
                <w:sz w:val="18"/>
              </w:rPr>
            </w:pPr>
          </w:p>
        </w:tc>
        <w:tc>
          <w:tcPr>
            <w:tcW w:w="861" w:type="dxa"/>
            <w:tcBorders>
              <w:top w:val="nil"/>
              <w:bottom w:val="nil"/>
            </w:tcBorders>
          </w:tcPr>
          <w:p>
            <w:pPr>
              <w:pStyle w:val="TableParagraph"/>
              <w:jc w:val="left"/>
              <w:rPr>
                <w:rFonts w:ascii="Times New Roman"/>
                <w:sz w:val="18"/>
              </w:rPr>
            </w:pPr>
          </w:p>
        </w:tc>
        <w:tc>
          <w:tcPr>
            <w:tcW w:w="3920" w:type="dxa"/>
            <w:tcBorders>
              <w:top w:val="nil"/>
              <w:bottom w:val="nil"/>
            </w:tcBorders>
          </w:tcPr>
          <w:p>
            <w:pPr>
              <w:pStyle w:val="TableParagraph"/>
              <w:spacing w:line="242" w:lineRule="exact"/>
              <w:ind w:left="29"/>
              <w:jc w:val="left"/>
              <w:rPr>
                <w:sz w:val="21"/>
              </w:rPr>
            </w:pPr>
            <w:r>
              <w:rPr>
                <w:sz w:val="21"/>
              </w:rPr>
              <w:t>⑤对污水处理站周围加强绿化，合理布置</w:t>
            </w:r>
          </w:p>
        </w:tc>
        <w:tc>
          <w:tcPr>
            <w:tcW w:w="1980" w:type="dxa"/>
            <w:vMerge/>
            <w:tcBorders>
              <w:top w:val="nil"/>
            </w:tcBorders>
          </w:tcPr>
          <w:p>
            <w:pPr>
              <w:rPr>
                <w:sz w:val="2"/>
                <w:szCs w:val="2"/>
              </w:rPr>
            </w:pPr>
          </w:p>
        </w:tc>
        <w:tc>
          <w:tcPr>
            <w:tcW w:w="928" w:type="dxa"/>
            <w:tcBorders>
              <w:top w:val="nil"/>
              <w:bottom w:val="nil"/>
            </w:tcBorders>
          </w:tcPr>
          <w:p>
            <w:pPr>
              <w:pStyle w:val="TableParagraph"/>
              <w:jc w:val="left"/>
              <w:rPr>
                <w:rFonts w:ascii="Times New Roman"/>
                <w:sz w:val="18"/>
              </w:rPr>
            </w:pPr>
          </w:p>
        </w:tc>
      </w:tr>
      <w:tr>
        <w:trPr>
          <w:trHeight w:val="295" w:hRule="atLeast"/>
        </w:trPr>
        <w:tc>
          <w:tcPr>
            <w:tcW w:w="667" w:type="dxa"/>
            <w:tcBorders>
              <w:top w:val="nil"/>
            </w:tcBorders>
          </w:tcPr>
          <w:p>
            <w:pPr>
              <w:pStyle w:val="TableParagraph"/>
              <w:jc w:val="left"/>
              <w:rPr>
                <w:rFonts w:ascii="Times New Roman"/>
                <w:sz w:val="20"/>
              </w:rPr>
            </w:pPr>
          </w:p>
        </w:tc>
        <w:tc>
          <w:tcPr>
            <w:tcW w:w="861" w:type="dxa"/>
            <w:tcBorders>
              <w:top w:val="nil"/>
            </w:tcBorders>
          </w:tcPr>
          <w:p>
            <w:pPr>
              <w:pStyle w:val="TableParagraph"/>
              <w:jc w:val="left"/>
              <w:rPr>
                <w:rFonts w:ascii="Times New Roman"/>
                <w:sz w:val="20"/>
              </w:rPr>
            </w:pPr>
          </w:p>
        </w:tc>
        <w:tc>
          <w:tcPr>
            <w:tcW w:w="3920" w:type="dxa"/>
            <w:tcBorders>
              <w:top w:val="nil"/>
            </w:tcBorders>
          </w:tcPr>
          <w:p>
            <w:pPr>
              <w:pStyle w:val="TableParagraph"/>
              <w:spacing w:line="276" w:lineRule="exact"/>
              <w:ind w:left="29"/>
              <w:jc w:val="left"/>
              <w:rPr>
                <w:sz w:val="21"/>
              </w:rPr>
            </w:pPr>
            <w:r>
              <w:rPr>
                <w:sz w:val="21"/>
              </w:rPr>
              <w:t>乔木绿化带，减少臭气对周围影响。</w:t>
            </w:r>
          </w:p>
        </w:tc>
        <w:tc>
          <w:tcPr>
            <w:tcW w:w="1980" w:type="dxa"/>
            <w:vMerge/>
            <w:tcBorders>
              <w:top w:val="nil"/>
            </w:tcBorders>
          </w:tcPr>
          <w:p>
            <w:pPr>
              <w:rPr>
                <w:sz w:val="2"/>
                <w:szCs w:val="2"/>
              </w:rPr>
            </w:pPr>
          </w:p>
        </w:tc>
        <w:tc>
          <w:tcPr>
            <w:tcW w:w="928" w:type="dxa"/>
            <w:tcBorders>
              <w:top w:val="nil"/>
            </w:tcBorders>
          </w:tcPr>
          <w:p>
            <w:pPr>
              <w:pStyle w:val="TableParagraph"/>
              <w:jc w:val="left"/>
              <w:rPr>
                <w:rFonts w:ascii="Times New Roman"/>
                <w:sz w:val="20"/>
              </w:rPr>
            </w:pPr>
          </w:p>
        </w:tc>
      </w:tr>
    </w:tbl>
    <w:p>
      <w:pPr>
        <w:spacing w:after="0"/>
        <w:jc w:val="left"/>
        <w:rPr>
          <w:rFonts w:ascii="Times New Roman"/>
          <w:sz w:val="20"/>
        </w:rPr>
        <w:sectPr>
          <w:pgSz w:w="11910" w:h="16840"/>
          <w:pgMar w:header="877" w:footer="973" w:top="1420" w:bottom="1160" w:left="1560" w:right="1560"/>
        </w:sectPr>
      </w:pPr>
    </w:p>
    <w:p>
      <w:pPr>
        <w:pStyle w:val="BodyText"/>
        <w:spacing w:before="17"/>
        <w:rPr>
          <w:sz w:val="8"/>
        </w:rPr>
      </w:pPr>
    </w:p>
    <w:p>
      <w:pPr>
        <w:spacing w:after="0"/>
        <w:rPr>
          <w:sz w:val="8"/>
        </w:rPr>
        <w:sectPr>
          <w:pgSz w:w="11910" w:h="16840"/>
          <w:pgMar w:header="877" w:footer="973" w:top="1420" w:bottom="1160" w:left="1560" w:right="1560"/>
        </w:sectPr>
      </w:pPr>
    </w:p>
    <w:p>
      <w:pPr>
        <w:spacing w:line="359" w:lineRule="exact" w:before="108"/>
        <w:ind w:left="994" w:right="0" w:firstLine="0"/>
        <w:jc w:val="left"/>
        <w:rPr>
          <w:sz w:val="21"/>
        </w:rPr>
      </w:pPr>
      <w:r>
        <w:rPr>
          <w:sz w:val="21"/>
        </w:rPr>
        <w:t>卫生防</w:t>
      </w:r>
    </w:p>
    <w:p>
      <w:pPr>
        <w:spacing w:line="178" w:lineRule="exact" w:before="0"/>
        <w:ind w:left="994" w:right="0" w:firstLine="0"/>
        <w:jc w:val="left"/>
        <w:rPr>
          <w:sz w:val="21"/>
        </w:rPr>
      </w:pPr>
      <w:r>
        <w:rPr>
          <w:sz w:val="21"/>
        </w:rPr>
        <w:t>护距离</w:t>
      </w:r>
    </w:p>
    <w:p>
      <w:pPr>
        <w:spacing w:line="103" w:lineRule="auto" w:before="68"/>
        <w:ind w:left="101" w:right="0" w:firstLine="0"/>
        <w:jc w:val="left"/>
        <w:rPr>
          <w:sz w:val="21"/>
        </w:rPr>
      </w:pPr>
      <w:r>
        <w:rPr/>
        <w:br w:type="column"/>
      </w:r>
      <w:r>
        <w:rPr>
          <w:spacing w:val="-3"/>
          <w:sz w:val="21"/>
        </w:rPr>
        <w:t>项目卫生防护距离为以装置区及罐区边界 《制定地方大气污染  </w:t>
      </w:r>
      <w:r>
        <w:rPr>
          <w:spacing w:val="-1"/>
          <w:position w:val="-13"/>
          <w:sz w:val="21"/>
        </w:rPr>
        <w:t>周围环境</w:t>
      </w:r>
    </w:p>
    <w:p>
      <w:pPr>
        <w:spacing w:line="76" w:lineRule="auto" w:before="0"/>
        <w:ind w:left="101" w:right="0" w:firstLine="0"/>
        <w:jc w:val="left"/>
        <w:rPr>
          <w:sz w:val="21"/>
        </w:rPr>
      </w:pPr>
      <w:r>
        <w:rPr>
          <w:spacing w:val="-7"/>
          <w:sz w:val="21"/>
        </w:rPr>
        <w:t>外 </w:t>
      </w:r>
      <w:r>
        <w:rPr>
          <w:sz w:val="21"/>
        </w:rPr>
        <w:t>100m</w:t>
      </w:r>
      <w:r>
        <w:rPr>
          <w:spacing w:val="-7"/>
          <w:sz w:val="21"/>
        </w:rPr>
        <w:t> 范围。卫生防护距离内无村庄等居 物排放标准的技术方 </w:t>
      </w:r>
      <w:r>
        <w:rPr>
          <w:spacing w:val="-1"/>
          <w:position w:val="-13"/>
          <w:sz w:val="21"/>
        </w:rPr>
        <w:t>满足要求</w:t>
      </w:r>
    </w:p>
    <w:p>
      <w:pPr>
        <w:spacing w:after="0" w:line="76" w:lineRule="auto"/>
        <w:jc w:val="left"/>
        <w:rPr>
          <w:sz w:val="21"/>
        </w:rPr>
        <w:sectPr>
          <w:type w:val="continuous"/>
          <w:pgSz w:w="11910" w:h="16840"/>
          <w:pgMar w:top="1180" w:bottom="1160" w:left="1560" w:right="1560"/>
          <w:cols w:num="2" w:equalWidth="0">
            <w:col w:w="1628" w:space="40"/>
            <w:col w:w="7122"/>
          </w:cols>
        </w:sectPr>
      </w:pPr>
    </w:p>
    <w:p>
      <w:pPr>
        <w:tabs>
          <w:tab w:pos="6440" w:val="left" w:leader="none"/>
        </w:tabs>
        <w:spacing w:line="275" w:lineRule="exact" w:before="0"/>
        <w:ind w:left="1769" w:right="0" w:firstLine="0"/>
        <w:jc w:val="left"/>
        <w:rPr>
          <w:sz w:val="21"/>
        </w:rPr>
      </w:pPr>
      <w:r>
        <w:rPr>
          <w:sz w:val="21"/>
        </w:rPr>
        <w:t>民点</w:t>
      </w:r>
      <w:r>
        <w:rPr>
          <w:spacing w:val="-3"/>
          <w:sz w:val="21"/>
        </w:rPr>
        <w:t>，</w:t>
      </w:r>
      <w:r>
        <w:rPr>
          <w:sz w:val="21"/>
        </w:rPr>
        <w:t>满</w:t>
      </w:r>
      <w:r>
        <w:rPr>
          <w:spacing w:val="-3"/>
          <w:sz w:val="21"/>
        </w:rPr>
        <w:t>足</w:t>
      </w:r>
      <w:r>
        <w:rPr>
          <w:sz w:val="21"/>
        </w:rPr>
        <w:t>卫</w:t>
      </w:r>
      <w:r>
        <w:rPr>
          <w:spacing w:val="-3"/>
          <w:sz w:val="21"/>
        </w:rPr>
        <w:t>生</w:t>
      </w:r>
      <w:r>
        <w:rPr>
          <w:sz w:val="21"/>
        </w:rPr>
        <w:t>防</w:t>
      </w:r>
      <w:r>
        <w:rPr>
          <w:spacing w:val="-3"/>
          <w:sz w:val="21"/>
        </w:rPr>
        <w:t>护</w:t>
      </w:r>
      <w:r>
        <w:rPr>
          <w:sz w:val="21"/>
        </w:rPr>
        <w:t>距</w:t>
      </w:r>
      <w:r>
        <w:rPr>
          <w:spacing w:val="-3"/>
          <w:sz w:val="21"/>
        </w:rPr>
        <w:t>离</w:t>
      </w:r>
      <w:r>
        <w:rPr>
          <w:sz w:val="21"/>
        </w:rPr>
        <w:t>的要</w:t>
      </w:r>
      <w:r>
        <w:rPr>
          <w:spacing w:val="-3"/>
          <w:sz w:val="21"/>
        </w:rPr>
        <w:t>求</w:t>
      </w:r>
      <w:r>
        <w:rPr>
          <w:sz w:val="21"/>
        </w:rPr>
        <w:t>。</w:t>
        <w:tab/>
        <w:t>法》</w:t>
      </w:r>
    </w:p>
    <w:p>
      <w:pPr>
        <w:pStyle w:val="BodyText"/>
        <w:spacing w:before="6"/>
        <w:rPr>
          <w:sz w:val="6"/>
        </w:rPr>
      </w:pPr>
    </w:p>
    <w:p>
      <w:pPr>
        <w:spacing w:line="329" w:lineRule="exact" w:before="0"/>
        <w:ind w:left="907" w:right="0" w:firstLine="0"/>
        <w:jc w:val="left"/>
        <w:rPr>
          <w:sz w:val="21"/>
        </w:rPr>
      </w:pPr>
      <w:r>
        <w:rPr>
          <w:sz w:val="21"/>
        </w:rPr>
        <w:t>各产品生产过程高浓或高盐有机废水（含分层废水、</w:t>
      </w:r>
    </w:p>
    <w:p>
      <w:pPr>
        <w:spacing w:line="103" w:lineRule="auto" w:before="10"/>
        <w:ind w:left="907" w:right="0" w:firstLine="0"/>
        <w:jc w:val="left"/>
        <w:rPr>
          <w:sz w:val="21"/>
        </w:rPr>
      </w:pPr>
      <w:r>
        <w:rPr>
          <w:sz w:val="21"/>
        </w:rPr>
        <w:t>洗涤废液、离心母液等</w:t>
      </w:r>
      <w:r>
        <w:rPr>
          <w:spacing w:val="5"/>
          <w:sz w:val="21"/>
        </w:rPr>
        <w:t>）</w:t>
      </w:r>
      <w:r>
        <w:rPr>
          <w:spacing w:val="2"/>
          <w:sz w:val="21"/>
        </w:rPr>
        <w:t>去废水预处理后进厂区污  </w:t>
      </w:r>
      <w:r>
        <w:rPr>
          <w:spacing w:val="-3"/>
          <w:position w:val="-13"/>
          <w:sz w:val="21"/>
        </w:rPr>
        <w:t>项目总排口水质需满</w:t>
      </w:r>
    </w:p>
    <w:p>
      <w:pPr>
        <w:spacing w:line="79" w:lineRule="auto" w:before="0"/>
        <w:ind w:left="907" w:right="0" w:firstLine="0"/>
        <w:jc w:val="left"/>
        <w:rPr>
          <w:sz w:val="21"/>
        </w:rPr>
      </w:pPr>
      <w:r>
        <w:rPr>
          <w:spacing w:val="1"/>
          <w:sz w:val="21"/>
        </w:rPr>
        <w:t>水处理站；生产过程个别低浓度有机废水、白葡菌  </w:t>
      </w:r>
      <w:r>
        <w:rPr>
          <w:spacing w:val="-3"/>
          <w:position w:val="-12"/>
          <w:sz w:val="21"/>
        </w:rPr>
        <w:t>足《污水排入城镇下</w:t>
      </w:r>
    </w:p>
    <w:p>
      <w:pPr>
        <w:spacing w:after="0" w:line="79" w:lineRule="auto"/>
        <w:jc w:val="left"/>
        <w:rPr>
          <w:sz w:val="21"/>
        </w:rPr>
        <w:sectPr>
          <w:type w:val="continuous"/>
          <w:pgSz w:w="11910" w:h="16840"/>
          <w:pgMar w:top="1180" w:bottom="1160" w:left="1560" w:right="1560"/>
        </w:sectPr>
      </w:pPr>
    </w:p>
    <w:p>
      <w:pPr>
        <w:spacing w:line="103" w:lineRule="auto" w:before="0"/>
        <w:ind w:left="336" w:right="0" w:firstLine="0"/>
        <w:jc w:val="left"/>
        <w:rPr>
          <w:sz w:val="21"/>
        </w:rPr>
      </w:pPr>
      <w:r>
        <w:rPr>
          <w:position w:val="-13"/>
          <w:sz w:val="21"/>
        </w:rPr>
        <w:t>废水 </w:t>
      </w:r>
      <w:r>
        <w:rPr>
          <w:sz w:val="21"/>
        </w:rPr>
        <w:t>生产过程产生的发酵废水、碱洗塔废水、真空废水、</w:t>
      </w:r>
    </w:p>
    <w:p>
      <w:pPr>
        <w:spacing w:line="203" w:lineRule="exact" w:before="0"/>
        <w:ind w:left="907" w:right="0" w:firstLine="0"/>
        <w:jc w:val="left"/>
        <w:rPr>
          <w:sz w:val="21"/>
        </w:rPr>
      </w:pPr>
      <w:r>
        <w:rPr>
          <w:sz w:val="21"/>
        </w:rPr>
        <w:t>地面冲洗水、设备冲洗水、初期雨水和生活污水一</w:t>
      </w:r>
    </w:p>
    <w:p>
      <w:pPr>
        <w:spacing w:line="146" w:lineRule="auto" w:before="0"/>
        <w:ind w:left="907" w:right="106" w:firstLine="0"/>
        <w:jc w:val="both"/>
        <w:rPr>
          <w:sz w:val="21"/>
        </w:rPr>
      </w:pPr>
      <w:r>
        <w:rPr>
          <w:sz w:val="21"/>
        </w:rPr>
        <w:t>起进污水处理站处理。经厂区污水处理站处理后的出水再送莒南县新区污水处理厂深度处理。循环排污水作为清净下水直接排入白马河。</w:t>
      </w:r>
    </w:p>
    <w:p>
      <w:pPr>
        <w:spacing w:line="146" w:lineRule="auto" w:before="35"/>
        <w:ind w:left="907" w:right="0" w:firstLine="0"/>
        <w:jc w:val="left"/>
        <w:rPr>
          <w:sz w:val="21"/>
        </w:rPr>
      </w:pPr>
      <w:r>
        <w:rPr>
          <w:sz w:val="21"/>
        </w:rPr>
        <w:t>危险废物：含生产过程产生的蒸馏残液、滤渣、离心母液、洗涤废液、高浓高盐废水预处理蒸馏残渣、</w:t>
      </w:r>
    </w:p>
    <w:p>
      <w:pPr>
        <w:spacing w:line="154" w:lineRule="exact" w:before="0"/>
        <w:ind w:left="907" w:right="0" w:firstLine="0"/>
        <w:jc w:val="both"/>
        <w:rPr>
          <w:sz w:val="21"/>
        </w:rPr>
      </w:pPr>
      <w:r>
        <w:rPr>
          <w:sz w:val="21"/>
        </w:rPr>
        <w:t>工艺废气吸收装置废活性炭、全部委托青岛新天地</w:t>
      </w:r>
    </w:p>
    <w:p>
      <w:pPr>
        <w:spacing w:line="330" w:lineRule="exact" w:before="0"/>
        <w:ind w:left="65" w:right="0" w:firstLine="0"/>
        <w:jc w:val="center"/>
        <w:rPr>
          <w:sz w:val="21"/>
        </w:rPr>
      </w:pPr>
      <w:r>
        <w:rPr/>
        <w:br w:type="column"/>
      </w:r>
      <w:r>
        <w:rPr>
          <w:sz w:val="21"/>
        </w:rPr>
        <w:t>水道水质标准》</w:t>
      </w:r>
    </w:p>
    <w:p>
      <w:pPr>
        <w:spacing w:line="272" w:lineRule="exact" w:before="0"/>
        <w:ind w:left="-38" w:right="0" w:firstLine="0"/>
        <w:jc w:val="center"/>
        <w:rPr>
          <w:rFonts w:ascii="Times New Roman" w:eastAsia="Times New Roman"/>
          <w:sz w:val="21"/>
        </w:rPr>
      </w:pPr>
      <w:r>
        <w:rPr>
          <w:sz w:val="21"/>
        </w:rPr>
        <w:t>（</w:t>
      </w:r>
      <w:r>
        <w:rPr>
          <w:rFonts w:ascii="Times New Roman" w:eastAsia="Times New Roman"/>
          <w:sz w:val="21"/>
        </w:rPr>
        <w:t>CJ343-2010</w:t>
      </w:r>
      <w:r>
        <w:rPr>
          <w:sz w:val="21"/>
        </w:rPr>
        <w:t>）</w:t>
      </w:r>
      <w:r>
        <w:rPr>
          <w:spacing w:val="2"/>
          <w:sz w:val="21"/>
        </w:rPr>
        <w:t>表 </w:t>
      </w:r>
      <w:r>
        <w:rPr>
          <w:rFonts w:ascii="Times New Roman" w:eastAsia="Times New Roman"/>
          <w:sz w:val="21"/>
        </w:rPr>
        <w:t>1</w:t>
      </w:r>
    </w:p>
    <w:p>
      <w:pPr>
        <w:spacing w:line="359" w:lineRule="exact" w:before="0"/>
        <w:ind w:left="167" w:right="203" w:firstLine="0"/>
        <w:jc w:val="center"/>
        <w:rPr>
          <w:sz w:val="21"/>
        </w:rPr>
      </w:pPr>
      <w:r>
        <w:rPr>
          <w:sz w:val="21"/>
        </w:rPr>
        <w:t>中 </w:t>
      </w:r>
      <w:r>
        <w:rPr>
          <w:rFonts w:ascii="Times New Roman" w:eastAsia="Times New Roman"/>
          <w:sz w:val="21"/>
        </w:rPr>
        <w:t>B </w:t>
      </w:r>
      <w:r>
        <w:rPr>
          <w:sz w:val="21"/>
        </w:rPr>
        <w:t>等级标准</w:t>
      </w:r>
    </w:p>
    <w:p>
      <w:pPr>
        <w:spacing w:line="417" w:lineRule="exact" w:before="0"/>
        <w:ind w:left="84" w:right="0" w:firstLine="0"/>
        <w:jc w:val="left"/>
        <w:rPr>
          <w:sz w:val="21"/>
        </w:rPr>
      </w:pPr>
      <w:r>
        <w:rPr/>
        <w:br w:type="column"/>
      </w:r>
      <w:r>
        <w:rPr>
          <w:sz w:val="21"/>
        </w:rPr>
        <w:t>达标排放</w:t>
      </w:r>
    </w:p>
    <w:p>
      <w:pPr>
        <w:spacing w:after="0" w:line="417" w:lineRule="exact"/>
        <w:jc w:val="left"/>
        <w:rPr>
          <w:sz w:val="21"/>
        </w:rPr>
        <w:sectPr>
          <w:type w:val="continuous"/>
          <w:pgSz w:w="11910" w:h="16840"/>
          <w:pgMar w:top="1180" w:bottom="1160" w:left="1560" w:right="1560"/>
          <w:cols w:num="3" w:equalWidth="0">
            <w:col w:w="5743" w:space="40"/>
            <w:col w:w="1780" w:space="39"/>
            <w:col w:w="1188"/>
          </w:cols>
        </w:sectPr>
      </w:pPr>
    </w:p>
    <w:p>
      <w:pPr>
        <w:spacing w:line="293" w:lineRule="exact" w:before="0"/>
        <w:ind w:left="907" w:right="0" w:firstLine="0"/>
        <w:jc w:val="left"/>
        <w:rPr>
          <w:sz w:val="21"/>
        </w:rPr>
      </w:pPr>
      <w:r>
        <w:rPr>
          <w:sz w:val="21"/>
        </w:rPr>
        <w:t>固体废物综合处置有限公司处置。结晶溴化钾盐、 </w:t>
      </w:r>
      <w:r>
        <w:rPr>
          <w:position w:val="13"/>
          <w:sz w:val="21"/>
        </w:rPr>
        <w:t>《一般工业固体废物 </w:t>
      </w:r>
      <w:r>
        <w:rPr>
          <w:sz w:val="21"/>
        </w:rPr>
        <w:t>合理处置</w:t>
      </w:r>
    </w:p>
    <w:p>
      <w:pPr>
        <w:spacing w:line="252" w:lineRule="exact" w:before="0"/>
        <w:ind w:left="907" w:right="0" w:firstLine="0"/>
        <w:jc w:val="left"/>
        <w:rPr>
          <w:sz w:val="21"/>
        </w:rPr>
      </w:pPr>
      <w:r>
        <w:rPr>
          <w:sz w:val="21"/>
        </w:rPr>
        <w:t>污水处理站污泥应进行特性鉴别，经鉴别后属于危 </w:t>
      </w:r>
      <w:r>
        <w:rPr>
          <w:position w:val="13"/>
          <w:sz w:val="21"/>
        </w:rPr>
        <w:t>贮存、处置污染控制</w:t>
      </w:r>
    </w:p>
    <w:p>
      <w:pPr>
        <w:spacing w:after="0" w:line="252" w:lineRule="exact"/>
        <w:jc w:val="left"/>
        <w:rPr>
          <w:sz w:val="21"/>
        </w:rPr>
        <w:sectPr>
          <w:type w:val="continuous"/>
          <w:pgSz w:w="11910" w:h="16840"/>
          <w:pgMar w:top="1180" w:bottom="1160" w:left="1560" w:right="1560"/>
        </w:sectPr>
      </w:pPr>
    </w:p>
    <w:p>
      <w:pPr>
        <w:spacing w:line="115" w:lineRule="auto" w:before="29"/>
        <w:ind w:left="336" w:right="0" w:firstLine="0"/>
        <w:jc w:val="left"/>
        <w:rPr>
          <w:sz w:val="21"/>
        </w:rPr>
      </w:pPr>
      <w:r>
        <w:rPr>
          <w:position w:val="13"/>
          <w:sz w:val="21"/>
        </w:rPr>
        <w:t>固体 </w:t>
      </w:r>
      <w:r>
        <w:rPr>
          <w:sz w:val="21"/>
        </w:rPr>
        <w:t>险废物，按照危险废物由有危废资质单位处置，不</w:t>
      </w:r>
      <w:r>
        <w:rPr>
          <w:position w:val="13"/>
          <w:sz w:val="21"/>
        </w:rPr>
        <w:t>废物 </w:t>
      </w:r>
      <w:r>
        <w:rPr>
          <w:sz w:val="21"/>
        </w:rPr>
        <w:t>属于危险废物则按一般废物进行处置</w:t>
      </w:r>
    </w:p>
    <w:p>
      <w:pPr>
        <w:spacing w:line="386" w:lineRule="exact" w:before="0"/>
        <w:ind w:left="907" w:right="0" w:firstLine="0"/>
        <w:jc w:val="left"/>
        <w:rPr>
          <w:sz w:val="21"/>
        </w:rPr>
      </w:pPr>
      <w:r>
        <w:rPr>
          <w:sz w:val="21"/>
        </w:rPr>
        <w:t>生活垃圾:厂区收集后由环卫部门定期清运处置。</w:t>
      </w:r>
    </w:p>
    <w:p>
      <w:pPr>
        <w:spacing w:line="146" w:lineRule="auto" w:before="106"/>
        <w:ind w:left="907" w:right="0" w:firstLine="0"/>
        <w:jc w:val="left"/>
        <w:rPr>
          <w:sz w:val="21"/>
        </w:rPr>
      </w:pPr>
      <w:r>
        <w:rPr>
          <w:sz w:val="21"/>
        </w:rPr>
        <w:t>一般废物和危险废物厂区内临时储存、转运等环节等严格按固体废物有关标准要求执行。</w:t>
      </w:r>
    </w:p>
    <w:p>
      <w:pPr>
        <w:spacing w:line="229" w:lineRule="exact" w:before="0"/>
        <w:ind w:left="193" w:right="0" w:firstLine="0"/>
        <w:jc w:val="left"/>
        <w:rPr>
          <w:sz w:val="21"/>
        </w:rPr>
      </w:pPr>
      <w:r>
        <w:rPr/>
        <w:br w:type="column"/>
      </w:r>
      <w:r>
        <w:rPr>
          <w:sz w:val="21"/>
        </w:rPr>
        <w:t>标准》（GB18599-</w:t>
      </w:r>
    </w:p>
    <w:p>
      <w:pPr>
        <w:spacing w:line="146" w:lineRule="auto" w:before="34"/>
        <w:ind w:left="37" w:right="0" w:hanging="53"/>
        <w:jc w:val="center"/>
        <w:rPr>
          <w:sz w:val="21"/>
        </w:rPr>
      </w:pPr>
      <w:r>
        <w:rPr>
          <w:w w:val="95"/>
          <w:sz w:val="21"/>
        </w:rPr>
        <w:t>2001）和《危险废物</w:t>
      </w:r>
      <w:r>
        <w:rPr>
          <w:sz w:val="21"/>
        </w:rPr>
        <w:t>贮存污染控制标准》</w:t>
      </w:r>
    </w:p>
    <w:p>
      <w:pPr>
        <w:spacing w:line="326" w:lineRule="exact" w:before="0"/>
        <w:ind w:left="143" w:right="0" w:firstLine="0"/>
        <w:jc w:val="left"/>
        <w:rPr>
          <w:sz w:val="21"/>
        </w:rPr>
      </w:pPr>
      <w:r>
        <w:rPr>
          <w:w w:val="95"/>
          <w:sz w:val="21"/>
        </w:rPr>
        <w:t>（GB18598-2001）</w:t>
      </w:r>
    </w:p>
    <w:p>
      <w:pPr>
        <w:pStyle w:val="BodyText"/>
        <w:rPr>
          <w:sz w:val="20"/>
        </w:rPr>
      </w:pPr>
      <w:r>
        <w:rPr/>
        <w:br w:type="column"/>
      </w:r>
      <w:r>
        <w:rPr>
          <w:sz w:val="20"/>
        </w:rPr>
      </w:r>
    </w:p>
    <w:p>
      <w:pPr>
        <w:pStyle w:val="BodyText"/>
        <w:spacing w:before="15"/>
        <w:rPr>
          <w:sz w:val="11"/>
        </w:rPr>
      </w:pPr>
    </w:p>
    <w:p>
      <w:pPr>
        <w:spacing w:line="430" w:lineRule="exact" w:before="0"/>
        <w:ind w:left="-7" w:right="0" w:firstLine="0"/>
        <w:jc w:val="left"/>
        <w:rPr>
          <w:sz w:val="21"/>
        </w:rPr>
      </w:pPr>
      <w:r>
        <w:rPr>
          <w:spacing w:val="-1"/>
          <w:sz w:val="21"/>
        </w:rPr>
        <w:t>合理处置</w:t>
      </w:r>
    </w:p>
    <w:p>
      <w:pPr>
        <w:spacing w:line="146" w:lineRule="auto" w:before="106"/>
        <w:ind w:left="-7" w:right="255" w:firstLine="0"/>
        <w:jc w:val="left"/>
        <w:rPr>
          <w:sz w:val="21"/>
        </w:rPr>
      </w:pPr>
      <w:r>
        <w:rPr>
          <w:spacing w:val="-1"/>
          <w:sz w:val="21"/>
        </w:rPr>
        <w:t>杜绝二次</w:t>
      </w:r>
      <w:r>
        <w:rPr>
          <w:spacing w:val="-2"/>
          <w:sz w:val="21"/>
        </w:rPr>
        <w:t>污染发生</w:t>
      </w:r>
    </w:p>
    <w:p>
      <w:pPr>
        <w:spacing w:after="0" w:line="146" w:lineRule="auto"/>
        <w:jc w:val="left"/>
        <w:rPr>
          <w:sz w:val="21"/>
        </w:rPr>
        <w:sectPr>
          <w:type w:val="continuous"/>
          <w:pgSz w:w="11910" w:h="16840"/>
          <w:pgMar w:top="1180" w:bottom="1160" w:left="1560" w:right="1560"/>
          <w:cols w:num="3" w:equalWidth="0">
            <w:col w:w="5629" w:space="40"/>
            <w:col w:w="1985" w:space="39"/>
            <w:col w:w="1097"/>
          </w:cols>
        </w:sectPr>
      </w:pPr>
    </w:p>
    <w:p>
      <w:pPr>
        <w:spacing w:line="366" w:lineRule="exact" w:before="0"/>
        <w:ind w:left="907" w:right="0" w:firstLine="0"/>
        <w:jc w:val="left"/>
        <w:rPr>
          <w:sz w:val="21"/>
        </w:rPr>
      </w:pPr>
      <w:r>
        <w:rPr>
          <w:sz w:val="21"/>
        </w:rPr>
        <w:t>在选择设备时，尽量选择低噪声的，并从设备设计 《工业企业厂界环境</w:t>
      </w:r>
    </w:p>
    <w:p>
      <w:pPr>
        <w:tabs>
          <w:tab w:pos="5967" w:val="left" w:leader="none"/>
          <w:tab w:pos="7686" w:val="left" w:leader="none"/>
        </w:tabs>
        <w:spacing w:line="76" w:lineRule="auto" w:before="0"/>
        <w:ind w:left="336" w:right="0" w:firstLine="0"/>
        <w:jc w:val="left"/>
        <w:rPr>
          <w:sz w:val="21"/>
        </w:rPr>
      </w:pPr>
      <w:r>
        <w:rPr>
          <w:position w:val="-13"/>
          <w:sz w:val="21"/>
        </w:rPr>
        <w:t>噪声  </w:t>
      </w:r>
      <w:r>
        <w:rPr>
          <w:spacing w:val="18"/>
          <w:position w:val="-13"/>
          <w:sz w:val="21"/>
        </w:rPr>
        <w:t> </w:t>
      </w:r>
      <w:r>
        <w:rPr>
          <w:sz w:val="21"/>
        </w:rPr>
        <w:t>安装</w:t>
      </w:r>
      <w:r>
        <w:rPr>
          <w:spacing w:val="-3"/>
          <w:sz w:val="21"/>
        </w:rPr>
        <w:t>入手</w:t>
      </w:r>
      <w:r>
        <w:rPr>
          <w:sz w:val="21"/>
        </w:rPr>
        <w:t>，</w:t>
      </w:r>
      <w:r>
        <w:rPr>
          <w:spacing w:val="-3"/>
          <w:sz w:val="21"/>
        </w:rPr>
        <w:t>采</w:t>
      </w:r>
      <w:r>
        <w:rPr>
          <w:sz w:val="21"/>
        </w:rPr>
        <w:t>取</w:t>
      </w:r>
      <w:r>
        <w:rPr>
          <w:spacing w:val="-3"/>
          <w:sz w:val="21"/>
        </w:rPr>
        <w:t>消</w:t>
      </w:r>
      <w:r>
        <w:rPr>
          <w:sz w:val="21"/>
        </w:rPr>
        <w:t>音</w:t>
      </w:r>
      <w:r>
        <w:rPr>
          <w:spacing w:val="-3"/>
          <w:sz w:val="21"/>
        </w:rPr>
        <w:t>、隔</w:t>
      </w:r>
      <w:r>
        <w:rPr>
          <w:sz w:val="21"/>
        </w:rPr>
        <w:t>音</w:t>
      </w:r>
      <w:r>
        <w:rPr>
          <w:spacing w:val="-3"/>
          <w:sz w:val="21"/>
        </w:rPr>
        <w:t>、</w:t>
      </w:r>
      <w:r>
        <w:rPr>
          <w:sz w:val="21"/>
        </w:rPr>
        <w:t>吸</w:t>
      </w:r>
      <w:r>
        <w:rPr>
          <w:spacing w:val="-3"/>
          <w:sz w:val="21"/>
        </w:rPr>
        <w:t>音</w:t>
      </w:r>
      <w:r>
        <w:rPr>
          <w:sz w:val="21"/>
        </w:rPr>
        <w:t>等</w:t>
      </w:r>
      <w:r>
        <w:rPr>
          <w:spacing w:val="-3"/>
          <w:sz w:val="21"/>
        </w:rPr>
        <w:t>降</w:t>
      </w:r>
      <w:r>
        <w:rPr>
          <w:sz w:val="21"/>
        </w:rPr>
        <w:t>低</w:t>
      </w:r>
      <w:r>
        <w:rPr>
          <w:spacing w:val="-3"/>
          <w:sz w:val="21"/>
        </w:rPr>
        <w:t>噪</w:t>
      </w:r>
      <w:r>
        <w:rPr>
          <w:sz w:val="21"/>
        </w:rPr>
        <w:t>声</w:t>
      </w:r>
      <w:r>
        <w:rPr>
          <w:spacing w:val="-3"/>
          <w:sz w:val="21"/>
        </w:rPr>
        <w:t>措</w:t>
      </w:r>
      <w:r>
        <w:rPr>
          <w:sz w:val="21"/>
        </w:rPr>
        <w:t>施，</w:t>
        <w:tab/>
        <w:t>噪声</w:t>
      </w:r>
      <w:r>
        <w:rPr>
          <w:spacing w:val="-3"/>
          <w:sz w:val="21"/>
        </w:rPr>
        <w:t>排</w:t>
      </w:r>
      <w:r>
        <w:rPr>
          <w:sz w:val="21"/>
        </w:rPr>
        <w:t>放</w:t>
      </w:r>
      <w:r>
        <w:rPr>
          <w:spacing w:val="-3"/>
          <w:sz w:val="21"/>
        </w:rPr>
        <w:t>标</w:t>
      </w:r>
      <w:r>
        <w:rPr>
          <w:sz w:val="21"/>
        </w:rPr>
        <w:t>准》</w:t>
        <w:tab/>
        <w:t>厂界</w:t>
      </w:r>
      <w:r>
        <w:rPr>
          <w:spacing w:val="-3"/>
          <w:sz w:val="21"/>
        </w:rPr>
        <w:t>噪</w:t>
      </w:r>
      <w:r>
        <w:rPr>
          <w:sz w:val="21"/>
        </w:rPr>
        <w:t>声</w:t>
      </w:r>
    </w:p>
    <w:p>
      <w:pPr>
        <w:spacing w:line="258" w:lineRule="exact" w:before="0"/>
        <w:ind w:left="907" w:right="0" w:firstLine="0"/>
        <w:jc w:val="left"/>
        <w:rPr>
          <w:sz w:val="21"/>
        </w:rPr>
      </w:pPr>
      <w:r>
        <w:rPr>
          <w:w w:val="95"/>
          <w:sz w:val="21"/>
        </w:rPr>
        <w:t>同时优化平面布局，设置绿化，以降低厂界噪声的    </w:t>
      </w:r>
      <w:r>
        <w:rPr>
          <w:spacing w:val="-6"/>
          <w:w w:val="95"/>
          <w:sz w:val="21"/>
        </w:rPr>
        <w:t>（GB12348－2008）</w:t>
      </w:r>
      <w:r>
        <w:rPr>
          <w:spacing w:val="2"/>
          <w:w w:val="95"/>
          <w:sz w:val="21"/>
        </w:rPr>
        <w:t>中    达标排放</w:t>
      </w:r>
    </w:p>
    <w:p>
      <w:pPr>
        <w:spacing w:after="0" w:line="258" w:lineRule="exact"/>
        <w:jc w:val="left"/>
        <w:rPr>
          <w:sz w:val="21"/>
        </w:rPr>
        <w:sectPr>
          <w:type w:val="continuous"/>
          <w:pgSz w:w="11910" w:h="16840"/>
          <w:pgMar w:top="1180" w:bottom="1160" w:left="1560" w:right="1560"/>
        </w:sectPr>
      </w:pPr>
    </w:p>
    <w:p>
      <w:pPr>
        <w:spacing w:line="268" w:lineRule="exact" w:before="0"/>
        <w:ind w:left="907" w:right="0" w:firstLine="0"/>
        <w:jc w:val="left"/>
        <w:rPr>
          <w:sz w:val="21"/>
        </w:rPr>
      </w:pPr>
      <w:r>
        <w:rPr>
          <w:sz w:val="21"/>
        </w:rPr>
        <w:t>排放。</w:t>
      </w:r>
    </w:p>
    <w:p>
      <w:pPr>
        <w:spacing w:line="151" w:lineRule="auto" w:before="67"/>
        <w:ind w:left="907" w:right="0" w:firstLine="0"/>
        <w:jc w:val="left"/>
        <w:rPr>
          <w:sz w:val="21"/>
        </w:rPr>
      </w:pPr>
      <w:r>
        <w:rPr>
          <w:sz w:val="21"/>
        </w:rPr>
        <w:t>对生产装置区、原料罐区、废水处理设施、事故水池、固废储存场所等进行严格防渗处理。具体措施</w:t>
      </w:r>
    </w:p>
    <w:p>
      <w:pPr>
        <w:spacing w:line="74" w:lineRule="auto" w:before="48"/>
        <w:ind w:left="336" w:right="0" w:firstLine="0"/>
        <w:jc w:val="left"/>
        <w:rPr>
          <w:sz w:val="21"/>
        </w:rPr>
      </w:pPr>
      <w:r>
        <w:rPr>
          <w:w w:val="100"/>
          <w:position w:val="5"/>
          <w:sz w:val="21"/>
        </w:rPr>
        <w:t>地下</w:t>
      </w:r>
      <w:r>
        <w:rPr>
          <w:spacing w:val="2"/>
          <w:position w:val="5"/>
          <w:sz w:val="21"/>
        </w:rPr>
        <w:t>   </w:t>
      </w:r>
      <w:r>
        <w:rPr>
          <w:spacing w:val="-6"/>
          <w:w w:val="100"/>
          <w:sz w:val="21"/>
        </w:rPr>
        <w:t>见报告书</w:t>
      </w:r>
      <w:r>
        <w:rPr>
          <w:spacing w:val="-3"/>
          <w:w w:val="211"/>
          <w:sz w:val="21"/>
        </w:rPr>
        <w:t>“</w:t>
      </w:r>
      <w:r>
        <w:rPr>
          <w:w w:val="100"/>
          <w:sz w:val="21"/>
        </w:rPr>
        <w:t>第</w:t>
      </w:r>
      <w:r>
        <w:rPr>
          <w:spacing w:val="6"/>
          <w:sz w:val="21"/>
        </w:rPr>
        <w:t> </w:t>
      </w:r>
      <w:r>
        <w:rPr>
          <w:w w:val="90"/>
          <w:sz w:val="21"/>
        </w:rPr>
        <w:t>7</w:t>
      </w:r>
      <w:r>
        <w:rPr>
          <w:spacing w:val="5"/>
          <w:sz w:val="21"/>
        </w:rPr>
        <w:t> </w:t>
      </w:r>
      <w:r>
        <w:rPr>
          <w:spacing w:val="-3"/>
          <w:w w:val="100"/>
          <w:sz w:val="21"/>
        </w:rPr>
        <w:t>章地下水影响评价</w:t>
      </w:r>
      <w:r>
        <w:rPr>
          <w:spacing w:val="-17"/>
          <w:w w:val="211"/>
          <w:sz w:val="21"/>
        </w:rPr>
        <w:t>”</w:t>
      </w:r>
      <w:r>
        <w:rPr>
          <w:spacing w:val="-12"/>
          <w:w w:val="100"/>
          <w:sz w:val="21"/>
        </w:rPr>
        <w:t>中的</w:t>
      </w:r>
      <w:r>
        <w:rPr>
          <w:w w:val="211"/>
          <w:sz w:val="21"/>
        </w:rPr>
        <w:t>“</w:t>
      </w:r>
      <w:r>
        <w:rPr>
          <w:w w:val="120"/>
          <w:sz w:val="21"/>
        </w:rPr>
        <w:t>7</w:t>
      </w:r>
      <w:r>
        <w:rPr>
          <w:spacing w:val="-3"/>
          <w:w w:val="120"/>
          <w:sz w:val="21"/>
        </w:rPr>
        <w:t>.</w:t>
      </w:r>
      <w:r>
        <w:rPr>
          <w:spacing w:val="-1"/>
          <w:w w:val="90"/>
          <w:sz w:val="21"/>
        </w:rPr>
        <w:t>2</w:t>
      </w:r>
      <w:r>
        <w:rPr>
          <w:w w:val="120"/>
          <w:sz w:val="21"/>
        </w:rPr>
        <w:t>.4</w:t>
      </w:r>
      <w:r>
        <w:rPr>
          <w:spacing w:val="3"/>
          <w:sz w:val="21"/>
        </w:rPr>
        <w:t> </w:t>
      </w:r>
      <w:r>
        <w:rPr>
          <w:w w:val="100"/>
          <w:sz w:val="21"/>
        </w:rPr>
        <w:t>地</w:t>
      </w:r>
    </w:p>
    <w:p>
      <w:pPr>
        <w:spacing w:line="316" w:lineRule="exact" w:before="0"/>
        <w:ind w:left="583" w:right="0" w:firstLine="0"/>
        <w:jc w:val="left"/>
        <w:rPr>
          <w:sz w:val="21"/>
        </w:rPr>
      </w:pPr>
      <w:r>
        <w:rPr/>
        <w:br w:type="column"/>
      </w:r>
      <w:r>
        <w:rPr>
          <w:sz w:val="21"/>
        </w:rPr>
        <w:t>3 类标准</w:t>
      </w:r>
    </w:p>
    <w:p>
      <w:pPr>
        <w:pStyle w:val="BodyText"/>
        <w:spacing w:before="17"/>
      </w:pPr>
    </w:p>
    <w:p>
      <w:pPr>
        <w:spacing w:line="79" w:lineRule="auto" w:before="1"/>
        <w:ind w:left="84" w:right="0" w:firstLine="0"/>
        <w:jc w:val="left"/>
        <w:rPr>
          <w:sz w:val="21"/>
        </w:rPr>
      </w:pPr>
      <w:r>
        <w:rPr>
          <w:sz w:val="21"/>
        </w:rPr>
        <w:t>《地下水质量标准》</w:t>
      </w:r>
      <w:r>
        <w:rPr>
          <w:position w:val="-13"/>
          <w:sz w:val="21"/>
        </w:rPr>
        <w:t>防止污染</w:t>
      </w:r>
    </w:p>
    <w:p>
      <w:pPr>
        <w:spacing w:after="0" w:line="79" w:lineRule="auto"/>
        <w:jc w:val="left"/>
        <w:rPr>
          <w:sz w:val="21"/>
        </w:rPr>
        <w:sectPr>
          <w:type w:val="continuous"/>
          <w:pgSz w:w="11910" w:h="16840"/>
          <w:pgMar w:top="1180" w:bottom="1160" w:left="1560" w:right="1560"/>
          <w:cols w:num="2" w:equalWidth="0">
            <w:col w:w="5635" w:space="40"/>
            <w:col w:w="3115"/>
          </w:cols>
        </w:sectPr>
      </w:pPr>
    </w:p>
    <w:p>
      <w:pPr>
        <w:spacing w:line="115" w:lineRule="auto" w:before="28"/>
        <w:ind w:left="439" w:right="2196" w:hanging="104"/>
        <w:jc w:val="left"/>
        <w:rPr>
          <w:sz w:val="21"/>
        </w:rPr>
      </w:pPr>
      <w:r>
        <w:rPr>
          <w:w w:val="105"/>
          <w:position w:val="6"/>
          <w:sz w:val="21"/>
        </w:rPr>
        <w:t>水防 </w:t>
      </w:r>
      <w:r>
        <w:rPr>
          <w:w w:val="105"/>
          <w:sz w:val="21"/>
        </w:rPr>
        <w:t>下水污染防治措施分</w:t>
      </w:r>
      <w:r>
        <w:rPr>
          <w:w w:val="120"/>
          <w:sz w:val="21"/>
        </w:rPr>
        <w:t>析”</w:t>
      </w:r>
      <w:r>
        <w:rPr>
          <w:w w:val="105"/>
          <w:sz w:val="21"/>
        </w:rPr>
        <w:t>。渗</w:t>
      </w:r>
    </w:p>
    <w:p>
      <w:pPr>
        <w:spacing w:line="224" w:lineRule="exact" w:before="0"/>
        <w:ind w:left="907" w:right="0" w:firstLine="0"/>
        <w:jc w:val="left"/>
        <w:rPr>
          <w:sz w:val="21"/>
        </w:rPr>
      </w:pPr>
      <w:r>
        <w:rPr>
          <w:sz w:val="21"/>
        </w:rPr>
        <w:t>在厂址污水处理站设一处地下水监控点，选择必要</w:t>
      </w:r>
    </w:p>
    <w:p>
      <w:pPr>
        <w:spacing w:line="146" w:lineRule="auto" w:before="0"/>
        <w:ind w:left="457" w:right="0" w:hanging="437"/>
        <w:jc w:val="left"/>
        <w:rPr>
          <w:sz w:val="21"/>
        </w:rPr>
      </w:pPr>
      <w:r>
        <w:rPr/>
        <w:br w:type="column"/>
      </w:r>
      <w:r>
        <w:rPr>
          <w:spacing w:val="-6"/>
          <w:w w:val="90"/>
          <w:sz w:val="21"/>
        </w:rPr>
        <w:t>（GB/T14848－93）</w:t>
      </w:r>
      <w:r>
        <w:rPr>
          <w:spacing w:val="-72"/>
          <w:w w:val="90"/>
          <w:sz w:val="21"/>
        </w:rPr>
        <w:t>中</w:t>
      </w:r>
      <w:r>
        <w:rPr>
          <w:spacing w:val="-1"/>
          <w:sz w:val="21"/>
        </w:rPr>
        <w:t>的Ⅲ类标准</w:t>
      </w:r>
    </w:p>
    <w:p>
      <w:pPr>
        <w:spacing w:before="6"/>
        <w:ind w:left="204" w:right="0" w:firstLine="0"/>
        <w:jc w:val="left"/>
        <w:rPr>
          <w:sz w:val="21"/>
        </w:rPr>
      </w:pPr>
      <w:r>
        <w:rPr/>
        <w:br w:type="column"/>
      </w:r>
      <w:r>
        <w:rPr>
          <w:sz w:val="21"/>
        </w:rPr>
        <w:t>地下水</w:t>
      </w:r>
    </w:p>
    <w:p>
      <w:pPr>
        <w:spacing w:after="0"/>
        <w:jc w:val="left"/>
        <w:rPr>
          <w:sz w:val="21"/>
        </w:rPr>
        <w:sectPr>
          <w:type w:val="continuous"/>
          <w:pgSz w:w="11910" w:h="16840"/>
          <w:pgMar w:top="1180" w:bottom="1160" w:left="1560" w:right="1560"/>
          <w:cols w:num="3" w:equalWidth="0">
            <w:col w:w="5629" w:space="40"/>
            <w:col w:w="1877" w:space="39"/>
            <w:col w:w="1205"/>
          </w:cols>
        </w:sectPr>
      </w:pPr>
    </w:p>
    <w:p>
      <w:pPr>
        <w:spacing w:line="290" w:lineRule="exact" w:before="0"/>
        <w:ind w:left="907" w:right="0" w:firstLine="0"/>
        <w:jc w:val="left"/>
        <w:rPr>
          <w:sz w:val="21"/>
        </w:rPr>
      </w:pPr>
      <w:r>
        <w:rPr>
          <w:sz w:val="21"/>
        </w:rPr>
        <w:t>的监测项目定期进行监测。监测计划见 16.2.3 章节。</w:t>
      </w:r>
    </w:p>
    <w:p>
      <w:pPr>
        <w:spacing w:line="146" w:lineRule="auto" w:before="94"/>
        <w:ind w:left="907" w:right="1161" w:firstLine="0"/>
        <w:jc w:val="both"/>
        <w:rPr>
          <w:sz w:val="21"/>
        </w:rPr>
      </w:pPr>
      <w:r>
        <w:rPr>
          <w:sz w:val="21"/>
        </w:rPr>
        <w:t>危险化学品运输、贮存与使用严格执行国家《化学</w:t>
      </w:r>
      <w:r>
        <w:rPr>
          <w:spacing w:val="-17"/>
          <w:sz w:val="21"/>
        </w:rPr>
        <w:t>危险品安全管理条例》、《常用危险化学品贮存通则》</w:t>
      </w:r>
      <w:r>
        <w:rPr>
          <w:sz w:val="21"/>
        </w:rPr>
        <w:t>等要求；生产装置区设置安全联锁报警装置和安全</w:t>
      </w:r>
    </w:p>
    <w:p>
      <w:pPr>
        <w:spacing w:line="-36" w:lineRule="auto" w:before="108"/>
        <w:ind w:left="336" w:right="0" w:firstLine="0"/>
        <w:jc w:val="left"/>
        <w:rPr>
          <w:sz w:val="21"/>
        </w:rPr>
      </w:pPr>
      <w:r>
        <w:rPr>
          <w:position w:val="13"/>
          <w:sz w:val="21"/>
        </w:rPr>
        <w:t>风险    </w:t>
      </w:r>
      <w:r>
        <w:rPr>
          <w:sz w:val="21"/>
        </w:rPr>
        <w:t>自动控制系统；罐区设置围堰及收集导排系统，厂</w:t>
      </w:r>
    </w:p>
    <w:p>
      <w:pPr>
        <w:tabs>
          <w:tab w:pos="6440" w:val="left" w:leader="none"/>
        </w:tabs>
        <w:spacing w:line="112" w:lineRule="auto" w:before="8"/>
        <w:ind w:left="336" w:right="38" w:firstLine="0"/>
        <w:jc w:val="left"/>
        <w:rPr>
          <w:sz w:val="21"/>
        </w:rPr>
      </w:pPr>
      <w:r>
        <w:rPr>
          <w:position w:val="14"/>
          <w:sz w:val="21"/>
        </w:rPr>
        <w:t>防范  </w:t>
      </w:r>
      <w:r>
        <w:rPr>
          <w:spacing w:val="12"/>
          <w:position w:val="14"/>
          <w:sz w:val="21"/>
        </w:rPr>
        <w:t> </w:t>
      </w:r>
      <w:r>
        <w:rPr>
          <w:sz w:val="21"/>
        </w:rPr>
        <w:t>区污</w:t>
      </w:r>
      <w:r>
        <w:rPr>
          <w:spacing w:val="-3"/>
          <w:sz w:val="21"/>
        </w:rPr>
        <w:t>水</w:t>
      </w:r>
      <w:r>
        <w:rPr>
          <w:sz w:val="21"/>
        </w:rPr>
        <w:t>处</w:t>
      </w:r>
      <w:r>
        <w:rPr>
          <w:spacing w:val="-3"/>
          <w:sz w:val="21"/>
        </w:rPr>
        <w:t>理</w:t>
      </w:r>
      <w:r>
        <w:rPr>
          <w:sz w:val="21"/>
        </w:rPr>
        <w:t>站</w:t>
      </w:r>
      <w:r>
        <w:rPr>
          <w:spacing w:val="-3"/>
          <w:sz w:val="21"/>
        </w:rPr>
        <w:t>东</w:t>
      </w:r>
      <w:r>
        <w:rPr>
          <w:sz w:val="21"/>
        </w:rPr>
        <w:t>侧</w:t>
      </w:r>
      <w:r>
        <w:rPr>
          <w:spacing w:val="-3"/>
          <w:sz w:val="21"/>
        </w:rPr>
        <w:t>设</w:t>
      </w:r>
      <w:r>
        <w:rPr>
          <w:sz w:val="21"/>
        </w:rPr>
        <w:t>置</w:t>
      </w:r>
      <w:r>
        <w:rPr>
          <w:spacing w:val="-3"/>
          <w:sz w:val="21"/>
        </w:rPr>
        <w:t>一</w:t>
      </w:r>
      <w:r>
        <w:rPr>
          <w:sz w:val="21"/>
        </w:rPr>
        <w:t>座</w:t>
      </w:r>
      <w:r>
        <w:rPr>
          <w:spacing w:val="7"/>
          <w:sz w:val="21"/>
        </w:rPr>
        <w:t> </w:t>
      </w:r>
      <w:r>
        <w:rPr>
          <w:rFonts w:ascii="Times New Roman" w:hAnsi="Times New Roman" w:eastAsia="Times New Roman"/>
          <w:sz w:val="21"/>
        </w:rPr>
        <w:t>2000</w:t>
      </w:r>
      <w:r>
        <w:rPr>
          <w:rFonts w:ascii="Times New Roman" w:hAnsi="Times New Roman" w:eastAsia="Times New Roman"/>
          <w:spacing w:val="2"/>
          <w:sz w:val="21"/>
        </w:rPr>
        <w:t> </w:t>
      </w:r>
      <w:r>
        <w:rPr>
          <w:rFonts w:ascii="Times New Roman" w:hAnsi="Times New Roman" w:eastAsia="Times New Roman"/>
          <w:sz w:val="21"/>
        </w:rPr>
        <w:t>m</w:t>
      </w:r>
      <w:r>
        <w:rPr>
          <w:rFonts w:ascii="Times New Roman" w:hAnsi="Times New Roman" w:eastAsia="Times New Roman"/>
          <w:position w:val="7"/>
          <w:sz w:val="14"/>
        </w:rPr>
        <w:t>3</w:t>
      </w:r>
      <w:r>
        <w:rPr>
          <w:rFonts w:ascii="Times New Roman" w:hAnsi="Times New Roman" w:eastAsia="Times New Roman"/>
          <w:spacing w:val="2"/>
          <w:position w:val="7"/>
          <w:sz w:val="14"/>
        </w:rPr>
        <w:t> </w:t>
      </w:r>
      <w:r>
        <w:rPr>
          <w:sz w:val="21"/>
        </w:rPr>
        <w:t>的事</w:t>
      </w:r>
      <w:r>
        <w:rPr>
          <w:spacing w:val="-3"/>
          <w:sz w:val="21"/>
        </w:rPr>
        <w:t>故</w:t>
      </w:r>
      <w:r>
        <w:rPr>
          <w:sz w:val="21"/>
        </w:rPr>
        <w:t>水</w:t>
      </w:r>
      <w:r>
        <w:rPr>
          <w:spacing w:val="-3"/>
          <w:sz w:val="21"/>
        </w:rPr>
        <w:t>池</w:t>
      </w:r>
      <w:r>
        <w:rPr>
          <w:spacing w:val="-60"/>
          <w:sz w:val="21"/>
        </w:rPr>
        <w:t>，</w:t>
      </w:r>
      <w:r>
        <w:rPr>
          <w:sz w:val="21"/>
        </w:rPr>
        <w:t>确</w:t>
        <w:tab/>
      </w:r>
      <w:r>
        <w:rPr>
          <w:position w:val="14"/>
          <w:sz w:val="21"/>
        </w:rPr>
        <w:t>—— </w:t>
      </w:r>
      <w:r>
        <w:rPr>
          <w:position w:val="13"/>
          <w:sz w:val="21"/>
        </w:rPr>
        <w:t>措施</w:t>
      </w:r>
      <w:r>
        <w:rPr>
          <w:spacing w:val="11"/>
          <w:position w:val="13"/>
          <w:sz w:val="21"/>
        </w:rPr>
        <w:t> </w:t>
      </w:r>
      <w:r>
        <w:rPr>
          <w:spacing w:val="4"/>
          <w:sz w:val="21"/>
        </w:rPr>
        <w:t>保事</w:t>
      </w:r>
      <w:r>
        <w:rPr>
          <w:sz w:val="21"/>
        </w:rPr>
        <w:t>故</w:t>
      </w:r>
      <w:r>
        <w:rPr>
          <w:spacing w:val="4"/>
          <w:sz w:val="21"/>
        </w:rPr>
        <w:t>发</w:t>
      </w:r>
      <w:r>
        <w:rPr>
          <w:sz w:val="21"/>
        </w:rPr>
        <w:t>生</w:t>
      </w:r>
      <w:r>
        <w:rPr>
          <w:spacing w:val="4"/>
          <w:sz w:val="21"/>
        </w:rPr>
        <w:t>时废</w:t>
      </w:r>
      <w:r>
        <w:rPr>
          <w:sz w:val="21"/>
        </w:rPr>
        <w:t>液</w:t>
      </w:r>
      <w:r>
        <w:rPr>
          <w:spacing w:val="4"/>
          <w:sz w:val="21"/>
        </w:rPr>
        <w:t>、</w:t>
      </w:r>
      <w:r>
        <w:rPr>
          <w:sz w:val="21"/>
        </w:rPr>
        <w:t>废水</w:t>
      </w:r>
      <w:r>
        <w:rPr>
          <w:spacing w:val="4"/>
          <w:sz w:val="21"/>
        </w:rPr>
        <w:t>不外</w:t>
      </w:r>
      <w:r>
        <w:rPr>
          <w:sz w:val="21"/>
        </w:rPr>
        <w:t>溢</w:t>
      </w:r>
      <w:r>
        <w:rPr>
          <w:spacing w:val="4"/>
          <w:sz w:val="21"/>
        </w:rPr>
        <w:t>；</w:t>
      </w:r>
      <w:r>
        <w:rPr>
          <w:sz w:val="21"/>
        </w:rPr>
        <w:t>建</w:t>
      </w:r>
      <w:r>
        <w:rPr>
          <w:spacing w:val="4"/>
          <w:sz w:val="21"/>
        </w:rPr>
        <w:t>立严</w:t>
      </w:r>
      <w:r>
        <w:rPr>
          <w:sz w:val="21"/>
        </w:rPr>
        <w:t>格</w:t>
      </w:r>
      <w:r>
        <w:rPr>
          <w:spacing w:val="4"/>
          <w:sz w:val="21"/>
        </w:rPr>
        <w:t>的</w:t>
      </w:r>
      <w:r>
        <w:rPr>
          <w:sz w:val="21"/>
        </w:rPr>
        <w:t>事故</w:t>
      </w:r>
    </w:p>
    <w:p>
      <w:pPr>
        <w:spacing w:line="190" w:lineRule="exact" w:before="0"/>
        <w:ind w:left="907" w:right="0" w:firstLine="0"/>
        <w:jc w:val="both"/>
        <w:rPr>
          <w:sz w:val="21"/>
        </w:rPr>
      </w:pPr>
      <w:r>
        <w:rPr>
          <w:sz w:val="21"/>
        </w:rPr>
        <w:t>风险防范措施和应急预案，并落实好事故状态下应</w:t>
      </w:r>
    </w:p>
    <w:p>
      <w:pPr>
        <w:spacing w:line="305" w:lineRule="exact" w:before="0"/>
        <w:ind w:left="907" w:right="0" w:firstLine="0"/>
        <w:jc w:val="both"/>
        <w:rPr>
          <w:sz w:val="21"/>
        </w:rPr>
      </w:pPr>
      <w:r>
        <w:rPr>
          <w:sz w:val="21"/>
        </w:rPr>
        <w:t>急监测工作。</w:t>
      </w:r>
    </w:p>
    <w:p>
      <w:pPr>
        <w:spacing w:line="213" w:lineRule="exact" w:before="0"/>
        <w:ind w:left="907" w:right="0" w:firstLine="0"/>
        <w:jc w:val="both"/>
        <w:rPr>
          <w:sz w:val="21"/>
        </w:rPr>
      </w:pPr>
      <w:r>
        <w:rPr>
          <w:sz w:val="21"/>
        </w:rPr>
        <w:t>加强设备、装置维护管理，最大限度杜绝非正常排</w:t>
      </w:r>
    </w:p>
    <w:p>
      <w:pPr>
        <w:pStyle w:val="BodyText"/>
        <w:rPr>
          <w:sz w:val="20"/>
        </w:rPr>
      </w:pPr>
      <w:r>
        <w:rPr/>
        <w:br w:type="column"/>
      </w:r>
      <w:r>
        <w:rPr>
          <w:sz w:val="20"/>
        </w:rPr>
      </w:r>
    </w:p>
    <w:p>
      <w:pPr>
        <w:pStyle w:val="BodyText"/>
        <w:spacing w:before="17"/>
        <w:rPr>
          <w:sz w:val="23"/>
        </w:rPr>
      </w:pPr>
    </w:p>
    <w:p>
      <w:pPr>
        <w:spacing w:line="146" w:lineRule="auto" w:before="0"/>
        <w:ind w:left="336" w:right="239" w:firstLine="0"/>
        <w:jc w:val="both"/>
        <w:rPr>
          <w:sz w:val="21"/>
        </w:rPr>
      </w:pPr>
      <w:r>
        <w:rPr>
          <w:sz w:val="21"/>
        </w:rPr>
        <w:t>防范事故的发生， 减少事故影响。</w:t>
      </w:r>
    </w:p>
    <w:p>
      <w:pPr>
        <w:spacing w:after="0" w:line="146" w:lineRule="auto"/>
        <w:jc w:val="both"/>
        <w:rPr>
          <w:sz w:val="21"/>
        </w:rPr>
        <w:sectPr>
          <w:type w:val="continuous"/>
          <w:pgSz w:w="11910" w:h="16840"/>
          <w:pgMar w:top="1180" w:bottom="1160" w:left="1560" w:right="1560"/>
          <w:cols w:num="2" w:equalWidth="0">
            <w:col w:w="6904" w:space="430"/>
            <w:col w:w="1456"/>
          </w:cols>
        </w:sectPr>
      </w:pPr>
    </w:p>
    <w:p>
      <w:pPr>
        <w:tabs>
          <w:tab w:pos="6440" w:val="left" w:leader="none"/>
          <w:tab w:pos="7895" w:val="left" w:leader="none"/>
        </w:tabs>
        <w:spacing w:line="115" w:lineRule="auto" w:before="0"/>
        <w:ind w:left="907" w:right="0" w:firstLine="0"/>
        <w:jc w:val="left"/>
        <w:rPr>
          <w:sz w:val="21"/>
        </w:rPr>
      </w:pPr>
      <w:r>
        <w:rPr>
          <w:w w:val="110"/>
          <w:position w:val="-13"/>
          <w:sz w:val="21"/>
        </w:rPr>
        <w:t>放</w:t>
        <w:tab/>
      </w:r>
      <w:r>
        <w:rPr>
          <w:w w:val="110"/>
          <w:sz w:val="21"/>
        </w:rPr>
        <w:t>——</w:t>
        <w:tab/>
        <w:t>——</w:t>
      </w:r>
    </w:p>
    <w:p>
      <w:pPr>
        <w:spacing w:line="167" w:lineRule="exact" w:before="0"/>
        <w:ind w:left="439" w:right="0" w:firstLine="0"/>
        <w:jc w:val="left"/>
        <w:rPr>
          <w:sz w:val="21"/>
        </w:rPr>
      </w:pPr>
      <w:r>
        <w:rPr>
          <w:w w:val="100"/>
          <w:sz w:val="21"/>
        </w:rPr>
        <w:t>其</w:t>
      </w:r>
    </w:p>
    <w:p>
      <w:pPr>
        <w:tabs>
          <w:tab w:pos="907" w:val="left" w:leader="none"/>
        </w:tabs>
        <w:spacing w:line="91" w:lineRule="auto" w:before="0"/>
        <w:ind w:left="439" w:right="0" w:firstLine="0"/>
        <w:jc w:val="left"/>
        <w:rPr>
          <w:sz w:val="21"/>
        </w:rPr>
      </w:pPr>
      <w:r>
        <w:rPr>
          <w:position w:val="-9"/>
          <w:sz w:val="21"/>
        </w:rPr>
        <w:t>它</w:t>
        <w:tab/>
      </w:r>
      <w:r>
        <w:rPr>
          <w:spacing w:val="4"/>
          <w:sz w:val="21"/>
        </w:rPr>
        <w:t>按照</w:t>
      </w:r>
      <w:r>
        <w:rPr>
          <w:sz w:val="21"/>
        </w:rPr>
        <w:t>环</w:t>
      </w:r>
      <w:r>
        <w:rPr>
          <w:spacing w:val="4"/>
          <w:sz w:val="21"/>
        </w:rPr>
        <w:t>境</w:t>
      </w:r>
      <w:r>
        <w:rPr>
          <w:sz w:val="21"/>
        </w:rPr>
        <w:t>管</w:t>
      </w:r>
      <w:r>
        <w:rPr>
          <w:spacing w:val="4"/>
          <w:sz w:val="21"/>
        </w:rPr>
        <w:t>理与</w:t>
      </w:r>
      <w:r>
        <w:rPr>
          <w:sz w:val="21"/>
        </w:rPr>
        <w:t>监</w:t>
      </w:r>
      <w:r>
        <w:rPr>
          <w:spacing w:val="4"/>
          <w:sz w:val="21"/>
        </w:rPr>
        <w:t>测</w:t>
      </w:r>
      <w:r>
        <w:rPr>
          <w:sz w:val="21"/>
        </w:rPr>
        <w:t>计划</w:t>
      </w:r>
      <w:r>
        <w:rPr>
          <w:spacing w:val="4"/>
          <w:sz w:val="21"/>
        </w:rPr>
        <w:t>内容</w:t>
      </w:r>
      <w:r>
        <w:rPr>
          <w:sz w:val="21"/>
        </w:rPr>
        <w:t>完</w:t>
      </w:r>
      <w:r>
        <w:rPr>
          <w:spacing w:val="4"/>
          <w:sz w:val="21"/>
        </w:rPr>
        <w:t>善</w:t>
      </w:r>
      <w:r>
        <w:rPr>
          <w:sz w:val="21"/>
        </w:rPr>
        <w:t>环</w:t>
      </w:r>
      <w:r>
        <w:rPr>
          <w:spacing w:val="4"/>
          <w:sz w:val="21"/>
        </w:rPr>
        <w:t>境管</w:t>
      </w:r>
      <w:r>
        <w:rPr>
          <w:sz w:val="21"/>
        </w:rPr>
        <w:t>理</w:t>
      </w:r>
      <w:r>
        <w:rPr>
          <w:spacing w:val="4"/>
          <w:sz w:val="21"/>
        </w:rPr>
        <w:t>制</w:t>
      </w:r>
      <w:r>
        <w:rPr>
          <w:sz w:val="21"/>
        </w:rPr>
        <w:t>度，</w:t>
      </w:r>
    </w:p>
    <w:p>
      <w:pPr>
        <w:spacing w:after="0" w:line="91" w:lineRule="auto"/>
        <w:jc w:val="left"/>
        <w:rPr>
          <w:sz w:val="21"/>
        </w:rPr>
        <w:sectPr>
          <w:type w:val="continuous"/>
          <w:pgSz w:w="11910" w:h="16840"/>
          <w:pgMar w:top="1180" w:bottom="1160" w:left="1560" w:right="1560"/>
        </w:sectPr>
      </w:pPr>
    </w:p>
    <w:p>
      <w:pPr>
        <w:spacing w:line="182" w:lineRule="exact" w:before="0"/>
        <w:ind w:left="907" w:right="0" w:firstLine="0"/>
        <w:jc w:val="left"/>
        <w:rPr>
          <w:sz w:val="21"/>
        </w:rPr>
      </w:pPr>
      <w:r>
        <w:rPr/>
        <w:pict>
          <v:group style="position:absolute;margin-left:88.344002pt;margin-top:71.999985pt;width:418.4pt;height:673pt;mso-position-horizontal-relative:page;mso-position-vertical-relative:page;z-index:-1113064" coordorigin="1767,1440" coordsize="8368,13460">
            <v:line style="position:absolute" from="1776,1445" to="2434,1445" stroked="true" strokeweight=".48pt" strokecolor="#000000">
              <v:stroke dashstyle="solid"/>
            </v:line>
            <v:line style="position:absolute" from="2444,1445" to="3296,1445" stroked="true" strokeweight=".48pt" strokecolor="#000000">
              <v:stroke dashstyle="solid"/>
            </v:line>
            <v:line style="position:absolute" from="3305,1445" to="7216,1445" stroked="true" strokeweight=".48pt" strokecolor="#000000">
              <v:stroke dashstyle="solid"/>
            </v:line>
            <v:line style="position:absolute" from="7225,1445" to="9196,1445" stroked="true" strokeweight=".48pt" strokecolor="#000000">
              <v:stroke dashstyle="solid"/>
            </v:line>
            <v:line style="position:absolute" from="9206,1445" to="10125,1445" stroked="true" strokeweight=".48pt" strokecolor="#000000">
              <v:stroke dashstyle="solid"/>
            </v:line>
            <v:line style="position:absolute" from="3300,1440" to="3300,2753" stroked="true" strokeweight=".48001pt" strokecolor="#000000">
              <v:stroke dashstyle="solid"/>
            </v:line>
            <v:line style="position:absolute" from="1776,2748" to="2434,2748" stroked="true" strokeweight=".48pt" strokecolor="#000000">
              <v:stroke dashstyle="solid"/>
            </v:line>
            <v:line style="position:absolute" from="2444,2748" to="3296,2748" stroked="true" strokeweight=".48pt" strokecolor="#000000">
              <v:stroke dashstyle="solid"/>
            </v:line>
            <v:line style="position:absolute" from="3305,2748" to="7216,2748" stroked="true" strokeweight=".48pt" strokecolor="#000000">
              <v:stroke dashstyle="solid"/>
            </v:line>
            <v:line style="position:absolute" from="7225,2748" to="9196,2748" stroked="true" strokeweight=".48pt" strokecolor="#000000">
              <v:stroke dashstyle="solid"/>
            </v:line>
            <v:line style="position:absolute" from="9206,2748" to="10125,2748" stroked="true" strokeweight=".48pt" strokecolor="#000000">
              <v:stroke dashstyle="solid"/>
            </v:line>
            <v:line style="position:absolute" from="1776,4993" to="2434,4993" stroked="true" strokeweight=".48pt" strokecolor="#000000">
              <v:stroke dashstyle="solid"/>
            </v:line>
            <v:line style="position:absolute" from="2444,4993" to="7216,4993" stroked="true" strokeweight=".48pt" strokecolor="#000000">
              <v:stroke dashstyle="solid"/>
            </v:line>
            <v:line style="position:absolute" from="7225,4993" to="9196,4993" stroked="true" strokeweight=".48pt" strokecolor="#000000">
              <v:stroke dashstyle="solid"/>
            </v:line>
            <v:line style="position:absolute" from="9206,4993" to="10125,4993" stroked="true" strokeweight=".48pt" strokecolor="#000000">
              <v:stroke dashstyle="solid"/>
            </v:line>
            <v:line style="position:absolute" from="1776,8070" to="2434,8070" stroked="true" strokeweight=".47998pt" strokecolor="#000000">
              <v:stroke dashstyle="solid"/>
            </v:line>
            <v:line style="position:absolute" from="2444,8070" to="7216,8070" stroked="true" strokeweight=".47998pt" strokecolor="#000000">
              <v:stroke dashstyle="solid"/>
            </v:line>
            <v:line style="position:absolute" from="7225,8070" to="9196,8070" stroked="true" strokeweight=".47998pt" strokecolor="#000000">
              <v:stroke dashstyle="solid"/>
            </v:line>
            <v:line style="position:absolute" from="9206,8070" to="10125,8070" stroked="true" strokeweight=".47998pt" strokecolor="#000000">
              <v:stroke dashstyle="solid"/>
            </v:line>
            <v:line style="position:absolute" from="1776,9227" to="2434,9227" stroked="true" strokeweight=".48001pt" strokecolor="#000000">
              <v:stroke dashstyle="solid"/>
            </v:line>
            <v:line style="position:absolute" from="2444,9227" to="7216,9227" stroked="true" strokeweight=".48001pt" strokecolor="#000000">
              <v:stroke dashstyle="solid"/>
            </v:line>
            <v:line style="position:absolute" from="7225,9227" to="9196,9227" stroked="true" strokeweight=".48001pt" strokecolor="#000000">
              <v:stroke dashstyle="solid"/>
            </v:line>
            <v:line style="position:absolute" from="9206,9227" to="10125,9227" stroked="true" strokeweight=".48001pt" strokecolor="#000000">
              <v:stroke dashstyle="solid"/>
            </v:line>
            <v:line style="position:absolute" from="1776,11154" to="2434,11154" stroked="true" strokeweight=".48004pt" strokecolor="#000000">
              <v:stroke dashstyle="solid"/>
            </v:line>
            <v:line style="position:absolute" from="2444,11154" to="7216,11154" stroked="true" strokeweight=".48004pt" strokecolor="#000000">
              <v:stroke dashstyle="solid"/>
            </v:line>
            <v:line style="position:absolute" from="7225,11154" to="9196,11154" stroked="true" strokeweight=".48004pt" strokecolor="#000000">
              <v:stroke dashstyle="solid"/>
            </v:line>
            <v:line style="position:absolute" from="9206,11154" to="10125,11154" stroked="true" strokeweight=".48004pt" strokecolor="#000000">
              <v:stroke dashstyle="solid"/>
            </v:line>
            <v:line style="position:absolute" from="1776,13401" to="2434,13401" stroked="true" strokeweight=".48004pt" strokecolor="#000000">
              <v:stroke dashstyle="solid"/>
            </v:line>
            <v:line style="position:absolute" from="2444,13401" to="7216,13401" stroked="true" strokeweight=".48004pt" strokecolor="#000000">
              <v:stroke dashstyle="solid"/>
            </v:line>
            <v:line style="position:absolute" from="7225,13401" to="9196,13401" stroked="true" strokeweight=".48004pt" strokecolor="#000000">
              <v:stroke dashstyle="solid"/>
            </v:line>
            <v:line style="position:absolute" from="9206,13401" to="10125,13401" stroked="true" strokeweight=".48004pt" strokecolor="#000000">
              <v:stroke dashstyle="solid"/>
            </v:line>
            <v:line style="position:absolute" from="1772,1440" to="1772,14899" stroked="true" strokeweight=".48pt" strokecolor="#000000">
              <v:stroke dashstyle="solid"/>
            </v:line>
            <v:line style="position:absolute" from="1776,14894" to="2434,14894" stroked="true" strokeweight=".48004pt" strokecolor="#000000">
              <v:stroke dashstyle="solid"/>
            </v:line>
            <v:line style="position:absolute" from="2444,6966" to="7216,6966" stroked="true" strokeweight=".48001pt" strokecolor="#000000">
              <v:stroke dashstyle="solid"/>
            </v:line>
            <v:line style="position:absolute" from="2444,7429" to="7216,7429" stroked="true" strokeweight=".47998pt" strokecolor="#000000">
              <v:stroke dashstyle="solid"/>
            </v:line>
            <v:line style="position:absolute" from="2444,10413" to="7216,10413" stroked="true" strokeweight=".47998pt" strokecolor="#000000">
              <v:stroke dashstyle="solid"/>
            </v:line>
            <v:line style="position:absolute" from="2444,14011" to="7216,14011" stroked="true" strokeweight=".47998pt" strokecolor="#000000">
              <v:stroke dashstyle="solid"/>
            </v:line>
            <v:line style="position:absolute" from="7225,14011" to="9196,14011" stroked="true" strokeweight=".47998pt" strokecolor="#000000">
              <v:stroke dashstyle="solid"/>
            </v:line>
            <v:line style="position:absolute" from="9206,14011" to="10125,14011" stroked="true" strokeweight=".47998pt" strokecolor="#000000">
              <v:stroke dashstyle="solid"/>
            </v:line>
            <v:line style="position:absolute" from="2439,1440" to="2439,14899" stroked="true" strokeweight=".48pt" strokecolor="#000000">
              <v:stroke dashstyle="solid"/>
            </v:line>
            <v:line style="position:absolute" from="2444,14894" to="7216,14894" stroked="true" strokeweight=".48004pt" strokecolor="#000000">
              <v:stroke dashstyle="solid"/>
            </v:line>
            <v:line style="position:absolute" from="7221,1440" to="7221,14899" stroked="true" strokeweight=".48001pt" strokecolor="#000000">
              <v:stroke dashstyle="solid"/>
            </v:line>
            <v:line style="position:absolute" from="7225,14894" to="9196,14894" stroked="true" strokeweight=".48004pt" strokecolor="#000000">
              <v:stroke dashstyle="solid"/>
            </v:line>
            <v:line style="position:absolute" from="9206,6966" to="10125,6966" stroked="true" strokeweight=".48001pt" strokecolor="#000000">
              <v:stroke dashstyle="solid"/>
            </v:line>
            <v:line style="position:absolute" from="9206,7429" to="10125,7429" stroked="true" strokeweight=".47998pt" strokecolor="#000000">
              <v:stroke dashstyle="solid"/>
            </v:line>
            <v:line style="position:absolute" from="9201,1440" to="9201,14899" stroked="true" strokeweight=".47998pt" strokecolor="#000000">
              <v:stroke dashstyle="solid"/>
            </v:line>
            <v:line style="position:absolute" from="9206,14894" to="10125,14894" stroked="true" strokeweight=".48004pt" strokecolor="#000000">
              <v:stroke dashstyle="solid"/>
            </v:line>
            <v:line style="position:absolute" from="10130,1440" to="10130,14899" stroked="true" strokeweight=".47998pt" strokecolor="#000000">
              <v:stroke dashstyle="solid"/>
            </v:line>
            <w10:wrap type="none"/>
          </v:group>
        </w:pict>
      </w:r>
      <w:r>
        <w:rPr>
          <w:sz w:val="21"/>
        </w:rPr>
        <w:t>配备相关的监测仪器及监测分析人员，开展监测工</w:t>
      </w:r>
    </w:p>
    <w:p>
      <w:pPr>
        <w:spacing w:line="359" w:lineRule="exact" w:before="0"/>
        <w:ind w:left="907" w:right="0" w:firstLine="0"/>
        <w:jc w:val="left"/>
        <w:rPr>
          <w:sz w:val="21"/>
        </w:rPr>
      </w:pPr>
      <w:r>
        <w:rPr>
          <w:w w:val="105"/>
          <w:sz w:val="21"/>
        </w:rPr>
        <w:t>作。监测计划见表 16.2-1。</w:t>
      </w:r>
    </w:p>
    <w:p>
      <w:pPr>
        <w:tabs>
          <w:tab w:pos="2226" w:val="left" w:leader="none"/>
        </w:tabs>
        <w:spacing w:line="268" w:lineRule="exact" w:before="0"/>
        <w:ind w:left="771" w:right="0" w:firstLine="0"/>
        <w:jc w:val="left"/>
        <w:rPr>
          <w:sz w:val="21"/>
        </w:rPr>
      </w:pPr>
      <w:r>
        <w:rPr/>
        <w:br w:type="column"/>
      </w:r>
      <w:r>
        <w:rPr>
          <w:w w:val="110"/>
          <w:sz w:val="21"/>
        </w:rPr>
        <w:t>——</w:t>
        <w:tab/>
        <w:t>——</w:t>
      </w:r>
    </w:p>
    <w:p>
      <w:pPr>
        <w:spacing w:after="0" w:line="268" w:lineRule="exact"/>
        <w:jc w:val="left"/>
        <w:rPr>
          <w:sz w:val="21"/>
        </w:rPr>
        <w:sectPr>
          <w:type w:val="continuous"/>
          <w:pgSz w:w="11910" w:h="16840"/>
          <w:pgMar w:top="1180" w:bottom="1160" w:left="1560" w:right="1560"/>
          <w:cols w:num="2" w:equalWidth="0">
            <w:col w:w="5629" w:space="40"/>
            <w:col w:w="3121"/>
          </w:cols>
        </w:sect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7"/>
        <w:gridCol w:w="4782"/>
        <w:gridCol w:w="1981"/>
        <w:gridCol w:w="929"/>
      </w:tblGrid>
      <w:tr>
        <w:trPr>
          <w:trHeight w:val="1245" w:hRule="atLeast"/>
        </w:trPr>
        <w:tc>
          <w:tcPr>
            <w:tcW w:w="667" w:type="dxa"/>
          </w:tcPr>
          <w:p>
            <w:pPr>
              <w:pStyle w:val="TableParagraph"/>
              <w:jc w:val="left"/>
              <w:rPr>
                <w:rFonts w:ascii="Times New Roman"/>
                <w:sz w:val="22"/>
              </w:rPr>
            </w:pPr>
          </w:p>
        </w:tc>
        <w:tc>
          <w:tcPr>
            <w:tcW w:w="4782" w:type="dxa"/>
          </w:tcPr>
          <w:p>
            <w:pPr>
              <w:pStyle w:val="TableParagraph"/>
              <w:spacing w:line="151" w:lineRule="auto" w:before="90"/>
              <w:ind w:left="28" w:right="19"/>
              <w:jc w:val="both"/>
              <w:rPr>
                <w:sz w:val="21"/>
              </w:rPr>
            </w:pPr>
            <w:r>
              <w:rPr>
                <w:sz w:val="21"/>
              </w:rPr>
              <w:t>建立跟踪管理制度，不断提高生产管理水平和治污水平。根据实际环境影响情况，验证环评各项环境减缓措施的有效性，汲取环评的经验和教训，发现问题及时解决，防止对环境造成不良影响。</w:t>
            </w:r>
          </w:p>
        </w:tc>
        <w:tc>
          <w:tcPr>
            <w:tcW w:w="1981" w:type="dxa"/>
          </w:tcPr>
          <w:p>
            <w:pPr>
              <w:pStyle w:val="TableParagraph"/>
              <w:spacing w:before="6"/>
              <w:jc w:val="left"/>
              <w:rPr>
                <w:sz w:val="18"/>
              </w:rPr>
            </w:pPr>
          </w:p>
          <w:p>
            <w:pPr>
              <w:pStyle w:val="TableParagraph"/>
              <w:ind w:left="763" w:right="753"/>
              <w:rPr>
                <w:sz w:val="21"/>
              </w:rPr>
            </w:pPr>
            <w:r>
              <w:rPr>
                <w:w w:val="110"/>
                <w:sz w:val="21"/>
              </w:rPr>
              <w:t>——</w:t>
            </w:r>
          </w:p>
        </w:tc>
        <w:tc>
          <w:tcPr>
            <w:tcW w:w="929" w:type="dxa"/>
          </w:tcPr>
          <w:p>
            <w:pPr>
              <w:pStyle w:val="TableParagraph"/>
              <w:spacing w:before="6"/>
              <w:jc w:val="left"/>
              <w:rPr>
                <w:sz w:val="18"/>
              </w:rPr>
            </w:pPr>
          </w:p>
          <w:p>
            <w:pPr>
              <w:pStyle w:val="TableParagraph"/>
              <w:ind w:left="253"/>
              <w:jc w:val="left"/>
              <w:rPr>
                <w:sz w:val="21"/>
              </w:rPr>
            </w:pPr>
            <w:r>
              <w:rPr>
                <w:w w:val="110"/>
                <w:sz w:val="21"/>
              </w:rPr>
              <w:t>——</w:t>
            </w:r>
          </w:p>
        </w:tc>
      </w:tr>
    </w:tbl>
    <w:p>
      <w:pPr>
        <w:pStyle w:val="BodyText"/>
        <w:spacing w:before="7"/>
        <w:rPr>
          <w:sz w:val="25"/>
        </w:rPr>
      </w:pPr>
    </w:p>
    <w:p>
      <w:pPr>
        <w:pStyle w:val="Heading5"/>
        <w:numPr>
          <w:ilvl w:val="2"/>
          <w:numId w:val="26"/>
        </w:numPr>
        <w:tabs>
          <w:tab w:pos="1361" w:val="left" w:leader="none"/>
          <w:tab w:pos="1362" w:val="left" w:leader="none"/>
        </w:tabs>
        <w:spacing w:line="463" w:lineRule="exact" w:before="0" w:after="0"/>
        <w:ind w:left="1361" w:right="0" w:hanging="1121"/>
        <w:jc w:val="left"/>
      </w:pPr>
      <w:r>
        <w:rPr/>
        <w:t>建议</w:t>
      </w:r>
    </w:p>
    <w:p>
      <w:pPr>
        <w:pStyle w:val="BodyText"/>
        <w:spacing w:line="430" w:lineRule="exact"/>
        <w:ind w:left="720"/>
      </w:pPr>
      <w:r>
        <w:rPr/>
        <w:t>（1）加强现场操作管理，加强设备保养，杜绝跑、冒、滴、漏现象。</w:t>
      </w:r>
    </w:p>
    <w:p>
      <w:pPr>
        <w:pStyle w:val="BodyText"/>
        <w:spacing w:line="220" w:lineRule="auto" w:before="8"/>
        <w:ind w:left="240" w:right="239" w:firstLine="479"/>
        <w:jc w:val="both"/>
      </w:pPr>
      <w:r>
        <w:rPr/>
        <w:t>（2）项目投产后，将项目的建设和生产纳入企业建立的环境管理体系，重</w:t>
      </w:r>
      <w:r>
        <w:rPr>
          <w:spacing w:val="-8"/>
        </w:rPr>
        <w:t>新识别环境因素，对评价出的重要环境因素制定相关程序或设置目标、指标加以控制和管理。</w:t>
      </w:r>
    </w:p>
    <w:p>
      <w:pPr>
        <w:pStyle w:val="BodyText"/>
        <w:spacing w:line="220" w:lineRule="auto"/>
        <w:ind w:left="240" w:right="244" w:firstLine="479"/>
        <w:jc w:val="both"/>
      </w:pPr>
      <w:r>
        <w:rPr/>
        <w:t>（</w:t>
      </w:r>
      <w:r>
        <w:rPr>
          <w:rFonts w:ascii="Times New Roman" w:eastAsia="Times New Roman"/>
        </w:rPr>
        <w:t>3</w:t>
      </w:r>
      <w:r>
        <w:rPr/>
        <w:t>）在工程建设的同时严格落实各项环保治理措施，确保各项环保设施正常运转，严禁环保设施故障情况下生产；确保本项目投产后废水达标排放。</w:t>
      </w:r>
    </w:p>
    <w:p>
      <w:pPr>
        <w:pStyle w:val="BodyText"/>
        <w:spacing w:line="220" w:lineRule="auto"/>
        <w:ind w:left="240" w:right="237" w:firstLine="479"/>
        <w:jc w:val="both"/>
      </w:pPr>
      <w:r>
        <w:rPr/>
        <w:t>（4）企业应加强环境管理工作，提高全体职工的环保意识，使清洁生产成</w:t>
      </w:r>
      <w:r>
        <w:rPr>
          <w:spacing w:val="-10"/>
        </w:rPr>
        <w:t>为职工自觉的行为，保证工程设计及环评提出的各污染防治措施的落实及正常运行。</w:t>
      </w:r>
    </w:p>
    <w:p>
      <w:pPr>
        <w:spacing w:after="0" w:line="220" w:lineRule="auto"/>
        <w:jc w:val="both"/>
        <w:sectPr>
          <w:pgSz w:w="11910" w:h="16840"/>
          <w:pgMar w:header="877" w:footer="973" w:top="1420" w:bottom="1160" w:left="1560" w:right="1560"/>
        </w:sectPr>
      </w:pPr>
    </w:p>
    <w:p>
      <w:pPr>
        <w:spacing w:line="422" w:lineRule="exact" w:before="0"/>
        <w:ind w:left="5681" w:right="5548" w:firstLine="0"/>
        <w:jc w:val="center"/>
        <w:rPr>
          <w:sz w:val="23"/>
        </w:rPr>
      </w:pPr>
      <w:r>
        <w:rPr>
          <w:sz w:val="23"/>
        </w:rPr>
        <w:t>建设项目环评审批基础信息表</w:t>
      </w:r>
    </w:p>
    <w:p>
      <w:pPr>
        <w:spacing w:after="0" w:line="422" w:lineRule="exact"/>
        <w:jc w:val="center"/>
        <w:rPr>
          <w:sz w:val="23"/>
        </w:rPr>
        <w:sectPr>
          <w:headerReference w:type="default" r:id="rId78"/>
          <w:footerReference w:type="default" r:id="rId79"/>
          <w:pgSz w:w="16840" w:h="11910" w:orient="landscape"/>
          <w:pgMar w:header="0" w:footer="0" w:top="580" w:bottom="280" w:left="1420" w:right="1160"/>
        </w:sectPr>
      </w:pPr>
    </w:p>
    <w:p>
      <w:pPr>
        <w:tabs>
          <w:tab w:pos="4504" w:val="left" w:leader="none"/>
        </w:tabs>
        <w:spacing w:before="20"/>
        <w:ind w:left="860" w:right="0" w:firstLine="0"/>
        <w:jc w:val="left"/>
        <w:rPr>
          <w:sz w:val="11"/>
        </w:rPr>
      </w:pPr>
      <w:r>
        <w:rPr/>
        <w:pict>
          <v:group style="position:absolute;margin-left:76.680pt;margin-top:.43602pt;width:707.3pt;height:455.55pt;mso-position-horizontal-relative:page;mso-position-vertical-relative:paragraph;z-index:-1113040" coordorigin="1534,9" coordsize="14146,9111">
            <v:shape style="position:absolute;left:1547;top:13;width:14127;height:9089" coordorigin="1548,14" coordsize="14127,9089" path="m15674,5302l11089,5302,11089,4973,11089,4971,11089,4311,11089,4308,11089,3979,12163,3979,12163,3646,11089,3646,11089,3317,11089,3315,11089,333,11087,333,11087,3648,11087,3977,9870,3977,9870,3648,11087,3648,11087,333,9870,333,9870,14,8591,14,8591,5302,7472,5302,7472,4973,7472,4971,7472,4308,6260,4308,6260,4971,6260,4973,6260,5302,4301,5302,4301,3979,5266,3979,5266,3648,5266,3646,5266,3315,4301,3315,4301,335,4301,333,4301,14,1548,14,1548,5302,1548,5955,1548,8041,1548,8344,1548,9102,5266,9102,5266,8344,15674,8344,15674,8041,4301,8041,4301,5955,15674,5955,15674,5302e" filled="true" fillcolor="#73d27d" stroked="false">
              <v:path arrowok="t"/>
              <v:fill type="solid"/>
            </v:shape>
            <v:line style="position:absolute" from="13653,6743" to="15508,6743" stroked="true" strokeweight=".13524pt" strokecolor="#000000">
              <v:stroke dashstyle="solid"/>
            </v:line>
            <v:line style="position:absolute" from="9869,21" to="9869,340" stroked="true" strokeweight=".600010pt" strokecolor="#000000">
              <v:stroke dashstyle="solid"/>
            </v:line>
            <v:rect style="position:absolute;left:12160;top:13;width:2110;height:322" filled="true" fillcolor="#73d27d" stroked="false">
              <v:fill type="solid"/>
            </v:rect>
            <v:line style="position:absolute" from="12162,21" to="12162,340" stroked="true" strokeweight=".599980pt" strokecolor="#000000">
              <v:stroke dashstyle="solid"/>
            </v:line>
            <v:line style="position:absolute" from="14269,21" to="14269,340" stroked="true" strokeweight=".60004pt" strokecolor="#000000">
              <v:stroke dashstyle="solid"/>
            </v:line>
            <v:shape style="position:absolute;left:6260;top:3314;width:1212;height:665" coordorigin="6260,3315" coordsize="1212,665" path="m7472,3315l6260,3315,6260,3646,6260,3648,6260,3979,7472,3979,7472,3648,7472,3646,7472,3315e" filled="true" fillcolor="#73d27d" stroked="false">
              <v:path arrowok="t"/>
              <v:fill type="solid"/>
            </v:shape>
            <v:line style="position:absolute" from="6261,3322" to="6261,3984" stroked="true" strokeweight=".600010pt" strokecolor="#000000">
              <v:stroke dashstyle="solid"/>
            </v:line>
            <v:line style="position:absolute" from="7471,3322" to="7471,3984" stroked="true" strokeweight=".599980pt" strokecolor="#000000">
              <v:stroke dashstyle="solid"/>
            </v:line>
            <v:line style="position:absolute" from="9869,3653" to="9869,3984" stroked="true" strokeweight=".600010pt" strokecolor="#000000">
              <v:stroke dashstyle="solid"/>
            </v:line>
            <v:line style="position:absolute" from="2249,4641" to="8598,4641" stroked="true" strokeweight=".600010pt" strokecolor="#000000">
              <v:stroke dashstyle="solid"/>
            </v:line>
            <v:line style="position:absolute" from="2249,4972" to="8598,4972" stroked="true" strokeweight=".600010pt" strokecolor="#000000">
              <v:stroke dashstyle="solid"/>
            </v:line>
            <v:line style="position:absolute" from="12162,3653" to="12162,3984" stroked="true" strokeweight=".599980pt" strokecolor="#000000">
              <v:stroke dashstyle="solid"/>
            </v:line>
            <v:line style="position:absolute" from="5265,3322" to="5265,3984" stroked="true" strokeweight=".600010pt" strokecolor="#000000">
              <v:stroke dashstyle="solid"/>
            </v:line>
            <v:line style="position:absolute" from="8592,21" to="8592,5309" stroked="true" strokeweight=".600010pt" strokecolor="#000000">
              <v:stroke dashstyle="solid"/>
            </v:line>
            <v:line style="position:absolute" from="9869,4315" to="9869,5309" stroked="true" strokeweight=".600010pt" strokecolor="#000000">
              <v:stroke dashstyle="solid"/>
            </v:line>
            <v:line style="position:absolute" from="11088,340" to="11088,5309" stroked="true" strokeweight=".599980pt" strokecolor="#000000">
              <v:stroke dashstyle="solid"/>
            </v:line>
            <v:shape style="position:absolute;left:13156;top:3645;width:1114;height:1328" coordorigin="13156,3646" coordsize="1114,1328" path="m14270,3646l13156,3646,13156,3977,13156,3979,13156,4308,13156,4311,13156,4973,14270,4973,14270,4311,14270,4308,14270,3979,14270,3977,14270,3646e" filled="true" fillcolor="#73d27d" stroked="false">
              <v:path arrowok="t"/>
              <v:fill type="solid"/>
            </v:shape>
            <v:line style="position:absolute" from="13158,3653" to="13158,4978" stroked="true" strokeweight=".60004pt" strokecolor="#000000">
              <v:stroke dashstyle="solid"/>
            </v:line>
            <v:line style="position:absolute" from="1540,9" to="1540,9107" stroked="true" strokeweight=".6pt" strokecolor="#000000">
              <v:stroke dashstyle="solid"/>
            </v:line>
            <v:line style="position:absolute" from="4300,21" to="4300,8048" stroked="true" strokeweight=".600010pt" strokecolor="#000000">
              <v:stroke dashstyle="solid"/>
            </v:line>
            <v:line style="position:absolute" from="8592,5629" to="8592,9107" stroked="true" strokeweight=".600010pt" strokecolor="#000000">
              <v:stroke dashstyle="solid"/>
            </v:line>
            <v:line style="position:absolute" from="9869,5629" to="9869,9107" stroked="true" strokeweight=".600010pt" strokecolor="#000000">
              <v:stroke dashstyle="solid"/>
            </v:line>
            <v:line style="position:absolute" from="12162,5310" to="12162,9107" stroked="true" strokeweight=".599980pt" strokecolor="#000000">
              <v:stroke dashstyle="solid"/>
            </v:line>
            <v:line style="position:absolute" from="14269,3653" to="14269,4978" stroked="true" strokeweight=".60004pt" strokecolor="#000000">
              <v:stroke dashstyle="solid"/>
            </v:line>
            <v:line style="position:absolute" from="15673,21" to="15673,9107" stroked="true" strokeweight=".60004pt" strokecolor="#000000">
              <v:stroke dashstyle="solid"/>
            </v:line>
            <v:line style="position:absolute" from="2243,340" to="2243,8048" stroked="true" strokeweight=".6pt" strokecolor="#000000">
              <v:stroke dashstyle="solid"/>
            </v:line>
            <v:line style="position:absolute" from="11088,5629" to="11088,9107" stroked="true" strokeweight=".599980pt" strokecolor="#000000">
              <v:stroke dashstyle="solid"/>
            </v:line>
            <v:line style="position:absolute" from="5265,5629" to="5265,9107" stroked="true" strokeweight=".600010pt" strokecolor="#000000">
              <v:stroke dashstyle="solid"/>
            </v:line>
            <v:line style="position:absolute" from="6261,4315" to="6261,8048" stroked="true" strokeweight=".600010pt" strokecolor="#000000">
              <v:stroke dashstyle="solid"/>
            </v:line>
            <v:line style="position:absolute" from="7471,4315" to="7471,9107" stroked="true" strokeweight=".599980pt" strokecolor="#000000">
              <v:stroke dashstyle="solid"/>
            </v:line>
            <v:line style="position:absolute" from="13158,8048" to="13158,9107" stroked="true" strokeweight=".60004pt" strokecolor="#000000">
              <v:stroke dashstyle="solid"/>
            </v:line>
            <v:line style="position:absolute" from="2720,5960" to="2720,9107" stroked="true" strokeweight=".600010pt" strokecolor="#000000">
              <v:stroke dashstyle="solid"/>
            </v:line>
            <v:line style="position:absolute" from="1546,15" to="15679,15" stroked="true" strokeweight=".6pt" strokecolor="#000000">
              <v:stroke dashstyle="solid"/>
            </v:line>
            <v:line style="position:absolute" from="1546,334" to="15679,334" stroked="true" strokeweight=".6pt" strokecolor="#000000">
              <v:stroke dashstyle="solid"/>
            </v:line>
            <v:line style="position:absolute" from="2249,665" to="8598,665" stroked="true" strokeweight=".6pt" strokecolor="#000000">
              <v:stroke dashstyle="solid"/>
            </v:line>
            <v:line style="position:absolute" from="2249,996" to="8598,996" stroked="true" strokeweight=".6pt" strokecolor="#000000">
              <v:stroke dashstyle="solid"/>
            </v:line>
            <v:line style="position:absolute" from="2249,1328" to="15679,1328" stroked="true" strokeweight=".6pt" strokecolor="#000000">
              <v:stroke dashstyle="solid"/>
            </v:line>
            <v:line style="position:absolute" from="2249,1659" to="15679,1659" stroked="true" strokeweight=".600010pt" strokecolor="#000000">
              <v:stroke dashstyle="solid"/>
            </v:line>
            <v:line style="position:absolute" from="2249,1990" to="15679,1990" stroked="true" strokeweight=".59999pt" strokecolor="#000000">
              <v:stroke dashstyle="solid"/>
            </v:line>
            <v:line style="position:absolute" from="2249,2322" to="15679,2322" stroked="true" strokeweight=".59999pt" strokecolor="#000000">
              <v:stroke dashstyle="solid"/>
            </v:line>
            <v:line style="position:absolute" from="2249,2653" to="15679,2653" stroked="true" strokeweight=".600010pt" strokecolor="#000000">
              <v:stroke dashstyle="solid"/>
            </v:line>
            <v:line style="position:absolute" from="2249,2984" to="15679,2984" stroked="true" strokeweight=".600010pt" strokecolor="#000000">
              <v:stroke dashstyle="solid"/>
            </v:line>
            <v:line style="position:absolute" from="2249,3316" to="15679,3316" stroked="true" strokeweight=".600010pt" strokecolor="#000000">
              <v:stroke dashstyle="solid"/>
            </v:line>
            <v:line style="position:absolute" from="2249,3647" to="15679,3647" stroked="true" strokeweight=".600010pt" strokecolor="#000000">
              <v:stroke dashstyle="solid"/>
            </v:line>
            <v:line style="position:absolute" from="2249,3978" to="15679,3978" stroked="true" strokeweight=".59999pt" strokecolor="#000000">
              <v:stroke dashstyle="solid"/>
            </v:line>
            <v:line style="position:absolute" from="1546,4309" to="15679,4309" stroked="true" strokeweight=".600010pt" strokecolor="#000000">
              <v:stroke dashstyle="solid"/>
            </v:line>
            <v:line style="position:absolute" from="9875,4641" to="15679,4641" stroked="true" strokeweight=".600010pt" strokecolor="#000000">
              <v:stroke dashstyle="solid"/>
            </v:line>
            <v:line style="position:absolute" from="9875,4972" to="15679,4972" stroked="true" strokeweight=".600010pt" strokecolor="#000000">
              <v:stroke dashstyle="solid"/>
            </v:line>
            <v:line style="position:absolute" from="1546,5303" to="15679,5303" stroked="true" strokeweight=".599980pt" strokecolor="#000000">
              <v:stroke dashstyle="solid"/>
            </v:line>
            <v:line style="position:absolute" from="4306,5623" to="12167,5623" stroked="true" strokeweight=".600010pt" strokecolor="#000000">
              <v:stroke dashstyle="solid"/>
            </v:line>
            <v:line style="position:absolute" from="2249,5954" to="15679,5954" stroked="true" strokeweight=".600010pt" strokecolor="#000000">
              <v:stroke dashstyle="solid"/>
            </v:line>
            <v:line style="position:absolute" from="2726,6163" to="12168,6163" stroked="true" strokeweight=".600010pt" strokecolor="#000000">
              <v:stroke dashstyle="solid"/>
            </v:line>
            <v:line style="position:absolute" from="2726,6371" to="12168,6371" stroked="true" strokeweight=".600010pt" strokecolor="#000000">
              <v:stroke dashstyle="solid"/>
            </v:line>
            <v:line style="position:absolute" from="2726,6580" to="12168,6580" stroked="true" strokeweight=".599980pt" strokecolor="#000000">
              <v:stroke dashstyle="solid"/>
            </v:line>
            <v:line style="position:absolute" from="2726,6789" to="12168,6789" stroked="true" strokeweight=".599980pt" strokecolor="#000000">
              <v:stroke dashstyle="solid"/>
            </v:line>
            <v:line style="position:absolute" from="2249,6998" to="15679,6998" stroked="true" strokeweight=".599980pt" strokecolor="#000000">
              <v:stroke dashstyle="solid"/>
            </v:line>
            <v:line style="position:absolute" from="2726,7207" to="15679,7207" stroked="true" strokeweight=".600010pt" strokecolor="#000000">
              <v:stroke dashstyle="solid"/>
            </v:line>
            <v:line style="position:absolute" from="2726,7416" to="15679,7416" stroked="true" strokeweight=".600010pt" strokecolor="#000000">
              <v:stroke dashstyle="solid"/>
            </v:line>
            <v:line style="position:absolute" from="2726,7625" to="15679,7625" stroked="true" strokeweight=".600010pt" strokecolor="#000000">
              <v:stroke dashstyle="solid"/>
            </v:line>
            <v:line style="position:absolute" from="2726,7834" to="15679,7834" stroked="true" strokeweight=".599980pt" strokecolor="#000000">
              <v:stroke dashstyle="solid"/>
            </v:line>
            <v:line style="position:absolute" from="1546,8042" to="15679,8042" stroked="true" strokeweight=".599980pt" strokecolor="#000000">
              <v:stroke dashstyle="solid"/>
            </v:line>
            <v:line style="position:absolute" from="2726,8342" to="15679,8342" stroked="true" strokeweight=".599980pt" strokecolor="#000000">
              <v:stroke dashstyle="solid"/>
            </v:line>
            <v:line style="position:absolute" from="2726,8532" to="15679,8532" stroked="true" strokeweight=".600010pt" strokecolor="#000000">
              <v:stroke dashstyle="solid"/>
            </v:line>
            <v:line style="position:absolute" from="2726,8722" to="15679,8722" stroked="true" strokeweight=".600010pt" strokecolor="#000000">
              <v:stroke dashstyle="solid"/>
            </v:line>
            <v:line style="position:absolute" from="2726,8911" to="15679,8911" stroked="true" strokeweight=".599980pt" strokecolor="#000000">
              <v:stroke dashstyle="solid"/>
            </v:line>
            <v:line style="position:absolute" from="1546,9101" to="15679,9101" stroked="true" strokeweight=".600010pt" strokecolor="#000000">
              <v:stroke dashstyle="solid"/>
            </v:line>
            <v:shape style="position:absolute;left:2720;top:8042;width:2545;height:300" coordorigin="2720,8042" coordsize="2545,300" path="m2822,8042l2720,8042,2720,8054,5164,8342,5265,8342,5265,8330,2822,8042xe" filled="true" fillcolor="#000000" stroked="false">
              <v:path arrowok="t"/>
              <v:fill type="solid"/>
            </v:shape>
            <v:shape style="position:absolute;left:2720;top:8042;width:2545;height:300" coordorigin="2720,8042" coordsize="2545,300" path="m2720,8042l2822,8042,5265,8330,5265,8342,5164,8342,2720,8054,2720,8042xe" filled="false" stroked="true" strokeweight=".140pt" strokecolor="#000000">
              <v:path arrowok="t"/>
              <v:stroke dashstyle="solid"/>
            </v:shape>
            <v:shape style="position:absolute;left:13144;top:6150;width:685;height:251" type="#_x0000_t75" stroked="false">
              <v:imagedata r:id="rId80" o:title=""/>
            </v:shape>
            <v:shape style="position:absolute;left:13144;top:6320;width:685;height:250" type="#_x0000_t75" stroked="false">
              <v:imagedata r:id="rId81" o:title=""/>
            </v:shape>
            <v:shape style="position:absolute;left:12286;top:5920;width:810;height:252" type="#_x0000_t75" stroked="false">
              <v:imagedata r:id="rId82" o:title=""/>
            </v:shape>
            <v:shape style="position:absolute;left:12286;top:6529;width:881;height:250" type="#_x0000_t75" stroked="false">
              <v:imagedata r:id="rId83" o:title=""/>
            </v:shape>
            <v:shape style="position:absolute;left:13154;top:8299;width:754;height:251" type="#_x0000_t75" stroked="false">
              <v:imagedata r:id="rId84" o:title=""/>
            </v:shape>
            <v:shape style="position:absolute;left:13612;top:8299;width:753;height:251" type="#_x0000_t75" stroked="false">
              <v:imagedata r:id="rId84" o:title=""/>
            </v:shape>
            <v:shape style="position:absolute;left:14090;top:8299;width:753;height:251" type="#_x0000_t75" stroked="false">
              <v:imagedata r:id="rId84" o:title=""/>
            </v:shape>
            <v:shape style="position:absolute;left:14568;top:8299;width:753;height:251" type="#_x0000_t75" stroked="false">
              <v:imagedata r:id="rId84" o:title=""/>
            </v:shape>
            <v:shape style="position:absolute;left:12286;top:6131;width:881;height:250" type="#_x0000_t75" stroked="false">
              <v:imagedata r:id="rId85" o:title=""/>
            </v:shape>
            <v:shape style="position:absolute;left:13154;top:8490;width:754;height:250" type="#_x0000_t75" stroked="false">
              <v:imagedata r:id="rId86" o:title=""/>
            </v:shape>
            <v:shape style="position:absolute;left:13612;top:8490;width:753;height:250" type="#_x0000_t75" stroked="false">
              <v:imagedata r:id="rId86" o:title=""/>
            </v:shape>
            <v:shape style="position:absolute;left:14090;top:8490;width:753;height:250" type="#_x0000_t75" stroked="false">
              <v:imagedata r:id="rId86" o:title=""/>
            </v:shape>
            <v:shape style="position:absolute;left:14568;top:8490;width:753;height:250" type="#_x0000_t75" stroked="false">
              <v:imagedata r:id="rId86" o:title=""/>
            </v:shape>
            <v:shape style="position:absolute;left:13154;top:8679;width:754;height:250" type="#_x0000_t75" stroked="false">
              <v:imagedata r:id="rId86" o:title=""/>
            </v:shape>
            <v:shape style="position:absolute;left:13612;top:8679;width:753;height:250" type="#_x0000_t75" stroked="false">
              <v:imagedata r:id="rId86" o:title=""/>
            </v:shape>
            <v:shape style="position:absolute;left:14090;top:8679;width:753;height:250" type="#_x0000_t75" stroked="false">
              <v:imagedata r:id="rId86" o:title=""/>
            </v:shape>
            <v:shape style="position:absolute;left:14568;top:8679;width:753;height:250" type="#_x0000_t75" stroked="false">
              <v:imagedata r:id="rId86" o:title=""/>
            </v:shape>
            <v:shape style="position:absolute;left:13154;top:8869;width:754;height:250" type="#_x0000_t75" stroked="false">
              <v:imagedata r:id="rId86" o:title=""/>
            </v:shape>
            <v:shape style="position:absolute;left:13612;top:8869;width:753;height:250" type="#_x0000_t75" stroked="false">
              <v:imagedata r:id="rId86" o:title=""/>
            </v:shape>
            <v:shape style="position:absolute;left:14090;top:8869;width:753;height:250" type="#_x0000_t75" stroked="false">
              <v:imagedata r:id="rId86" o:title=""/>
            </v:shape>
            <v:shape style="position:absolute;left:14568;top:8869;width:753;height:250" type="#_x0000_t75" stroked="false">
              <v:imagedata r:id="rId86" o:title=""/>
            </v:shape>
            <w10:wrap type="none"/>
          </v:group>
        </w:pict>
      </w:r>
      <w:r>
        <w:rPr>
          <w:w w:val="105"/>
          <w:sz w:val="14"/>
        </w:rPr>
        <w:t>填表单位（盖章）：</w:t>
        <w:tab/>
      </w:r>
      <w:r>
        <w:rPr>
          <w:w w:val="105"/>
          <w:position w:val="1"/>
          <w:sz w:val="11"/>
        </w:rPr>
        <w:t>仁和堂药业有限公司</w:t>
      </w:r>
    </w:p>
    <w:p>
      <w:pPr>
        <w:spacing w:before="22"/>
        <w:ind w:left="860" w:right="0" w:firstLine="0"/>
        <w:jc w:val="left"/>
        <w:rPr>
          <w:sz w:val="14"/>
        </w:rPr>
      </w:pPr>
      <w:r>
        <w:rPr/>
        <w:br w:type="column"/>
      </w:r>
      <w:r>
        <w:rPr>
          <w:w w:val="105"/>
          <w:sz w:val="14"/>
        </w:rPr>
        <w:t>填表人（签字）：</w:t>
      </w:r>
    </w:p>
    <w:p>
      <w:pPr>
        <w:spacing w:before="12"/>
        <w:ind w:left="860" w:right="0" w:firstLine="0"/>
        <w:jc w:val="left"/>
        <w:rPr>
          <w:sz w:val="14"/>
        </w:rPr>
      </w:pPr>
      <w:r>
        <w:rPr/>
        <w:br w:type="column"/>
      </w:r>
      <w:r>
        <w:rPr>
          <w:w w:val="105"/>
          <w:sz w:val="14"/>
        </w:rPr>
        <w:t>项目经办人（签字）：</w:t>
      </w:r>
    </w:p>
    <w:p>
      <w:pPr>
        <w:spacing w:after="0"/>
        <w:jc w:val="left"/>
        <w:rPr>
          <w:sz w:val="14"/>
        </w:rPr>
        <w:sectPr>
          <w:type w:val="continuous"/>
          <w:pgSz w:w="16840" w:h="11910" w:orient="landscape"/>
          <w:pgMar w:top="1180" w:bottom="1160" w:left="1420" w:right="1160"/>
          <w:cols w:num="3" w:equalWidth="0">
            <w:col w:w="5603" w:space="772"/>
            <w:col w:w="2053" w:space="1813"/>
            <w:col w:w="4019"/>
          </w:cols>
        </w:sectPr>
      </w:pPr>
    </w:p>
    <w:p>
      <w:pPr>
        <w:tabs>
          <w:tab w:pos="3416" w:val="left" w:leader="none"/>
        </w:tabs>
        <w:spacing w:before="60"/>
        <w:ind w:left="1611" w:right="0" w:firstLine="0"/>
        <w:jc w:val="left"/>
        <w:rPr>
          <w:sz w:val="11"/>
        </w:rPr>
      </w:pPr>
      <w:r>
        <w:rPr>
          <w:w w:val="105"/>
          <w:sz w:val="11"/>
        </w:rPr>
        <w:t>项目名称</w:t>
        <w:tab/>
        <w:t>仁和堂药业有限公司医药工业园-原料药建设项目（重新报批）</w:t>
      </w:r>
    </w:p>
    <w:p>
      <w:pPr>
        <w:spacing w:after="0"/>
        <w:jc w:val="left"/>
        <w:rPr>
          <w:sz w:val="11"/>
        </w:rPr>
        <w:sectPr>
          <w:type w:val="continuous"/>
          <w:pgSz w:w="16840" w:h="11910" w:orient="landscape"/>
          <w:pgMar w:top="1180" w:bottom="1160" w:left="1420" w:right="1160"/>
        </w:sectPr>
      </w:pPr>
    </w:p>
    <w:p>
      <w:pPr>
        <w:spacing w:before="102"/>
        <w:ind w:left="1592" w:right="0" w:firstLine="0"/>
        <w:jc w:val="left"/>
        <w:rPr>
          <w:rFonts w:ascii="Times New Roman" w:eastAsia="Times New Roman"/>
          <w:b/>
          <w:sz w:val="11"/>
        </w:rPr>
      </w:pPr>
      <w:r>
        <w:rPr>
          <w:w w:val="105"/>
          <w:sz w:val="11"/>
        </w:rPr>
        <w:t>项目代码</w:t>
      </w:r>
      <w:r>
        <w:rPr>
          <w:rFonts w:ascii="Times New Roman" w:eastAsia="Times New Roman"/>
          <w:b/>
          <w:w w:val="105"/>
          <w:sz w:val="11"/>
          <w:vertAlign w:val="superscript"/>
        </w:rPr>
        <w:t>1</w:t>
      </w:r>
    </w:p>
    <w:p>
      <w:pPr>
        <w:tabs>
          <w:tab w:pos="2909" w:val="left" w:leader="none"/>
        </w:tabs>
        <w:spacing w:line="105" w:lineRule="auto" w:before="74"/>
        <w:ind w:left="1611" w:right="0" w:firstLine="0"/>
        <w:jc w:val="left"/>
        <w:rPr>
          <w:sz w:val="11"/>
        </w:rPr>
      </w:pPr>
      <w:r>
        <w:rPr>
          <w:w w:val="105"/>
          <w:position w:val="-6"/>
          <w:sz w:val="11"/>
        </w:rPr>
        <w:t>建设地点</w:t>
        <w:tab/>
      </w:r>
      <w:r>
        <w:rPr>
          <w:w w:val="105"/>
          <w:sz w:val="11"/>
        </w:rPr>
        <w:t>山东莒南经济开发区化工工业区内，淮海路西段路南，莒南经济开发区污水处理厂</w:t>
      </w:r>
    </w:p>
    <w:p>
      <w:pPr>
        <w:spacing w:line="155" w:lineRule="exact" w:before="0"/>
        <w:ind w:left="0" w:right="1996" w:firstLine="0"/>
        <w:jc w:val="right"/>
        <w:rPr>
          <w:sz w:val="11"/>
        </w:rPr>
      </w:pPr>
      <w:r>
        <w:rPr>
          <w:w w:val="105"/>
          <w:sz w:val="11"/>
        </w:rPr>
        <w:t>西侧</w:t>
      </w:r>
    </w:p>
    <w:p>
      <w:pPr>
        <w:tabs>
          <w:tab w:pos="4173" w:val="left" w:leader="none"/>
          <w:tab w:pos="5201" w:val="left" w:leader="none"/>
        </w:tabs>
        <w:spacing w:before="98"/>
        <w:ind w:left="817" w:right="0" w:firstLine="0"/>
        <w:jc w:val="left"/>
        <w:rPr>
          <w:sz w:val="11"/>
        </w:rPr>
      </w:pPr>
      <w:r>
        <w:rPr/>
        <w:br w:type="column"/>
      </w:r>
      <w:r>
        <w:rPr>
          <w:w w:val="105"/>
          <w:sz w:val="11"/>
        </w:rPr>
        <w:t>建设内容、规模</w:t>
        <w:tab/>
        <w:t>（建设内容：</w:t>
      </w:r>
      <w:r>
        <w:rPr>
          <w:w w:val="105"/>
          <w:sz w:val="11"/>
          <w:u w:val="single"/>
        </w:rPr>
        <w:t> </w:t>
        <w:tab/>
      </w:r>
      <w:r>
        <w:rPr>
          <w:w w:val="105"/>
          <w:sz w:val="11"/>
        </w:rPr>
        <w:t>）</w:t>
      </w:r>
    </w:p>
    <w:p>
      <w:pPr>
        <w:spacing w:after="0"/>
        <w:jc w:val="left"/>
        <w:rPr>
          <w:sz w:val="11"/>
        </w:rPr>
        <w:sectPr>
          <w:type w:val="continuous"/>
          <w:pgSz w:w="16840" w:h="11910" w:orient="landscape"/>
          <w:pgMar w:top="1180" w:bottom="1160" w:left="1420" w:right="1160"/>
          <w:cols w:num="2" w:equalWidth="0">
            <w:col w:w="7144" w:space="40"/>
            <w:col w:w="7076"/>
          </w:cols>
        </w:sectPr>
      </w:pPr>
    </w:p>
    <w:p>
      <w:pPr>
        <w:tabs>
          <w:tab w:pos="8061" w:val="left" w:leader="none"/>
        </w:tabs>
        <w:spacing w:before="24"/>
        <w:ind w:left="1311" w:right="0" w:firstLine="0"/>
        <w:jc w:val="left"/>
        <w:rPr>
          <w:sz w:val="11"/>
        </w:rPr>
      </w:pPr>
      <w:r>
        <w:rPr>
          <w:w w:val="105"/>
          <w:sz w:val="11"/>
        </w:rPr>
        <w:t>项目建设周期（月）</w:t>
        <w:tab/>
        <w:t>计划开工时间</w:t>
      </w:r>
    </w:p>
    <w:p>
      <w:pPr>
        <w:tabs>
          <w:tab w:pos="8061" w:val="left" w:leader="none"/>
        </w:tabs>
        <w:spacing w:before="98"/>
        <w:ind w:left="1251" w:right="0" w:firstLine="0"/>
        <w:jc w:val="left"/>
        <w:rPr>
          <w:sz w:val="11"/>
        </w:rPr>
      </w:pPr>
      <w:r>
        <w:rPr>
          <w:w w:val="105"/>
          <w:sz w:val="11"/>
        </w:rPr>
        <w:t>环境影响评价行业类别</w:t>
        <w:tab/>
        <w:t>预计投产时间</w:t>
      </w:r>
    </w:p>
    <w:p>
      <w:pPr>
        <w:tabs>
          <w:tab w:pos="1611" w:val="left" w:leader="none"/>
          <w:tab w:pos="4652" w:val="left" w:leader="none"/>
          <w:tab w:pos="7919" w:val="left" w:leader="none"/>
          <w:tab w:pos="11316" w:val="left" w:leader="none"/>
        </w:tabs>
        <w:spacing w:line="201" w:lineRule="auto" w:before="103"/>
        <w:ind w:left="308" w:right="0" w:firstLine="0"/>
        <w:jc w:val="left"/>
        <w:rPr>
          <w:sz w:val="11"/>
        </w:rPr>
      </w:pPr>
      <w:r>
        <w:rPr>
          <w:w w:val="105"/>
          <w:position w:val="-6"/>
          <w:sz w:val="14"/>
        </w:rPr>
        <w:t>建</w:t>
      </w:r>
      <w:r>
        <w:rPr>
          <w:spacing w:val="4"/>
          <w:w w:val="105"/>
          <w:position w:val="-6"/>
          <w:sz w:val="14"/>
        </w:rPr>
        <w:t> </w:t>
      </w:r>
      <w:r>
        <w:rPr>
          <w:w w:val="105"/>
          <w:position w:val="-6"/>
          <w:sz w:val="14"/>
        </w:rPr>
        <w:t>设</w:t>
        <w:tab/>
      </w:r>
      <w:r>
        <w:rPr>
          <w:w w:val="105"/>
          <w:sz w:val="11"/>
        </w:rPr>
        <w:t>建设性质</w:t>
        <w:tab/>
      </w:r>
      <w:r>
        <w:rPr>
          <w:w w:val="105"/>
          <w:position w:val="2"/>
          <w:sz w:val="11"/>
        </w:rPr>
        <w:t>新</w:t>
      </w:r>
      <w:r>
        <w:rPr>
          <w:spacing w:val="4"/>
          <w:w w:val="105"/>
          <w:position w:val="2"/>
          <w:sz w:val="11"/>
        </w:rPr>
        <w:t> </w:t>
      </w:r>
      <w:r>
        <w:rPr>
          <w:w w:val="105"/>
          <w:position w:val="2"/>
          <w:sz w:val="11"/>
        </w:rPr>
        <w:t>建（迁</w:t>
      </w:r>
      <w:r>
        <w:rPr>
          <w:spacing w:val="5"/>
          <w:w w:val="105"/>
          <w:position w:val="2"/>
          <w:sz w:val="11"/>
        </w:rPr>
        <w:t> </w:t>
      </w:r>
      <w:r>
        <w:rPr>
          <w:w w:val="105"/>
          <w:position w:val="2"/>
          <w:sz w:val="11"/>
        </w:rPr>
        <w:t>建）</w:t>
        <w:tab/>
      </w:r>
      <w:r>
        <w:rPr>
          <w:w w:val="105"/>
          <w:sz w:val="11"/>
        </w:rPr>
        <w:t>国民经济行业类型</w:t>
      </w:r>
      <w:r>
        <w:rPr>
          <w:rFonts w:ascii="Times New Roman" w:eastAsia="Times New Roman"/>
          <w:b/>
          <w:w w:val="105"/>
          <w:sz w:val="11"/>
          <w:vertAlign w:val="superscript"/>
        </w:rPr>
        <w:t>2</w:t>
      </w:r>
      <w:r>
        <w:rPr>
          <w:rFonts w:ascii="Times New Roman" w:eastAsia="Times New Roman"/>
          <w:b/>
          <w:w w:val="105"/>
          <w:sz w:val="11"/>
          <w:vertAlign w:val="baseline"/>
        </w:rPr>
        <w:tab/>
      </w:r>
      <w:r>
        <w:rPr>
          <w:rFonts w:ascii="Times New Roman" w:eastAsia="Times New Roman"/>
          <w:w w:val="105"/>
          <w:position w:val="1"/>
          <w:sz w:val="11"/>
          <w:vertAlign w:val="baseline"/>
        </w:rPr>
        <w:t>C2221</w:t>
      </w:r>
      <w:r>
        <w:rPr>
          <w:rFonts w:ascii="Times New Roman" w:eastAsia="Times New Roman"/>
          <w:spacing w:val="2"/>
          <w:w w:val="105"/>
          <w:position w:val="1"/>
          <w:sz w:val="11"/>
          <w:vertAlign w:val="baseline"/>
        </w:rPr>
        <w:t> </w:t>
      </w:r>
      <w:r>
        <w:rPr>
          <w:w w:val="105"/>
          <w:position w:val="1"/>
          <w:sz w:val="11"/>
          <w:vertAlign w:val="baseline"/>
        </w:rPr>
        <w:t>机制纸及纸板制造</w:t>
      </w:r>
    </w:p>
    <w:p>
      <w:pPr>
        <w:spacing w:after="0" w:line="201" w:lineRule="auto"/>
        <w:jc w:val="left"/>
        <w:rPr>
          <w:sz w:val="11"/>
        </w:rPr>
        <w:sectPr>
          <w:type w:val="continuous"/>
          <w:pgSz w:w="16840" w:h="11910" w:orient="landscape"/>
          <w:pgMar w:top="1180" w:bottom="1160" w:left="1420" w:right="1160"/>
        </w:sectPr>
      </w:pPr>
    </w:p>
    <w:p>
      <w:pPr>
        <w:tabs>
          <w:tab w:pos="1191" w:val="left" w:leader="none"/>
        </w:tabs>
        <w:spacing w:line="158" w:lineRule="exact" w:before="0"/>
        <w:ind w:left="308" w:right="0" w:firstLine="0"/>
        <w:jc w:val="left"/>
        <w:rPr>
          <w:sz w:val="11"/>
        </w:rPr>
      </w:pPr>
      <w:r>
        <w:rPr>
          <w:w w:val="105"/>
          <w:sz w:val="14"/>
        </w:rPr>
        <w:t>项</w:t>
      </w:r>
      <w:r>
        <w:rPr>
          <w:spacing w:val="4"/>
          <w:w w:val="105"/>
          <w:sz w:val="14"/>
        </w:rPr>
        <w:t> </w:t>
      </w:r>
      <w:r>
        <w:rPr>
          <w:w w:val="105"/>
          <w:sz w:val="14"/>
        </w:rPr>
        <w:t>目</w:t>
        <w:tab/>
      </w:r>
      <w:r>
        <w:rPr>
          <w:w w:val="105"/>
          <w:sz w:val="11"/>
        </w:rPr>
        <w:t>现有工程排污许可证编号</w:t>
      </w:r>
    </w:p>
    <w:p>
      <w:pPr>
        <w:spacing w:line="178" w:lineRule="exact" w:before="0"/>
        <w:ind w:left="1371" w:right="0" w:firstLine="0"/>
        <w:jc w:val="left"/>
        <w:rPr>
          <w:sz w:val="11"/>
        </w:rPr>
      </w:pPr>
      <w:r>
        <w:rPr>
          <w:w w:val="105"/>
          <w:sz w:val="11"/>
        </w:rPr>
        <w:t>（改、扩建项目）</w:t>
      </w:r>
    </w:p>
    <w:p>
      <w:pPr>
        <w:tabs>
          <w:tab w:pos="3966" w:val="left" w:leader="none"/>
        </w:tabs>
        <w:spacing w:before="18"/>
        <w:ind w:left="308" w:right="0" w:firstLine="0"/>
        <w:jc w:val="left"/>
        <w:rPr>
          <w:sz w:val="11"/>
        </w:rPr>
      </w:pPr>
      <w:r>
        <w:rPr/>
        <w:br w:type="column"/>
      </w:r>
      <w:r>
        <w:rPr>
          <w:w w:val="105"/>
          <w:sz w:val="11"/>
        </w:rPr>
        <w:t>项目申请类别</w:t>
        <w:tab/>
      </w:r>
      <w:r>
        <w:rPr>
          <w:w w:val="105"/>
          <w:position w:val="1"/>
          <w:sz w:val="11"/>
        </w:rPr>
        <w:t>新申项目</w:t>
      </w:r>
    </w:p>
    <w:p>
      <w:pPr>
        <w:spacing w:after="0"/>
        <w:jc w:val="left"/>
        <w:rPr>
          <w:sz w:val="11"/>
        </w:rPr>
        <w:sectPr>
          <w:type w:val="continuous"/>
          <w:pgSz w:w="16840" w:h="11910" w:orient="landscape"/>
          <w:pgMar w:top="1180" w:bottom="1160" w:left="1420" w:right="1160"/>
          <w:cols w:num="2" w:equalWidth="0">
            <w:col w:w="2552" w:space="5209"/>
            <w:col w:w="6499"/>
          </w:cols>
        </w:sectPr>
      </w:pPr>
    </w:p>
    <w:p>
      <w:pPr>
        <w:tabs>
          <w:tab w:pos="4564" w:val="left" w:leader="none"/>
          <w:tab w:pos="8001" w:val="left" w:leader="none"/>
        </w:tabs>
        <w:spacing w:before="13"/>
        <w:ind w:left="1371" w:right="0" w:firstLine="0"/>
        <w:jc w:val="left"/>
        <w:rPr>
          <w:sz w:val="11"/>
        </w:rPr>
      </w:pPr>
      <w:r>
        <w:rPr>
          <w:w w:val="105"/>
          <w:sz w:val="11"/>
        </w:rPr>
        <w:t>规划环评开展情况</w:t>
        <w:tab/>
      </w:r>
      <w:r>
        <w:rPr>
          <w:w w:val="105"/>
          <w:position w:val="1"/>
          <w:sz w:val="11"/>
        </w:rPr>
        <w:t>已开展并通过审查</w:t>
        <w:tab/>
      </w:r>
      <w:r>
        <w:rPr>
          <w:w w:val="105"/>
          <w:sz w:val="11"/>
        </w:rPr>
        <w:t>规划环评文件名</w:t>
      </w:r>
    </w:p>
    <w:p>
      <w:pPr>
        <w:spacing w:after="0"/>
        <w:jc w:val="left"/>
        <w:rPr>
          <w:sz w:val="11"/>
        </w:rPr>
        <w:sectPr>
          <w:type w:val="continuous"/>
          <w:pgSz w:w="16840" w:h="11910" w:orient="landscape"/>
          <w:pgMar w:top="1180" w:bottom="1160" w:left="1420" w:right="1160"/>
        </w:sectPr>
      </w:pPr>
    </w:p>
    <w:p>
      <w:pPr>
        <w:tabs>
          <w:tab w:pos="4681" w:val="left" w:leader="none"/>
          <w:tab w:pos="7821" w:val="left" w:leader="none"/>
        </w:tabs>
        <w:spacing w:line="260" w:lineRule="atLeast" w:before="72"/>
        <w:ind w:left="1352" w:right="38" w:firstLine="19"/>
        <w:jc w:val="left"/>
        <w:rPr>
          <w:rFonts w:ascii="Times New Roman" w:eastAsia="Times New Roman"/>
          <w:b/>
          <w:sz w:val="11"/>
        </w:rPr>
      </w:pPr>
      <w:r>
        <w:rPr>
          <w:w w:val="105"/>
          <w:sz w:val="11"/>
        </w:rPr>
        <w:t>规划环评审查机关</w:t>
        <w:tab/>
        <w:t>莒南县环保局</w:t>
        <w:tab/>
        <w:t>规划环评审查意见文号建设地点中心坐标</w:t>
      </w:r>
      <w:r>
        <w:rPr>
          <w:rFonts w:ascii="Times New Roman" w:eastAsia="Times New Roman"/>
          <w:b/>
          <w:w w:val="105"/>
          <w:sz w:val="11"/>
          <w:vertAlign w:val="superscript"/>
        </w:rPr>
        <w:t>3</w:t>
      </w:r>
    </w:p>
    <w:p>
      <w:pPr>
        <w:pStyle w:val="BodyText"/>
        <w:rPr>
          <w:rFonts w:ascii="Times New Roman"/>
          <w:b/>
          <w:sz w:val="12"/>
        </w:rPr>
      </w:pPr>
      <w:r>
        <w:rPr/>
        <w:br w:type="column"/>
      </w:r>
      <w:r>
        <w:rPr>
          <w:rFonts w:ascii="Times New Roman"/>
          <w:b/>
          <w:sz w:val="12"/>
        </w:rPr>
      </w:r>
    </w:p>
    <w:p>
      <w:pPr>
        <w:pStyle w:val="BodyText"/>
        <w:rPr>
          <w:rFonts w:ascii="Times New Roman"/>
          <w:b/>
          <w:sz w:val="12"/>
        </w:rPr>
      </w:pPr>
    </w:p>
    <w:p>
      <w:pPr>
        <w:pStyle w:val="BodyText"/>
        <w:spacing w:before="9"/>
        <w:rPr>
          <w:rFonts w:ascii="Times New Roman"/>
          <w:b/>
          <w:sz w:val="12"/>
        </w:rPr>
      </w:pPr>
    </w:p>
    <w:p>
      <w:pPr>
        <w:spacing w:line="65" w:lineRule="exact" w:before="0"/>
        <w:ind w:left="1352" w:right="0" w:firstLine="0"/>
        <w:jc w:val="left"/>
        <w:rPr>
          <w:sz w:val="11"/>
        </w:rPr>
      </w:pPr>
      <w:r>
        <w:rPr>
          <w:w w:val="105"/>
          <w:sz w:val="11"/>
        </w:rPr>
        <w:t>环境影响报告书</w:t>
      </w:r>
    </w:p>
    <w:p>
      <w:pPr>
        <w:spacing w:after="0" w:line="65" w:lineRule="exact"/>
        <w:jc w:val="left"/>
        <w:rPr>
          <w:sz w:val="11"/>
        </w:rPr>
        <w:sectPr>
          <w:type w:val="continuous"/>
          <w:pgSz w:w="16840" w:h="11910" w:orient="landscape"/>
          <w:pgMar w:top="1180" w:bottom="1160" w:left="1420" w:right="1160"/>
          <w:cols w:num="2" w:equalWidth="0">
            <w:col w:w="9062" w:space="1128"/>
            <w:col w:w="4070"/>
          </w:cols>
        </w:sectPr>
      </w:pPr>
    </w:p>
    <w:p>
      <w:pPr>
        <w:spacing w:line="160" w:lineRule="exact" w:before="0"/>
        <w:ind w:left="1433" w:right="0" w:firstLine="0"/>
        <w:jc w:val="left"/>
        <w:rPr>
          <w:sz w:val="11"/>
        </w:rPr>
      </w:pPr>
      <w:r>
        <w:rPr>
          <w:w w:val="105"/>
          <w:sz w:val="11"/>
        </w:rPr>
        <w:t>（非线性工程）</w:t>
      </w:r>
    </w:p>
    <w:p>
      <w:pPr>
        <w:tabs>
          <w:tab w:pos="1745" w:val="left" w:leader="none"/>
          <w:tab w:pos="3013" w:val="left" w:leader="none"/>
          <w:tab w:pos="4042" w:val="left" w:leader="none"/>
        </w:tabs>
        <w:spacing w:line="81" w:lineRule="exact" w:before="0"/>
        <w:ind w:left="929" w:right="0" w:firstLine="0"/>
        <w:jc w:val="left"/>
        <w:rPr>
          <w:rFonts w:ascii="Times New Roman" w:eastAsia="Times New Roman"/>
          <w:sz w:val="11"/>
        </w:rPr>
      </w:pPr>
      <w:r>
        <w:rPr/>
        <w:br w:type="column"/>
      </w:r>
      <w:r>
        <w:rPr>
          <w:w w:val="105"/>
          <w:sz w:val="11"/>
        </w:rPr>
        <w:t>经度</w:t>
        <w:tab/>
      </w:r>
      <w:r>
        <w:rPr>
          <w:rFonts w:ascii="Times New Roman" w:eastAsia="Times New Roman"/>
          <w:w w:val="105"/>
          <w:position w:val="1"/>
          <w:sz w:val="11"/>
        </w:rPr>
        <w:t>118.743067</w:t>
        <w:tab/>
      </w:r>
      <w:r>
        <w:rPr>
          <w:w w:val="105"/>
          <w:sz w:val="11"/>
        </w:rPr>
        <w:t>纬度</w:t>
        <w:tab/>
      </w:r>
      <w:r>
        <w:rPr>
          <w:rFonts w:ascii="Times New Roman" w:eastAsia="Times New Roman"/>
          <w:w w:val="105"/>
          <w:position w:val="1"/>
          <w:sz w:val="11"/>
        </w:rPr>
        <w:t>35.202077</w:t>
      </w:r>
    </w:p>
    <w:p>
      <w:pPr>
        <w:spacing w:line="72" w:lineRule="exact" w:before="0"/>
        <w:ind w:left="917" w:right="0" w:firstLine="0"/>
        <w:jc w:val="left"/>
        <w:rPr>
          <w:sz w:val="11"/>
        </w:rPr>
      </w:pPr>
      <w:r>
        <w:rPr/>
        <w:br w:type="column"/>
      </w:r>
      <w:r>
        <w:rPr>
          <w:w w:val="105"/>
          <w:sz w:val="11"/>
        </w:rPr>
        <w:t>环境影响评价文件类别</w:t>
      </w:r>
    </w:p>
    <w:p>
      <w:pPr>
        <w:spacing w:after="0" w:line="72" w:lineRule="exact"/>
        <w:jc w:val="left"/>
        <w:rPr>
          <w:sz w:val="11"/>
        </w:rPr>
        <w:sectPr>
          <w:type w:val="continuous"/>
          <w:pgSz w:w="16840" w:h="11910" w:orient="landscape"/>
          <w:pgMar w:top="1180" w:bottom="1160" w:left="1420" w:right="1160"/>
          <w:cols w:num="3" w:equalWidth="0">
            <w:col w:w="2275" w:space="40"/>
            <w:col w:w="4550" w:space="39"/>
            <w:col w:w="7356"/>
          </w:cols>
        </w:sectPr>
      </w:pPr>
    </w:p>
    <w:p>
      <w:pPr>
        <w:tabs>
          <w:tab w:pos="3123" w:val="left" w:leader="none"/>
          <w:tab w:pos="5207" w:val="left" w:leader="none"/>
          <w:tab w:pos="7571" w:val="left" w:leader="none"/>
          <w:tab w:pos="9964" w:val="left" w:leader="none"/>
          <w:tab w:pos="11813" w:val="left" w:leader="none"/>
        </w:tabs>
        <w:spacing w:before="8"/>
        <w:ind w:left="1131" w:right="0" w:firstLine="0"/>
        <w:jc w:val="left"/>
        <w:rPr>
          <w:sz w:val="11"/>
        </w:rPr>
      </w:pPr>
      <w:r>
        <w:rPr>
          <w:w w:val="105"/>
          <w:position w:val="1"/>
          <w:sz w:val="11"/>
        </w:rPr>
        <w:t>建设地点坐标（线性工程）</w:t>
        <w:tab/>
      </w:r>
      <w:r>
        <w:rPr>
          <w:w w:val="105"/>
          <w:sz w:val="11"/>
        </w:rPr>
        <w:t>起点经度</w:t>
        <w:tab/>
        <w:t>起点纬度</w:t>
        <w:tab/>
        <w:t>终点经度</w:t>
        <w:tab/>
        <w:t>终点纬度</w:t>
        <w:tab/>
        <w:t>工程长度（千米）</w:t>
      </w:r>
    </w:p>
    <w:p>
      <w:pPr>
        <w:spacing w:after="0"/>
        <w:jc w:val="left"/>
        <w:rPr>
          <w:sz w:val="11"/>
        </w:rPr>
        <w:sectPr>
          <w:type w:val="continuous"/>
          <w:pgSz w:w="16840" w:h="11910" w:orient="landscape"/>
          <w:pgMar w:top="1180" w:bottom="1160" w:left="1420" w:right="1160"/>
        </w:sectPr>
      </w:pPr>
    </w:p>
    <w:p>
      <w:pPr>
        <w:tabs>
          <w:tab w:pos="7941" w:val="left" w:leader="none"/>
        </w:tabs>
        <w:spacing w:before="89"/>
        <w:ind w:left="1431" w:right="0" w:firstLine="0"/>
        <w:jc w:val="left"/>
        <w:rPr>
          <w:sz w:val="11"/>
        </w:rPr>
      </w:pPr>
      <w:r>
        <w:rPr>
          <w:w w:val="105"/>
          <w:sz w:val="11"/>
        </w:rPr>
        <w:t>总投资（万元）</w:t>
        <w:tab/>
        <w:t>环保投资（万元）</w:t>
      </w:r>
    </w:p>
    <w:p>
      <w:pPr>
        <w:spacing w:before="94"/>
        <w:ind w:left="1429" w:right="1538" w:firstLine="0"/>
        <w:jc w:val="center"/>
        <w:rPr>
          <w:sz w:val="11"/>
        </w:rPr>
      </w:pPr>
      <w:r>
        <w:rPr/>
        <w:br w:type="column"/>
      </w:r>
      <w:r>
        <w:rPr>
          <w:w w:val="105"/>
          <w:sz w:val="11"/>
        </w:rPr>
        <w:t>所占比例（</w:t>
      </w:r>
      <w:r>
        <w:rPr>
          <w:rFonts w:ascii="Times New Roman" w:eastAsia="Times New Roman"/>
          <w:b/>
          <w:w w:val="105"/>
          <w:sz w:val="11"/>
        </w:rPr>
        <w:t>%</w:t>
      </w:r>
      <w:r>
        <w:rPr>
          <w:w w:val="105"/>
          <w:sz w:val="11"/>
        </w:rPr>
        <w:t>）</w:t>
      </w:r>
    </w:p>
    <w:p>
      <w:pPr>
        <w:spacing w:after="0"/>
        <w:jc w:val="center"/>
        <w:rPr>
          <w:sz w:val="11"/>
        </w:rPr>
        <w:sectPr>
          <w:type w:val="continuous"/>
          <w:pgSz w:w="16840" w:h="11910" w:orient="landscape"/>
          <w:pgMar w:top="1180" w:bottom="1160" w:left="1420" w:right="1160"/>
          <w:cols w:num="2" w:equalWidth="0">
            <w:col w:w="8942" w:space="1502"/>
            <w:col w:w="3816"/>
          </w:cols>
        </w:sectPr>
      </w:pPr>
    </w:p>
    <w:p>
      <w:pPr>
        <w:tabs>
          <w:tab w:pos="3339" w:val="left" w:leader="none"/>
        </w:tabs>
        <w:spacing w:before="93"/>
        <w:ind w:left="1611" w:right="0" w:firstLine="0"/>
        <w:jc w:val="left"/>
        <w:rPr>
          <w:sz w:val="11"/>
        </w:rPr>
      </w:pPr>
      <w:r>
        <w:rPr>
          <w:w w:val="105"/>
          <w:sz w:val="11"/>
        </w:rPr>
        <w:t>单位名称</w:t>
        <w:tab/>
        <w:t>仁和堂药业有限公司</w:t>
      </w:r>
    </w:p>
    <w:p>
      <w:pPr>
        <w:tabs>
          <w:tab w:pos="2005" w:val="left" w:leader="none"/>
          <w:tab w:pos="4381" w:val="left" w:leader="none"/>
        </w:tabs>
        <w:spacing w:before="103"/>
        <w:ind w:left="769" w:right="0" w:firstLine="0"/>
        <w:jc w:val="left"/>
        <w:rPr>
          <w:sz w:val="11"/>
        </w:rPr>
      </w:pPr>
      <w:r>
        <w:rPr/>
        <w:br w:type="column"/>
      </w:r>
      <w:r>
        <w:rPr>
          <w:w w:val="105"/>
          <w:sz w:val="11"/>
        </w:rPr>
        <w:t>法人代表</w:t>
        <w:tab/>
        <w:t>赵振桥</w:t>
        <w:tab/>
        <w:t>单位名称</w:t>
      </w:r>
    </w:p>
    <w:p>
      <w:pPr>
        <w:spacing w:before="90"/>
        <w:ind w:left="430" w:right="0" w:firstLine="0"/>
        <w:jc w:val="left"/>
        <w:rPr>
          <w:sz w:val="11"/>
        </w:rPr>
      </w:pPr>
      <w:r>
        <w:rPr/>
        <w:br w:type="column"/>
      </w:r>
      <w:r>
        <w:rPr>
          <w:w w:val="105"/>
          <w:sz w:val="11"/>
        </w:rPr>
        <w:t>北京中环博宏环境资源科技有限公司</w:t>
      </w:r>
    </w:p>
    <w:p>
      <w:pPr>
        <w:spacing w:before="103"/>
        <w:ind w:left="361" w:right="0" w:firstLine="0"/>
        <w:jc w:val="left"/>
        <w:rPr>
          <w:sz w:val="11"/>
        </w:rPr>
      </w:pPr>
      <w:r>
        <w:rPr/>
        <w:br w:type="column"/>
      </w:r>
      <w:r>
        <w:rPr>
          <w:w w:val="105"/>
          <w:sz w:val="11"/>
        </w:rPr>
        <w:t>证书编号</w:t>
      </w:r>
    </w:p>
    <w:p>
      <w:pPr>
        <w:spacing w:before="90"/>
        <w:ind w:left="394" w:right="0" w:firstLine="0"/>
        <w:jc w:val="left"/>
        <w:rPr>
          <w:sz w:val="11"/>
        </w:rPr>
      </w:pPr>
      <w:r>
        <w:rPr/>
        <w:br w:type="column"/>
      </w:r>
      <w:r>
        <w:rPr>
          <w:sz w:val="11"/>
        </w:rPr>
        <w:t>国环评证甲字第1001号</w:t>
      </w:r>
    </w:p>
    <w:p>
      <w:pPr>
        <w:spacing w:after="0"/>
        <w:jc w:val="left"/>
        <w:rPr>
          <w:sz w:val="11"/>
        </w:rPr>
        <w:sectPr>
          <w:type w:val="continuous"/>
          <w:pgSz w:w="16840" w:h="11910" w:orient="landscape"/>
          <w:pgMar w:top="1180" w:bottom="1160" w:left="1420" w:right="1160"/>
          <w:cols w:num="5" w:equalWidth="0">
            <w:col w:w="4399" w:space="40"/>
            <w:col w:w="4862" w:space="39"/>
            <w:col w:w="2313" w:space="39"/>
            <w:col w:w="842" w:space="39"/>
            <w:col w:w="1687"/>
          </w:cols>
        </w:sectPr>
      </w:pPr>
    </w:p>
    <w:p>
      <w:pPr>
        <w:tabs>
          <w:tab w:pos="1371" w:val="left" w:leader="none"/>
        </w:tabs>
        <w:spacing w:line="198" w:lineRule="exact" w:before="0"/>
        <w:ind w:left="308" w:right="0" w:firstLine="0"/>
        <w:jc w:val="left"/>
        <w:rPr>
          <w:sz w:val="11"/>
        </w:rPr>
      </w:pPr>
      <w:r>
        <w:rPr>
          <w:w w:val="105"/>
          <w:position w:val="1"/>
          <w:sz w:val="14"/>
        </w:rPr>
        <w:t>建</w:t>
      </w:r>
      <w:r>
        <w:rPr>
          <w:spacing w:val="4"/>
          <w:w w:val="105"/>
          <w:position w:val="1"/>
          <w:sz w:val="14"/>
        </w:rPr>
        <w:t> </w:t>
      </w:r>
      <w:r>
        <w:rPr>
          <w:w w:val="105"/>
          <w:position w:val="1"/>
          <w:sz w:val="14"/>
        </w:rPr>
        <w:t>设</w:t>
        <w:tab/>
      </w:r>
      <w:r>
        <w:rPr>
          <w:w w:val="105"/>
          <w:sz w:val="11"/>
        </w:rPr>
        <w:t>统一社会信用代码</w:t>
      </w:r>
    </w:p>
    <w:p>
      <w:pPr>
        <w:tabs>
          <w:tab w:pos="1371" w:val="left" w:leader="none"/>
        </w:tabs>
        <w:spacing w:line="237" w:lineRule="exact" w:before="0"/>
        <w:ind w:left="308" w:right="0" w:firstLine="0"/>
        <w:jc w:val="left"/>
        <w:rPr>
          <w:sz w:val="11"/>
        </w:rPr>
      </w:pPr>
      <w:r>
        <w:rPr>
          <w:w w:val="105"/>
          <w:position w:val="-1"/>
          <w:sz w:val="14"/>
        </w:rPr>
        <w:t>单</w:t>
      </w:r>
      <w:r>
        <w:rPr>
          <w:spacing w:val="4"/>
          <w:w w:val="105"/>
          <w:position w:val="-1"/>
          <w:sz w:val="14"/>
        </w:rPr>
        <w:t> </w:t>
      </w:r>
      <w:r>
        <w:rPr>
          <w:w w:val="105"/>
          <w:position w:val="-1"/>
          <w:sz w:val="14"/>
        </w:rPr>
        <w:t>位</w:t>
        <w:tab/>
      </w:r>
      <w:r>
        <w:rPr>
          <w:w w:val="105"/>
          <w:sz w:val="11"/>
        </w:rPr>
        <w:t>（组织机构代码）</w:t>
      </w:r>
    </w:p>
    <w:p>
      <w:pPr>
        <w:pStyle w:val="BodyText"/>
        <w:spacing w:before="9"/>
        <w:rPr>
          <w:sz w:val="6"/>
        </w:rPr>
      </w:pPr>
      <w:r>
        <w:rPr/>
        <w:br w:type="column"/>
      </w:r>
      <w:r>
        <w:rPr>
          <w:sz w:val="6"/>
        </w:rPr>
      </w:r>
    </w:p>
    <w:p>
      <w:pPr>
        <w:spacing w:before="0"/>
        <w:ind w:left="308" w:right="0" w:firstLine="0"/>
        <w:jc w:val="left"/>
        <w:rPr>
          <w:rFonts w:ascii="Times New Roman"/>
          <w:sz w:val="11"/>
        </w:rPr>
      </w:pPr>
      <w:r>
        <w:rPr>
          <w:rFonts w:ascii="Times New Roman"/>
          <w:w w:val="105"/>
          <w:sz w:val="11"/>
        </w:rPr>
        <w:t>91371327168491405B</w:t>
      </w:r>
    </w:p>
    <w:p>
      <w:pPr>
        <w:tabs>
          <w:tab w:pos="1603" w:val="left" w:leader="none"/>
        </w:tabs>
        <w:spacing w:before="97"/>
        <w:ind w:left="307" w:right="0" w:firstLine="0"/>
        <w:jc w:val="left"/>
        <w:rPr>
          <w:sz w:val="11"/>
        </w:rPr>
      </w:pPr>
      <w:r>
        <w:rPr/>
        <w:br w:type="column"/>
      </w:r>
      <w:r>
        <w:rPr>
          <w:w w:val="105"/>
          <w:sz w:val="11"/>
        </w:rPr>
        <w:t>技术负责人</w:t>
        <w:tab/>
        <w:t>杜经理</w:t>
      </w:r>
    </w:p>
    <w:p>
      <w:pPr>
        <w:spacing w:line="176" w:lineRule="exact" w:before="0"/>
        <w:ind w:left="307" w:right="0" w:firstLine="0"/>
        <w:jc w:val="left"/>
        <w:rPr>
          <w:sz w:val="14"/>
        </w:rPr>
      </w:pPr>
      <w:r>
        <w:rPr/>
        <w:br w:type="column"/>
      </w:r>
      <w:r>
        <w:rPr>
          <w:w w:val="105"/>
          <w:sz w:val="14"/>
        </w:rPr>
        <w:t>评价</w:t>
      </w:r>
    </w:p>
    <w:p>
      <w:pPr>
        <w:tabs>
          <w:tab w:pos="1162" w:val="left" w:leader="none"/>
          <w:tab w:pos="3236" w:val="left" w:leader="none"/>
        </w:tabs>
        <w:spacing w:line="96" w:lineRule="auto" w:before="0"/>
        <w:ind w:left="307" w:right="0" w:firstLine="0"/>
        <w:jc w:val="left"/>
        <w:rPr>
          <w:sz w:val="11"/>
        </w:rPr>
      </w:pPr>
      <w:r>
        <w:rPr>
          <w:w w:val="105"/>
          <w:position w:val="-8"/>
          <w:sz w:val="14"/>
        </w:rPr>
        <w:t>单位</w:t>
        <w:tab/>
      </w:r>
      <w:r>
        <w:rPr>
          <w:w w:val="105"/>
          <w:sz w:val="11"/>
        </w:rPr>
        <w:t>环评文件项目负责人</w:t>
        <w:tab/>
      </w:r>
      <w:r>
        <w:rPr>
          <w:w w:val="105"/>
          <w:position w:val="1"/>
          <w:sz w:val="11"/>
        </w:rPr>
        <w:t>董超</w:t>
      </w:r>
    </w:p>
    <w:p>
      <w:pPr>
        <w:spacing w:before="97"/>
        <w:ind w:left="307" w:right="0" w:firstLine="0"/>
        <w:jc w:val="left"/>
        <w:rPr>
          <w:sz w:val="11"/>
        </w:rPr>
      </w:pPr>
      <w:r>
        <w:rPr/>
        <w:br w:type="column"/>
      </w:r>
      <w:r>
        <w:rPr>
          <w:w w:val="105"/>
          <w:sz w:val="11"/>
        </w:rPr>
        <w:t>联系电话</w:t>
      </w:r>
    </w:p>
    <w:p>
      <w:pPr>
        <w:spacing w:after="0"/>
        <w:jc w:val="left"/>
        <w:rPr>
          <w:sz w:val="11"/>
        </w:rPr>
        <w:sectPr>
          <w:type w:val="continuous"/>
          <w:pgSz w:w="16840" w:h="11910" w:orient="landscape"/>
          <w:pgMar w:top="1180" w:bottom="1160" w:left="1420" w:right="1160"/>
          <w:cols w:num="5" w:equalWidth="0">
            <w:col w:w="2372" w:space="638"/>
            <w:col w:w="1448" w:space="381"/>
            <w:col w:w="1997" w:space="521"/>
            <w:col w:w="3512" w:space="876"/>
            <w:col w:w="2515"/>
          </w:cols>
        </w:sectPr>
      </w:pPr>
    </w:p>
    <w:p>
      <w:pPr>
        <w:tabs>
          <w:tab w:pos="2986" w:val="left" w:leader="none"/>
        </w:tabs>
        <w:spacing w:line="218" w:lineRule="exact" w:before="0"/>
        <w:ind w:left="1611" w:right="0" w:firstLine="0"/>
        <w:jc w:val="left"/>
        <w:rPr>
          <w:sz w:val="11"/>
        </w:rPr>
      </w:pPr>
      <w:r>
        <w:rPr>
          <w:w w:val="105"/>
          <w:sz w:val="11"/>
        </w:rPr>
        <w:t>通讯地址</w:t>
        <w:tab/>
        <w:t>莒南县经济开发区淮海路西首路南</w:t>
      </w:r>
    </w:p>
    <w:p>
      <w:pPr>
        <w:tabs>
          <w:tab w:pos="1498" w:val="left" w:leader="none"/>
          <w:tab w:pos="4028" w:val="left" w:leader="none"/>
        </w:tabs>
        <w:spacing w:line="227" w:lineRule="exact" w:before="0"/>
        <w:ind w:left="416" w:right="0" w:firstLine="0"/>
        <w:jc w:val="left"/>
        <w:rPr>
          <w:sz w:val="11"/>
        </w:rPr>
      </w:pPr>
      <w:r>
        <w:rPr/>
        <w:br w:type="column"/>
      </w:r>
      <w:r>
        <w:rPr>
          <w:w w:val="105"/>
          <w:sz w:val="11"/>
        </w:rPr>
        <w:t>联系电话</w:t>
        <w:tab/>
      </w:r>
      <w:r>
        <w:rPr>
          <w:rFonts w:ascii="Times New Roman" w:eastAsia="Times New Roman"/>
          <w:w w:val="105"/>
          <w:position w:val="1"/>
          <w:sz w:val="11"/>
        </w:rPr>
        <w:t>13791514986</w:t>
        <w:tab/>
      </w:r>
      <w:r>
        <w:rPr>
          <w:w w:val="105"/>
          <w:sz w:val="11"/>
        </w:rPr>
        <w:t>通讯地址</w:t>
      </w:r>
    </w:p>
    <w:p>
      <w:pPr>
        <w:spacing w:after="0" w:line="227" w:lineRule="exact"/>
        <w:jc w:val="left"/>
        <w:rPr>
          <w:sz w:val="11"/>
        </w:rPr>
        <w:sectPr>
          <w:type w:val="continuous"/>
          <w:pgSz w:w="16840" w:h="11910" w:orient="landscape"/>
          <w:pgMar w:top="1180" w:bottom="1160" w:left="1420" w:right="1160"/>
          <w:cols w:num="2" w:equalWidth="0">
            <w:col w:w="4751" w:space="40"/>
            <w:col w:w="9469"/>
          </w:cols>
        </w:sectPr>
      </w:pPr>
    </w:p>
    <w:p>
      <w:pPr>
        <w:spacing w:line="190" w:lineRule="exact" w:before="7"/>
        <w:ind w:left="0" w:right="151" w:firstLine="0"/>
        <w:jc w:val="right"/>
        <w:rPr>
          <w:sz w:val="11"/>
        </w:rPr>
      </w:pPr>
      <w:r>
        <w:rPr>
          <w:w w:val="105"/>
          <w:sz w:val="11"/>
        </w:rPr>
        <w:t>现有工程</w:t>
      </w:r>
    </w:p>
    <w:p>
      <w:pPr>
        <w:spacing w:line="101" w:lineRule="exact" w:before="0"/>
        <w:ind w:left="0" w:right="0" w:firstLine="0"/>
        <w:jc w:val="right"/>
        <w:rPr>
          <w:sz w:val="11"/>
        </w:rPr>
      </w:pPr>
      <w:r>
        <w:rPr>
          <w:w w:val="105"/>
          <w:sz w:val="11"/>
        </w:rPr>
        <w:t>（已建</w:t>
      </w:r>
      <w:r>
        <w:rPr>
          <w:rFonts w:ascii="Times New Roman" w:eastAsia="Times New Roman"/>
          <w:b/>
          <w:w w:val="105"/>
          <w:sz w:val="11"/>
        </w:rPr>
        <w:t>+</w:t>
      </w:r>
      <w:r>
        <w:rPr>
          <w:w w:val="105"/>
          <w:sz w:val="11"/>
        </w:rPr>
        <w:t>在建）</w:t>
      </w:r>
    </w:p>
    <w:p>
      <w:pPr>
        <w:spacing w:line="190" w:lineRule="exact" w:before="19"/>
        <w:ind w:left="613" w:right="0" w:firstLine="0"/>
        <w:jc w:val="center"/>
        <w:rPr>
          <w:sz w:val="11"/>
        </w:rPr>
      </w:pPr>
      <w:r>
        <w:rPr/>
        <w:br w:type="column"/>
      </w:r>
      <w:r>
        <w:rPr>
          <w:w w:val="105"/>
          <w:sz w:val="11"/>
        </w:rPr>
        <w:t>本工程</w:t>
      </w:r>
    </w:p>
    <w:p>
      <w:pPr>
        <w:spacing w:line="89" w:lineRule="exact" w:before="0"/>
        <w:ind w:left="613" w:right="0" w:firstLine="0"/>
        <w:jc w:val="center"/>
        <w:rPr>
          <w:sz w:val="11"/>
        </w:rPr>
      </w:pPr>
      <w:r>
        <w:rPr>
          <w:w w:val="105"/>
          <w:sz w:val="11"/>
        </w:rPr>
        <w:t>（拟建或调整变更）</w:t>
      </w:r>
    </w:p>
    <w:p>
      <w:pPr>
        <w:spacing w:line="190" w:lineRule="exact" w:before="7"/>
        <w:ind w:left="1537" w:right="5021" w:firstLine="0"/>
        <w:jc w:val="center"/>
        <w:rPr>
          <w:sz w:val="11"/>
        </w:rPr>
      </w:pPr>
      <w:r>
        <w:rPr/>
        <w:br w:type="column"/>
      </w:r>
      <w:r>
        <w:rPr>
          <w:w w:val="105"/>
          <w:sz w:val="11"/>
        </w:rPr>
        <w:t>总体工程</w:t>
      </w:r>
    </w:p>
    <w:p>
      <w:pPr>
        <w:spacing w:line="101" w:lineRule="exact" w:before="0"/>
        <w:ind w:left="1537" w:right="5021" w:firstLine="0"/>
        <w:jc w:val="center"/>
        <w:rPr>
          <w:sz w:val="11"/>
        </w:rPr>
      </w:pPr>
      <w:r>
        <w:rPr>
          <w:w w:val="105"/>
          <w:sz w:val="11"/>
        </w:rPr>
        <w:t>（已建</w:t>
      </w:r>
      <w:r>
        <w:rPr>
          <w:rFonts w:ascii="Times New Roman" w:eastAsia="Times New Roman"/>
          <w:b/>
          <w:w w:val="105"/>
          <w:sz w:val="11"/>
        </w:rPr>
        <w:t>+</w:t>
      </w:r>
      <w:r>
        <w:rPr>
          <w:w w:val="105"/>
          <w:sz w:val="11"/>
        </w:rPr>
        <w:t>在建</w:t>
      </w:r>
      <w:r>
        <w:rPr>
          <w:rFonts w:ascii="Times New Roman" w:eastAsia="Times New Roman"/>
          <w:b/>
          <w:w w:val="105"/>
          <w:sz w:val="11"/>
        </w:rPr>
        <w:t>+</w:t>
      </w:r>
      <w:r>
        <w:rPr>
          <w:w w:val="105"/>
          <w:sz w:val="11"/>
        </w:rPr>
        <w:t>拟建或调整变更）</w:t>
      </w:r>
    </w:p>
    <w:p>
      <w:pPr>
        <w:spacing w:after="0" w:line="101" w:lineRule="exact"/>
        <w:jc w:val="center"/>
        <w:rPr>
          <w:sz w:val="11"/>
        </w:rPr>
        <w:sectPr>
          <w:type w:val="continuous"/>
          <w:pgSz w:w="16840" w:h="11910" w:orient="landscape"/>
          <w:pgMar w:top="1180" w:bottom="1160" w:left="1420" w:right="1160"/>
          <w:cols w:num="3" w:equalWidth="0">
            <w:col w:w="4255" w:space="40"/>
            <w:col w:w="1694" w:space="39"/>
            <w:col w:w="8232"/>
          </w:cols>
        </w:sectPr>
      </w:pPr>
    </w:p>
    <w:p>
      <w:pPr>
        <w:spacing w:line="214" w:lineRule="exact" w:before="0"/>
        <w:ind w:left="0" w:right="0" w:firstLine="0"/>
        <w:jc w:val="right"/>
        <w:rPr>
          <w:sz w:val="14"/>
        </w:rPr>
      </w:pPr>
      <w:r>
        <w:rPr>
          <w:sz w:val="14"/>
        </w:rPr>
        <w:t>污染物</w:t>
      </w:r>
    </w:p>
    <w:p>
      <w:pPr>
        <w:spacing w:line="190" w:lineRule="exact" w:before="42"/>
        <w:ind w:left="883" w:right="0" w:firstLine="0"/>
        <w:jc w:val="center"/>
        <w:rPr>
          <w:sz w:val="11"/>
        </w:rPr>
      </w:pPr>
      <w:r>
        <w:rPr/>
        <w:br w:type="column"/>
      </w:r>
      <w:r>
        <w:rPr>
          <w:w w:val="105"/>
          <w:sz w:val="11"/>
        </w:rPr>
        <w:t>①实际排放量</w:t>
      </w:r>
    </w:p>
    <w:p>
      <w:pPr>
        <w:spacing w:line="190" w:lineRule="exact" w:before="0"/>
        <w:ind w:left="883" w:right="0" w:firstLine="0"/>
        <w:jc w:val="center"/>
        <w:rPr>
          <w:sz w:val="11"/>
        </w:rPr>
      </w:pPr>
      <w:r>
        <w:rPr>
          <w:w w:val="105"/>
          <w:sz w:val="11"/>
        </w:rPr>
        <w:t>（吨</w:t>
      </w:r>
      <w:r>
        <w:rPr>
          <w:rFonts w:ascii="Times New Roman" w:eastAsia="Times New Roman"/>
          <w:b/>
          <w:w w:val="105"/>
          <w:sz w:val="11"/>
        </w:rPr>
        <w:t>/</w:t>
      </w:r>
      <w:r>
        <w:rPr>
          <w:w w:val="105"/>
          <w:sz w:val="11"/>
        </w:rPr>
        <w:t>年）</w:t>
      </w:r>
    </w:p>
    <w:p>
      <w:pPr>
        <w:spacing w:line="190" w:lineRule="exact" w:before="42"/>
        <w:ind w:left="219" w:right="0" w:firstLine="0"/>
        <w:jc w:val="center"/>
        <w:rPr>
          <w:sz w:val="11"/>
        </w:rPr>
      </w:pPr>
      <w:r>
        <w:rPr/>
        <w:br w:type="column"/>
      </w:r>
      <w:r>
        <w:rPr>
          <w:w w:val="105"/>
          <w:sz w:val="11"/>
        </w:rPr>
        <w:t>②许可排放量</w:t>
      </w:r>
    </w:p>
    <w:p>
      <w:pPr>
        <w:spacing w:line="190" w:lineRule="exact" w:before="0"/>
        <w:ind w:left="219" w:right="0" w:firstLine="0"/>
        <w:jc w:val="center"/>
        <w:rPr>
          <w:sz w:val="11"/>
        </w:rPr>
      </w:pPr>
      <w:r>
        <w:rPr>
          <w:w w:val="105"/>
          <w:sz w:val="11"/>
        </w:rPr>
        <w:t>（吨</w:t>
      </w:r>
      <w:r>
        <w:rPr>
          <w:rFonts w:ascii="Times New Roman" w:eastAsia="Times New Roman"/>
          <w:b/>
          <w:w w:val="105"/>
          <w:sz w:val="11"/>
        </w:rPr>
        <w:t>/</w:t>
      </w:r>
      <w:r>
        <w:rPr>
          <w:w w:val="105"/>
          <w:sz w:val="11"/>
        </w:rPr>
        <w:t>年）</w:t>
      </w:r>
    </w:p>
    <w:p>
      <w:pPr>
        <w:spacing w:line="190" w:lineRule="exact" w:before="42"/>
        <w:ind w:left="344" w:right="0" w:firstLine="0"/>
        <w:jc w:val="center"/>
        <w:rPr>
          <w:sz w:val="11"/>
        </w:rPr>
      </w:pPr>
      <w:r>
        <w:rPr/>
        <w:br w:type="column"/>
      </w:r>
      <w:r>
        <w:rPr>
          <w:w w:val="105"/>
          <w:sz w:val="11"/>
        </w:rPr>
        <w:t>③预测排放量</w:t>
      </w:r>
    </w:p>
    <w:p>
      <w:pPr>
        <w:spacing w:line="190" w:lineRule="exact" w:before="0"/>
        <w:ind w:left="344" w:right="0" w:firstLine="0"/>
        <w:jc w:val="center"/>
        <w:rPr>
          <w:sz w:val="11"/>
        </w:rPr>
      </w:pPr>
      <w:r>
        <w:rPr>
          <w:w w:val="105"/>
          <w:sz w:val="11"/>
        </w:rPr>
        <w:t>（吨</w:t>
      </w:r>
      <w:r>
        <w:rPr>
          <w:rFonts w:ascii="Times New Roman" w:eastAsia="Times New Roman"/>
          <w:b/>
          <w:w w:val="105"/>
          <w:sz w:val="11"/>
        </w:rPr>
        <w:t>/</w:t>
      </w:r>
      <w:r>
        <w:rPr>
          <w:w w:val="105"/>
          <w:sz w:val="11"/>
        </w:rPr>
        <w:t>年）</w:t>
      </w:r>
    </w:p>
    <w:p>
      <w:pPr>
        <w:spacing w:line="160" w:lineRule="auto" w:before="91"/>
        <w:ind w:left="447" w:right="0" w:hanging="164"/>
        <w:jc w:val="left"/>
        <w:rPr>
          <w:sz w:val="11"/>
        </w:rPr>
      </w:pPr>
      <w:r>
        <w:rPr/>
        <w:br w:type="column"/>
      </w:r>
      <w:r>
        <w:rPr>
          <w:w w:val="105"/>
          <w:sz w:val="11"/>
        </w:rPr>
        <w:t>④</w:t>
      </w:r>
      <w:r>
        <w:rPr>
          <w:rFonts w:ascii="Times New Roman" w:hAnsi="Times New Roman" w:eastAsia="Times New Roman"/>
          <w:b/>
          <w:w w:val="105"/>
          <w:sz w:val="11"/>
        </w:rPr>
        <w:t>“</w:t>
      </w:r>
      <w:r>
        <w:rPr>
          <w:w w:val="105"/>
          <w:sz w:val="11"/>
        </w:rPr>
        <w:t>以新带老</w:t>
      </w:r>
      <w:r>
        <w:rPr>
          <w:rFonts w:ascii="Times New Roman" w:hAnsi="Times New Roman" w:eastAsia="Times New Roman"/>
          <w:b/>
          <w:w w:val="105"/>
          <w:sz w:val="11"/>
        </w:rPr>
        <w:t>”</w:t>
      </w:r>
      <w:r>
        <w:rPr>
          <w:w w:val="105"/>
          <w:sz w:val="11"/>
        </w:rPr>
        <w:t>削减量（吨</w:t>
      </w:r>
      <w:r>
        <w:rPr>
          <w:rFonts w:ascii="Times New Roman" w:hAnsi="Times New Roman" w:eastAsia="Times New Roman"/>
          <w:b/>
          <w:w w:val="105"/>
          <w:sz w:val="11"/>
        </w:rPr>
        <w:t>/</w:t>
      </w:r>
      <w:r>
        <w:rPr>
          <w:w w:val="105"/>
          <w:sz w:val="11"/>
        </w:rPr>
        <w:t>年）</w:t>
      </w:r>
    </w:p>
    <w:p>
      <w:pPr>
        <w:spacing w:line="168" w:lineRule="auto" w:before="82"/>
        <w:ind w:left="224" w:right="0" w:hanging="145"/>
        <w:jc w:val="left"/>
        <w:rPr>
          <w:sz w:val="11"/>
        </w:rPr>
      </w:pPr>
      <w:r>
        <w:rPr/>
        <w:br w:type="column"/>
      </w:r>
      <w:r>
        <w:rPr>
          <w:w w:val="105"/>
          <w:sz w:val="11"/>
        </w:rPr>
        <w:t>⑤区域平衡替代本工程削减量</w:t>
      </w:r>
      <w:r>
        <w:rPr>
          <w:rFonts w:ascii="Times New Roman" w:hAnsi="Times New Roman" w:eastAsia="Times New Roman"/>
          <w:b/>
          <w:w w:val="105"/>
          <w:sz w:val="11"/>
          <w:vertAlign w:val="superscript"/>
        </w:rPr>
        <w:t>4</w:t>
      </w:r>
      <w:r>
        <w:rPr>
          <w:w w:val="105"/>
          <w:sz w:val="11"/>
          <w:vertAlign w:val="baseline"/>
        </w:rPr>
        <w:t>（吨</w:t>
      </w:r>
      <w:r>
        <w:rPr>
          <w:rFonts w:ascii="Times New Roman" w:hAnsi="Times New Roman" w:eastAsia="Times New Roman"/>
          <w:b/>
          <w:w w:val="105"/>
          <w:sz w:val="11"/>
          <w:vertAlign w:val="baseline"/>
        </w:rPr>
        <w:t>/</w:t>
      </w:r>
      <w:r>
        <w:rPr>
          <w:w w:val="105"/>
          <w:sz w:val="11"/>
          <w:vertAlign w:val="baseline"/>
        </w:rPr>
        <w:t>年）</w:t>
      </w:r>
    </w:p>
    <w:p>
      <w:pPr>
        <w:spacing w:line="190" w:lineRule="exact" w:before="42"/>
        <w:ind w:left="187" w:right="0" w:firstLine="0"/>
        <w:jc w:val="center"/>
        <w:rPr>
          <w:sz w:val="11"/>
        </w:rPr>
      </w:pPr>
      <w:r>
        <w:rPr/>
        <w:br w:type="column"/>
      </w:r>
      <w:r>
        <w:rPr>
          <w:w w:val="105"/>
          <w:sz w:val="11"/>
        </w:rPr>
        <w:t>⑥预测排放总量</w:t>
      </w:r>
    </w:p>
    <w:p>
      <w:pPr>
        <w:spacing w:line="190" w:lineRule="exact" w:before="0"/>
        <w:ind w:left="187" w:right="0" w:firstLine="0"/>
        <w:jc w:val="center"/>
        <w:rPr>
          <w:sz w:val="11"/>
        </w:rPr>
      </w:pPr>
      <w:r>
        <w:rPr>
          <w:w w:val="105"/>
          <w:sz w:val="11"/>
        </w:rPr>
        <w:t>（吨</w:t>
      </w:r>
      <w:r>
        <w:rPr>
          <w:rFonts w:ascii="Times New Roman" w:eastAsia="Times New Roman"/>
          <w:b/>
          <w:w w:val="105"/>
          <w:sz w:val="11"/>
        </w:rPr>
        <w:t>/</w:t>
      </w:r>
      <w:r>
        <w:rPr>
          <w:w w:val="105"/>
          <w:sz w:val="11"/>
        </w:rPr>
        <w:t>年）</w:t>
      </w:r>
    </w:p>
    <w:p>
      <w:pPr>
        <w:spacing w:line="190" w:lineRule="exact" w:before="42"/>
        <w:ind w:left="324" w:right="0" w:firstLine="0"/>
        <w:jc w:val="center"/>
        <w:rPr>
          <w:sz w:val="11"/>
        </w:rPr>
      </w:pPr>
      <w:r>
        <w:rPr/>
        <w:br w:type="column"/>
      </w:r>
      <w:r>
        <w:rPr>
          <w:w w:val="105"/>
          <w:sz w:val="11"/>
        </w:rPr>
        <w:t>⑦排放增减量</w:t>
      </w:r>
    </w:p>
    <w:p>
      <w:pPr>
        <w:spacing w:line="190" w:lineRule="exact" w:before="0"/>
        <w:ind w:left="325" w:right="0" w:firstLine="0"/>
        <w:jc w:val="center"/>
        <w:rPr>
          <w:sz w:val="11"/>
        </w:rPr>
      </w:pPr>
      <w:r>
        <w:rPr>
          <w:w w:val="105"/>
          <w:sz w:val="11"/>
        </w:rPr>
        <w:t>（吨</w:t>
      </w:r>
      <w:r>
        <w:rPr>
          <w:rFonts w:ascii="Times New Roman" w:eastAsia="Times New Roman"/>
          <w:b/>
          <w:w w:val="105"/>
          <w:sz w:val="11"/>
        </w:rPr>
        <w:t>/</w:t>
      </w:r>
      <w:r>
        <w:rPr>
          <w:w w:val="105"/>
          <w:sz w:val="11"/>
        </w:rPr>
        <w:t>年）</w:t>
      </w:r>
    </w:p>
    <w:p>
      <w:pPr>
        <w:spacing w:line="185" w:lineRule="exact" w:before="0"/>
        <w:ind w:left="1632" w:right="1508" w:firstLine="0"/>
        <w:jc w:val="center"/>
        <w:rPr>
          <w:sz w:val="11"/>
        </w:rPr>
      </w:pPr>
      <w:r>
        <w:rPr/>
        <w:br w:type="column"/>
      </w:r>
      <w:r>
        <w:rPr>
          <w:w w:val="105"/>
          <w:sz w:val="11"/>
        </w:rPr>
        <w:t>排放方式</w:t>
      </w:r>
    </w:p>
    <w:p>
      <w:pPr>
        <w:spacing w:after="0" w:line="185" w:lineRule="exact"/>
        <w:jc w:val="center"/>
        <w:rPr>
          <w:sz w:val="11"/>
        </w:rPr>
        <w:sectPr>
          <w:type w:val="continuous"/>
          <w:pgSz w:w="16840" w:h="11910" w:orient="landscape"/>
          <w:pgMar w:top="1180" w:bottom="1160" w:left="1420" w:right="1160"/>
          <w:cols w:num="9" w:equalWidth="0">
            <w:col w:w="2080" w:space="40"/>
            <w:col w:w="1605" w:space="39"/>
            <w:col w:w="940" w:space="39"/>
            <w:col w:w="1065" w:space="39"/>
            <w:col w:w="1244" w:space="40"/>
            <w:col w:w="1281" w:space="40"/>
            <w:col w:w="1029" w:space="39"/>
            <w:col w:w="1045" w:space="52"/>
            <w:col w:w="3643"/>
          </w:cols>
        </w:sectPr>
      </w:pPr>
    </w:p>
    <w:p>
      <w:pPr>
        <w:spacing w:line="235" w:lineRule="exact" w:before="100"/>
        <w:ind w:left="399" w:right="0" w:firstLine="0"/>
        <w:jc w:val="left"/>
        <w:rPr>
          <w:sz w:val="14"/>
        </w:rPr>
      </w:pPr>
      <w:r>
        <w:rPr>
          <w:w w:val="102"/>
          <w:sz w:val="14"/>
        </w:rPr>
        <w:t>污</w:t>
      </w:r>
    </w:p>
    <w:p>
      <w:pPr>
        <w:tabs>
          <w:tab w:pos="922" w:val="left" w:leader="none"/>
        </w:tabs>
        <w:spacing w:line="86" w:lineRule="auto" w:before="70"/>
        <w:ind w:left="399" w:right="0" w:firstLine="0"/>
        <w:jc w:val="left"/>
        <w:rPr>
          <w:sz w:val="14"/>
        </w:rPr>
      </w:pPr>
      <w:r>
        <w:rPr>
          <w:w w:val="105"/>
          <w:position w:val="7"/>
          <w:sz w:val="14"/>
        </w:rPr>
        <w:t>染</w:t>
        <w:tab/>
      </w:r>
      <w:r>
        <w:rPr>
          <w:sz w:val="14"/>
        </w:rPr>
        <w:t>废水</w:t>
      </w:r>
      <w:r>
        <w:rPr>
          <w:w w:val="105"/>
          <w:sz w:val="14"/>
        </w:rPr>
        <w:t>物</w:t>
      </w:r>
    </w:p>
    <w:p>
      <w:pPr>
        <w:tabs>
          <w:tab w:pos="9748" w:val="left" w:leader="none"/>
        </w:tabs>
        <w:spacing w:line="184" w:lineRule="exact" w:before="0"/>
        <w:ind w:left="399" w:right="0" w:firstLine="0"/>
        <w:jc w:val="left"/>
        <w:rPr>
          <w:sz w:val="11"/>
        </w:rPr>
      </w:pPr>
      <w:r>
        <w:rPr/>
        <w:br w:type="column"/>
      </w:r>
      <w:r>
        <w:rPr>
          <w:w w:val="105"/>
          <w:sz w:val="11"/>
        </w:rPr>
        <w:t>废水量</w:t>
      </w:r>
      <w:r>
        <w:rPr>
          <w:rFonts w:ascii="Times New Roman" w:eastAsia="Times New Roman"/>
          <w:b/>
          <w:w w:val="105"/>
          <w:sz w:val="11"/>
        </w:rPr>
        <w:t>(</w:t>
      </w:r>
      <w:r>
        <w:rPr>
          <w:w w:val="105"/>
          <w:sz w:val="11"/>
        </w:rPr>
        <w:t>万吨</w:t>
      </w:r>
      <w:r>
        <w:rPr>
          <w:rFonts w:ascii="Times New Roman" w:eastAsia="Times New Roman"/>
          <w:b/>
          <w:w w:val="105"/>
          <w:sz w:val="11"/>
        </w:rPr>
        <w:t>/</w:t>
      </w:r>
      <w:r>
        <w:rPr>
          <w:w w:val="105"/>
          <w:sz w:val="11"/>
        </w:rPr>
        <w:t>年</w:t>
      </w:r>
      <w:r>
        <w:rPr>
          <w:rFonts w:ascii="Times New Roman" w:eastAsia="Times New Roman"/>
          <w:b/>
          <w:w w:val="105"/>
          <w:sz w:val="11"/>
        </w:rPr>
        <w:t>)</w:t>
        <w:tab/>
      </w:r>
      <w:r>
        <w:rPr>
          <w:w w:val="105"/>
          <w:sz w:val="11"/>
        </w:rPr>
        <w:t>不排放</w:t>
      </w:r>
    </w:p>
    <w:p>
      <w:pPr>
        <w:tabs>
          <w:tab w:pos="9748" w:val="left" w:leader="none"/>
          <w:tab w:pos="10658" w:val="left" w:leader="none"/>
        </w:tabs>
        <w:spacing w:line="206" w:lineRule="exact" w:before="0"/>
        <w:ind w:left="684" w:right="0" w:firstLine="0"/>
        <w:jc w:val="left"/>
        <w:rPr>
          <w:sz w:val="11"/>
        </w:rPr>
      </w:pPr>
      <w:r>
        <w:rPr>
          <w:rFonts w:ascii="Times New Roman" w:eastAsia="Times New Roman"/>
          <w:b/>
          <w:w w:val="105"/>
          <w:sz w:val="11"/>
        </w:rPr>
        <w:t>COD</w:t>
        <w:tab/>
      </w:r>
      <w:r>
        <w:rPr>
          <w:w w:val="105"/>
          <w:sz w:val="11"/>
        </w:rPr>
        <w:t>间接排放：</w:t>
        <w:tab/>
        <w:t>市政管网</w:t>
      </w:r>
    </w:p>
    <w:p>
      <w:pPr>
        <w:tabs>
          <w:tab w:pos="10658" w:val="left" w:leader="none"/>
        </w:tabs>
        <w:spacing w:line="230" w:lineRule="exact" w:before="0"/>
        <w:ind w:left="694" w:right="0" w:firstLine="0"/>
        <w:jc w:val="left"/>
        <w:rPr>
          <w:sz w:val="11"/>
        </w:rPr>
      </w:pPr>
      <w:r>
        <w:rPr>
          <w:w w:val="105"/>
          <w:sz w:val="11"/>
        </w:rPr>
        <w:t>氨氮</w:t>
        <w:tab/>
      </w:r>
      <w:r>
        <w:rPr>
          <w:w w:val="105"/>
          <w:position w:val="1"/>
          <w:sz w:val="11"/>
        </w:rPr>
        <w:t>集中式工业污水处理厂</w:t>
      </w:r>
    </w:p>
    <w:p>
      <w:pPr>
        <w:spacing w:after="0" w:line="230" w:lineRule="exact"/>
        <w:jc w:val="left"/>
        <w:rPr>
          <w:sz w:val="11"/>
        </w:rPr>
        <w:sectPr>
          <w:type w:val="continuous"/>
          <w:pgSz w:w="16840" w:h="11910" w:orient="landscape"/>
          <w:pgMar w:top="1180" w:bottom="1160" w:left="1420" w:right="1160"/>
          <w:cols w:num="2" w:equalWidth="0">
            <w:col w:w="1216" w:space="61"/>
            <w:col w:w="12983"/>
          </w:cols>
        </w:sectPr>
      </w:pPr>
    </w:p>
    <w:p>
      <w:pPr>
        <w:tabs>
          <w:tab w:pos="1971" w:val="left" w:leader="none"/>
          <w:tab w:pos="11025" w:val="left" w:leader="none"/>
        </w:tabs>
        <w:spacing w:line="79" w:lineRule="auto" w:before="0"/>
        <w:ind w:left="399" w:right="0" w:firstLine="0"/>
        <w:jc w:val="left"/>
        <w:rPr>
          <w:sz w:val="11"/>
        </w:rPr>
      </w:pPr>
      <w:r>
        <w:rPr>
          <w:w w:val="105"/>
          <w:position w:val="-6"/>
          <w:sz w:val="14"/>
        </w:rPr>
        <w:t>排</w:t>
        <w:tab/>
      </w:r>
      <w:r>
        <w:rPr>
          <w:w w:val="105"/>
          <w:sz w:val="11"/>
        </w:rPr>
        <w:t>总磷</w:t>
        <w:tab/>
      </w:r>
      <w:r>
        <w:rPr>
          <w:w w:val="105"/>
          <w:position w:val="1"/>
          <w:sz w:val="11"/>
        </w:rPr>
        <w:t>直接排放：</w:t>
      </w:r>
    </w:p>
    <w:p>
      <w:pPr>
        <w:tabs>
          <w:tab w:pos="1971" w:val="left" w:leader="none"/>
        </w:tabs>
        <w:spacing w:line="224" w:lineRule="exact" w:before="0"/>
        <w:ind w:left="399" w:right="0" w:firstLine="0"/>
        <w:jc w:val="left"/>
        <w:rPr>
          <w:sz w:val="11"/>
        </w:rPr>
      </w:pPr>
      <w:r>
        <w:rPr>
          <w:w w:val="105"/>
          <w:position w:val="-3"/>
          <w:sz w:val="14"/>
        </w:rPr>
        <w:t>放</w:t>
        <w:tab/>
      </w:r>
      <w:r>
        <w:rPr>
          <w:w w:val="105"/>
          <w:sz w:val="11"/>
        </w:rPr>
        <w:t>总氮</w:t>
      </w:r>
    </w:p>
    <w:p>
      <w:pPr>
        <w:tabs>
          <w:tab w:pos="1414" w:val="left" w:leader="none"/>
        </w:tabs>
        <w:spacing w:line="211" w:lineRule="exact" w:before="0"/>
        <w:ind w:left="399" w:right="0" w:firstLine="0"/>
        <w:jc w:val="left"/>
        <w:rPr>
          <w:sz w:val="11"/>
        </w:rPr>
      </w:pPr>
      <w:r>
        <w:rPr>
          <w:w w:val="105"/>
          <w:sz w:val="14"/>
        </w:rPr>
        <w:t>量</w:t>
        <w:tab/>
      </w:r>
      <w:r>
        <w:rPr>
          <w:w w:val="105"/>
          <w:position w:val="1"/>
          <w:sz w:val="11"/>
        </w:rPr>
        <w:t>废气量（万标立方米</w:t>
      </w:r>
      <w:r>
        <w:rPr>
          <w:rFonts w:ascii="Times New Roman" w:eastAsia="Times New Roman"/>
          <w:b/>
          <w:w w:val="105"/>
          <w:position w:val="1"/>
          <w:sz w:val="11"/>
        </w:rPr>
        <w:t>/</w:t>
      </w:r>
      <w:r>
        <w:rPr>
          <w:w w:val="105"/>
          <w:position w:val="1"/>
          <w:sz w:val="11"/>
        </w:rPr>
        <w:t>年）</w:t>
      </w:r>
    </w:p>
    <w:p>
      <w:pPr>
        <w:spacing w:line="174" w:lineRule="exact" w:before="0"/>
        <w:ind w:left="1727" w:right="9155" w:firstLine="0"/>
        <w:jc w:val="center"/>
        <w:rPr>
          <w:sz w:val="11"/>
        </w:rPr>
      </w:pPr>
      <w:r>
        <w:rPr>
          <w:w w:val="105"/>
          <w:sz w:val="11"/>
        </w:rPr>
        <w:t>二氧化硫</w:t>
      </w:r>
    </w:p>
    <w:p>
      <w:pPr>
        <w:tabs>
          <w:tab w:pos="1851" w:val="left" w:leader="none"/>
        </w:tabs>
        <w:spacing w:line="199" w:lineRule="auto" w:before="0"/>
        <w:ind w:left="1911" w:right="9280" w:hanging="990"/>
        <w:jc w:val="left"/>
        <w:rPr>
          <w:sz w:val="11"/>
        </w:rPr>
      </w:pPr>
      <w:r>
        <w:rPr>
          <w:w w:val="105"/>
          <w:sz w:val="14"/>
        </w:rPr>
        <w:t>废气</w:t>
        <w:tab/>
      </w:r>
      <w:r>
        <w:rPr>
          <w:w w:val="105"/>
          <w:sz w:val="11"/>
        </w:rPr>
        <w:t>氮氧化物颗粒物</w:t>
      </w:r>
    </w:p>
    <w:p>
      <w:pPr>
        <w:spacing w:line="220" w:lineRule="exact" w:before="0"/>
        <w:ind w:left="1727" w:right="9155" w:firstLine="0"/>
        <w:jc w:val="center"/>
        <w:rPr>
          <w:sz w:val="11"/>
        </w:rPr>
      </w:pPr>
      <w:r>
        <w:rPr>
          <w:w w:val="105"/>
          <w:sz w:val="11"/>
        </w:rPr>
        <w:t>挥发性有机物</w:t>
      </w:r>
    </w:p>
    <w:p>
      <w:pPr>
        <w:spacing w:line="131" w:lineRule="exact" w:before="0"/>
        <w:ind w:left="108" w:right="0" w:firstLine="0"/>
        <w:jc w:val="left"/>
        <w:rPr>
          <w:sz w:val="11"/>
        </w:rPr>
      </w:pPr>
      <w:r>
        <w:rPr/>
        <w:br w:type="column"/>
      </w:r>
      <w:r>
        <w:rPr>
          <w:w w:val="105"/>
          <w:sz w:val="11"/>
        </w:rPr>
        <w:t>受纳水体</w:t>
      </w:r>
    </w:p>
    <w:p>
      <w:pPr>
        <w:pStyle w:val="BodyText"/>
        <w:spacing w:before="21"/>
        <w:rPr>
          <w:sz w:val="9"/>
        </w:rPr>
      </w:pPr>
    </w:p>
    <w:p>
      <w:pPr>
        <w:spacing w:before="0"/>
        <w:ind w:left="821" w:right="0" w:firstLine="0"/>
        <w:jc w:val="left"/>
        <w:rPr>
          <w:rFonts w:ascii="Times New Roman"/>
          <w:sz w:val="15"/>
        </w:rPr>
      </w:pPr>
      <w:r>
        <w:rPr>
          <w:rFonts w:ascii="Times New Roman"/>
          <w:w w:val="104"/>
          <w:sz w:val="15"/>
        </w:rPr>
        <w:t>/</w:t>
      </w:r>
    </w:p>
    <w:p>
      <w:pPr>
        <w:spacing w:before="37"/>
        <w:ind w:left="821" w:right="0" w:firstLine="0"/>
        <w:jc w:val="left"/>
        <w:rPr>
          <w:rFonts w:ascii="Times New Roman"/>
          <w:sz w:val="15"/>
        </w:rPr>
      </w:pPr>
      <w:r>
        <w:rPr>
          <w:rFonts w:ascii="Times New Roman"/>
          <w:w w:val="104"/>
          <w:sz w:val="15"/>
        </w:rPr>
        <w:t>/</w:t>
      </w:r>
    </w:p>
    <w:p>
      <w:pPr>
        <w:spacing w:before="36"/>
        <w:ind w:left="821" w:right="0" w:firstLine="0"/>
        <w:jc w:val="left"/>
        <w:rPr>
          <w:rFonts w:ascii="Times New Roman"/>
          <w:sz w:val="15"/>
        </w:rPr>
      </w:pPr>
      <w:r>
        <w:rPr>
          <w:rFonts w:ascii="Times New Roman"/>
          <w:w w:val="104"/>
          <w:sz w:val="15"/>
        </w:rPr>
        <w:t>/</w:t>
      </w:r>
    </w:p>
    <w:p>
      <w:pPr>
        <w:spacing w:before="36"/>
        <w:ind w:left="821" w:right="0" w:firstLine="0"/>
        <w:jc w:val="left"/>
        <w:rPr>
          <w:rFonts w:ascii="Times New Roman"/>
          <w:sz w:val="15"/>
        </w:rPr>
      </w:pPr>
      <w:r>
        <w:rPr>
          <w:rFonts w:ascii="Times New Roman"/>
          <w:w w:val="104"/>
          <w:sz w:val="15"/>
        </w:rPr>
        <w:t>/</w:t>
      </w:r>
    </w:p>
    <w:p>
      <w:pPr>
        <w:spacing w:before="37"/>
        <w:ind w:left="821" w:right="0" w:firstLine="0"/>
        <w:jc w:val="left"/>
        <w:rPr>
          <w:rFonts w:ascii="Times New Roman"/>
          <w:sz w:val="15"/>
        </w:rPr>
      </w:pPr>
      <w:r>
        <w:rPr>
          <w:rFonts w:ascii="Times New Roman"/>
          <w:w w:val="104"/>
          <w:sz w:val="15"/>
        </w:rPr>
        <w:t>/</w:t>
      </w:r>
    </w:p>
    <w:p>
      <w:pPr>
        <w:spacing w:after="0"/>
        <w:jc w:val="left"/>
        <w:rPr>
          <w:rFonts w:ascii="Times New Roman"/>
          <w:sz w:val="15"/>
        </w:rPr>
        <w:sectPr>
          <w:type w:val="continuous"/>
          <w:pgSz w:w="16840" w:h="11910" w:orient="landscape"/>
          <w:pgMar w:top="1180" w:bottom="1160" w:left="1420" w:right="1160"/>
          <w:cols w:num="2" w:equalWidth="0">
            <w:col w:w="11615" w:space="40"/>
            <w:col w:w="2605"/>
          </w:cols>
        </w:sectPr>
      </w:pPr>
    </w:p>
    <w:p>
      <w:pPr>
        <w:pStyle w:val="BodyText"/>
        <w:spacing w:before="8"/>
        <w:rPr>
          <w:rFonts w:ascii="Times New Roman"/>
          <w:sz w:val="14"/>
        </w:rPr>
      </w:pPr>
    </w:p>
    <w:p>
      <w:pPr>
        <w:spacing w:line="259" w:lineRule="exact" w:before="0"/>
        <w:ind w:left="197" w:right="0" w:firstLine="0"/>
        <w:jc w:val="left"/>
        <w:rPr>
          <w:sz w:val="14"/>
        </w:rPr>
      </w:pPr>
      <w:r>
        <w:rPr>
          <w:sz w:val="14"/>
        </w:rPr>
        <w:t>项目涉及保护区</w:t>
      </w:r>
    </w:p>
    <w:p>
      <w:pPr>
        <w:spacing w:before="89"/>
        <w:ind w:left="63" w:right="0" w:firstLine="0"/>
        <w:jc w:val="left"/>
        <w:rPr>
          <w:sz w:val="11"/>
        </w:rPr>
      </w:pPr>
      <w:r>
        <w:rPr/>
        <w:br w:type="column"/>
      </w:r>
      <w:r>
        <w:rPr>
          <w:w w:val="105"/>
          <w:sz w:val="11"/>
        </w:rPr>
        <w:t>生态保护目标</w:t>
      </w:r>
    </w:p>
    <w:p>
      <w:pPr>
        <w:tabs>
          <w:tab w:pos="2749" w:val="left" w:leader="none"/>
        </w:tabs>
        <w:spacing w:line="139" w:lineRule="auto" w:before="0"/>
        <w:ind w:left="593" w:right="0" w:firstLine="0"/>
        <w:jc w:val="left"/>
        <w:rPr>
          <w:sz w:val="11"/>
        </w:rPr>
      </w:pPr>
      <w:r>
        <w:rPr/>
        <w:br w:type="column"/>
      </w:r>
      <w:r>
        <w:rPr>
          <w:w w:val="105"/>
          <w:sz w:val="11"/>
        </w:rPr>
        <w:t>影响及主要措施</w:t>
        <w:tab/>
      </w:r>
      <w:r>
        <w:rPr>
          <w:w w:val="105"/>
          <w:position w:val="-6"/>
          <w:sz w:val="11"/>
        </w:rPr>
        <w:t>名称</w:t>
      </w:r>
    </w:p>
    <w:p>
      <w:pPr>
        <w:spacing w:line="183" w:lineRule="exact" w:before="37"/>
        <w:ind w:left="195" w:right="0" w:firstLine="0"/>
        <w:jc w:val="left"/>
        <w:rPr>
          <w:sz w:val="11"/>
        </w:rPr>
      </w:pPr>
      <w:r>
        <w:rPr>
          <w:w w:val="105"/>
          <w:sz w:val="11"/>
        </w:rPr>
        <w:t>自然保护区</w:t>
      </w:r>
    </w:p>
    <w:p>
      <w:pPr>
        <w:tabs>
          <w:tab w:pos="1157" w:val="left" w:leader="none"/>
        </w:tabs>
        <w:spacing w:line="105" w:lineRule="auto" w:before="0"/>
        <w:ind w:left="197" w:right="0" w:firstLine="0"/>
        <w:jc w:val="left"/>
        <w:rPr>
          <w:sz w:val="11"/>
        </w:rPr>
      </w:pPr>
      <w:r>
        <w:rPr/>
        <w:br w:type="column"/>
      </w:r>
      <w:r>
        <w:rPr>
          <w:w w:val="105"/>
          <w:position w:val="-6"/>
          <w:sz w:val="11"/>
        </w:rPr>
        <w:t>级别</w:t>
        <w:tab/>
      </w:r>
      <w:r>
        <w:rPr>
          <w:w w:val="105"/>
          <w:sz w:val="11"/>
        </w:rPr>
        <w:t>主要保护对象</w:t>
      </w:r>
    </w:p>
    <w:p>
      <w:pPr>
        <w:spacing w:line="148" w:lineRule="exact" w:before="0"/>
        <w:ind w:left="1267" w:right="150" w:firstLine="0"/>
        <w:jc w:val="center"/>
        <w:rPr>
          <w:sz w:val="11"/>
        </w:rPr>
      </w:pPr>
      <w:r>
        <w:rPr>
          <w:w w:val="105"/>
          <w:sz w:val="11"/>
        </w:rPr>
        <w:t>（目标）</w:t>
      </w:r>
    </w:p>
    <w:p>
      <w:pPr>
        <w:spacing w:line="119" w:lineRule="exact" w:before="0"/>
        <w:ind w:left="0" w:right="374" w:firstLine="0"/>
        <w:jc w:val="right"/>
        <w:rPr>
          <w:rFonts w:ascii="Times New Roman"/>
          <w:sz w:val="11"/>
        </w:rPr>
      </w:pPr>
      <w:r>
        <w:rPr>
          <w:rFonts w:ascii="Times New Roman"/>
          <w:w w:val="106"/>
          <w:sz w:val="11"/>
        </w:rPr>
        <w:t>/</w:t>
      </w:r>
    </w:p>
    <w:p>
      <w:pPr>
        <w:tabs>
          <w:tab w:pos="1264" w:val="left" w:leader="none"/>
          <w:tab w:pos="2299" w:val="left" w:leader="none"/>
        </w:tabs>
        <w:spacing w:line="162" w:lineRule="exact" w:before="0"/>
        <w:ind w:left="0" w:right="38" w:firstLine="0"/>
        <w:jc w:val="right"/>
        <w:rPr>
          <w:sz w:val="11"/>
        </w:rPr>
      </w:pPr>
      <w:r>
        <w:rPr/>
        <w:br w:type="column"/>
      </w:r>
      <w:r>
        <w:rPr>
          <w:w w:val="105"/>
          <w:sz w:val="11"/>
        </w:rPr>
        <w:t>工程影响情况</w:t>
        <w:tab/>
        <w:t>是否占用</w:t>
        <w:tab/>
      </w:r>
      <w:r>
        <w:rPr>
          <w:w w:val="105"/>
          <w:position w:val="7"/>
          <w:sz w:val="11"/>
        </w:rPr>
        <w:t>占用面积</w:t>
      </w:r>
    </w:p>
    <w:p>
      <w:pPr>
        <w:spacing w:line="153" w:lineRule="exact" w:before="0"/>
        <w:ind w:left="0" w:right="38" w:firstLine="0"/>
        <w:jc w:val="right"/>
        <w:rPr>
          <w:sz w:val="11"/>
        </w:rPr>
      </w:pPr>
      <w:r>
        <w:rPr>
          <w:w w:val="105"/>
          <w:sz w:val="11"/>
        </w:rPr>
        <w:t>（公顷）</w:t>
      </w:r>
    </w:p>
    <w:p>
      <w:pPr>
        <w:spacing w:before="0"/>
        <w:ind w:left="16" w:right="15" w:firstLine="0"/>
        <w:jc w:val="center"/>
        <w:rPr>
          <w:sz w:val="11"/>
        </w:rPr>
      </w:pPr>
      <w:r>
        <w:rPr/>
        <w:br w:type="column"/>
      </w:r>
      <w:r>
        <w:rPr>
          <w:w w:val="105"/>
          <w:sz w:val="11"/>
        </w:rPr>
        <w:t>生态防护措施</w:t>
      </w:r>
    </w:p>
    <w:p>
      <w:pPr>
        <w:tabs>
          <w:tab w:pos="436" w:val="left" w:leader="none"/>
          <w:tab w:pos="931" w:val="left" w:leader="none"/>
          <w:tab w:pos="1397" w:val="left" w:leader="none"/>
        </w:tabs>
        <w:spacing w:line="190" w:lineRule="exact" w:before="4"/>
        <w:ind w:left="0" w:right="15" w:firstLine="0"/>
        <w:jc w:val="center"/>
        <w:rPr>
          <w:sz w:val="11"/>
        </w:rPr>
      </w:pPr>
      <w:r>
        <w:rPr>
          <w:w w:val="105"/>
          <w:sz w:val="11"/>
        </w:rPr>
        <w:t>避让</w:t>
        <w:tab/>
        <w:t>减缓</w:t>
        <w:tab/>
        <w:t>补偿</w:t>
        <w:tab/>
        <w:t>重建（多选）</w:t>
      </w:r>
    </w:p>
    <w:p>
      <w:pPr>
        <w:spacing w:after="0" w:line="190" w:lineRule="exact"/>
        <w:jc w:val="center"/>
        <w:rPr>
          <w:sz w:val="11"/>
        </w:rPr>
        <w:sectPr>
          <w:type w:val="continuous"/>
          <w:pgSz w:w="16840" w:h="11910" w:orient="landscape"/>
          <w:pgMar w:top="1180" w:bottom="1160" w:left="1420" w:right="1160"/>
          <w:cols w:num="6" w:equalWidth="0">
            <w:col w:w="1223" w:space="40"/>
            <w:col w:w="784" w:space="39"/>
            <w:col w:w="3030" w:space="1178"/>
            <w:col w:w="1919" w:space="290"/>
            <w:col w:w="3018" w:space="217"/>
            <w:col w:w="2522"/>
          </w:cols>
        </w:sectPr>
      </w:pPr>
    </w:p>
    <w:p>
      <w:pPr>
        <w:spacing w:line="141" w:lineRule="exact" w:before="0"/>
        <w:ind w:left="175" w:right="18" w:firstLine="0"/>
        <w:jc w:val="center"/>
        <w:rPr>
          <w:sz w:val="14"/>
        </w:rPr>
      </w:pPr>
      <w:r>
        <w:rPr>
          <w:w w:val="105"/>
          <w:sz w:val="14"/>
        </w:rPr>
        <w:t>与风景名胜区的</w:t>
      </w:r>
    </w:p>
    <w:p>
      <w:pPr>
        <w:spacing w:line="236" w:lineRule="exact" w:before="0"/>
        <w:ind w:left="175" w:right="16" w:firstLine="0"/>
        <w:jc w:val="center"/>
        <w:rPr>
          <w:sz w:val="14"/>
        </w:rPr>
      </w:pPr>
      <w:r>
        <w:rPr>
          <w:w w:val="105"/>
          <w:sz w:val="14"/>
        </w:rPr>
        <w:t>情况</w:t>
      </w:r>
    </w:p>
    <w:p>
      <w:pPr>
        <w:spacing w:line="194" w:lineRule="auto" w:before="26"/>
        <w:ind w:left="197" w:right="38" w:firstLine="0"/>
        <w:jc w:val="center"/>
        <w:rPr>
          <w:sz w:val="11"/>
        </w:rPr>
      </w:pPr>
      <w:r>
        <w:rPr/>
        <w:br w:type="column"/>
      </w:r>
      <w:r>
        <w:rPr>
          <w:w w:val="105"/>
          <w:sz w:val="11"/>
        </w:rPr>
        <w:t>饮用水水源保护区（地表） 饮用水水源保护区（地下） 风景名胜区</w:t>
      </w:r>
    </w:p>
    <w:p>
      <w:pPr>
        <w:tabs>
          <w:tab w:pos="4330" w:val="left" w:leader="none"/>
          <w:tab w:pos="4767" w:val="left" w:leader="none"/>
          <w:tab w:pos="5262" w:val="left" w:leader="none"/>
          <w:tab w:pos="5728" w:val="left" w:leader="none"/>
        </w:tabs>
        <w:spacing w:line="202" w:lineRule="exact" w:before="0"/>
        <w:ind w:left="197" w:right="0" w:firstLine="0"/>
        <w:jc w:val="left"/>
        <w:rPr>
          <w:sz w:val="11"/>
        </w:rPr>
      </w:pPr>
      <w:r>
        <w:rPr/>
        <w:br w:type="column"/>
      </w:r>
      <w:r>
        <w:rPr>
          <w:rFonts w:ascii="Times New Roman" w:eastAsia="Times New Roman"/>
          <w:w w:val="105"/>
          <w:sz w:val="11"/>
        </w:rPr>
        <w:t>/</w:t>
        <w:tab/>
      </w:r>
      <w:r>
        <w:rPr>
          <w:w w:val="105"/>
          <w:sz w:val="11"/>
        </w:rPr>
        <w:t>避让</w:t>
        <w:tab/>
        <w:t>减缓</w:t>
        <w:tab/>
        <w:t>补偿</w:t>
        <w:tab/>
        <w:t>重建（多选）</w:t>
      </w:r>
    </w:p>
    <w:p>
      <w:pPr>
        <w:tabs>
          <w:tab w:pos="4330" w:val="left" w:leader="none"/>
          <w:tab w:pos="4767" w:val="left" w:leader="none"/>
          <w:tab w:pos="5262" w:val="left" w:leader="none"/>
          <w:tab w:pos="5728" w:val="left" w:leader="none"/>
        </w:tabs>
        <w:spacing w:line="190" w:lineRule="exact" w:before="0"/>
        <w:ind w:left="197" w:right="0" w:firstLine="0"/>
        <w:jc w:val="left"/>
        <w:rPr>
          <w:sz w:val="11"/>
        </w:rPr>
      </w:pPr>
      <w:r>
        <w:rPr>
          <w:rFonts w:ascii="Times New Roman" w:eastAsia="Times New Roman"/>
          <w:w w:val="105"/>
          <w:sz w:val="11"/>
        </w:rPr>
        <w:t>/</w:t>
        <w:tab/>
      </w:r>
      <w:r>
        <w:rPr>
          <w:w w:val="105"/>
          <w:sz w:val="11"/>
        </w:rPr>
        <w:t>避让</w:t>
        <w:tab/>
        <w:t>减缓</w:t>
        <w:tab/>
        <w:t>补偿</w:t>
        <w:tab/>
        <w:t>重建（多选）</w:t>
      </w:r>
    </w:p>
    <w:p>
      <w:pPr>
        <w:tabs>
          <w:tab w:pos="4330" w:val="left" w:leader="none"/>
          <w:tab w:pos="4767" w:val="left" w:leader="none"/>
          <w:tab w:pos="5262" w:val="left" w:leader="none"/>
          <w:tab w:pos="5728" w:val="left" w:leader="none"/>
        </w:tabs>
        <w:spacing w:line="211" w:lineRule="exact" w:before="0"/>
        <w:ind w:left="197" w:right="0" w:firstLine="0"/>
        <w:jc w:val="left"/>
        <w:rPr>
          <w:sz w:val="11"/>
        </w:rPr>
      </w:pPr>
      <w:r>
        <w:rPr>
          <w:rFonts w:ascii="Times New Roman" w:eastAsia="Times New Roman"/>
          <w:w w:val="105"/>
          <w:sz w:val="11"/>
        </w:rPr>
        <w:t>/</w:t>
        <w:tab/>
      </w:r>
      <w:r>
        <w:rPr>
          <w:w w:val="105"/>
          <w:sz w:val="11"/>
        </w:rPr>
        <w:t>避让</w:t>
        <w:tab/>
        <w:t>减缓</w:t>
        <w:tab/>
        <w:t>补偿</w:t>
        <w:tab/>
        <w:t>重建（多选）</w:t>
      </w:r>
    </w:p>
    <w:p>
      <w:pPr>
        <w:spacing w:after="0" w:line="211" w:lineRule="exact"/>
        <w:jc w:val="left"/>
        <w:rPr>
          <w:sz w:val="11"/>
        </w:rPr>
        <w:sectPr>
          <w:type w:val="continuous"/>
          <w:pgSz w:w="16840" w:h="11910" w:orient="landscape"/>
          <w:pgMar w:top="1180" w:bottom="1160" w:left="1420" w:right="1160"/>
          <w:cols w:num="3" w:equalWidth="0">
            <w:col w:w="1263" w:space="401"/>
            <w:col w:w="1678" w:space="4262"/>
            <w:col w:w="6656"/>
          </w:cols>
        </w:sectPr>
      </w:pPr>
    </w:p>
    <w:p>
      <w:pPr>
        <w:spacing w:line="145" w:lineRule="exact" w:before="0"/>
        <w:ind w:left="142" w:right="0" w:firstLine="0"/>
        <w:jc w:val="left"/>
        <w:rPr>
          <w:sz w:val="10"/>
        </w:rPr>
      </w:pPr>
      <w:r>
        <w:rPr>
          <w:w w:val="105"/>
          <w:sz w:val="10"/>
        </w:rPr>
        <w:t>注：</w:t>
      </w:r>
      <w:r>
        <w:rPr>
          <w:rFonts w:ascii="Times New Roman" w:eastAsia="Times New Roman"/>
          <w:w w:val="105"/>
          <w:sz w:val="10"/>
        </w:rPr>
        <w:t>1</w:t>
      </w:r>
      <w:r>
        <w:rPr>
          <w:w w:val="105"/>
          <w:sz w:val="10"/>
        </w:rPr>
        <w:t>、同级经济部门审批核发的唯一项目代码</w:t>
      </w:r>
    </w:p>
    <w:p>
      <w:pPr>
        <w:spacing w:line="159" w:lineRule="exact" w:before="0"/>
        <w:ind w:left="142" w:right="0" w:firstLine="0"/>
        <w:jc w:val="left"/>
        <w:rPr>
          <w:rFonts w:ascii="Times New Roman" w:eastAsia="Times New Roman"/>
          <w:sz w:val="10"/>
        </w:rPr>
      </w:pPr>
      <w:r>
        <w:rPr>
          <w:rFonts w:ascii="Times New Roman" w:eastAsia="Times New Roman"/>
          <w:w w:val="105"/>
          <w:sz w:val="10"/>
        </w:rPr>
        <w:t>2</w:t>
      </w:r>
      <w:r>
        <w:rPr>
          <w:w w:val="105"/>
          <w:sz w:val="10"/>
        </w:rPr>
        <w:t>、分类依据：国民经济行业分类</w:t>
      </w:r>
      <w:r>
        <w:rPr>
          <w:rFonts w:ascii="Times New Roman" w:eastAsia="Times New Roman"/>
          <w:w w:val="105"/>
          <w:sz w:val="10"/>
        </w:rPr>
        <w:t>(GB/T 4754-2011)</w:t>
      </w:r>
    </w:p>
    <w:p>
      <w:pPr>
        <w:spacing w:line="158" w:lineRule="exact" w:before="0"/>
        <w:ind w:left="142" w:right="0" w:firstLine="0"/>
        <w:jc w:val="left"/>
        <w:rPr>
          <w:sz w:val="10"/>
        </w:rPr>
      </w:pPr>
      <w:r>
        <w:rPr>
          <w:rFonts w:ascii="Times New Roman" w:eastAsia="Times New Roman"/>
          <w:w w:val="105"/>
          <w:sz w:val="10"/>
        </w:rPr>
        <w:t>3</w:t>
      </w:r>
      <w:r>
        <w:rPr>
          <w:w w:val="105"/>
          <w:sz w:val="10"/>
        </w:rPr>
        <w:t>、对多点项目仅提供主体工程的中心坐标</w:t>
      </w:r>
    </w:p>
    <w:p>
      <w:pPr>
        <w:spacing w:line="158" w:lineRule="exact" w:before="0"/>
        <w:ind w:left="142" w:right="0" w:firstLine="0"/>
        <w:jc w:val="left"/>
        <w:rPr>
          <w:sz w:val="10"/>
        </w:rPr>
      </w:pPr>
      <w:r>
        <w:rPr>
          <w:rFonts w:ascii="Times New Roman" w:hAnsi="Times New Roman" w:eastAsia="Times New Roman"/>
          <w:w w:val="105"/>
          <w:sz w:val="10"/>
        </w:rPr>
        <w:t>4</w:t>
      </w:r>
      <w:r>
        <w:rPr>
          <w:w w:val="105"/>
          <w:sz w:val="10"/>
        </w:rPr>
        <w:t>、指该项目所在区域通过</w:t>
      </w:r>
      <w:r>
        <w:rPr>
          <w:rFonts w:ascii="Times New Roman" w:hAnsi="Times New Roman" w:eastAsia="Times New Roman"/>
          <w:w w:val="105"/>
          <w:sz w:val="10"/>
        </w:rPr>
        <w:t>“</w:t>
      </w:r>
      <w:r>
        <w:rPr>
          <w:w w:val="105"/>
          <w:sz w:val="10"/>
        </w:rPr>
        <w:t>区域平衡</w:t>
      </w:r>
      <w:r>
        <w:rPr>
          <w:rFonts w:ascii="Times New Roman" w:hAnsi="Times New Roman" w:eastAsia="Times New Roman"/>
          <w:w w:val="105"/>
          <w:sz w:val="10"/>
        </w:rPr>
        <w:t>”</w:t>
      </w:r>
      <w:r>
        <w:rPr>
          <w:w w:val="105"/>
          <w:sz w:val="10"/>
        </w:rPr>
        <w:t>专为本工程替代削减的量</w:t>
      </w:r>
    </w:p>
    <w:p>
      <w:pPr>
        <w:spacing w:line="185" w:lineRule="exact" w:before="0"/>
        <w:ind w:left="142" w:right="0" w:firstLine="0"/>
        <w:jc w:val="left"/>
        <w:rPr>
          <w:sz w:val="10"/>
        </w:rPr>
      </w:pPr>
      <w:r>
        <w:rPr>
          <w:rFonts w:ascii="Times New Roman" w:hAnsi="Times New Roman" w:eastAsia="Times New Roman"/>
          <w:w w:val="105"/>
          <w:sz w:val="10"/>
        </w:rPr>
        <w:t>5</w:t>
      </w:r>
      <w:r>
        <w:rPr>
          <w:w w:val="105"/>
          <w:sz w:val="10"/>
        </w:rPr>
        <w:t>、⑦＝③－④－⑤，⑥＝②－④＋③</w:t>
      </w:r>
    </w:p>
    <w:sectPr>
      <w:type w:val="continuous"/>
      <w:pgSz w:w="16840" w:h="11910" w:orient="landscape"/>
      <w:pgMar w:top="1180" w:bottom="1160" w:left="142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CJK JP Regular">
    <w:altName w:val="Noto Sans CJK JP Regular"/>
    <w:charset w:val="0"/>
    <w:family w:val="swiss"/>
    <w:pitch w:val="variable"/>
  </w:font>
  <w:font w:name="Droid Sans Fallback">
    <w:altName w:val="Droid Sans Fallback"/>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4240" from="88.463997pt,532.895996pt" to="753.603997pt,532.895996pt" stroked="true" strokeweight=".47998pt" strokecolor="#000000">
          <v:stroke dashstyle="solid"/>
          <w10:wrap type="none"/>
        </v:line>
      </w:pict>
    </w:r>
    <w:r>
      <w:rPr/>
      <w:pict>
        <v:shape style="position:absolute;margin-left:408.630005pt;margin-top:533.979980pt;width:24.1pt;height:12pt;mso-position-horizontal-relative:page;mso-position-vertical-relative:page;z-index:-111421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132</w:t>
                </w:r>
                <w:r>
                  <w:rPr/>
                  <w:fldChar w:fldCharType="end"/>
                </w:r>
              </w:p>
            </w:txbxContent>
          </v:textbox>
          <w10:wrap type="none"/>
        </v:shape>
      </w:pict>
    </w:r>
    <w:r>
      <w:rPr/>
      <w:pict>
        <v:shape style="position:absolute;margin-left:607.140015pt;margin-top:534.38562pt;width:146pt;height:11pt;mso-position-horizontal-relative:page;mso-position-vertical-relative:page;z-index:-111419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424" from="88.463997pt,532.895996pt" to="753.603997pt,532.895996pt" stroked="true" strokeweight=".47998pt" strokecolor="#000000">
          <v:stroke dashstyle="solid"/>
          <w10:wrap type="none"/>
        </v:line>
      </w:pict>
    </w:r>
    <w:r>
      <w:rPr/>
      <w:pict>
        <v:shape style="position:absolute;margin-left:607.140015pt;margin-top:534.38562pt;width:146pt;height:11pt;mso-position-horizontal-relative:page;mso-position-vertical-relative:page;z-index:-111340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7.049988pt;margin-top:536.380005pt;width:24.1pt;height:12pt;mso-position-horizontal-relative:page;mso-position-vertical-relative:page;z-index:-111337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152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304"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328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7.049988pt;margin-top:782.97998pt;width:24.1pt;height:12pt;mso-position-horizontal-relative:page;mso-position-vertical-relative:page;z-index:-111325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156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232"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320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7.049988pt;margin-top:782.97998pt;width:24.1pt;height:12pt;mso-position-horizontal-relative:page;mso-position-vertical-relative:page;z-index:-1113184"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160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112" from="88.463997pt,779.52002pt" to="506.973997pt,779.52002pt" stroked="true" strokeweight=".47998pt" strokecolor="#000000">
          <v:stroke dashstyle="solid"/>
          <w10:wrap type="none"/>
        </v:line>
      </w:pict>
    </w:r>
    <w:r>
      <w:rPr/>
      <w:pict>
        <v:shape style="position:absolute;margin-left:289.929993pt;margin-top:780.699951pt;width:14.1pt;height:12pt;mso-position-horizontal-relative:page;mso-position-vertical-relative:page;z-index:-1113088" type="#_x0000_t202" filled="false" stroked="false">
          <v:textbox inset="0,0,0,0">
            <w:txbxContent>
              <w:p>
                <w:pPr>
                  <w:spacing w:before="12"/>
                  <w:ind w:left="20" w:right="0" w:firstLine="0"/>
                  <w:jc w:val="left"/>
                  <w:rPr>
                    <w:rFonts w:ascii="Times New Roman"/>
                    <w:sz w:val="18"/>
                  </w:rPr>
                </w:pPr>
                <w:r>
                  <w:rPr>
                    <w:rFonts w:ascii="Times New Roman"/>
                    <w:sz w:val="18"/>
                  </w:rPr>
                  <w:t>5-1</w:t>
                </w:r>
              </w:p>
            </w:txbxContent>
          </v:textbox>
          <w10:wrap type="none"/>
        </v:shape>
      </w:pict>
    </w:r>
    <w:r>
      <w:rPr/>
      <w:pict>
        <v:shape style="position:absolute;margin-left:360.630005pt;margin-top:780.985596pt;width:145.9pt;height:11pt;mso-position-horizontal-relative:page;mso-position-vertical-relative:page;z-index:-1113064"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040" from="88.463997pt,779.52002pt" to="506.973997pt,779.52002pt" stroked="true" strokeweight=".47998pt" strokecolor="#000000">
          <v:stroke dashstyle="solid"/>
          <w10:wrap type="none"/>
        </v:line>
      </w:pict>
    </w:r>
    <w:r>
      <w:rPr/>
      <w:pict>
        <v:shape style="position:absolute;margin-left:285.489990pt;margin-top:780.699951pt;width:19.55pt;height:12pt;mso-position-horizontal-relative:page;mso-position-vertical-relative:page;z-index:-1113016" type="#_x0000_t202" filled="false" stroked="false">
          <v:textbox inset="0,0,0,0">
            <w:txbxContent>
              <w:p>
                <w:pPr>
                  <w:spacing w:before="12"/>
                  <w:ind w:left="20" w:right="0" w:firstLine="0"/>
                  <w:jc w:val="left"/>
                  <w:rPr>
                    <w:rFonts w:ascii="Times New Roman"/>
                    <w:sz w:val="18"/>
                  </w:rPr>
                </w:pPr>
                <w:r>
                  <w:rPr>
                    <w:rFonts w:ascii="Times New Roman"/>
                    <w:sz w:val="18"/>
                  </w:rPr>
                  <w:t>5-</w:t>
                </w:r>
                <w:r>
                  <w:rPr/>
                  <w:fldChar w:fldCharType="begin"/>
                </w:r>
                <w:r>
                  <w:rPr>
                    <w:rFonts w:ascii="Times New Roman"/>
                    <w:sz w:val="18"/>
                  </w:rPr>
                  <w:instrText> PAGE </w:instrText>
                </w:r>
                <w:r>
                  <w:rPr/>
                  <w:fldChar w:fldCharType="separate"/>
                </w:r>
                <w:r>
                  <w:rPr/>
                  <w:t>10</w:t>
                </w:r>
                <w:r>
                  <w:rPr/>
                  <w:fldChar w:fldCharType="end"/>
                </w:r>
              </w:p>
            </w:txbxContent>
          </v:textbox>
          <w10:wrap type="none"/>
        </v:shape>
      </w:pict>
    </w:r>
    <w:r>
      <w:rPr/>
      <w:pict>
        <v:shape style="position:absolute;margin-left:360.630005pt;margin-top:780.985596pt;width:145.9pt;height:11pt;mso-position-horizontal-relative:page;mso-position-vertical-relative:page;z-index:-111299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968"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112944"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3.329987pt;margin-top:781.539978pt;width:14.1pt;height:12pt;mso-position-horizontal-relative:page;mso-position-vertical-relative:page;z-index:-1112920" type="#_x0000_t202" filled="false" stroked="false">
          <v:textbox inset="0,0,0,0">
            <w:txbxContent>
              <w:p>
                <w:pPr>
                  <w:spacing w:before="12"/>
                  <w:ind w:left="20" w:right="0" w:firstLine="0"/>
                  <w:jc w:val="left"/>
                  <w:rPr>
                    <w:rFonts w:ascii="Times New Roman"/>
                    <w:sz w:val="18"/>
                  </w:rPr>
                </w:pPr>
                <w:r>
                  <w:rPr>
                    <w:rFonts w:ascii="Times New Roman"/>
                    <w:sz w:val="18"/>
                  </w:rPr>
                  <w:t>7-1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896"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11287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3.329987pt;margin-top:781.539978pt;width:19.45pt;height:12pt;mso-position-horizontal-relative:page;mso-position-vertical-relative:page;z-index:-1112848" type="#_x0000_t202" filled="false" stroked="false">
          <v:textbox inset="0,0,0,0">
            <w:txbxContent>
              <w:p>
                <w:pPr>
                  <w:spacing w:before="12"/>
                  <w:ind w:left="20" w:right="0" w:firstLine="0"/>
                  <w:jc w:val="left"/>
                  <w:rPr>
                    <w:rFonts w:ascii="Times New Roman"/>
                    <w:sz w:val="18"/>
                  </w:rPr>
                </w:pPr>
                <w:r>
                  <w:rPr>
                    <w:rFonts w:ascii="Times New Roman"/>
                    <w:sz w:val="18"/>
                  </w:rPr>
                  <w:t>7-</w:t>
                </w: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776" from="88.584pt,779.52002pt" to="506.854pt,779.52002pt" stroked="true" strokeweight=".47998pt" strokecolor="#000000">
          <v:stroke dashstyle="solid"/>
          <w10:wrap type="none"/>
        </v:line>
      </w:pict>
    </w:r>
    <w:r>
      <w:rPr/>
      <w:pict>
        <v:shape style="position:absolute;margin-left:292.329987pt;margin-top:779.97998pt;width:14.1pt;height:12pt;mso-position-horizontal-relative:page;mso-position-vertical-relative:page;z-index:-1112752" type="#_x0000_t202" filled="false" stroked="false">
          <v:textbox inset="0,0,0,0">
            <w:txbxContent>
              <w:p>
                <w:pPr>
                  <w:spacing w:before="12"/>
                  <w:ind w:left="20" w:right="0" w:firstLine="0"/>
                  <w:jc w:val="left"/>
                  <w:rPr>
                    <w:rFonts w:ascii="Times New Roman"/>
                    <w:sz w:val="18"/>
                  </w:rPr>
                </w:pPr>
                <w:r>
                  <w:rPr>
                    <w:rFonts w:ascii="Times New Roman"/>
                    <w:sz w:val="18"/>
                  </w:rPr>
                  <w:t>8-1</w:t>
                </w:r>
              </w:p>
            </w:txbxContent>
          </v:textbox>
          <w10:wrap type="none"/>
        </v:shape>
      </w:pict>
    </w:r>
    <w:r>
      <w:rPr/>
      <w:pict>
        <v:shape style="position:absolute;margin-left:360.390015pt;margin-top:780.985596pt;width:146pt;height:11pt;mso-position-horizontal-relative:page;mso-position-vertical-relative:page;z-index:-111272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704" from="88.584pt,779.52002pt" to="506.854pt,779.52002pt" stroked="true" strokeweight=".47998pt" strokecolor="#000000">
          <v:stroke dashstyle="solid"/>
          <w10:wrap type="none"/>
        </v:line>
      </w:pict>
    </w:r>
    <w:r>
      <w:rPr/>
      <w:pict>
        <v:shape style="position:absolute;margin-left:292.329987pt;margin-top:779.97998pt;width:19.5pt;height:12pt;mso-position-horizontal-relative:page;mso-position-vertical-relative:page;z-index:-1112680" type="#_x0000_t202" filled="false" stroked="false">
          <v:textbox inset="0,0,0,0">
            <w:txbxContent>
              <w:p>
                <w:pPr>
                  <w:spacing w:before="12"/>
                  <w:ind w:left="20" w:right="0" w:firstLine="0"/>
                  <w:jc w:val="left"/>
                  <w:rPr>
                    <w:rFonts w:ascii="Times New Roman"/>
                    <w:sz w:val="18"/>
                  </w:rPr>
                </w:pPr>
                <w:r>
                  <w:rPr>
                    <w:rFonts w:ascii="Times New Roman"/>
                    <w:sz w:val="18"/>
                  </w:rPr>
                  <w:t>8-</w:t>
                </w:r>
                <w:r>
                  <w:rPr/>
                  <w:fldChar w:fldCharType="begin"/>
                </w:r>
                <w:r>
                  <w:rPr>
                    <w:rFonts w:ascii="Times New Roman"/>
                    <w:sz w:val="18"/>
                  </w:rPr>
                  <w:instrText> PAGE </w:instrText>
                </w:r>
                <w:r>
                  <w:rPr/>
                  <w:fldChar w:fldCharType="separate"/>
                </w:r>
                <w:r>
                  <w:rPr/>
                  <w:t>10</w:t>
                </w:r>
                <w:r>
                  <w:rPr/>
                  <w:fldChar w:fldCharType="end"/>
                </w:r>
              </w:p>
            </w:txbxContent>
          </v:textbox>
          <w10:wrap type="none"/>
        </v:shape>
      </w:pict>
    </w:r>
    <w:r>
      <w:rPr/>
      <w:pict>
        <v:shape style="position:absolute;margin-left:360.390015pt;margin-top:780.985596pt;width:146pt;height:11pt;mso-position-horizontal-relative:page;mso-position-vertical-relative:page;z-index:-111265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632" from="88.584pt,779.52002pt" to="506.854pt,779.52002pt" stroked="true" strokeweight=".47998pt" strokecolor="#000000">
          <v:stroke dashstyle="solid"/>
          <w10:wrap type="none"/>
        </v:line>
      </w:pict>
    </w:r>
    <w:r>
      <w:rPr/>
      <w:pict>
        <v:shape style="position:absolute;margin-left:360.390015pt;margin-top:780.985596pt;width:146pt;height:11pt;mso-position-horizontal-relative:page;mso-position-vertical-relative:page;z-index:-111260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9.329987pt;margin-top:781.779968pt;width:14.1pt;height:12pt;mso-position-horizontal-relative:page;mso-position-vertical-relative:page;z-index:-1112584" type="#_x0000_t202" filled="false" stroked="false">
          <v:textbox inset="0,0,0,0">
            <w:txbxContent>
              <w:p>
                <w:pPr>
                  <w:spacing w:before="12"/>
                  <w:ind w:left="20" w:right="0" w:firstLine="0"/>
                  <w:jc w:val="left"/>
                  <w:rPr>
                    <w:rFonts w:ascii="Times New Roman"/>
                    <w:sz w:val="18"/>
                  </w:rPr>
                </w:pPr>
                <w:r>
                  <w:rPr>
                    <w:rFonts w:ascii="Times New Roman"/>
                    <w:sz w:val="18"/>
                  </w:rPr>
                  <w:t>9-1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4120"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409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3.049988pt;margin-top:781.539978pt;width:24.1pt;height:12pt;mso-position-horizontal-relative:page;mso-position-vertical-relative:page;z-index:-1114072"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134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560" from="88.584pt,779.52002pt" to="506.854pt,779.52002pt" stroked="true" strokeweight=".47998pt" strokecolor="#000000">
          <v:stroke dashstyle="solid"/>
          <w10:wrap type="none"/>
        </v:line>
      </w:pict>
    </w:r>
    <w:r>
      <w:rPr/>
      <w:pict>
        <v:shape style="position:absolute;margin-left:360.390015pt;margin-top:780.985596pt;width:146pt;height:11pt;mso-position-horizontal-relative:page;mso-position-vertical-relative:page;z-index:-111253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9.329987pt;margin-top:781.779968pt;width:15.1pt;height:12pt;mso-position-horizontal-relative:page;mso-position-vertical-relative:page;z-index:-1112512" type="#_x0000_t202" filled="false" stroked="false">
          <v:textbox inset="0,0,0,0">
            <w:txbxContent>
              <w:p>
                <w:pPr>
                  <w:spacing w:before="12"/>
                  <w:ind w:left="20" w:right="0" w:firstLine="0"/>
                  <w:jc w:val="left"/>
                  <w:rPr>
                    <w:rFonts w:ascii="Times New Roman"/>
                    <w:sz w:val="18"/>
                  </w:rPr>
                </w:pPr>
                <w:r>
                  <w:rPr>
                    <w:rFonts w:ascii="Times New Roman"/>
                    <w:sz w:val="18"/>
                  </w:rPr>
                  <w:t>9-</w:t>
                </w:r>
                <w:r>
                  <w:rPr/>
                  <w:fldChar w:fldCharType="begin"/>
                </w:r>
                <w:r>
                  <w:rPr>
                    <w:rFonts w:ascii="Times New Roman"/>
                    <w:sz w:val="18"/>
                  </w:rPr>
                  <w:instrText> PAGE </w:instrText>
                </w:r>
                <w:r>
                  <w:rPr/>
                  <w:fldChar w:fldCharType="separate"/>
                </w:r>
                <w:r>
                  <w:rPr/>
                  <w:t>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488" from="88.584pt,779.52002pt" to="506.854pt,779.52002pt" stroked="true" strokeweight=".47998pt" strokecolor="#000000">
          <v:stroke dashstyle="solid"/>
          <w10:wrap type="none"/>
        </v:line>
      </w:pict>
    </w:r>
    <w:r>
      <w:rPr/>
      <w:pict>
        <v:shape style="position:absolute;margin-left:289.329987pt;margin-top:779.97998pt;width:19.55pt;height:12pt;mso-position-horizontal-relative:page;mso-position-vertical-relative:page;z-index:-1112464" type="#_x0000_t202" filled="false" stroked="false">
          <v:textbox inset="0,0,0,0">
            <w:txbxContent>
              <w:p>
                <w:pPr>
                  <w:spacing w:before="12"/>
                  <w:ind w:left="20" w:right="0" w:firstLine="0"/>
                  <w:jc w:val="left"/>
                  <w:rPr>
                    <w:rFonts w:ascii="Times New Roman"/>
                    <w:sz w:val="18"/>
                  </w:rPr>
                </w:pPr>
                <w:r>
                  <w:rPr>
                    <w:rFonts w:ascii="Times New Roman"/>
                    <w:sz w:val="18"/>
                  </w:rPr>
                  <w:t>10-</w:t>
                </w:r>
                <w:r>
                  <w:rPr/>
                  <w:fldChar w:fldCharType="begin"/>
                </w:r>
                <w:r>
                  <w:rPr>
                    <w:rFonts w:ascii="Times New Roman"/>
                    <w:sz w:val="18"/>
                  </w:rPr>
                  <w:instrText> PAGE </w:instrText>
                </w:r>
                <w:r>
                  <w:rPr/>
                  <w:fldChar w:fldCharType="separate"/>
                </w:r>
                <w:r>
                  <w:rPr/>
                  <w:t>1</w:t>
                </w:r>
                <w:r>
                  <w:rPr/>
                  <w:fldChar w:fldCharType="end"/>
                </w:r>
              </w:p>
            </w:txbxContent>
          </v:textbox>
          <w10:wrap type="none"/>
        </v:shape>
      </w:pict>
    </w:r>
    <w:r>
      <w:rPr/>
      <w:pict>
        <v:shape style="position:absolute;margin-left:360.390015pt;margin-top:780.985596pt;width:146pt;height:11pt;mso-position-horizontal-relative:page;mso-position-vertical-relative:page;z-index:-111244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416" from="88.584pt,779.52002pt" to="506.854pt,779.52002pt" stroked="true" strokeweight=".47998pt" strokecolor="#000000">
          <v:stroke dashstyle="solid"/>
          <w10:wrap type="none"/>
        </v:line>
      </w:pict>
    </w:r>
    <w:r>
      <w:rPr/>
      <w:pict>
        <v:shape style="position:absolute;margin-left:287.769989pt;margin-top:780.819946pt;width:18.3pt;height:12pt;mso-position-horizontal-relative:page;mso-position-vertical-relative:page;z-index:-1112392" type="#_x0000_t202" filled="false" stroked="false">
          <v:textbox inset="0,0,0,0">
            <w:txbxContent>
              <w:p>
                <w:pPr>
                  <w:spacing w:before="12"/>
                  <w:ind w:left="20" w:right="0" w:firstLine="0"/>
                  <w:jc w:val="left"/>
                  <w:rPr>
                    <w:rFonts w:ascii="Times New Roman"/>
                    <w:sz w:val="18"/>
                  </w:rPr>
                </w:pPr>
                <w:r>
                  <w:rPr>
                    <w:rFonts w:ascii="Times New Roman"/>
                    <w:sz w:val="18"/>
                  </w:rPr>
                  <w:t>11-1</w:t>
                </w:r>
              </w:p>
            </w:txbxContent>
          </v:textbox>
          <w10:wrap type="none"/>
        </v:shape>
      </w:pict>
    </w:r>
    <w:r>
      <w:rPr/>
      <w:pict>
        <v:shape style="position:absolute;margin-left:360.390015pt;margin-top:780.985596pt;width:146pt;height:11pt;mso-position-horizontal-relative:page;mso-position-vertical-relative:page;z-index:-111236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344" from="88.584pt,779.52002pt" to="506.854pt,779.52002pt" stroked="true" strokeweight=".47998pt" strokecolor="#000000">
          <v:stroke dashstyle="solid"/>
          <w10:wrap type="none"/>
        </v:line>
      </w:pict>
    </w:r>
    <w:r>
      <w:rPr/>
      <w:pict>
        <v:shape style="position:absolute;margin-left:287.769989pt;margin-top:780.819946pt;width:19.3pt;height:12pt;mso-position-horizontal-relative:page;mso-position-vertical-relative:page;z-index:-1112320" type="#_x0000_t202" filled="false" stroked="false">
          <v:textbox inset="0,0,0,0">
            <w:txbxContent>
              <w:p>
                <w:pPr>
                  <w:spacing w:before="12"/>
                  <w:ind w:left="20" w:right="0" w:firstLine="0"/>
                  <w:jc w:val="left"/>
                  <w:rPr>
                    <w:rFonts w:ascii="Times New Roman"/>
                    <w:sz w:val="18"/>
                  </w:rPr>
                </w:pPr>
                <w:r>
                  <w:rPr>
                    <w:rFonts w:ascii="Times New Roman"/>
                    <w:sz w:val="18"/>
                  </w:rPr>
                  <w:t>11-</w:t>
                </w:r>
                <w:r>
                  <w:rPr/>
                  <w:fldChar w:fldCharType="begin"/>
                </w:r>
                <w:r>
                  <w:rPr>
                    <w:rFonts w:ascii="Times New Roman"/>
                    <w:sz w:val="18"/>
                  </w:rPr>
                  <w:instrText> PAGE </w:instrText>
                </w:r>
                <w:r>
                  <w:rPr/>
                  <w:fldChar w:fldCharType="separate"/>
                </w:r>
                <w:r>
                  <w:rPr/>
                  <w:t>2</w:t>
                </w:r>
                <w:r>
                  <w:rPr/>
                  <w:fldChar w:fldCharType="end"/>
                </w:r>
              </w:p>
            </w:txbxContent>
          </v:textbox>
          <w10:wrap type="none"/>
        </v:shape>
      </w:pict>
    </w:r>
    <w:r>
      <w:rPr/>
      <w:pict>
        <v:shape style="position:absolute;margin-left:360.390015pt;margin-top:780.985596pt;width:146pt;height:11pt;mso-position-horizontal-relative:page;mso-position-vertical-relative:page;z-index:-111229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224" from="52.560001pt,532.895996pt" to="789.480001pt,532.895996pt" stroked="true" strokeweight=".47998pt" strokecolor="#000000">
          <v:stroke dashstyle="solid"/>
          <w10:wrap type="none"/>
        </v:line>
      </w:pict>
    </w:r>
    <w:r>
      <w:rPr/>
      <w:pict>
        <v:shape style="position:absolute;margin-left:287.769989pt;margin-top:534.219971pt;width:19.3pt;height:12pt;mso-position-horizontal-relative:page;mso-position-vertical-relative:page;z-index:-1112200" type="#_x0000_t202" filled="false" stroked="false">
          <v:textbox inset="0,0,0,0">
            <w:txbxContent>
              <w:p>
                <w:pPr>
                  <w:spacing w:before="12"/>
                  <w:ind w:left="20" w:right="0" w:firstLine="0"/>
                  <w:jc w:val="left"/>
                  <w:rPr>
                    <w:rFonts w:ascii="Times New Roman"/>
                    <w:sz w:val="18"/>
                  </w:rPr>
                </w:pPr>
                <w:r>
                  <w:rPr>
                    <w:rFonts w:ascii="Times New Roman"/>
                    <w:sz w:val="18"/>
                  </w:rPr>
                  <w:t>11-</w:t>
                </w:r>
                <w:r>
                  <w:rPr/>
                  <w:fldChar w:fldCharType="begin"/>
                </w:r>
                <w:r>
                  <w:rPr>
                    <w:rFonts w:ascii="Times New Roman"/>
                    <w:sz w:val="18"/>
                  </w:rPr>
                  <w:instrText> PAGE </w:instrText>
                </w:r>
                <w:r>
                  <w:rPr/>
                  <w:fldChar w:fldCharType="separate"/>
                </w:r>
                <w:r>
                  <w:rPr/>
                  <w:t>5</w:t>
                </w:r>
                <w:r>
                  <w:rPr/>
                  <w:fldChar w:fldCharType="end"/>
                </w:r>
              </w:p>
            </w:txbxContent>
          </v:textbox>
          <w10:wrap type="none"/>
        </v:shape>
      </w:pict>
    </w:r>
    <w:r>
      <w:rPr/>
      <w:pict>
        <v:shape style="position:absolute;margin-left:643.020020pt;margin-top:534.38562pt;width:146pt;height:11pt;mso-position-horizontal-relative:page;mso-position-vertical-relative:page;z-index:-111217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104" from="88.584pt,779.52002pt" to="506.854pt,779.52002pt" stroked="true" strokeweight=".47998pt" strokecolor="#000000">
          <v:stroke dashstyle="solid"/>
          <w10:wrap type="none"/>
        </v:line>
      </w:pict>
    </w:r>
    <w:r>
      <w:rPr/>
      <w:pict>
        <v:shape style="position:absolute;margin-left:287.769989pt;margin-top:780.819946pt;width:23.7pt;height:12pt;mso-position-horizontal-relative:page;mso-position-vertical-relative:page;z-index:-1112080" type="#_x0000_t202" filled="false" stroked="false">
          <v:textbox inset="0,0,0,0">
            <w:txbxContent>
              <w:p>
                <w:pPr>
                  <w:spacing w:before="12"/>
                  <w:ind w:left="20" w:right="0" w:firstLine="0"/>
                  <w:jc w:val="left"/>
                  <w:rPr>
                    <w:rFonts w:ascii="Times New Roman"/>
                    <w:sz w:val="18"/>
                  </w:rPr>
                </w:pPr>
                <w:r>
                  <w:rPr>
                    <w:rFonts w:ascii="Times New Roman"/>
                    <w:sz w:val="18"/>
                  </w:rPr>
                  <w:t>11-</w:t>
                </w:r>
                <w:r>
                  <w:rPr/>
                  <w:fldChar w:fldCharType="begin"/>
                </w:r>
                <w:r>
                  <w:rPr>
                    <w:rFonts w:ascii="Times New Roman"/>
                    <w:sz w:val="18"/>
                  </w:rPr>
                  <w:instrText> PAGE </w:instrText>
                </w:r>
                <w:r>
                  <w:rPr/>
                  <w:fldChar w:fldCharType="separate"/>
                </w:r>
                <w:r>
                  <w:rPr/>
                  <w:t>10</w:t>
                </w:r>
                <w:r>
                  <w:rPr/>
                  <w:fldChar w:fldCharType="end"/>
                </w:r>
              </w:p>
            </w:txbxContent>
          </v:textbox>
          <w10:wrap type="none"/>
        </v:shape>
      </w:pict>
    </w:r>
    <w:r>
      <w:rPr/>
      <w:pict>
        <v:shape style="position:absolute;margin-left:360.390015pt;margin-top:780.985596pt;width:146pt;height:11pt;mso-position-horizontal-relative:page;mso-position-vertical-relative:page;z-index:-111205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032" from="88.584pt,779.52002pt" to="506.854pt,779.52002pt" stroked="true" strokeweight=".47998pt" strokecolor="#000000">
          <v:stroke dashstyle="solid"/>
          <w10:wrap type="none"/>
        </v:line>
      </w:pict>
    </w:r>
    <w:r>
      <w:rPr/>
      <w:pict>
        <v:shape style="position:absolute;margin-left:360.390015pt;margin-top:780.985596pt;width:146pt;height:11pt;mso-position-horizontal-relative:page;mso-position-vertical-relative:page;z-index:-111200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4.609985pt;margin-top:781.539978pt;width:18.55pt;height:12pt;mso-position-horizontal-relative:page;mso-position-vertical-relative:page;z-index:-1111984" type="#_x0000_t202" filled="false" stroked="false">
          <v:textbox inset="0,0,0,0">
            <w:txbxContent>
              <w:p>
                <w:pPr>
                  <w:spacing w:before="12"/>
                  <w:ind w:left="20" w:right="0" w:firstLine="0"/>
                  <w:jc w:val="left"/>
                  <w:rPr>
                    <w:rFonts w:ascii="Times New Roman"/>
                    <w:sz w:val="18"/>
                  </w:rPr>
                </w:pPr>
                <w:r>
                  <w:rPr>
                    <w:rFonts w:ascii="Times New Roman"/>
                    <w:sz w:val="18"/>
                  </w:rPr>
                  <w:t>12-1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1960" from="88.584pt,779.52002pt" to="506.854pt,779.52002pt" stroked="true" strokeweight=".47998pt" strokecolor="#000000">
          <v:stroke dashstyle="solid"/>
          <w10:wrap type="none"/>
        </v:line>
      </w:pict>
    </w:r>
    <w:r>
      <w:rPr/>
      <w:pict>
        <v:shape style="position:absolute;margin-left:360.390015pt;margin-top:780.985596pt;width:146pt;height:11pt;mso-position-horizontal-relative:page;mso-position-vertical-relative:page;z-index:-111193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4.609985pt;margin-top:781.539978pt;width:24.15pt;height:12pt;mso-position-horizontal-relative:page;mso-position-vertical-relative:page;z-index:-1111912" type="#_x0000_t202" filled="false" stroked="false">
          <v:textbox inset="0,0,0,0">
            <w:txbxContent>
              <w:p>
                <w:pPr>
                  <w:spacing w:before="12"/>
                  <w:ind w:left="20" w:right="0" w:firstLine="0"/>
                  <w:jc w:val="left"/>
                  <w:rPr>
                    <w:rFonts w:ascii="Times New Roman"/>
                    <w:sz w:val="18"/>
                  </w:rPr>
                </w:pPr>
                <w:r>
                  <w:rPr>
                    <w:rFonts w:ascii="Times New Roman"/>
                    <w:sz w:val="18"/>
                  </w:rPr>
                  <w:t>12-</w:t>
                </w: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4000" from="88.463997pt,532.895996pt" to="753.603997pt,532.895996pt" stroked="true" strokeweight=".47998pt" strokecolor="#000000">
          <v:stroke dashstyle="solid"/>
          <w10:wrap type="none"/>
        </v:line>
      </w:pict>
    </w:r>
    <w:r>
      <w:rPr/>
      <w:pict>
        <v:shape style="position:absolute;margin-left:607.140015pt;margin-top:534.38562pt;width:146pt;height:11pt;mso-position-horizontal-relative:page;mso-position-vertical-relative:page;z-index:-111397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403.329987pt;margin-top:535.539978pt;width:24.1pt;height:12pt;mso-position-horizontal-relative:page;mso-position-vertical-relative:page;z-index:-1113952"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137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880"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385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3.049988pt;margin-top:781.539978pt;width:24.1pt;height:12pt;mso-position-horizontal-relative:page;mso-position-vertical-relative:page;z-index:-1113832"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140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760"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373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7.049988pt;margin-top:782.97998pt;width:23.1pt;height:12pt;mso-position-horizontal-relative:page;mso-position-vertical-relative:page;z-index:-1113712" type="#_x0000_t202" filled="false" stroked="false">
          <v:textbox inset="0,0,0,0">
            <w:txbxContent>
              <w:p>
                <w:pPr>
                  <w:spacing w:before="12"/>
                  <w:ind w:left="20" w:right="0" w:firstLine="0"/>
                  <w:jc w:val="left"/>
                  <w:rPr>
                    <w:rFonts w:ascii="Times New Roman"/>
                    <w:sz w:val="18"/>
                  </w:rPr>
                </w:pPr>
                <w:r>
                  <w:rPr>
                    <w:rFonts w:ascii="Times New Roman"/>
                    <w:sz w:val="18"/>
                  </w:rPr>
                  <w:t>4-143</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688"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3664"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7.049988pt;margin-top:782.97998pt;width:23.1pt;height:12pt;mso-position-horizontal-relative:page;mso-position-vertical-relative:page;z-index:-1113640" type="#_x0000_t202" filled="false" stroked="false">
          <v:textbox inset="0,0,0,0">
            <w:txbxContent>
              <w:p>
                <w:pPr>
                  <w:spacing w:before="12"/>
                  <w:ind w:left="20" w:right="0" w:firstLine="0"/>
                  <w:jc w:val="left"/>
                  <w:rPr>
                    <w:rFonts w:ascii="Times New Roman"/>
                    <w:sz w:val="18"/>
                  </w:rPr>
                </w:pPr>
                <w:r>
                  <w:rPr>
                    <w:rFonts w:ascii="Times New Roman"/>
                    <w:sz w:val="18"/>
                  </w:rPr>
                  <w:t>4-149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616"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359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7.049988pt;margin-top:782.97998pt;width:23.15pt;height:12pt;mso-position-horizontal-relative:page;mso-position-vertical-relative:page;z-index:-1113568" type="#_x0000_t202" filled="false" stroked="false">
          <v:textbox inset="0,0,0,0">
            <w:txbxContent>
              <w:p>
                <w:pPr>
                  <w:spacing w:before="12"/>
                  <w:ind w:left="20" w:right="0" w:firstLine="0"/>
                  <w:jc w:val="left"/>
                  <w:rPr>
                    <w:rFonts w:ascii="Times New Roman"/>
                    <w:sz w:val="18"/>
                  </w:rPr>
                </w:pPr>
                <w:r>
                  <w:rPr>
                    <w:rFonts w:ascii="Times New Roman"/>
                    <w:sz w:val="18"/>
                  </w:rPr>
                  <w:t>4-150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544"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11352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7.049988pt;margin-top:782.97998pt;width:23.1pt;height:12pt;mso-position-horizontal-relative:page;mso-position-vertical-relative:page;z-index:-1113496" type="#_x0000_t202" filled="false" stroked="false">
          <v:textbox inset="0,0,0,0">
            <w:txbxContent>
              <w:p>
                <w:pPr>
                  <w:spacing w:before="12"/>
                  <w:ind w:left="20" w:right="0" w:firstLine="0"/>
                  <w:jc w:val="left"/>
                  <w:rPr>
                    <w:rFonts w:ascii="Times New Roman"/>
                    <w:sz w:val="18"/>
                  </w:rPr>
                </w:pPr>
                <w:r>
                  <w:rPr>
                    <w:rFonts w:ascii="Times New Roman"/>
                    <w:sz w:val="18"/>
                  </w:rPr>
                  <w:t>4-151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4288" from="88.463997pt,55.560009pt" to="753.603997pt,55.560009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285.010010pt;margin-top:42.865631pt;width:272.05pt;height:11pt;mso-position-horizontal-relative:page;mso-position-vertical-relative:page;z-index:-111426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824" from="88.584pt,55.559982pt" to="506.854pt,55.559982pt" stroked="true" strokeweight=".72pt" strokecolor="#000000">
          <v:stroke dashstyle="solid"/>
          <w10:wrap type="none"/>
        </v:line>
      </w:pict>
    </w:r>
    <w:r>
      <w:rPr/>
      <w:pict>
        <v:shape style="position:absolute;margin-left:161.619995pt;margin-top:42.865608pt;width:272.05pt;height:11pt;mso-position-horizontal-relative:page;mso-position-vertical-relative:page;z-index:-1112800"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272" from="52.560001pt,55.560009pt" to="789.480001pt,55.560009pt" stroked="true" strokeweight=".72pt" strokecolor="#000000">
          <v:stroke dashstyle="solid"/>
          <w10:wrap type="none"/>
        </v:line>
      </w:pict>
    </w:r>
    <w:r>
      <w:rPr/>
      <w:pict>
        <v:shape style="position:absolute;margin-left:285.010010pt;margin-top:42.865631pt;width:272.05pt;height:11pt;mso-position-horizontal-relative:page;mso-position-vertical-relative:page;z-index:-1112248"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2152" from="88.584pt,55.559982pt" to="506.854pt,55.559982pt" stroked="true" strokeweight=".72pt" strokecolor="#000000">
          <v:stroke dashstyle="solid"/>
          <w10:wrap type="none"/>
        </v:line>
      </w:pict>
    </w:r>
    <w:r>
      <w:rPr/>
      <w:pict>
        <v:shape style="position:absolute;margin-left:161.619995pt;margin-top:42.865608pt;width:272.05pt;height:11pt;mso-position-horizontal-relative:page;mso-position-vertical-relative:page;z-index:-1112128"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4168" from="88.463997pt,55.559982pt" to="506.973997pt,55.559982pt" stroked="true" strokeweight=".72pt" strokecolor="#000000">
          <v:stroke dashstyle="solid"/>
          <w10:wrap type="none"/>
        </v:line>
      </w:pict>
    </w:r>
    <w:r>
      <w:rPr/>
      <w:pict>
        <v:shape style="position:absolute;margin-left:161.619995pt;margin-top:42.865608pt;width:272.1pt;height:11pt;mso-position-horizontal-relative:page;mso-position-vertical-relative:page;z-index:-111414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4048" from="88.463997pt,55.560009pt" to="753.603997pt,55.560009pt" stroked="true" strokeweight=".72pt" strokecolor="#000000">
          <v:stroke dashstyle="solid"/>
          <w10:wrap type="none"/>
        </v:line>
      </w:pict>
    </w:r>
    <w:r>
      <w:rPr/>
      <w:pict>
        <v:shape style="position:absolute;margin-left:285.010010pt;margin-top:42.865631pt;width:272.05pt;height:11pt;mso-position-horizontal-relative:page;mso-position-vertical-relative:page;z-index:-111402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928" from="88.463997pt,55.559982pt" to="506.973997pt,55.559982pt" stroked="true" strokeweight=".72pt" strokecolor="#000000">
          <v:stroke dashstyle="solid"/>
          <w10:wrap type="none"/>
        </v:line>
      </w:pict>
    </w:r>
    <w:r>
      <w:rPr/>
      <w:pict>
        <v:shape style="position:absolute;margin-left:161.619995pt;margin-top:42.865608pt;width:272.1pt;height:11pt;mso-position-horizontal-relative:page;mso-position-vertical-relative:page;z-index:-111390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808" from="88.463997pt,55.559982pt" to="506.973997pt,55.559982pt" stroked="true" strokeweight=".72pt" strokecolor="#000000">
          <v:stroke dashstyle="solid"/>
          <w10:wrap type="none"/>
        </v:line>
      </w:pict>
    </w:r>
    <w:r>
      <w:rPr/>
      <w:pict>
        <v:shape style="position:absolute;margin-left:161.619995pt;margin-top:42.865608pt;width:272.1pt;height:11pt;mso-position-horizontal-relative:page;mso-position-vertical-relative:page;z-index:-111378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472" from="88.463997pt,55.560009pt" to="753.603997pt,55.560009pt" stroked="true" strokeweight=".72pt" strokecolor="#000000">
          <v:stroke dashstyle="solid"/>
          <w10:wrap type="none"/>
        </v:line>
      </w:pict>
    </w:r>
    <w:r>
      <w:rPr/>
      <w:pict>
        <v:shape style="position:absolute;margin-left:285.010010pt;margin-top:42.865631pt;width:272.05pt;height:11pt;mso-position-horizontal-relative:page;mso-position-vertical-relative:page;z-index:-1113448"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352" from="88.463997pt,55.559982pt" to="506.973997pt,55.559982pt" stroked="true" strokeweight=".72pt" strokecolor="#000000">
          <v:stroke dashstyle="solid"/>
          <w10:wrap type="none"/>
        </v:line>
      </w:pict>
    </w:r>
    <w:r>
      <w:rPr/>
      <w:pict>
        <v:shape style="position:absolute;margin-left:161.619995pt;margin-top:42.865608pt;width:272.1pt;height:11pt;mso-position-horizontal-relative:page;mso-position-vertical-relative:page;z-index:-1113328"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3160" from="88.463997pt,55.559982pt" to="506.973997pt,55.559982pt" stroked="true" strokeweight=".72pt" strokecolor="#000000">
          <v:stroke dashstyle="solid"/>
          <w10:wrap type="none"/>
        </v:line>
      </w:pict>
    </w:r>
    <w:r>
      <w:rPr/>
      <w:pict>
        <v:shape style="position:absolute;margin-left:166.179993pt;margin-top:42.865608pt;width:263.05pt;height:11pt;mso-position-horizontal-relative:page;mso-position-vertical-relative:page;z-index:-1113136"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2"/>
      <w:numFmt w:val="decimal"/>
      <w:lvlText w:val="%1"/>
      <w:lvlJc w:val="left"/>
      <w:pPr>
        <w:ind w:left="1140" w:hanging="900"/>
        <w:jc w:val="left"/>
      </w:pPr>
      <w:rPr>
        <w:rFonts w:hint="default"/>
      </w:rPr>
    </w:lvl>
    <w:lvl w:ilvl="1">
      <w:start w:val="2"/>
      <w:numFmt w:val="decimal"/>
      <w:lvlText w:val="%1.%2"/>
      <w:lvlJc w:val="left"/>
      <w:pPr>
        <w:ind w:left="1140" w:hanging="900"/>
        <w:jc w:val="left"/>
      </w:pPr>
      <w:rPr>
        <w:rFonts w:hint="default" w:ascii="Noto Sans CJK JP Regular" w:hAnsi="Noto Sans CJK JP Regular" w:eastAsia="Noto Sans CJK JP Regular" w:cs="Noto Sans CJK JP Regular"/>
        <w:spacing w:val="-2"/>
        <w:w w:val="90"/>
        <w:sz w:val="30"/>
        <w:szCs w:val="30"/>
      </w:rPr>
    </w:lvl>
    <w:lvl w:ilvl="2">
      <w:start w:val="1"/>
      <w:numFmt w:val="decimal"/>
      <w:lvlText w:val="%1.%2.%3"/>
      <w:lvlJc w:val="left"/>
      <w:pPr>
        <w:ind w:left="1361" w:hanging="1121"/>
        <w:jc w:val="left"/>
      </w:pPr>
      <w:rPr>
        <w:rFonts w:hint="default" w:ascii="Noto Sans CJK JP Regular" w:hAnsi="Noto Sans CJK JP Regular" w:eastAsia="Noto Sans CJK JP Regular" w:cs="Noto Sans CJK JP Regular"/>
        <w:spacing w:val="-2"/>
        <w:w w:val="90"/>
        <w:sz w:val="28"/>
        <w:szCs w:val="28"/>
      </w:rPr>
    </w:lvl>
    <w:lvl w:ilvl="3">
      <w:start w:val="0"/>
      <w:numFmt w:val="bullet"/>
      <w:lvlText w:val="•"/>
      <w:lvlJc w:val="left"/>
      <w:pPr>
        <w:ind w:left="3010" w:hanging="1121"/>
      </w:pPr>
      <w:rPr>
        <w:rFonts w:hint="default"/>
      </w:rPr>
    </w:lvl>
    <w:lvl w:ilvl="4">
      <w:start w:val="0"/>
      <w:numFmt w:val="bullet"/>
      <w:lvlText w:val="•"/>
      <w:lvlJc w:val="left"/>
      <w:pPr>
        <w:ind w:left="3835" w:hanging="1121"/>
      </w:pPr>
      <w:rPr>
        <w:rFonts w:hint="default"/>
      </w:rPr>
    </w:lvl>
    <w:lvl w:ilvl="5">
      <w:start w:val="0"/>
      <w:numFmt w:val="bullet"/>
      <w:lvlText w:val="•"/>
      <w:lvlJc w:val="left"/>
      <w:pPr>
        <w:ind w:left="4660" w:hanging="1121"/>
      </w:pPr>
      <w:rPr>
        <w:rFonts w:hint="default"/>
      </w:rPr>
    </w:lvl>
    <w:lvl w:ilvl="6">
      <w:start w:val="0"/>
      <w:numFmt w:val="bullet"/>
      <w:lvlText w:val="•"/>
      <w:lvlJc w:val="left"/>
      <w:pPr>
        <w:ind w:left="5485" w:hanging="1121"/>
      </w:pPr>
      <w:rPr>
        <w:rFonts w:hint="default"/>
      </w:rPr>
    </w:lvl>
    <w:lvl w:ilvl="7">
      <w:start w:val="0"/>
      <w:numFmt w:val="bullet"/>
      <w:lvlText w:val="•"/>
      <w:lvlJc w:val="left"/>
      <w:pPr>
        <w:ind w:left="6310" w:hanging="1121"/>
      </w:pPr>
      <w:rPr>
        <w:rFonts w:hint="default"/>
      </w:rPr>
    </w:lvl>
    <w:lvl w:ilvl="8">
      <w:start w:val="0"/>
      <w:numFmt w:val="bullet"/>
      <w:lvlText w:val="•"/>
      <w:lvlJc w:val="left"/>
      <w:pPr>
        <w:ind w:left="7136" w:hanging="1121"/>
      </w:pPr>
      <w:rPr>
        <w:rFonts w:hint="default"/>
      </w:rPr>
    </w:lvl>
  </w:abstractNum>
  <w:abstractNum w:abstractNumId="24">
    <w:multiLevelType w:val="hybridMultilevel"/>
    <w:lvl w:ilvl="0">
      <w:start w:val="12"/>
      <w:numFmt w:val="decimal"/>
      <w:lvlText w:val="%1"/>
      <w:lvlJc w:val="left"/>
      <w:pPr>
        <w:ind w:left="1291" w:hanging="1052"/>
        <w:jc w:val="left"/>
      </w:pPr>
      <w:rPr>
        <w:rFonts w:hint="default"/>
      </w:rPr>
    </w:lvl>
    <w:lvl w:ilvl="1">
      <w:start w:val="1"/>
      <w:numFmt w:val="decimal"/>
      <w:lvlText w:val="%1.%2"/>
      <w:lvlJc w:val="left"/>
      <w:pPr>
        <w:ind w:left="1291" w:hanging="1052"/>
        <w:jc w:val="left"/>
      </w:pPr>
      <w:rPr>
        <w:rFonts w:hint="default"/>
      </w:rPr>
    </w:lvl>
    <w:lvl w:ilvl="2">
      <w:start w:val="11"/>
      <w:numFmt w:val="decimal"/>
      <w:lvlText w:val="%1.%2.%3"/>
      <w:lvlJc w:val="left"/>
      <w:pPr>
        <w:ind w:left="1291" w:hanging="1052"/>
        <w:jc w:val="left"/>
      </w:pPr>
      <w:rPr>
        <w:rFonts w:hint="default" w:ascii="Noto Sans CJK JP Regular" w:hAnsi="Noto Sans CJK JP Regular" w:eastAsia="Noto Sans CJK JP Regular" w:cs="Noto Sans CJK JP Regular"/>
        <w:spacing w:val="-2"/>
        <w:w w:val="90"/>
        <w:sz w:val="28"/>
        <w:szCs w:val="28"/>
      </w:rPr>
    </w:lvl>
    <w:lvl w:ilvl="3">
      <w:start w:val="0"/>
      <w:numFmt w:val="bullet"/>
      <w:lvlText w:val="•"/>
      <w:lvlJc w:val="left"/>
      <w:pPr>
        <w:ind w:left="3545" w:hanging="1052"/>
      </w:pPr>
      <w:rPr>
        <w:rFonts w:hint="default"/>
      </w:rPr>
    </w:lvl>
    <w:lvl w:ilvl="4">
      <w:start w:val="0"/>
      <w:numFmt w:val="bullet"/>
      <w:lvlText w:val="•"/>
      <w:lvlJc w:val="left"/>
      <w:pPr>
        <w:ind w:left="4294" w:hanging="1052"/>
      </w:pPr>
      <w:rPr>
        <w:rFonts w:hint="default"/>
      </w:rPr>
    </w:lvl>
    <w:lvl w:ilvl="5">
      <w:start w:val="0"/>
      <w:numFmt w:val="bullet"/>
      <w:lvlText w:val="•"/>
      <w:lvlJc w:val="left"/>
      <w:pPr>
        <w:ind w:left="5043" w:hanging="1052"/>
      </w:pPr>
      <w:rPr>
        <w:rFonts w:hint="default"/>
      </w:rPr>
    </w:lvl>
    <w:lvl w:ilvl="6">
      <w:start w:val="0"/>
      <w:numFmt w:val="bullet"/>
      <w:lvlText w:val="•"/>
      <w:lvlJc w:val="left"/>
      <w:pPr>
        <w:ind w:left="5791" w:hanging="1052"/>
      </w:pPr>
      <w:rPr>
        <w:rFonts w:hint="default"/>
      </w:rPr>
    </w:lvl>
    <w:lvl w:ilvl="7">
      <w:start w:val="0"/>
      <w:numFmt w:val="bullet"/>
      <w:lvlText w:val="•"/>
      <w:lvlJc w:val="left"/>
      <w:pPr>
        <w:ind w:left="6540" w:hanging="1052"/>
      </w:pPr>
      <w:rPr>
        <w:rFonts w:hint="default"/>
      </w:rPr>
    </w:lvl>
    <w:lvl w:ilvl="8">
      <w:start w:val="0"/>
      <w:numFmt w:val="bullet"/>
      <w:lvlText w:val="•"/>
      <w:lvlJc w:val="left"/>
      <w:pPr>
        <w:ind w:left="7289" w:hanging="1052"/>
      </w:pPr>
      <w:rPr>
        <w:rFonts w:hint="default"/>
      </w:rPr>
    </w:lvl>
  </w:abstractNum>
  <w:abstractNum w:abstractNumId="23">
    <w:multiLevelType w:val="hybridMultilevel"/>
    <w:lvl w:ilvl="0">
      <w:start w:val="12"/>
      <w:numFmt w:val="decimal"/>
      <w:lvlText w:val="%1"/>
      <w:lvlJc w:val="left"/>
      <w:pPr>
        <w:ind w:left="1150" w:hanging="910"/>
        <w:jc w:val="left"/>
      </w:pPr>
      <w:rPr>
        <w:rFonts w:hint="default"/>
      </w:rPr>
    </w:lvl>
    <w:lvl w:ilvl="1">
      <w:start w:val="1"/>
      <w:numFmt w:val="decimal"/>
      <w:lvlText w:val="%1.%2"/>
      <w:lvlJc w:val="left"/>
      <w:pPr>
        <w:ind w:left="1150" w:hanging="910"/>
        <w:jc w:val="left"/>
      </w:pPr>
      <w:rPr>
        <w:rFonts w:hint="default"/>
      </w:rPr>
    </w:lvl>
    <w:lvl w:ilvl="2">
      <w:start w:val="7"/>
      <w:numFmt w:val="decimal"/>
      <w:lvlText w:val="%1.%2.%3"/>
      <w:lvlJc w:val="left"/>
      <w:pPr>
        <w:ind w:left="1150" w:hanging="910"/>
        <w:jc w:val="left"/>
      </w:pPr>
      <w:rPr>
        <w:rFonts w:hint="default" w:ascii="Noto Sans CJK JP Regular" w:hAnsi="Noto Sans CJK JP Regular" w:eastAsia="Noto Sans CJK JP Regular" w:cs="Noto Sans CJK JP Regular"/>
        <w:spacing w:val="-2"/>
        <w:w w:val="90"/>
        <w:sz w:val="28"/>
        <w:szCs w:val="28"/>
      </w:rPr>
    </w:lvl>
    <w:lvl w:ilvl="3">
      <w:start w:val="1"/>
      <w:numFmt w:val="decimal"/>
      <w:lvlText w:val="%1.%2.%3.%4"/>
      <w:lvlJc w:val="left"/>
      <w:pPr>
        <w:ind w:left="1260" w:hanging="1020"/>
        <w:jc w:val="left"/>
      </w:pPr>
      <w:rPr>
        <w:rFonts w:hint="default" w:ascii="Noto Sans CJK JP Regular" w:hAnsi="Noto Sans CJK JP Regular" w:eastAsia="Noto Sans CJK JP Regular" w:cs="Noto Sans CJK JP Regular"/>
        <w:spacing w:val="-1"/>
        <w:w w:val="90"/>
        <w:sz w:val="24"/>
        <w:szCs w:val="24"/>
      </w:rPr>
    </w:lvl>
    <w:lvl w:ilvl="4">
      <w:start w:val="0"/>
      <w:numFmt w:val="bullet"/>
      <w:lvlText w:val="•"/>
      <w:lvlJc w:val="left"/>
      <w:pPr>
        <w:ind w:left="3768" w:hanging="1020"/>
      </w:pPr>
      <w:rPr>
        <w:rFonts w:hint="default"/>
      </w:rPr>
    </w:lvl>
    <w:lvl w:ilvl="5">
      <w:start w:val="0"/>
      <w:numFmt w:val="bullet"/>
      <w:lvlText w:val="•"/>
      <w:lvlJc w:val="left"/>
      <w:pPr>
        <w:ind w:left="4605" w:hanging="1020"/>
      </w:pPr>
      <w:rPr>
        <w:rFonts w:hint="default"/>
      </w:rPr>
    </w:lvl>
    <w:lvl w:ilvl="6">
      <w:start w:val="0"/>
      <w:numFmt w:val="bullet"/>
      <w:lvlText w:val="•"/>
      <w:lvlJc w:val="left"/>
      <w:pPr>
        <w:ind w:left="5441" w:hanging="1020"/>
      </w:pPr>
      <w:rPr>
        <w:rFonts w:hint="default"/>
      </w:rPr>
    </w:lvl>
    <w:lvl w:ilvl="7">
      <w:start w:val="0"/>
      <w:numFmt w:val="bullet"/>
      <w:lvlText w:val="•"/>
      <w:lvlJc w:val="left"/>
      <w:pPr>
        <w:ind w:left="6277" w:hanging="1020"/>
      </w:pPr>
      <w:rPr>
        <w:rFonts w:hint="default"/>
      </w:rPr>
    </w:lvl>
    <w:lvl w:ilvl="8">
      <w:start w:val="0"/>
      <w:numFmt w:val="bullet"/>
      <w:lvlText w:val="•"/>
      <w:lvlJc w:val="left"/>
      <w:pPr>
        <w:ind w:left="7113" w:hanging="1020"/>
      </w:pPr>
      <w:rPr>
        <w:rFonts w:hint="default"/>
      </w:rPr>
    </w:lvl>
  </w:abstractNum>
  <w:abstractNum w:abstractNumId="22">
    <w:multiLevelType w:val="hybridMultilevel"/>
    <w:lvl w:ilvl="0">
      <w:start w:val="12"/>
      <w:numFmt w:val="decimal"/>
      <w:lvlText w:val="%1"/>
      <w:lvlJc w:val="left"/>
      <w:pPr>
        <w:ind w:left="1150" w:hanging="910"/>
        <w:jc w:val="left"/>
      </w:pPr>
      <w:rPr>
        <w:rFonts w:hint="default"/>
      </w:rPr>
    </w:lvl>
    <w:lvl w:ilvl="1">
      <w:start w:val="1"/>
      <w:numFmt w:val="decimal"/>
      <w:lvlText w:val="%1.%2"/>
      <w:lvlJc w:val="left"/>
      <w:pPr>
        <w:ind w:left="1150" w:hanging="910"/>
        <w:jc w:val="left"/>
      </w:pPr>
      <w:rPr>
        <w:rFonts w:hint="default"/>
      </w:rPr>
    </w:lvl>
    <w:lvl w:ilvl="2">
      <w:start w:val="6"/>
      <w:numFmt w:val="decimal"/>
      <w:lvlText w:val="%1.%2.%3"/>
      <w:lvlJc w:val="left"/>
      <w:pPr>
        <w:ind w:left="1150" w:hanging="910"/>
        <w:jc w:val="left"/>
      </w:pPr>
      <w:rPr>
        <w:rFonts w:hint="default" w:ascii="Noto Sans CJK JP Regular" w:hAnsi="Noto Sans CJK JP Regular" w:eastAsia="Noto Sans CJK JP Regular" w:cs="Noto Sans CJK JP Regular"/>
        <w:spacing w:val="-2"/>
        <w:w w:val="90"/>
        <w:sz w:val="28"/>
        <w:szCs w:val="28"/>
      </w:rPr>
    </w:lvl>
    <w:lvl w:ilvl="3">
      <w:start w:val="1"/>
      <w:numFmt w:val="decimal"/>
      <w:lvlText w:val="%1.%2.%3.%4"/>
      <w:lvlJc w:val="left"/>
      <w:pPr>
        <w:ind w:left="1260" w:hanging="1020"/>
        <w:jc w:val="left"/>
      </w:pPr>
      <w:rPr>
        <w:rFonts w:hint="default" w:ascii="Noto Sans CJK JP Regular" w:hAnsi="Noto Sans CJK JP Regular" w:eastAsia="Noto Sans CJK JP Regular" w:cs="Noto Sans CJK JP Regular"/>
        <w:spacing w:val="-1"/>
        <w:w w:val="90"/>
        <w:sz w:val="24"/>
        <w:szCs w:val="24"/>
      </w:rPr>
    </w:lvl>
    <w:lvl w:ilvl="4">
      <w:start w:val="0"/>
      <w:numFmt w:val="bullet"/>
      <w:lvlText w:val="•"/>
      <w:lvlJc w:val="left"/>
      <w:pPr>
        <w:ind w:left="3768" w:hanging="1020"/>
      </w:pPr>
      <w:rPr>
        <w:rFonts w:hint="default"/>
      </w:rPr>
    </w:lvl>
    <w:lvl w:ilvl="5">
      <w:start w:val="0"/>
      <w:numFmt w:val="bullet"/>
      <w:lvlText w:val="•"/>
      <w:lvlJc w:val="left"/>
      <w:pPr>
        <w:ind w:left="4605" w:hanging="1020"/>
      </w:pPr>
      <w:rPr>
        <w:rFonts w:hint="default"/>
      </w:rPr>
    </w:lvl>
    <w:lvl w:ilvl="6">
      <w:start w:val="0"/>
      <w:numFmt w:val="bullet"/>
      <w:lvlText w:val="•"/>
      <w:lvlJc w:val="left"/>
      <w:pPr>
        <w:ind w:left="5441" w:hanging="1020"/>
      </w:pPr>
      <w:rPr>
        <w:rFonts w:hint="default"/>
      </w:rPr>
    </w:lvl>
    <w:lvl w:ilvl="7">
      <w:start w:val="0"/>
      <w:numFmt w:val="bullet"/>
      <w:lvlText w:val="•"/>
      <w:lvlJc w:val="left"/>
      <w:pPr>
        <w:ind w:left="6277" w:hanging="1020"/>
      </w:pPr>
      <w:rPr>
        <w:rFonts w:hint="default"/>
      </w:rPr>
    </w:lvl>
    <w:lvl w:ilvl="8">
      <w:start w:val="0"/>
      <w:numFmt w:val="bullet"/>
      <w:lvlText w:val="•"/>
      <w:lvlJc w:val="left"/>
      <w:pPr>
        <w:ind w:left="7113" w:hanging="1020"/>
      </w:pPr>
      <w:rPr>
        <w:rFonts w:hint="default"/>
      </w:rPr>
    </w:lvl>
  </w:abstractNum>
  <w:abstractNum w:abstractNumId="21">
    <w:multiLevelType w:val="hybridMultilevel"/>
    <w:lvl w:ilvl="0">
      <w:start w:val="12"/>
      <w:numFmt w:val="decimal"/>
      <w:lvlText w:val="%1"/>
      <w:lvlJc w:val="left"/>
      <w:pPr>
        <w:ind w:left="1150" w:hanging="910"/>
        <w:jc w:val="left"/>
      </w:pPr>
      <w:rPr>
        <w:rFonts w:hint="default"/>
      </w:rPr>
    </w:lvl>
    <w:lvl w:ilvl="1">
      <w:start w:val="1"/>
      <w:numFmt w:val="decimal"/>
      <w:lvlText w:val="%1.%2"/>
      <w:lvlJc w:val="left"/>
      <w:pPr>
        <w:ind w:left="1150" w:hanging="910"/>
        <w:jc w:val="left"/>
      </w:pPr>
      <w:rPr>
        <w:rFonts w:hint="default"/>
      </w:rPr>
    </w:lvl>
    <w:lvl w:ilvl="2">
      <w:start w:val="5"/>
      <w:numFmt w:val="decimal"/>
      <w:lvlText w:val="%1.%2.%3"/>
      <w:lvlJc w:val="left"/>
      <w:pPr>
        <w:ind w:left="1150" w:hanging="910"/>
        <w:jc w:val="left"/>
      </w:pPr>
      <w:rPr>
        <w:rFonts w:hint="default" w:ascii="Noto Sans CJK JP Regular" w:hAnsi="Noto Sans CJK JP Regular" w:eastAsia="Noto Sans CJK JP Regular" w:cs="Noto Sans CJK JP Regular"/>
        <w:spacing w:val="-2"/>
        <w:w w:val="90"/>
        <w:sz w:val="28"/>
        <w:szCs w:val="28"/>
      </w:rPr>
    </w:lvl>
    <w:lvl w:ilvl="3">
      <w:start w:val="1"/>
      <w:numFmt w:val="decimal"/>
      <w:lvlText w:val="%1.%2.%3.%4"/>
      <w:lvlJc w:val="left"/>
      <w:pPr>
        <w:ind w:left="1260" w:hanging="1020"/>
        <w:jc w:val="left"/>
      </w:pPr>
      <w:rPr>
        <w:rFonts w:hint="default" w:ascii="Noto Sans CJK JP Regular" w:hAnsi="Noto Sans CJK JP Regular" w:eastAsia="Noto Sans CJK JP Regular" w:cs="Noto Sans CJK JP Regular"/>
        <w:spacing w:val="-1"/>
        <w:w w:val="90"/>
        <w:sz w:val="24"/>
        <w:szCs w:val="24"/>
      </w:rPr>
    </w:lvl>
    <w:lvl w:ilvl="4">
      <w:start w:val="0"/>
      <w:numFmt w:val="bullet"/>
      <w:lvlText w:val="•"/>
      <w:lvlJc w:val="left"/>
      <w:pPr>
        <w:ind w:left="3768" w:hanging="1020"/>
      </w:pPr>
      <w:rPr>
        <w:rFonts w:hint="default"/>
      </w:rPr>
    </w:lvl>
    <w:lvl w:ilvl="5">
      <w:start w:val="0"/>
      <w:numFmt w:val="bullet"/>
      <w:lvlText w:val="•"/>
      <w:lvlJc w:val="left"/>
      <w:pPr>
        <w:ind w:left="4605" w:hanging="1020"/>
      </w:pPr>
      <w:rPr>
        <w:rFonts w:hint="default"/>
      </w:rPr>
    </w:lvl>
    <w:lvl w:ilvl="6">
      <w:start w:val="0"/>
      <w:numFmt w:val="bullet"/>
      <w:lvlText w:val="•"/>
      <w:lvlJc w:val="left"/>
      <w:pPr>
        <w:ind w:left="5441" w:hanging="1020"/>
      </w:pPr>
      <w:rPr>
        <w:rFonts w:hint="default"/>
      </w:rPr>
    </w:lvl>
    <w:lvl w:ilvl="7">
      <w:start w:val="0"/>
      <w:numFmt w:val="bullet"/>
      <w:lvlText w:val="•"/>
      <w:lvlJc w:val="left"/>
      <w:pPr>
        <w:ind w:left="6277" w:hanging="1020"/>
      </w:pPr>
      <w:rPr>
        <w:rFonts w:hint="default"/>
      </w:rPr>
    </w:lvl>
    <w:lvl w:ilvl="8">
      <w:start w:val="0"/>
      <w:numFmt w:val="bullet"/>
      <w:lvlText w:val="•"/>
      <w:lvlJc w:val="left"/>
      <w:pPr>
        <w:ind w:left="7113" w:hanging="1020"/>
      </w:pPr>
      <w:rPr>
        <w:rFonts w:hint="default"/>
      </w:rPr>
    </w:lvl>
  </w:abstractNum>
  <w:abstractNum w:abstractNumId="20">
    <w:multiLevelType w:val="hybridMultilevel"/>
    <w:lvl w:ilvl="0">
      <w:start w:val="11"/>
      <w:numFmt w:val="decimal"/>
      <w:lvlText w:val="%1"/>
      <w:lvlJc w:val="left"/>
      <w:pPr>
        <w:ind w:left="1391" w:hanging="812"/>
        <w:jc w:val="right"/>
      </w:pPr>
      <w:rPr>
        <w:rFonts w:hint="default"/>
      </w:rPr>
    </w:lvl>
    <w:lvl w:ilvl="1">
      <w:start w:val="1"/>
      <w:numFmt w:val="decimal"/>
      <w:lvlText w:val="%1.%2"/>
      <w:lvlJc w:val="left"/>
      <w:pPr>
        <w:ind w:left="1140" w:hanging="900"/>
        <w:jc w:val="left"/>
      </w:pPr>
      <w:rPr>
        <w:rFonts w:hint="default"/>
        <w:spacing w:val="-2"/>
        <w:w w:val="90"/>
      </w:rPr>
    </w:lvl>
    <w:lvl w:ilvl="2">
      <w:start w:val="1"/>
      <w:numFmt w:val="decimal"/>
      <w:lvlText w:val="%1.%2.%3"/>
      <w:lvlJc w:val="left"/>
      <w:pPr>
        <w:ind w:left="1200" w:hanging="9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1400" w:hanging="900"/>
      </w:pPr>
      <w:rPr>
        <w:rFonts w:hint="default"/>
      </w:rPr>
    </w:lvl>
    <w:lvl w:ilvl="4">
      <w:start w:val="0"/>
      <w:numFmt w:val="bullet"/>
      <w:lvlText w:val="•"/>
      <w:lvlJc w:val="left"/>
      <w:pPr>
        <w:ind w:left="1540" w:hanging="900"/>
      </w:pPr>
      <w:rPr>
        <w:rFonts w:hint="default"/>
      </w:rPr>
    </w:lvl>
    <w:lvl w:ilvl="5">
      <w:start w:val="0"/>
      <w:numFmt w:val="bullet"/>
      <w:lvlText w:val="•"/>
      <w:lvlJc w:val="left"/>
      <w:pPr>
        <w:ind w:left="2747" w:hanging="900"/>
      </w:pPr>
      <w:rPr>
        <w:rFonts w:hint="default"/>
      </w:rPr>
    </w:lvl>
    <w:lvl w:ilvl="6">
      <w:start w:val="0"/>
      <w:numFmt w:val="bullet"/>
      <w:lvlText w:val="•"/>
      <w:lvlJc w:val="left"/>
      <w:pPr>
        <w:ind w:left="3955" w:hanging="900"/>
      </w:pPr>
      <w:rPr>
        <w:rFonts w:hint="default"/>
      </w:rPr>
    </w:lvl>
    <w:lvl w:ilvl="7">
      <w:start w:val="0"/>
      <w:numFmt w:val="bullet"/>
      <w:lvlText w:val="•"/>
      <w:lvlJc w:val="left"/>
      <w:pPr>
        <w:ind w:left="5163" w:hanging="900"/>
      </w:pPr>
      <w:rPr>
        <w:rFonts w:hint="default"/>
      </w:rPr>
    </w:lvl>
    <w:lvl w:ilvl="8">
      <w:start w:val="0"/>
      <w:numFmt w:val="bullet"/>
      <w:lvlText w:val="•"/>
      <w:lvlJc w:val="left"/>
      <w:pPr>
        <w:ind w:left="6370" w:hanging="900"/>
      </w:pPr>
      <w:rPr>
        <w:rFonts w:hint="default"/>
      </w:rPr>
    </w:lvl>
  </w:abstractNum>
  <w:abstractNum w:abstractNumId="19">
    <w:multiLevelType w:val="hybridMultilevel"/>
    <w:lvl w:ilvl="0">
      <w:start w:val="10"/>
      <w:numFmt w:val="decimal"/>
      <w:lvlText w:val="%1"/>
      <w:lvlJc w:val="left"/>
      <w:pPr>
        <w:ind w:left="1331" w:hanging="752"/>
        <w:jc w:val="left"/>
      </w:pPr>
      <w:rPr>
        <w:rFonts w:hint="default"/>
      </w:rPr>
    </w:lvl>
    <w:lvl w:ilvl="1">
      <w:start w:val="2"/>
      <w:numFmt w:val="decimal"/>
      <w:lvlText w:val="%1.%2"/>
      <w:lvlJc w:val="left"/>
      <w:pPr>
        <w:ind w:left="1331" w:hanging="752"/>
        <w:jc w:val="left"/>
      </w:pPr>
      <w:rPr>
        <w:rFonts w:hint="default"/>
        <w:spacing w:val="-2"/>
        <w:w w:val="90"/>
      </w:rPr>
    </w:lvl>
    <w:lvl w:ilvl="2">
      <w:start w:val="1"/>
      <w:numFmt w:val="decimal"/>
      <w:lvlText w:val="%1.%2.%3"/>
      <w:lvlJc w:val="left"/>
      <w:pPr>
        <w:ind w:left="1559" w:hanging="980"/>
        <w:jc w:val="left"/>
      </w:pPr>
      <w:rPr>
        <w:rFonts w:hint="default" w:ascii="Noto Sans CJK JP Regular" w:hAnsi="Noto Sans CJK JP Regular" w:eastAsia="Noto Sans CJK JP Regular" w:cs="Noto Sans CJK JP Regular"/>
        <w:spacing w:val="-2"/>
        <w:w w:val="90"/>
        <w:sz w:val="28"/>
        <w:szCs w:val="28"/>
      </w:rPr>
    </w:lvl>
    <w:lvl w:ilvl="3">
      <w:start w:val="1"/>
      <w:numFmt w:val="decimal"/>
      <w:lvlText w:val="%1.%2.%3.%4"/>
      <w:lvlJc w:val="left"/>
      <w:pPr>
        <w:ind w:left="1600" w:hanging="1020"/>
        <w:jc w:val="right"/>
      </w:pPr>
      <w:rPr>
        <w:rFonts w:hint="default" w:ascii="Noto Sans CJK JP Regular" w:hAnsi="Noto Sans CJK JP Regular" w:eastAsia="Noto Sans CJK JP Regular" w:cs="Noto Sans CJK JP Regular"/>
        <w:spacing w:val="-1"/>
        <w:w w:val="90"/>
        <w:sz w:val="24"/>
        <w:szCs w:val="24"/>
      </w:rPr>
    </w:lvl>
    <w:lvl w:ilvl="4">
      <w:start w:val="0"/>
      <w:numFmt w:val="bullet"/>
      <w:lvlText w:val="•"/>
      <w:lvlJc w:val="left"/>
      <w:pPr>
        <w:ind w:left="3611" w:hanging="1020"/>
      </w:pPr>
      <w:rPr>
        <w:rFonts w:hint="default"/>
      </w:rPr>
    </w:lvl>
    <w:lvl w:ilvl="5">
      <w:start w:val="0"/>
      <w:numFmt w:val="bullet"/>
      <w:lvlText w:val="•"/>
      <w:lvlJc w:val="left"/>
      <w:pPr>
        <w:ind w:left="4617" w:hanging="1020"/>
      </w:pPr>
      <w:rPr>
        <w:rFonts w:hint="default"/>
      </w:rPr>
    </w:lvl>
    <w:lvl w:ilvl="6">
      <w:start w:val="0"/>
      <w:numFmt w:val="bullet"/>
      <w:lvlText w:val="•"/>
      <w:lvlJc w:val="left"/>
      <w:pPr>
        <w:ind w:left="5623" w:hanging="1020"/>
      </w:pPr>
      <w:rPr>
        <w:rFonts w:hint="default"/>
      </w:rPr>
    </w:lvl>
    <w:lvl w:ilvl="7">
      <w:start w:val="0"/>
      <w:numFmt w:val="bullet"/>
      <w:lvlText w:val="•"/>
      <w:lvlJc w:val="left"/>
      <w:pPr>
        <w:ind w:left="6629" w:hanging="1020"/>
      </w:pPr>
      <w:rPr>
        <w:rFonts w:hint="default"/>
      </w:rPr>
    </w:lvl>
    <w:lvl w:ilvl="8">
      <w:start w:val="0"/>
      <w:numFmt w:val="bullet"/>
      <w:lvlText w:val="•"/>
      <w:lvlJc w:val="left"/>
      <w:pPr>
        <w:ind w:left="7634" w:hanging="1020"/>
      </w:pPr>
      <w:rPr>
        <w:rFonts w:hint="default"/>
      </w:rPr>
    </w:lvl>
  </w:abstractNum>
  <w:abstractNum w:abstractNumId="18">
    <w:multiLevelType w:val="hybridMultilevel"/>
    <w:lvl w:ilvl="0">
      <w:start w:val="9"/>
      <w:numFmt w:val="decimal"/>
      <w:lvlText w:val="%1"/>
      <w:lvlJc w:val="left"/>
      <w:pPr>
        <w:ind w:left="1180" w:hanging="600"/>
        <w:jc w:val="left"/>
      </w:pPr>
      <w:rPr>
        <w:rFonts w:hint="default"/>
      </w:rPr>
    </w:lvl>
    <w:lvl w:ilvl="1">
      <w:start w:val="1"/>
      <w:numFmt w:val="decimal"/>
      <w:lvlText w:val="%1.%2"/>
      <w:lvlJc w:val="left"/>
      <w:pPr>
        <w:ind w:left="1180" w:hanging="600"/>
        <w:jc w:val="left"/>
      </w:pPr>
      <w:rPr>
        <w:rFonts w:hint="default" w:ascii="Noto Sans CJK JP Regular" w:hAnsi="Noto Sans CJK JP Regular" w:eastAsia="Noto Sans CJK JP Regular" w:cs="Noto Sans CJK JP Regular"/>
        <w:spacing w:val="0"/>
        <w:w w:val="90"/>
        <w:sz w:val="30"/>
        <w:szCs w:val="30"/>
      </w:rPr>
    </w:lvl>
    <w:lvl w:ilvl="2">
      <w:start w:val="1"/>
      <w:numFmt w:val="decimal"/>
      <w:lvlText w:val="%1.%2.%3"/>
      <w:lvlJc w:val="left"/>
      <w:pPr>
        <w:ind w:left="1420" w:hanging="840"/>
        <w:jc w:val="left"/>
      </w:pPr>
      <w:rPr>
        <w:rFonts w:hint="default" w:ascii="Noto Sans CJK JP Regular" w:hAnsi="Noto Sans CJK JP Regular" w:eastAsia="Noto Sans CJK JP Regular" w:cs="Noto Sans CJK JP Regular"/>
        <w:spacing w:val="-2"/>
        <w:w w:val="90"/>
        <w:sz w:val="28"/>
        <w:szCs w:val="28"/>
      </w:rPr>
    </w:lvl>
    <w:lvl w:ilvl="3">
      <w:start w:val="1"/>
      <w:numFmt w:val="decimal"/>
      <w:lvlText w:val="%1.%2.%3.%4"/>
      <w:lvlJc w:val="left"/>
      <w:pPr>
        <w:ind w:left="1660" w:hanging="1080"/>
        <w:jc w:val="left"/>
      </w:pPr>
      <w:rPr>
        <w:rFonts w:hint="default" w:ascii="Noto Sans CJK JP Regular" w:hAnsi="Noto Sans CJK JP Regular" w:eastAsia="Noto Sans CJK JP Regular" w:cs="Noto Sans CJK JP Regular"/>
        <w:spacing w:val="-1"/>
        <w:w w:val="90"/>
        <w:sz w:val="24"/>
        <w:szCs w:val="24"/>
      </w:rPr>
    </w:lvl>
    <w:lvl w:ilvl="4">
      <w:start w:val="0"/>
      <w:numFmt w:val="bullet"/>
      <w:lvlText w:val="•"/>
      <w:lvlJc w:val="left"/>
      <w:pPr>
        <w:ind w:left="1660" w:hanging="1080"/>
      </w:pPr>
      <w:rPr>
        <w:rFonts w:hint="default"/>
      </w:rPr>
    </w:lvl>
    <w:lvl w:ilvl="5">
      <w:start w:val="0"/>
      <w:numFmt w:val="bullet"/>
      <w:lvlText w:val="•"/>
      <w:lvlJc w:val="left"/>
      <w:pPr>
        <w:ind w:left="2991" w:hanging="1080"/>
      </w:pPr>
      <w:rPr>
        <w:rFonts w:hint="default"/>
      </w:rPr>
    </w:lvl>
    <w:lvl w:ilvl="6">
      <w:start w:val="0"/>
      <w:numFmt w:val="bullet"/>
      <w:lvlText w:val="•"/>
      <w:lvlJc w:val="left"/>
      <w:pPr>
        <w:ind w:left="4322" w:hanging="1080"/>
      </w:pPr>
      <w:rPr>
        <w:rFonts w:hint="default"/>
      </w:rPr>
    </w:lvl>
    <w:lvl w:ilvl="7">
      <w:start w:val="0"/>
      <w:numFmt w:val="bullet"/>
      <w:lvlText w:val="•"/>
      <w:lvlJc w:val="left"/>
      <w:pPr>
        <w:ind w:left="5653" w:hanging="1080"/>
      </w:pPr>
      <w:rPr>
        <w:rFonts w:hint="default"/>
      </w:rPr>
    </w:lvl>
    <w:lvl w:ilvl="8">
      <w:start w:val="0"/>
      <w:numFmt w:val="bullet"/>
      <w:lvlText w:val="•"/>
      <w:lvlJc w:val="left"/>
      <w:pPr>
        <w:ind w:left="6984" w:hanging="1080"/>
      </w:pPr>
      <w:rPr>
        <w:rFonts w:hint="default"/>
      </w:rPr>
    </w:lvl>
  </w:abstractNum>
  <w:abstractNum w:abstractNumId="17">
    <w:multiLevelType w:val="hybridMultilevel"/>
    <w:lvl w:ilvl="0">
      <w:start w:val="8"/>
      <w:numFmt w:val="decimal"/>
      <w:lvlText w:val="%1"/>
      <w:lvlJc w:val="left"/>
      <w:pPr>
        <w:ind w:left="1070" w:hanging="490"/>
        <w:jc w:val="left"/>
      </w:pPr>
      <w:rPr>
        <w:rFonts w:hint="default"/>
      </w:rPr>
    </w:lvl>
    <w:lvl w:ilvl="1">
      <w:start w:val="5"/>
      <w:numFmt w:val="decimal"/>
      <w:lvlText w:val="%1.%2"/>
      <w:lvlJc w:val="left"/>
      <w:pPr>
        <w:ind w:left="1070" w:hanging="490"/>
        <w:jc w:val="left"/>
      </w:pPr>
      <w:rPr>
        <w:rFonts w:hint="default"/>
        <w:spacing w:val="0"/>
        <w:w w:val="100"/>
      </w:rPr>
    </w:lvl>
    <w:lvl w:ilvl="2">
      <w:start w:val="0"/>
      <w:numFmt w:val="bullet"/>
      <w:lvlText w:val="•"/>
      <w:lvlJc w:val="left"/>
      <w:pPr>
        <w:ind w:left="2793" w:hanging="490"/>
      </w:pPr>
      <w:rPr>
        <w:rFonts w:hint="default"/>
      </w:rPr>
    </w:lvl>
    <w:lvl w:ilvl="3">
      <w:start w:val="0"/>
      <w:numFmt w:val="bullet"/>
      <w:lvlText w:val="•"/>
      <w:lvlJc w:val="left"/>
      <w:pPr>
        <w:ind w:left="3649" w:hanging="490"/>
      </w:pPr>
      <w:rPr>
        <w:rFonts w:hint="default"/>
      </w:rPr>
    </w:lvl>
    <w:lvl w:ilvl="4">
      <w:start w:val="0"/>
      <w:numFmt w:val="bullet"/>
      <w:lvlText w:val="•"/>
      <w:lvlJc w:val="left"/>
      <w:pPr>
        <w:ind w:left="4506" w:hanging="490"/>
      </w:pPr>
      <w:rPr>
        <w:rFonts w:hint="default"/>
      </w:rPr>
    </w:lvl>
    <w:lvl w:ilvl="5">
      <w:start w:val="0"/>
      <w:numFmt w:val="bullet"/>
      <w:lvlText w:val="•"/>
      <w:lvlJc w:val="left"/>
      <w:pPr>
        <w:ind w:left="5363" w:hanging="490"/>
      </w:pPr>
      <w:rPr>
        <w:rFonts w:hint="default"/>
      </w:rPr>
    </w:lvl>
    <w:lvl w:ilvl="6">
      <w:start w:val="0"/>
      <w:numFmt w:val="bullet"/>
      <w:lvlText w:val="•"/>
      <w:lvlJc w:val="left"/>
      <w:pPr>
        <w:ind w:left="6219" w:hanging="490"/>
      </w:pPr>
      <w:rPr>
        <w:rFonts w:hint="default"/>
      </w:rPr>
    </w:lvl>
    <w:lvl w:ilvl="7">
      <w:start w:val="0"/>
      <w:numFmt w:val="bullet"/>
      <w:lvlText w:val="•"/>
      <w:lvlJc w:val="left"/>
      <w:pPr>
        <w:ind w:left="7076" w:hanging="490"/>
      </w:pPr>
      <w:rPr>
        <w:rFonts w:hint="default"/>
      </w:rPr>
    </w:lvl>
    <w:lvl w:ilvl="8">
      <w:start w:val="0"/>
      <w:numFmt w:val="bullet"/>
      <w:lvlText w:val="•"/>
      <w:lvlJc w:val="left"/>
      <w:pPr>
        <w:ind w:left="7933" w:hanging="490"/>
      </w:pPr>
      <w:rPr>
        <w:rFonts w:hint="default"/>
      </w:rPr>
    </w:lvl>
  </w:abstractNum>
  <w:abstractNum w:abstractNumId="16">
    <w:multiLevelType w:val="hybridMultilevel"/>
    <w:lvl w:ilvl="0">
      <w:start w:val="8"/>
      <w:numFmt w:val="decimal"/>
      <w:lvlText w:val="%1"/>
      <w:lvlJc w:val="left"/>
      <w:pPr>
        <w:ind w:left="1106" w:hanging="526"/>
        <w:jc w:val="left"/>
      </w:pPr>
      <w:rPr>
        <w:rFonts w:hint="default"/>
      </w:rPr>
    </w:lvl>
    <w:lvl w:ilvl="1">
      <w:start w:val="4"/>
      <w:numFmt w:val="decimal"/>
      <w:lvlText w:val="%1.%2"/>
      <w:lvlJc w:val="left"/>
      <w:pPr>
        <w:ind w:left="1106" w:hanging="526"/>
        <w:jc w:val="left"/>
      </w:pPr>
      <w:rPr>
        <w:rFonts w:hint="default" w:ascii="Times New Roman" w:hAnsi="Times New Roman" w:eastAsia="Times New Roman" w:cs="Times New Roman"/>
        <w:spacing w:val="-1"/>
        <w:w w:val="100"/>
        <w:sz w:val="30"/>
        <w:szCs w:val="30"/>
      </w:rPr>
    </w:lvl>
    <w:lvl w:ilvl="2">
      <w:start w:val="1"/>
      <w:numFmt w:val="decimal"/>
      <w:lvlText w:val="%1.%2.%3"/>
      <w:lvlJc w:val="left"/>
      <w:pPr>
        <w:ind w:left="1278" w:hanging="699"/>
        <w:jc w:val="left"/>
      </w:pPr>
      <w:rPr>
        <w:rFonts w:hint="default" w:ascii="Times New Roman" w:hAnsi="Times New Roman" w:eastAsia="Times New Roman" w:cs="Times New Roman"/>
        <w:spacing w:val="-3"/>
        <w:w w:val="100"/>
        <w:sz w:val="28"/>
        <w:szCs w:val="28"/>
      </w:rPr>
    </w:lvl>
    <w:lvl w:ilvl="3">
      <w:start w:val="0"/>
      <w:numFmt w:val="bullet"/>
      <w:lvlText w:val="•"/>
      <w:lvlJc w:val="left"/>
      <w:pPr>
        <w:ind w:left="3139" w:hanging="699"/>
      </w:pPr>
      <w:rPr>
        <w:rFonts w:hint="default"/>
      </w:rPr>
    </w:lvl>
    <w:lvl w:ilvl="4">
      <w:start w:val="0"/>
      <w:numFmt w:val="bullet"/>
      <w:lvlText w:val="•"/>
      <w:lvlJc w:val="left"/>
      <w:pPr>
        <w:ind w:left="4068" w:hanging="699"/>
      </w:pPr>
      <w:rPr>
        <w:rFonts w:hint="default"/>
      </w:rPr>
    </w:lvl>
    <w:lvl w:ilvl="5">
      <w:start w:val="0"/>
      <w:numFmt w:val="bullet"/>
      <w:lvlText w:val="•"/>
      <w:lvlJc w:val="left"/>
      <w:pPr>
        <w:ind w:left="4998" w:hanging="699"/>
      </w:pPr>
      <w:rPr>
        <w:rFonts w:hint="default"/>
      </w:rPr>
    </w:lvl>
    <w:lvl w:ilvl="6">
      <w:start w:val="0"/>
      <w:numFmt w:val="bullet"/>
      <w:lvlText w:val="•"/>
      <w:lvlJc w:val="left"/>
      <w:pPr>
        <w:ind w:left="5928" w:hanging="699"/>
      </w:pPr>
      <w:rPr>
        <w:rFonts w:hint="default"/>
      </w:rPr>
    </w:lvl>
    <w:lvl w:ilvl="7">
      <w:start w:val="0"/>
      <w:numFmt w:val="bullet"/>
      <w:lvlText w:val="•"/>
      <w:lvlJc w:val="left"/>
      <w:pPr>
        <w:ind w:left="6857" w:hanging="699"/>
      </w:pPr>
      <w:rPr>
        <w:rFonts w:hint="default"/>
      </w:rPr>
    </w:lvl>
    <w:lvl w:ilvl="8">
      <w:start w:val="0"/>
      <w:numFmt w:val="bullet"/>
      <w:lvlText w:val="•"/>
      <w:lvlJc w:val="left"/>
      <w:pPr>
        <w:ind w:left="7787" w:hanging="699"/>
      </w:pPr>
      <w:rPr>
        <w:rFonts w:hint="default"/>
      </w:rPr>
    </w:lvl>
  </w:abstractNum>
  <w:abstractNum w:abstractNumId="15">
    <w:multiLevelType w:val="hybridMultilevel"/>
    <w:lvl w:ilvl="0">
      <w:start w:val="3"/>
      <w:numFmt w:val="decimal"/>
      <w:lvlText w:val="（%1）"/>
      <w:lvlJc w:val="left"/>
      <w:pPr>
        <w:ind w:left="1661" w:hanging="601"/>
        <w:jc w:val="left"/>
      </w:pPr>
      <w:rPr>
        <w:rFonts w:hint="default" w:ascii="Noto Sans CJK JP Regular" w:hAnsi="Noto Sans CJK JP Regular" w:eastAsia="Noto Sans CJK JP Regular" w:cs="Noto Sans CJK JP Regular"/>
        <w:w w:val="90"/>
        <w:sz w:val="22"/>
        <w:szCs w:val="22"/>
      </w:rPr>
    </w:lvl>
    <w:lvl w:ilvl="1">
      <w:start w:val="0"/>
      <w:numFmt w:val="bullet"/>
      <w:lvlText w:val="•"/>
      <w:lvlJc w:val="left"/>
      <w:pPr>
        <w:ind w:left="2458" w:hanging="601"/>
      </w:pPr>
      <w:rPr>
        <w:rFonts w:hint="default"/>
      </w:rPr>
    </w:lvl>
    <w:lvl w:ilvl="2">
      <w:start w:val="0"/>
      <w:numFmt w:val="bullet"/>
      <w:lvlText w:val="•"/>
      <w:lvlJc w:val="left"/>
      <w:pPr>
        <w:ind w:left="3257" w:hanging="601"/>
      </w:pPr>
      <w:rPr>
        <w:rFonts w:hint="default"/>
      </w:rPr>
    </w:lvl>
    <w:lvl w:ilvl="3">
      <w:start w:val="0"/>
      <w:numFmt w:val="bullet"/>
      <w:lvlText w:val="•"/>
      <w:lvlJc w:val="left"/>
      <w:pPr>
        <w:ind w:left="4055" w:hanging="601"/>
      </w:pPr>
      <w:rPr>
        <w:rFonts w:hint="default"/>
      </w:rPr>
    </w:lvl>
    <w:lvl w:ilvl="4">
      <w:start w:val="0"/>
      <w:numFmt w:val="bullet"/>
      <w:lvlText w:val="•"/>
      <w:lvlJc w:val="left"/>
      <w:pPr>
        <w:ind w:left="4854" w:hanging="601"/>
      </w:pPr>
      <w:rPr>
        <w:rFonts w:hint="default"/>
      </w:rPr>
    </w:lvl>
    <w:lvl w:ilvl="5">
      <w:start w:val="0"/>
      <w:numFmt w:val="bullet"/>
      <w:lvlText w:val="•"/>
      <w:lvlJc w:val="left"/>
      <w:pPr>
        <w:ind w:left="5653" w:hanging="601"/>
      </w:pPr>
      <w:rPr>
        <w:rFonts w:hint="default"/>
      </w:rPr>
    </w:lvl>
    <w:lvl w:ilvl="6">
      <w:start w:val="0"/>
      <w:numFmt w:val="bullet"/>
      <w:lvlText w:val="•"/>
      <w:lvlJc w:val="left"/>
      <w:pPr>
        <w:ind w:left="6451" w:hanging="601"/>
      </w:pPr>
      <w:rPr>
        <w:rFonts w:hint="default"/>
      </w:rPr>
    </w:lvl>
    <w:lvl w:ilvl="7">
      <w:start w:val="0"/>
      <w:numFmt w:val="bullet"/>
      <w:lvlText w:val="•"/>
      <w:lvlJc w:val="left"/>
      <w:pPr>
        <w:ind w:left="7250" w:hanging="601"/>
      </w:pPr>
      <w:rPr>
        <w:rFonts w:hint="default"/>
      </w:rPr>
    </w:lvl>
    <w:lvl w:ilvl="8">
      <w:start w:val="0"/>
      <w:numFmt w:val="bullet"/>
      <w:lvlText w:val="•"/>
      <w:lvlJc w:val="left"/>
      <w:pPr>
        <w:ind w:left="8049" w:hanging="601"/>
      </w:pPr>
      <w:rPr>
        <w:rFonts w:hint="default"/>
      </w:rPr>
    </w:lvl>
  </w:abstractNum>
  <w:abstractNum w:abstractNumId="14">
    <w:multiLevelType w:val="hybridMultilevel"/>
    <w:lvl w:ilvl="0">
      <w:start w:val="8"/>
      <w:numFmt w:val="decimal"/>
      <w:lvlText w:val="%1"/>
      <w:lvlJc w:val="left"/>
      <w:pPr>
        <w:ind w:left="1106" w:hanging="526"/>
        <w:jc w:val="left"/>
      </w:pPr>
      <w:rPr>
        <w:rFonts w:hint="default"/>
      </w:rPr>
    </w:lvl>
    <w:lvl w:ilvl="1">
      <w:start w:val="1"/>
      <w:numFmt w:val="decimal"/>
      <w:lvlText w:val="%1.%2"/>
      <w:lvlJc w:val="left"/>
      <w:pPr>
        <w:ind w:left="1106" w:hanging="526"/>
        <w:jc w:val="left"/>
      </w:pPr>
      <w:rPr>
        <w:rFonts w:hint="default"/>
        <w:spacing w:val="-1"/>
        <w:w w:val="100"/>
      </w:rPr>
    </w:lvl>
    <w:lvl w:ilvl="2">
      <w:start w:val="1"/>
      <w:numFmt w:val="decimal"/>
      <w:lvlText w:val="%1.%2.%3"/>
      <w:lvlJc w:val="left"/>
      <w:pPr>
        <w:ind w:left="1278" w:hanging="699"/>
        <w:jc w:val="left"/>
      </w:pPr>
      <w:rPr>
        <w:rFonts w:hint="default" w:ascii="Times New Roman" w:hAnsi="Times New Roman" w:eastAsia="Times New Roman" w:cs="Times New Roman"/>
        <w:spacing w:val="-3"/>
        <w:w w:val="100"/>
        <w:sz w:val="28"/>
        <w:szCs w:val="28"/>
      </w:rPr>
    </w:lvl>
    <w:lvl w:ilvl="3">
      <w:start w:val="1"/>
      <w:numFmt w:val="decimal"/>
      <w:lvlText w:val="%1.%2.%3.%4"/>
      <w:lvlJc w:val="left"/>
      <w:pPr>
        <w:ind w:left="1360" w:hanging="780"/>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3431" w:hanging="780"/>
      </w:pPr>
      <w:rPr>
        <w:rFonts w:hint="default"/>
      </w:rPr>
    </w:lvl>
    <w:lvl w:ilvl="5">
      <w:start w:val="0"/>
      <w:numFmt w:val="bullet"/>
      <w:lvlText w:val="•"/>
      <w:lvlJc w:val="left"/>
      <w:pPr>
        <w:ind w:left="4467" w:hanging="780"/>
      </w:pPr>
      <w:rPr>
        <w:rFonts w:hint="default"/>
      </w:rPr>
    </w:lvl>
    <w:lvl w:ilvl="6">
      <w:start w:val="0"/>
      <w:numFmt w:val="bullet"/>
      <w:lvlText w:val="•"/>
      <w:lvlJc w:val="left"/>
      <w:pPr>
        <w:ind w:left="5503" w:hanging="780"/>
      </w:pPr>
      <w:rPr>
        <w:rFonts w:hint="default"/>
      </w:rPr>
    </w:lvl>
    <w:lvl w:ilvl="7">
      <w:start w:val="0"/>
      <w:numFmt w:val="bullet"/>
      <w:lvlText w:val="•"/>
      <w:lvlJc w:val="left"/>
      <w:pPr>
        <w:ind w:left="6539" w:hanging="780"/>
      </w:pPr>
      <w:rPr>
        <w:rFonts w:hint="default"/>
      </w:rPr>
    </w:lvl>
    <w:lvl w:ilvl="8">
      <w:start w:val="0"/>
      <w:numFmt w:val="bullet"/>
      <w:lvlText w:val="•"/>
      <w:lvlJc w:val="left"/>
      <w:pPr>
        <w:ind w:left="7574" w:hanging="780"/>
      </w:pPr>
      <w:rPr>
        <w:rFonts w:hint="default"/>
      </w:rPr>
    </w:lvl>
  </w:abstractNum>
  <w:abstractNum w:abstractNumId="13">
    <w:multiLevelType w:val="hybridMultilevel"/>
    <w:lvl w:ilvl="0">
      <w:start w:val="7"/>
      <w:numFmt w:val="decimal"/>
      <w:lvlText w:val="%1"/>
      <w:lvlJc w:val="left"/>
      <w:pPr>
        <w:ind w:left="1377" w:hanging="800"/>
        <w:jc w:val="left"/>
      </w:pPr>
      <w:rPr>
        <w:rFonts w:hint="default"/>
      </w:rPr>
    </w:lvl>
    <w:lvl w:ilvl="1">
      <w:start w:val="8"/>
      <w:numFmt w:val="decimal"/>
      <w:lvlText w:val="%1.%2"/>
      <w:lvlJc w:val="left"/>
      <w:pPr>
        <w:ind w:left="1377" w:hanging="800"/>
        <w:jc w:val="left"/>
      </w:pPr>
      <w:rPr>
        <w:rFonts w:hint="default"/>
      </w:rPr>
    </w:lvl>
    <w:lvl w:ilvl="2">
      <w:start w:val="2"/>
      <w:numFmt w:val="decimal"/>
      <w:lvlText w:val="%1.%2.%3"/>
      <w:lvlJc w:val="left"/>
      <w:pPr>
        <w:ind w:left="1377" w:hanging="8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3859" w:hanging="800"/>
      </w:pPr>
      <w:rPr>
        <w:rFonts w:hint="default"/>
      </w:rPr>
    </w:lvl>
    <w:lvl w:ilvl="4">
      <w:start w:val="0"/>
      <w:numFmt w:val="bullet"/>
      <w:lvlText w:val="•"/>
      <w:lvlJc w:val="left"/>
      <w:pPr>
        <w:ind w:left="4686" w:hanging="800"/>
      </w:pPr>
      <w:rPr>
        <w:rFonts w:hint="default"/>
      </w:rPr>
    </w:lvl>
    <w:lvl w:ilvl="5">
      <w:start w:val="0"/>
      <w:numFmt w:val="bullet"/>
      <w:lvlText w:val="•"/>
      <w:lvlJc w:val="left"/>
      <w:pPr>
        <w:ind w:left="5513" w:hanging="800"/>
      </w:pPr>
      <w:rPr>
        <w:rFonts w:hint="default"/>
      </w:rPr>
    </w:lvl>
    <w:lvl w:ilvl="6">
      <w:start w:val="0"/>
      <w:numFmt w:val="bullet"/>
      <w:lvlText w:val="•"/>
      <w:lvlJc w:val="left"/>
      <w:pPr>
        <w:ind w:left="6339" w:hanging="800"/>
      </w:pPr>
      <w:rPr>
        <w:rFonts w:hint="default"/>
      </w:rPr>
    </w:lvl>
    <w:lvl w:ilvl="7">
      <w:start w:val="0"/>
      <w:numFmt w:val="bullet"/>
      <w:lvlText w:val="•"/>
      <w:lvlJc w:val="left"/>
      <w:pPr>
        <w:ind w:left="7166" w:hanging="800"/>
      </w:pPr>
      <w:rPr>
        <w:rFonts w:hint="default"/>
      </w:rPr>
    </w:lvl>
    <w:lvl w:ilvl="8">
      <w:start w:val="0"/>
      <w:numFmt w:val="bullet"/>
      <w:lvlText w:val="•"/>
      <w:lvlJc w:val="left"/>
      <w:pPr>
        <w:ind w:left="7993" w:hanging="800"/>
      </w:pPr>
      <w:rPr>
        <w:rFonts w:hint="default"/>
      </w:rPr>
    </w:lvl>
  </w:abstractNum>
  <w:abstractNum w:abstractNumId="12">
    <w:multiLevelType w:val="hybridMultilevel"/>
    <w:lvl w:ilvl="0">
      <w:start w:val="7"/>
      <w:numFmt w:val="decimal"/>
      <w:lvlText w:val="%1"/>
      <w:lvlJc w:val="left"/>
      <w:pPr>
        <w:ind w:left="1209" w:hanging="632"/>
        <w:jc w:val="left"/>
      </w:pPr>
      <w:rPr>
        <w:rFonts w:hint="default"/>
      </w:rPr>
    </w:lvl>
    <w:lvl w:ilvl="1">
      <w:start w:val="8"/>
      <w:numFmt w:val="decimal"/>
      <w:lvlText w:val="%1.%2"/>
      <w:lvlJc w:val="left"/>
      <w:pPr>
        <w:ind w:left="1209" w:hanging="632"/>
        <w:jc w:val="left"/>
      </w:pPr>
      <w:rPr>
        <w:rFonts w:hint="default"/>
        <w:b/>
        <w:bCs/>
        <w:w w:val="100"/>
      </w:rPr>
    </w:lvl>
    <w:lvl w:ilvl="2">
      <w:start w:val="1"/>
      <w:numFmt w:val="decimal"/>
      <w:lvlText w:val="%1.%2.%3"/>
      <w:lvlJc w:val="left"/>
      <w:pPr>
        <w:ind w:left="1377" w:hanging="800"/>
        <w:jc w:val="left"/>
      </w:pPr>
      <w:rPr>
        <w:rFonts w:hint="default" w:ascii="Times New Roman" w:hAnsi="Times New Roman" w:eastAsia="Times New Roman" w:cs="Times New Roman"/>
        <w:b/>
        <w:bCs/>
        <w:w w:val="99"/>
        <w:sz w:val="32"/>
        <w:szCs w:val="32"/>
      </w:rPr>
    </w:lvl>
    <w:lvl w:ilvl="3">
      <w:start w:val="1"/>
      <w:numFmt w:val="decimal"/>
      <w:lvlText w:val="%1.%2.%3.%4"/>
      <w:lvlJc w:val="left"/>
      <w:pPr>
        <w:ind w:left="1490" w:hanging="912"/>
        <w:jc w:val="left"/>
      </w:pPr>
      <w:rPr>
        <w:rFonts w:hint="default" w:ascii="Times New Roman" w:hAnsi="Times New Roman" w:eastAsia="Times New Roman" w:cs="Times New Roman"/>
        <w:b/>
        <w:bCs/>
        <w:spacing w:val="-4"/>
        <w:w w:val="100"/>
        <w:sz w:val="28"/>
        <w:szCs w:val="28"/>
      </w:rPr>
    </w:lvl>
    <w:lvl w:ilvl="4">
      <w:start w:val="0"/>
      <w:numFmt w:val="bullet"/>
      <w:lvlText w:val="•"/>
      <w:lvlJc w:val="left"/>
      <w:pPr>
        <w:ind w:left="3536" w:hanging="912"/>
      </w:pPr>
      <w:rPr>
        <w:rFonts w:hint="default"/>
      </w:rPr>
    </w:lvl>
    <w:lvl w:ilvl="5">
      <w:start w:val="0"/>
      <w:numFmt w:val="bullet"/>
      <w:lvlText w:val="•"/>
      <w:lvlJc w:val="left"/>
      <w:pPr>
        <w:ind w:left="4554" w:hanging="912"/>
      </w:pPr>
      <w:rPr>
        <w:rFonts w:hint="default"/>
      </w:rPr>
    </w:lvl>
    <w:lvl w:ilvl="6">
      <w:start w:val="0"/>
      <w:numFmt w:val="bullet"/>
      <w:lvlText w:val="•"/>
      <w:lvlJc w:val="left"/>
      <w:pPr>
        <w:ind w:left="5573" w:hanging="912"/>
      </w:pPr>
      <w:rPr>
        <w:rFonts w:hint="default"/>
      </w:rPr>
    </w:lvl>
    <w:lvl w:ilvl="7">
      <w:start w:val="0"/>
      <w:numFmt w:val="bullet"/>
      <w:lvlText w:val="•"/>
      <w:lvlJc w:val="left"/>
      <w:pPr>
        <w:ind w:left="6591" w:hanging="912"/>
      </w:pPr>
      <w:rPr>
        <w:rFonts w:hint="default"/>
      </w:rPr>
    </w:lvl>
    <w:lvl w:ilvl="8">
      <w:start w:val="0"/>
      <w:numFmt w:val="bullet"/>
      <w:lvlText w:val="•"/>
      <w:lvlJc w:val="left"/>
      <w:pPr>
        <w:ind w:left="7609" w:hanging="912"/>
      </w:pPr>
      <w:rPr>
        <w:rFonts w:hint="default"/>
      </w:rPr>
    </w:lvl>
  </w:abstractNum>
  <w:abstractNum w:abstractNumId="11">
    <w:multiLevelType w:val="hybridMultilevel"/>
    <w:lvl w:ilvl="0">
      <w:start w:val="7"/>
      <w:numFmt w:val="decimal"/>
      <w:lvlText w:val="%1"/>
      <w:lvlJc w:val="left"/>
      <w:pPr>
        <w:ind w:left="1209" w:hanging="632"/>
        <w:jc w:val="left"/>
      </w:pPr>
      <w:rPr>
        <w:rFonts w:hint="default"/>
      </w:rPr>
    </w:lvl>
    <w:lvl w:ilvl="1">
      <w:start w:val="7"/>
      <w:numFmt w:val="decimal"/>
      <w:lvlText w:val="%1.%2"/>
      <w:lvlJc w:val="left"/>
      <w:pPr>
        <w:ind w:left="120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298" w:hanging="720"/>
        <w:jc w:val="left"/>
      </w:pPr>
      <w:rPr>
        <w:rFonts w:hint="default"/>
        <w:b/>
        <w:bCs/>
        <w:spacing w:val="-1"/>
        <w:w w:val="99"/>
      </w:rPr>
    </w:lvl>
    <w:lvl w:ilvl="3">
      <w:start w:val="0"/>
      <w:numFmt w:val="bullet"/>
      <w:lvlText w:val="•"/>
      <w:lvlJc w:val="left"/>
      <w:pPr>
        <w:ind w:left="2763" w:hanging="720"/>
      </w:pPr>
      <w:rPr>
        <w:rFonts w:hint="default"/>
      </w:rPr>
    </w:lvl>
    <w:lvl w:ilvl="4">
      <w:start w:val="0"/>
      <w:numFmt w:val="bullet"/>
      <w:lvlText w:val="•"/>
      <w:lvlJc w:val="left"/>
      <w:pPr>
        <w:ind w:left="3746" w:hanging="720"/>
      </w:pPr>
      <w:rPr>
        <w:rFonts w:hint="default"/>
      </w:rPr>
    </w:lvl>
    <w:lvl w:ilvl="5">
      <w:start w:val="0"/>
      <w:numFmt w:val="bullet"/>
      <w:lvlText w:val="•"/>
      <w:lvlJc w:val="left"/>
      <w:pPr>
        <w:ind w:left="4729" w:hanging="720"/>
      </w:pPr>
      <w:rPr>
        <w:rFonts w:hint="default"/>
      </w:rPr>
    </w:lvl>
    <w:lvl w:ilvl="6">
      <w:start w:val="0"/>
      <w:numFmt w:val="bullet"/>
      <w:lvlText w:val="•"/>
      <w:lvlJc w:val="left"/>
      <w:pPr>
        <w:ind w:left="5713" w:hanging="720"/>
      </w:pPr>
      <w:rPr>
        <w:rFonts w:hint="default"/>
      </w:rPr>
    </w:lvl>
    <w:lvl w:ilvl="7">
      <w:start w:val="0"/>
      <w:numFmt w:val="bullet"/>
      <w:lvlText w:val="•"/>
      <w:lvlJc w:val="left"/>
      <w:pPr>
        <w:ind w:left="6696" w:hanging="720"/>
      </w:pPr>
      <w:rPr>
        <w:rFonts w:hint="default"/>
      </w:rPr>
    </w:lvl>
    <w:lvl w:ilvl="8">
      <w:start w:val="0"/>
      <w:numFmt w:val="bullet"/>
      <w:lvlText w:val="•"/>
      <w:lvlJc w:val="left"/>
      <w:pPr>
        <w:ind w:left="7679" w:hanging="720"/>
      </w:pPr>
      <w:rPr>
        <w:rFonts w:hint="default"/>
      </w:rPr>
    </w:lvl>
  </w:abstractNum>
  <w:abstractNum w:abstractNumId="10">
    <w:multiLevelType w:val="hybridMultilevel"/>
    <w:lvl w:ilvl="0">
      <w:start w:val="7"/>
      <w:numFmt w:val="decimal"/>
      <w:lvlText w:val="%1"/>
      <w:lvlJc w:val="left"/>
      <w:pPr>
        <w:ind w:left="1209" w:hanging="632"/>
        <w:jc w:val="left"/>
      </w:pPr>
      <w:rPr>
        <w:rFonts w:hint="default"/>
      </w:rPr>
    </w:lvl>
    <w:lvl w:ilvl="1">
      <w:start w:val="2"/>
      <w:numFmt w:val="decimal"/>
      <w:lvlText w:val="%1.%2"/>
      <w:lvlJc w:val="left"/>
      <w:pPr>
        <w:ind w:left="120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377"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3216" w:hanging="800"/>
      </w:pPr>
      <w:rPr>
        <w:rFonts w:hint="default"/>
      </w:rPr>
    </w:lvl>
    <w:lvl w:ilvl="4">
      <w:start w:val="0"/>
      <w:numFmt w:val="bullet"/>
      <w:lvlText w:val="•"/>
      <w:lvlJc w:val="left"/>
      <w:pPr>
        <w:ind w:left="4135" w:hanging="800"/>
      </w:pPr>
      <w:rPr>
        <w:rFonts w:hint="default"/>
      </w:rPr>
    </w:lvl>
    <w:lvl w:ilvl="5">
      <w:start w:val="0"/>
      <w:numFmt w:val="bullet"/>
      <w:lvlText w:val="•"/>
      <w:lvlJc w:val="left"/>
      <w:pPr>
        <w:ind w:left="5053" w:hanging="800"/>
      </w:pPr>
      <w:rPr>
        <w:rFonts w:hint="default"/>
      </w:rPr>
    </w:lvl>
    <w:lvl w:ilvl="6">
      <w:start w:val="0"/>
      <w:numFmt w:val="bullet"/>
      <w:lvlText w:val="•"/>
      <w:lvlJc w:val="left"/>
      <w:pPr>
        <w:ind w:left="5972" w:hanging="800"/>
      </w:pPr>
      <w:rPr>
        <w:rFonts w:hint="default"/>
      </w:rPr>
    </w:lvl>
    <w:lvl w:ilvl="7">
      <w:start w:val="0"/>
      <w:numFmt w:val="bullet"/>
      <w:lvlText w:val="•"/>
      <w:lvlJc w:val="left"/>
      <w:pPr>
        <w:ind w:left="6890" w:hanging="800"/>
      </w:pPr>
      <w:rPr>
        <w:rFonts w:hint="default"/>
      </w:rPr>
    </w:lvl>
    <w:lvl w:ilvl="8">
      <w:start w:val="0"/>
      <w:numFmt w:val="bullet"/>
      <w:lvlText w:val="•"/>
      <w:lvlJc w:val="left"/>
      <w:pPr>
        <w:ind w:left="7809" w:hanging="800"/>
      </w:pPr>
      <w:rPr>
        <w:rFonts w:hint="default"/>
      </w:rPr>
    </w:lvl>
  </w:abstractNum>
  <w:abstractNum w:abstractNumId="9">
    <w:multiLevelType w:val="hybridMultilevel"/>
    <w:lvl w:ilvl="0">
      <w:start w:val="7"/>
      <w:numFmt w:val="decimal"/>
      <w:lvlText w:val="%1"/>
      <w:lvlJc w:val="left"/>
      <w:pPr>
        <w:ind w:left="1019" w:hanging="442"/>
        <w:jc w:val="left"/>
      </w:pPr>
      <w:rPr>
        <w:rFonts w:hint="default" w:ascii="Times New Roman" w:hAnsi="Times New Roman" w:eastAsia="Times New Roman" w:cs="Times New Roman"/>
        <w:b/>
        <w:bCs/>
        <w:w w:val="99"/>
        <w:sz w:val="44"/>
        <w:szCs w:val="44"/>
      </w:rPr>
    </w:lvl>
    <w:lvl w:ilvl="1">
      <w:start w:val="1"/>
      <w:numFmt w:val="decimal"/>
      <w:lvlText w:val="%1.%2"/>
      <w:lvlJc w:val="left"/>
      <w:pPr>
        <w:ind w:left="120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377" w:hanging="800"/>
        <w:jc w:val="left"/>
      </w:pPr>
      <w:rPr>
        <w:rFonts w:hint="default" w:ascii="Times New Roman" w:hAnsi="Times New Roman" w:eastAsia="Times New Roman" w:cs="Times New Roman"/>
        <w:b/>
        <w:bCs/>
        <w:spacing w:val="0"/>
        <w:w w:val="99"/>
        <w:sz w:val="32"/>
        <w:szCs w:val="32"/>
      </w:rPr>
    </w:lvl>
    <w:lvl w:ilvl="3">
      <w:start w:val="0"/>
      <w:numFmt w:val="bullet"/>
      <w:lvlText w:val="•"/>
      <w:lvlJc w:val="left"/>
      <w:pPr>
        <w:ind w:left="2413" w:hanging="800"/>
      </w:pPr>
      <w:rPr>
        <w:rFonts w:hint="default"/>
      </w:rPr>
    </w:lvl>
    <w:lvl w:ilvl="4">
      <w:start w:val="0"/>
      <w:numFmt w:val="bullet"/>
      <w:lvlText w:val="•"/>
      <w:lvlJc w:val="left"/>
      <w:pPr>
        <w:ind w:left="3446" w:hanging="800"/>
      </w:pPr>
      <w:rPr>
        <w:rFonts w:hint="default"/>
      </w:rPr>
    </w:lvl>
    <w:lvl w:ilvl="5">
      <w:start w:val="0"/>
      <w:numFmt w:val="bullet"/>
      <w:lvlText w:val="•"/>
      <w:lvlJc w:val="left"/>
      <w:pPr>
        <w:ind w:left="4479" w:hanging="800"/>
      </w:pPr>
      <w:rPr>
        <w:rFonts w:hint="default"/>
      </w:rPr>
    </w:lvl>
    <w:lvl w:ilvl="6">
      <w:start w:val="0"/>
      <w:numFmt w:val="bullet"/>
      <w:lvlText w:val="•"/>
      <w:lvlJc w:val="left"/>
      <w:pPr>
        <w:ind w:left="5513" w:hanging="800"/>
      </w:pPr>
      <w:rPr>
        <w:rFonts w:hint="default"/>
      </w:rPr>
    </w:lvl>
    <w:lvl w:ilvl="7">
      <w:start w:val="0"/>
      <w:numFmt w:val="bullet"/>
      <w:lvlText w:val="•"/>
      <w:lvlJc w:val="left"/>
      <w:pPr>
        <w:ind w:left="6546" w:hanging="800"/>
      </w:pPr>
      <w:rPr>
        <w:rFonts w:hint="default"/>
      </w:rPr>
    </w:lvl>
    <w:lvl w:ilvl="8">
      <w:start w:val="0"/>
      <w:numFmt w:val="bullet"/>
      <w:lvlText w:val="•"/>
      <w:lvlJc w:val="left"/>
      <w:pPr>
        <w:ind w:left="7579" w:hanging="800"/>
      </w:pPr>
      <w:rPr>
        <w:rFonts w:hint="default"/>
      </w:rPr>
    </w:lvl>
  </w:abstractNum>
  <w:abstractNum w:abstractNumId="8">
    <w:multiLevelType w:val="hybridMultilevel"/>
    <w:lvl w:ilvl="0">
      <w:start w:val="5"/>
      <w:numFmt w:val="decimal"/>
      <w:lvlText w:val="%1"/>
      <w:lvlJc w:val="left"/>
      <w:pPr>
        <w:ind w:left="1377" w:hanging="800"/>
        <w:jc w:val="left"/>
      </w:pPr>
      <w:rPr>
        <w:rFonts w:hint="default"/>
      </w:rPr>
    </w:lvl>
    <w:lvl w:ilvl="1">
      <w:start w:val="4"/>
      <w:numFmt w:val="decimal"/>
      <w:lvlText w:val="%1.%2"/>
      <w:lvlJc w:val="left"/>
      <w:pPr>
        <w:ind w:left="1377" w:hanging="800"/>
        <w:jc w:val="left"/>
      </w:pPr>
      <w:rPr>
        <w:rFonts w:hint="default"/>
      </w:rPr>
    </w:lvl>
    <w:lvl w:ilvl="2">
      <w:start w:val="5"/>
      <w:numFmt w:val="decimal"/>
      <w:lvlText w:val="%1.%2.%3"/>
      <w:lvlJc w:val="left"/>
      <w:pPr>
        <w:ind w:left="1377" w:hanging="80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490" w:hanging="912"/>
        <w:jc w:val="left"/>
      </w:pPr>
      <w:rPr>
        <w:rFonts w:hint="default" w:ascii="Times New Roman" w:hAnsi="Times New Roman" w:eastAsia="Times New Roman" w:cs="Times New Roman"/>
        <w:b/>
        <w:bCs/>
        <w:spacing w:val="-3"/>
        <w:w w:val="100"/>
        <w:sz w:val="28"/>
        <w:szCs w:val="28"/>
      </w:rPr>
    </w:lvl>
    <w:lvl w:ilvl="4">
      <w:start w:val="0"/>
      <w:numFmt w:val="bullet"/>
      <w:lvlText w:val="•"/>
      <w:lvlJc w:val="left"/>
      <w:pPr>
        <w:ind w:left="4215" w:hanging="912"/>
      </w:pPr>
      <w:rPr>
        <w:rFonts w:hint="default"/>
      </w:rPr>
    </w:lvl>
    <w:lvl w:ilvl="5">
      <w:start w:val="0"/>
      <w:numFmt w:val="bullet"/>
      <w:lvlText w:val="•"/>
      <w:lvlJc w:val="left"/>
      <w:pPr>
        <w:ind w:left="5120" w:hanging="912"/>
      </w:pPr>
      <w:rPr>
        <w:rFonts w:hint="default"/>
      </w:rPr>
    </w:lvl>
    <w:lvl w:ilvl="6">
      <w:start w:val="0"/>
      <w:numFmt w:val="bullet"/>
      <w:lvlText w:val="•"/>
      <w:lvlJc w:val="left"/>
      <w:pPr>
        <w:ind w:left="6025" w:hanging="912"/>
      </w:pPr>
      <w:rPr>
        <w:rFonts w:hint="default"/>
      </w:rPr>
    </w:lvl>
    <w:lvl w:ilvl="7">
      <w:start w:val="0"/>
      <w:numFmt w:val="bullet"/>
      <w:lvlText w:val="•"/>
      <w:lvlJc w:val="left"/>
      <w:pPr>
        <w:ind w:left="6930" w:hanging="912"/>
      </w:pPr>
      <w:rPr>
        <w:rFonts w:hint="default"/>
      </w:rPr>
    </w:lvl>
    <w:lvl w:ilvl="8">
      <w:start w:val="0"/>
      <w:numFmt w:val="bullet"/>
      <w:lvlText w:val="•"/>
      <w:lvlJc w:val="left"/>
      <w:pPr>
        <w:ind w:left="7836" w:hanging="912"/>
      </w:pPr>
      <w:rPr>
        <w:rFonts w:hint="default"/>
      </w:rPr>
    </w:lvl>
  </w:abstractNum>
  <w:abstractNum w:abstractNumId="7">
    <w:multiLevelType w:val="hybridMultilevel"/>
    <w:lvl w:ilvl="0">
      <w:start w:val="5"/>
      <w:numFmt w:val="decimal"/>
      <w:lvlText w:val="%1"/>
      <w:lvlJc w:val="left"/>
      <w:pPr>
        <w:ind w:left="1377" w:hanging="800"/>
        <w:jc w:val="left"/>
      </w:pPr>
      <w:rPr>
        <w:rFonts w:hint="default"/>
      </w:rPr>
    </w:lvl>
    <w:lvl w:ilvl="1">
      <w:start w:val="4"/>
      <w:numFmt w:val="decimal"/>
      <w:lvlText w:val="%1.%2"/>
      <w:lvlJc w:val="left"/>
      <w:pPr>
        <w:ind w:left="1377" w:hanging="800"/>
        <w:jc w:val="left"/>
      </w:pPr>
      <w:rPr>
        <w:rFonts w:hint="default"/>
      </w:rPr>
    </w:lvl>
    <w:lvl w:ilvl="2">
      <w:start w:val="4"/>
      <w:numFmt w:val="decimal"/>
      <w:lvlText w:val="%1.%2.%3"/>
      <w:lvlJc w:val="left"/>
      <w:pPr>
        <w:ind w:left="1377" w:hanging="800"/>
        <w:jc w:val="left"/>
      </w:pPr>
      <w:rPr>
        <w:rFonts w:hint="default" w:ascii="Times New Roman" w:hAnsi="Times New Roman" w:eastAsia="Times New Roman" w:cs="Times New Roman"/>
        <w:b/>
        <w:bCs/>
        <w:w w:val="99"/>
        <w:sz w:val="32"/>
        <w:szCs w:val="32"/>
      </w:rPr>
    </w:lvl>
    <w:lvl w:ilvl="3">
      <w:start w:val="1"/>
      <w:numFmt w:val="decimal"/>
      <w:lvlText w:val="%1.%2.%3.%4"/>
      <w:lvlJc w:val="left"/>
      <w:pPr>
        <w:ind w:left="1490" w:hanging="912"/>
        <w:jc w:val="left"/>
      </w:pPr>
      <w:rPr>
        <w:rFonts w:hint="default" w:ascii="Times New Roman" w:hAnsi="Times New Roman" w:eastAsia="Times New Roman" w:cs="Times New Roman"/>
        <w:b/>
        <w:bCs/>
        <w:spacing w:val="-4"/>
        <w:w w:val="100"/>
        <w:sz w:val="28"/>
        <w:szCs w:val="28"/>
      </w:rPr>
    </w:lvl>
    <w:lvl w:ilvl="4">
      <w:start w:val="0"/>
      <w:numFmt w:val="bullet"/>
      <w:lvlText w:val="•"/>
      <w:lvlJc w:val="left"/>
      <w:pPr>
        <w:ind w:left="4215" w:hanging="912"/>
      </w:pPr>
      <w:rPr>
        <w:rFonts w:hint="default"/>
      </w:rPr>
    </w:lvl>
    <w:lvl w:ilvl="5">
      <w:start w:val="0"/>
      <w:numFmt w:val="bullet"/>
      <w:lvlText w:val="•"/>
      <w:lvlJc w:val="left"/>
      <w:pPr>
        <w:ind w:left="5120" w:hanging="912"/>
      </w:pPr>
      <w:rPr>
        <w:rFonts w:hint="default"/>
      </w:rPr>
    </w:lvl>
    <w:lvl w:ilvl="6">
      <w:start w:val="0"/>
      <w:numFmt w:val="bullet"/>
      <w:lvlText w:val="•"/>
      <w:lvlJc w:val="left"/>
      <w:pPr>
        <w:ind w:left="6025" w:hanging="912"/>
      </w:pPr>
      <w:rPr>
        <w:rFonts w:hint="default"/>
      </w:rPr>
    </w:lvl>
    <w:lvl w:ilvl="7">
      <w:start w:val="0"/>
      <w:numFmt w:val="bullet"/>
      <w:lvlText w:val="•"/>
      <w:lvlJc w:val="left"/>
      <w:pPr>
        <w:ind w:left="6930" w:hanging="912"/>
      </w:pPr>
      <w:rPr>
        <w:rFonts w:hint="default"/>
      </w:rPr>
    </w:lvl>
    <w:lvl w:ilvl="8">
      <w:start w:val="0"/>
      <w:numFmt w:val="bullet"/>
      <w:lvlText w:val="•"/>
      <w:lvlJc w:val="left"/>
      <w:pPr>
        <w:ind w:left="7836" w:hanging="912"/>
      </w:pPr>
      <w:rPr>
        <w:rFonts w:hint="default"/>
      </w:rPr>
    </w:lvl>
  </w:abstractNum>
  <w:abstractNum w:abstractNumId="6">
    <w:multiLevelType w:val="hybridMultilevel"/>
    <w:lvl w:ilvl="0">
      <w:start w:val="5"/>
      <w:numFmt w:val="decimal"/>
      <w:lvlText w:val="%1"/>
      <w:lvlJc w:val="left"/>
      <w:pPr>
        <w:ind w:left="1377" w:hanging="800"/>
        <w:jc w:val="left"/>
      </w:pPr>
      <w:rPr>
        <w:rFonts w:hint="default"/>
      </w:rPr>
    </w:lvl>
    <w:lvl w:ilvl="1">
      <w:start w:val="4"/>
      <w:numFmt w:val="decimal"/>
      <w:lvlText w:val="%1.%2"/>
      <w:lvlJc w:val="left"/>
      <w:pPr>
        <w:ind w:left="1377" w:hanging="800"/>
        <w:jc w:val="left"/>
      </w:pPr>
      <w:rPr>
        <w:rFonts w:hint="default"/>
      </w:rPr>
    </w:lvl>
    <w:lvl w:ilvl="2">
      <w:start w:val="3"/>
      <w:numFmt w:val="decimal"/>
      <w:lvlText w:val="%1.%2.%3"/>
      <w:lvlJc w:val="left"/>
      <w:pPr>
        <w:ind w:left="1377" w:hanging="80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490" w:hanging="912"/>
        <w:jc w:val="left"/>
      </w:pPr>
      <w:rPr>
        <w:rFonts w:hint="default" w:ascii="Times New Roman" w:hAnsi="Times New Roman" w:eastAsia="Times New Roman" w:cs="Times New Roman"/>
        <w:b/>
        <w:bCs/>
        <w:spacing w:val="-3"/>
        <w:w w:val="100"/>
        <w:sz w:val="28"/>
        <w:szCs w:val="28"/>
      </w:rPr>
    </w:lvl>
    <w:lvl w:ilvl="4">
      <w:start w:val="0"/>
      <w:numFmt w:val="bullet"/>
      <w:lvlText w:val="•"/>
      <w:lvlJc w:val="left"/>
      <w:pPr>
        <w:ind w:left="4215" w:hanging="912"/>
      </w:pPr>
      <w:rPr>
        <w:rFonts w:hint="default"/>
      </w:rPr>
    </w:lvl>
    <w:lvl w:ilvl="5">
      <w:start w:val="0"/>
      <w:numFmt w:val="bullet"/>
      <w:lvlText w:val="•"/>
      <w:lvlJc w:val="left"/>
      <w:pPr>
        <w:ind w:left="5120" w:hanging="912"/>
      </w:pPr>
      <w:rPr>
        <w:rFonts w:hint="default"/>
      </w:rPr>
    </w:lvl>
    <w:lvl w:ilvl="6">
      <w:start w:val="0"/>
      <w:numFmt w:val="bullet"/>
      <w:lvlText w:val="•"/>
      <w:lvlJc w:val="left"/>
      <w:pPr>
        <w:ind w:left="6025" w:hanging="912"/>
      </w:pPr>
      <w:rPr>
        <w:rFonts w:hint="default"/>
      </w:rPr>
    </w:lvl>
    <w:lvl w:ilvl="7">
      <w:start w:val="0"/>
      <w:numFmt w:val="bullet"/>
      <w:lvlText w:val="•"/>
      <w:lvlJc w:val="left"/>
      <w:pPr>
        <w:ind w:left="6930" w:hanging="912"/>
      </w:pPr>
      <w:rPr>
        <w:rFonts w:hint="default"/>
      </w:rPr>
    </w:lvl>
    <w:lvl w:ilvl="8">
      <w:start w:val="0"/>
      <w:numFmt w:val="bullet"/>
      <w:lvlText w:val="•"/>
      <w:lvlJc w:val="left"/>
      <w:pPr>
        <w:ind w:left="7836" w:hanging="912"/>
      </w:pPr>
      <w:rPr>
        <w:rFonts w:hint="default"/>
      </w:rPr>
    </w:lvl>
  </w:abstractNum>
  <w:abstractNum w:abstractNumId="5">
    <w:multiLevelType w:val="hybridMultilevel"/>
    <w:lvl w:ilvl="0">
      <w:start w:val="5"/>
      <w:numFmt w:val="decimal"/>
      <w:lvlText w:val="%1"/>
      <w:lvlJc w:val="left"/>
      <w:pPr>
        <w:ind w:left="1377" w:hanging="800"/>
        <w:jc w:val="left"/>
      </w:pPr>
      <w:rPr>
        <w:rFonts w:hint="default"/>
      </w:rPr>
    </w:lvl>
    <w:lvl w:ilvl="1">
      <w:start w:val="4"/>
      <w:numFmt w:val="decimal"/>
      <w:lvlText w:val="%1.%2"/>
      <w:lvlJc w:val="left"/>
      <w:pPr>
        <w:ind w:left="1377" w:hanging="800"/>
        <w:jc w:val="left"/>
      </w:pPr>
      <w:rPr>
        <w:rFonts w:hint="default"/>
      </w:rPr>
    </w:lvl>
    <w:lvl w:ilvl="2">
      <w:start w:val="2"/>
      <w:numFmt w:val="decimal"/>
      <w:lvlText w:val="%1.%2.%3"/>
      <w:lvlJc w:val="left"/>
      <w:pPr>
        <w:ind w:left="1377" w:hanging="800"/>
        <w:jc w:val="left"/>
      </w:pPr>
      <w:rPr>
        <w:rFonts w:hint="default" w:ascii="Times New Roman" w:hAnsi="Times New Roman" w:eastAsia="Times New Roman" w:cs="Times New Roman"/>
        <w:b/>
        <w:bCs/>
        <w:w w:val="99"/>
        <w:sz w:val="32"/>
        <w:szCs w:val="32"/>
      </w:rPr>
    </w:lvl>
    <w:lvl w:ilvl="3">
      <w:start w:val="1"/>
      <w:numFmt w:val="decimal"/>
      <w:lvlText w:val="%1.%2.%3.%4"/>
      <w:lvlJc w:val="left"/>
      <w:pPr>
        <w:ind w:left="1358" w:hanging="780"/>
        <w:jc w:val="left"/>
      </w:pPr>
      <w:rPr>
        <w:rFonts w:hint="default"/>
        <w:b/>
        <w:bCs/>
        <w:spacing w:val="-1"/>
        <w:w w:val="100"/>
      </w:rPr>
    </w:lvl>
    <w:lvl w:ilvl="4">
      <w:start w:val="0"/>
      <w:numFmt w:val="bullet"/>
      <w:lvlText w:val="•"/>
      <w:lvlJc w:val="left"/>
      <w:pPr>
        <w:ind w:left="4135" w:hanging="780"/>
      </w:pPr>
      <w:rPr>
        <w:rFonts w:hint="default"/>
      </w:rPr>
    </w:lvl>
    <w:lvl w:ilvl="5">
      <w:start w:val="0"/>
      <w:numFmt w:val="bullet"/>
      <w:lvlText w:val="•"/>
      <w:lvlJc w:val="left"/>
      <w:pPr>
        <w:ind w:left="5053" w:hanging="780"/>
      </w:pPr>
      <w:rPr>
        <w:rFonts w:hint="default"/>
      </w:rPr>
    </w:lvl>
    <w:lvl w:ilvl="6">
      <w:start w:val="0"/>
      <w:numFmt w:val="bullet"/>
      <w:lvlText w:val="•"/>
      <w:lvlJc w:val="left"/>
      <w:pPr>
        <w:ind w:left="5972" w:hanging="780"/>
      </w:pPr>
      <w:rPr>
        <w:rFonts w:hint="default"/>
      </w:rPr>
    </w:lvl>
    <w:lvl w:ilvl="7">
      <w:start w:val="0"/>
      <w:numFmt w:val="bullet"/>
      <w:lvlText w:val="•"/>
      <w:lvlJc w:val="left"/>
      <w:pPr>
        <w:ind w:left="6890" w:hanging="780"/>
      </w:pPr>
      <w:rPr>
        <w:rFonts w:hint="default"/>
      </w:rPr>
    </w:lvl>
    <w:lvl w:ilvl="8">
      <w:start w:val="0"/>
      <w:numFmt w:val="bullet"/>
      <w:lvlText w:val="•"/>
      <w:lvlJc w:val="left"/>
      <w:pPr>
        <w:ind w:left="7809" w:hanging="780"/>
      </w:pPr>
      <w:rPr>
        <w:rFonts w:hint="default"/>
      </w:rPr>
    </w:lvl>
  </w:abstractNum>
  <w:abstractNum w:abstractNumId="4">
    <w:multiLevelType w:val="hybridMultilevel"/>
    <w:lvl w:ilvl="0">
      <w:start w:val="5"/>
      <w:numFmt w:val="decimal"/>
      <w:lvlText w:val="%1"/>
      <w:lvlJc w:val="left"/>
      <w:pPr>
        <w:ind w:left="1139" w:hanging="562"/>
        <w:jc w:val="left"/>
      </w:pPr>
      <w:rPr>
        <w:rFonts w:hint="default"/>
      </w:rPr>
    </w:lvl>
    <w:lvl w:ilvl="1">
      <w:start w:val="2"/>
      <w:numFmt w:val="decimal"/>
      <w:lvlText w:val="%1.%2"/>
      <w:lvlJc w:val="left"/>
      <w:pPr>
        <w:ind w:left="1139" w:hanging="562"/>
        <w:jc w:val="left"/>
      </w:pPr>
      <w:rPr>
        <w:rFonts w:hint="default"/>
        <w:b/>
        <w:bCs/>
        <w:spacing w:val="-1"/>
        <w:w w:val="99"/>
      </w:rPr>
    </w:lvl>
    <w:lvl w:ilvl="2">
      <w:start w:val="1"/>
      <w:numFmt w:val="decimal"/>
      <w:lvlText w:val="%1.%2.%3"/>
      <w:lvlJc w:val="left"/>
      <w:pPr>
        <w:ind w:left="1377" w:hanging="800"/>
        <w:jc w:val="left"/>
      </w:pPr>
      <w:rPr>
        <w:rFonts w:hint="default"/>
        <w:b/>
        <w:bCs/>
        <w:w w:val="99"/>
      </w:rPr>
    </w:lvl>
    <w:lvl w:ilvl="3">
      <w:start w:val="1"/>
      <w:numFmt w:val="decimal"/>
      <w:lvlText w:val="%1.%2.%3.%4"/>
      <w:lvlJc w:val="left"/>
      <w:pPr>
        <w:ind w:left="1468" w:hanging="891"/>
        <w:jc w:val="left"/>
      </w:pPr>
      <w:rPr>
        <w:rFonts w:hint="default"/>
        <w:b/>
        <w:bCs/>
        <w:spacing w:val="-4"/>
        <w:w w:val="100"/>
      </w:rPr>
    </w:lvl>
    <w:lvl w:ilvl="4">
      <w:start w:val="0"/>
      <w:numFmt w:val="bullet"/>
      <w:lvlText w:val="•"/>
      <w:lvlJc w:val="left"/>
      <w:pPr>
        <w:ind w:left="2629" w:hanging="891"/>
      </w:pPr>
      <w:rPr>
        <w:rFonts w:hint="default"/>
      </w:rPr>
    </w:lvl>
    <w:lvl w:ilvl="5">
      <w:start w:val="0"/>
      <w:numFmt w:val="bullet"/>
      <w:lvlText w:val="•"/>
      <w:lvlJc w:val="left"/>
      <w:pPr>
        <w:ind w:left="3798" w:hanging="891"/>
      </w:pPr>
      <w:rPr>
        <w:rFonts w:hint="default"/>
      </w:rPr>
    </w:lvl>
    <w:lvl w:ilvl="6">
      <w:start w:val="0"/>
      <w:numFmt w:val="bullet"/>
      <w:lvlText w:val="•"/>
      <w:lvlJc w:val="left"/>
      <w:pPr>
        <w:ind w:left="4968" w:hanging="891"/>
      </w:pPr>
      <w:rPr>
        <w:rFonts w:hint="default"/>
      </w:rPr>
    </w:lvl>
    <w:lvl w:ilvl="7">
      <w:start w:val="0"/>
      <w:numFmt w:val="bullet"/>
      <w:lvlText w:val="•"/>
      <w:lvlJc w:val="left"/>
      <w:pPr>
        <w:ind w:left="6137" w:hanging="891"/>
      </w:pPr>
      <w:rPr>
        <w:rFonts w:hint="default"/>
      </w:rPr>
    </w:lvl>
    <w:lvl w:ilvl="8">
      <w:start w:val="0"/>
      <w:numFmt w:val="bullet"/>
      <w:lvlText w:val="•"/>
      <w:lvlJc w:val="left"/>
      <w:pPr>
        <w:ind w:left="7307" w:hanging="891"/>
      </w:pPr>
      <w:rPr>
        <w:rFonts w:hint="default"/>
      </w:rPr>
    </w:lvl>
  </w:abstractNum>
  <w:abstractNum w:abstractNumId="3">
    <w:multiLevelType w:val="hybridMultilevel"/>
    <w:lvl w:ilvl="0">
      <w:start w:val="5"/>
      <w:numFmt w:val="decimal"/>
      <w:lvlText w:val="%1"/>
      <w:lvlJc w:val="left"/>
      <w:pPr>
        <w:ind w:left="1139" w:hanging="562"/>
        <w:jc w:val="left"/>
      </w:pPr>
      <w:rPr>
        <w:rFonts w:hint="default"/>
      </w:rPr>
    </w:lvl>
    <w:lvl w:ilvl="1">
      <w:start w:val="1"/>
      <w:numFmt w:val="decimal"/>
      <w:lvlText w:val="%1.%2"/>
      <w:lvlJc w:val="left"/>
      <w:pPr>
        <w:ind w:left="1139" w:hanging="562"/>
        <w:jc w:val="left"/>
      </w:pPr>
      <w:rPr>
        <w:rFonts w:hint="default" w:ascii="Times New Roman" w:hAnsi="Times New Roman" w:eastAsia="Times New Roman" w:cs="Times New Roman"/>
        <w:b/>
        <w:bCs/>
        <w:spacing w:val="-1"/>
        <w:w w:val="99"/>
        <w:sz w:val="32"/>
        <w:szCs w:val="32"/>
      </w:rPr>
    </w:lvl>
    <w:lvl w:ilvl="2">
      <w:start w:val="1"/>
      <w:numFmt w:val="decimal"/>
      <w:lvlText w:val="%1.%2.%3"/>
      <w:lvlJc w:val="left"/>
      <w:pPr>
        <w:ind w:left="1278" w:hanging="701"/>
        <w:jc w:val="left"/>
      </w:pPr>
      <w:rPr>
        <w:rFonts w:hint="default" w:ascii="Times New Roman" w:hAnsi="Times New Roman" w:eastAsia="Times New Roman" w:cs="Times New Roman"/>
        <w:b/>
        <w:bCs/>
        <w:spacing w:val="-4"/>
        <w:w w:val="100"/>
        <w:sz w:val="28"/>
        <w:szCs w:val="28"/>
      </w:rPr>
    </w:lvl>
    <w:lvl w:ilvl="3">
      <w:start w:val="1"/>
      <w:numFmt w:val="decimal"/>
      <w:lvlText w:val="%1.%2.%3.%4"/>
      <w:lvlJc w:val="left"/>
      <w:pPr>
        <w:ind w:left="1358" w:hanging="780"/>
        <w:jc w:val="left"/>
      </w:pPr>
      <w:rPr>
        <w:rFonts w:hint="default"/>
        <w:b/>
        <w:bCs/>
        <w:spacing w:val="-1"/>
        <w:w w:val="100"/>
      </w:rPr>
    </w:lvl>
    <w:lvl w:ilvl="4">
      <w:start w:val="0"/>
      <w:numFmt w:val="bullet"/>
      <w:lvlText w:val="•"/>
      <w:lvlJc w:val="left"/>
      <w:pPr>
        <w:ind w:left="3431" w:hanging="780"/>
      </w:pPr>
      <w:rPr>
        <w:rFonts w:hint="default"/>
      </w:rPr>
    </w:lvl>
    <w:lvl w:ilvl="5">
      <w:start w:val="0"/>
      <w:numFmt w:val="bullet"/>
      <w:lvlText w:val="•"/>
      <w:lvlJc w:val="left"/>
      <w:pPr>
        <w:ind w:left="4467" w:hanging="780"/>
      </w:pPr>
      <w:rPr>
        <w:rFonts w:hint="default"/>
      </w:rPr>
    </w:lvl>
    <w:lvl w:ilvl="6">
      <w:start w:val="0"/>
      <w:numFmt w:val="bullet"/>
      <w:lvlText w:val="•"/>
      <w:lvlJc w:val="left"/>
      <w:pPr>
        <w:ind w:left="5503" w:hanging="780"/>
      </w:pPr>
      <w:rPr>
        <w:rFonts w:hint="default"/>
      </w:rPr>
    </w:lvl>
    <w:lvl w:ilvl="7">
      <w:start w:val="0"/>
      <w:numFmt w:val="bullet"/>
      <w:lvlText w:val="•"/>
      <w:lvlJc w:val="left"/>
      <w:pPr>
        <w:ind w:left="6539" w:hanging="780"/>
      </w:pPr>
      <w:rPr>
        <w:rFonts w:hint="default"/>
      </w:rPr>
    </w:lvl>
    <w:lvl w:ilvl="8">
      <w:start w:val="0"/>
      <w:numFmt w:val="bullet"/>
      <w:lvlText w:val="•"/>
      <w:lvlJc w:val="left"/>
      <w:pPr>
        <w:ind w:left="7574" w:hanging="780"/>
      </w:pPr>
      <w:rPr>
        <w:rFonts w:hint="default"/>
      </w:rPr>
    </w:lvl>
  </w:abstractNum>
  <w:abstractNum w:abstractNumId="2">
    <w:multiLevelType w:val="hybridMultilevel"/>
    <w:lvl w:ilvl="0">
      <w:start w:val="4"/>
      <w:numFmt w:val="decimal"/>
      <w:lvlText w:val="%1"/>
      <w:lvlJc w:val="left"/>
      <w:pPr>
        <w:ind w:left="1389" w:hanging="812"/>
        <w:jc w:val="left"/>
      </w:pPr>
      <w:rPr>
        <w:rFonts w:hint="default"/>
      </w:rPr>
    </w:lvl>
    <w:lvl w:ilvl="1">
      <w:start w:val="11"/>
      <w:numFmt w:val="decimal"/>
      <w:lvlText w:val="%1.%2"/>
      <w:lvlJc w:val="left"/>
      <w:pPr>
        <w:ind w:left="1389" w:hanging="812"/>
        <w:jc w:val="left"/>
      </w:pPr>
      <w:rPr>
        <w:rFonts w:hint="default"/>
        <w:b/>
        <w:bCs/>
        <w:w w:val="100"/>
      </w:rPr>
    </w:lvl>
    <w:lvl w:ilvl="2">
      <w:start w:val="0"/>
      <w:numFmt w:val="bullet"/>
      <w:lvlText w:val="•"/>
      <w:lvlJc w:val="left"/>
      <w:pPr>
        <w:ind w:left="3033" w:hanging="812"/>
      </w:pPr>
      <w:rPr>
        <w:rFonts w:hint="default"/>
      </w:rPr>
    </w:lvl>
    <w:lvl w:ilvl="3">
      <w:start w:val="0"/>
      <w:numFmt w:val="bullet"/>
      <w:lvlText w:val="•"/>
      <w:lvlJc w:val="left"/>
      <w:pPr>
        <w:ind w:left="3859" w:hanging="812"/>
      </w:pPr>
      <w:rPr>
        <w:rFonts w:hint="default"/>
      </w:rPr>
    </w:lvl>
    <w:lvl w:ilvl="4">
      <w:start w:val="0"/>
      <w:numFmt w:val="bullet"/>
      <w:lvlText w:val="•"/>
      <w:lvlJc w:val="left"/>
      <w:pPr>
        <w:ind w:left="4686" w:hanging="812"/>
      </w:pPr>
      <w:rPr>
        <w:rFonts w:hint="default"/>
      </w:rPr>
    </w:lvl>
    <w:lvl w:ilvl="5">
      <w:start w:val="0"/>
      <w:numFmt w:val="bullet"/>
      <w:lvlText w:val="•"/>
      <w:lvlJc w:val="left"/>
      <w:pPr>
        <w:ind w:left="5513" w:hanging="812"/>
      </w:pPr>
      <w:rPr>
        <w:rFonts w:hint="default"/>
      </w:rPr>
    </w:lvl>
    <w:lvl w:ilvl="6">
      <w:start w:val="0"/>
      <w:numFmt w:val="bullet"/>
      <w:lvlText w:val="•"/>
      <w:lvlJc w:val="left"/>
      <w:pPr>
        <w:ind w:left="6339" w:hanging="812"/>
      </w:pPr>
      <w:rPr>
        <w:rFonts w:hint="default"/>
      </w:rPr>
    </w:lvl>
    <w:lvl w:ilvl="7">
      <w:start w:val="0"/>
      <w:numFmt w:val="bullet"/>
      <w:lvlText w:val="•"/>
      <w:lvlJc w:val="left"/>
      <w:pPr>
        <w:ind w:left="7166" w:hanging="812"/>
      </w:pPr>
      <w:rPr>
        <w:rFonts w:hint="default"/>
      </w:rPr>
    </w:lvl>
    <w:lvl w:ilvl="8">
      <w:start w:val="0"/>
      <w:numFmt w:val="bullet"/>
      <w:lvlText w:val="•"/>
      <w:lvlJc w:val="left"/>
      <w:pPr>
        <w:ind w:left="7993" w:hanging="812"/>
      </w:pPr>
      <w:rPr>
        <w:rFonts w:hint="default"/>
      </w:rPr>
    </w:lvl>
  </w:abstractNum>
  <w:abstractNum w:abstractNumId="1">
    <w:multiLevelType w:val="hybridMultilevel"/>
    <w:lvl w:ilvl="0">
      <w:start w:val="4"/>
      <w:numFmt w:val="decimal"/>
      <w:lvlText w:val="%1"/>
      <w:lvlJc w:val="left"/>
      <w:pPr>
        <w:ind w:left="1198" w:hanging="960"/>
        <w:jc w:val="left"/>
      </w:pPr>
      <w:rPr>
        <w:rFonts w:hint="default"/>
      </w:rPr>
    </w:lvl>
    <w:lvl w:ilvl="1">
      <w:start w:val="10"/>
      <w:numFmt w:val="decimal"/>
      <w:lvlText w:val="%1.%2"/>
      <w:lvlJc w:val="left"/>
      <w:pPr>
        <w:ind w:left="1198" w:hanging="960"/>
        <w:jc w:val="left"/>
      </w:pPr>
      <w:rPr>
        <w:rFonts w:hint="default"/>
      </w:rPr>
    </w:lvl>
    <w:lvl w:ilvl="2">
      <w:start w:val="3"/>
      <w:numFmt w:val="decimal"/>
      <w:lvlText w:val="%1.%2.%3"/>
      <w:lvlJc w:val="left"/>
      <w:pPr>
        <w:ind w:left="1198" w:hanging="96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3481" w:hanging="960"/>
      </w:pPr>
      <w:rPr>
        <w:rFonts w:hint="default"/>
      </w:rPr>
    </w:lvl>
    <w:lvl w:ilvl="4">
      <w:start w:val="0"/>
      <w:numFmt w:val="bullet"/>
      <w:lvlText w:val="•"/>
      <w:lvlJc w:val="left"/>
      <w:pPr>
        <w:ind w:left="4242" w:hanging="960"/>
      </w:pPr>
      <w:rPr>
        <w:rFonts w:hint="default"/>
      </w:rPr>
    </w:lvl>
    <w:lvl w:ilvl="5">
      <w:start w:val="0"/>
      <w:numFmt w:val="bullet"/>
      <w:lvlText w:val="•"/>
      <w:lvlJc w:val="left"/>
      <w:pPr>
        <w:ind w:left="5003" w:hanging="960"/>
      </w:pPr>
      <w:rPr>
        <w:rFonts w:hint="default"/>
      </w:rPr>
    </w:lvl>
    <w:lvl w:ilvl="6">
      <w:start w:val="0"/>
      <w:numFmt w:val="bullet"/>
      <w:lvlText w:val="•"/>
      <w:lvlJc w:val="left"/>
      <w:pPr>
        <w:ind w:left="5763" w:hanging="960"/>
      </w:pPr>
      <w:rPr>
        <w:rFonts w:hint="default"/>
      </w:rPr>
    </w:lvl>
    <w:lvl w:ilvl="7">
      <w:start w:val="0"/>
      <w:numFmt w:val="bullet"/>
      <w:lvlText w:val="•"/>
      <w:lvlJc w:val="left"/>
      <w:pPr>
        <w:ind w:left="6524" w:hanging="960"/>
      </w:pPr>
      <w:rPr>
        <w:rFonts w:hint="default"/>
      </w:rPr>
    </w:lvl>
    <w:lvl w:ilvl="8">
      <w:start w:val="0"/>
      <w:numFmt w:val="bullet"/>
      <w:lvlText w:val="•"/>
      <w:lvlJc w:val="left"/>
      <w:pPr>
        <w:ind w:left="7285" w:hanging="960"/>
      </w:pPr>
      <w:rPr>
        <w:rFonts w:hint="default"/>
      </w:rPr>
    </w:lvl>
  </w:abstractNum>
  <w:abstractNum w:abstractNumId="0">
    <w:multiLevelType w:val="hybridMultilevel"/>
    <w:lvl w:ilvl="0">
      <w:start w:val="4"/>
      <w:numFmt w:val="decimal"/>
      <w:lvlText w:val="%1"/>
      <w:lvlJc w:val="left"/>
      <w:pPr>
        <w:ind w:left="1178" w:hanging="960"/>
        <w:jc w:val="left"/>
      </w:pPr>
      <w:rPr>
        <w:rFonts w:hint="default"/>
      </w:rPr>
    </w:lvl>
    <w:lvl w:ilvl="1">
      <w:start w:val="10"/>
      <w:numFmt w:val="decimal"/>
      <w:lvlText w:val="%1.%2"/>
      <w:lvlJc w:val="left"/>
      <w:pPr>
        <w:ind w:left="1178" w:hanging="960"/>
        <w:jc w:val="left"/>
      </w:pPr>
      <w:rPr>
        <w:rFonts w:hint="default"/>
      </w:rPr>
    </w:lvl>
    <w:lvl w:ilvl="2">
      <w:start w:val="2"/>
      <w:numFmt w:val="decimal"/>
      <w:lvlText w:val="%1.%2.%3"/>
      <w:lvlJc w:val="left"/>
      <w:pPr>
        <w:ind w:left="1178" w:hanging="96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269" w:hanging="1052"/>
        <w:jc w:val="left"/>
      </w:pPr>
      <w:rPr>
        <w:rFonts w:hint="default" w:ascii="Times New Roman" w:hAnsi="Times New Roman" w:eastAsia="Times New Roman" w:cs="Times New Roman"/>
        <w:b/>
        <w:bCs/>
        <w:spacing w:val="-3"/>
        <w:w w:val="100"/>
        <w:sz w:val="28"/>
        <w:szCs w:val="28"/>
      </w:rPr>
    </w:lvl>
    <w:lvl w:ilvl="4">
      <w:start w:val="0"/>
      <w:numFmt w:val="bullet"/>
      <w:lvlText w:val="•"/>
      <w:lvlJc w:val="left"/>
      <w:pPr>
        <w:ind w:left="3762" w:hanging="1052"/>
      </w:pPr>
      <w:rPr>
        <w:rFonts w:hint="default"/>
      </w:rPr>
    </w:lvl>
    <w:lvl w:ilvl="5">
      <w:start w:val="0"/>
      <w:numFmt w:val="bullet"/>
      <w:lvlText w:val="•"/>
      <w:lvlJc w:val="left"/>
      <w:pPr>
        <w:ind w:left="4596" w:hanging="1052"/>
      </w:pPr>
      <w:rPr>
        <w:rFonts w:hint="default"/>
      </w:rPr>
    </w:lvl>
    <w:lvl w:ilvl="6">
      <w:start w:val="0"/>
      <w:numFmt w:val="bullet"/>
      <w:lvlText w:val="•"/>
      <w:lvlJc w:val="left"/>
      <w:pPr>
        <w:ind w:left="5430" w:hanging="1052"/>
      </w:pPr>
      <w:rPr>
        <w:rFonts w:hint="default"/>
      </w:rPr>
    </w:lvl>
    <w:lvl w:ilvl="7">
      <w:start w:val="0"/>
      <w:numFmt w:val="bullet"/>
      <w:lvlText w:val="•"/>
      <w:lvlJc w:val="left"/>
      <w:pPr>
        <w:ind w:left="6264" w:hanging="1052"/>
      </w:pPr>
      <w:rPr>
        <w:rFonts w:hint="default"/>
      </w:rPr>
    </w:lvl>
    <w:lvl w:ilvl="8">
      <w:start w:val="0"/>
      <w:numFmt w:val="bullet"/>
      <w:lvlText w:val="•"/>
      <w:lvlJc w:val="left"/>
      <w:pPr>
        <w:ind w:left="7098" w:hanging="1052"/>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CJK JP Regular" w:hAnsi="Noto Sans CJK JP Regular" w:eastAsia="Noto Sans CJK JP Regular" w:cs="Noto Sans CJK JP Regular"/>
    </w:rPr>
  </w:style>
  <w:style w:styleId="BodyText" w:type="paragraph">
    <w:name w:val="Body Text"/>
    <w:basedOn w:val="Normal"/>
    <w:uiPriority w:val="1"/>
    <w:qFormat/>
    <w:pPr/>
    <w:rPr>
      <w:rFonts w:ascii="Noto Sans CJK JP Regular" w:hAnsi="Noto Sans CJK JP Regular" w:eastAsia="Noto Sans CJK JP Regular" w:cs="Noto Sans CJK JP Regular"/>
      <w:sz w:val="24"/>
      <w:szCs w:val="24"/>
    </w:rPr>
  </w:style>
  <w:style w:styleId="Heading1" w:type="paragraph">
    <w:name w:val="Heading 1"/>
    <w:basedOn w:val="Normal"/>
    <w:uiPriority w:val="1"/>
    <w:qFormat/>
    <w:pPr>
      <w:spacing w:line="725" w:lineRule="exact"/>
      <w:ind w:left="1019" w:hanging="660"/>
      <w:outlineLvl w:val="1"/>
    </w:pPr>
    <w:rPr>
      <w:rFonts w:ascii="Droid Sans Fallback" w:hAnsi="Droid Sans Fallback" w:eastAsia="Droid Sans Fallback" w:cs="Droid Sans Fallback"/>
      <w:sz w:val="44"/>
      <w:szCs w:val="44"/>
    </w:rPr>
  </w:style>
  <w:style w:styleId="Heading2" w:type="paragraph">
    <w:name w:val="Heading 2"/>
    <w:basedOn w:val="Normal"/>
    <w:uiPriority w:val="1"/>
    <w:qFormat/>
    <w:pPr>
      <w:ind w:left="1209" w:hanging="811"/>
      <w:outlineLvl w:val="2"/>
    </w:pPr>
    <w:rPr>
      <w:rFonts w:ascii="Droid Sans Fallback" w:hAnsi="Droid Sans Fallback" w:eastAsia="Droid Sans Fallback" w:cs="Droid Sans Fallback"/>
      <w:sz w:val="36"/>
      <w:szCs w:val="36"/>
    </w:rPr>
  </w:style>
  <w:style w:styleId="Heading3" w:type="paragraph">
    <w:name w:val="Heading 3"/>
    <w:basedOn w:val="Normal"/>
    <w:uiPriority w:val="1"/>
    <w:qFormat/>
    <w:pPr>
      <w:spacing w:before="150"/>
      <w:ind w:left="1377" w:hanging="799"/>
      <w:outlineLvl w:val="3"/>
    </w:pPr>
    <w:rPr>
      <w:rFonts w:ascii="Droid Sans Fallback" w:hAnsi="Droid Sans Fallback" w:eastAsia="Droid Sans Fallback" w:cs="Droid Sans Fallback"/>
      <w:sz w:val="32"/>
      <w:szCs w:val="32"/>
    </w:rPr>
  </w:style>
  <w:style w:styleId="Heading4" w:type="paragraph">
    <w:name w:val="Heading 4"/>
    <w:basedOn w:val="Normal"/>
    <w:uiPriority w:val="1"/>
    <w:qFormat/>
    <w:pPr>
      <w:spacing w:line="606" w:lineRule="exact"/>
      <w:ind w:left="1106" w:hanging="526"/>
      <w:outlineLvl w:val="4"/>
    </w:pPr>
    <w:rPr>
      <w:rFonts w:ascii="Noto Sans CJK JP Regular" w:hAnsi="Noto Sans CJK JP Regular" w:eastAsia="Noto Sans CJK JP Regular" w:cs="Noto Sans CJK JP Regular"/>
      <w:sz w:val="30"/>
      <w:szCs w:val="30"/>
    </w:rPr>
  </w:style>
  <w:style w:styleId="Heading5" w:type="paragraph">
    <w:name w:val="Heading 5"/>
    <w:basedOn w:val="Normal"/>
    <w:uiPriority w:val="1"/>
    <w:qFormat/>
    <w:pPr>
      <w:spacing w:line="592" w:lineRule="exact"/>
      <w:ind w:left="1278" w:hanging="912"/>
      <w:outlineLvl w:val="5"/>
    </w:pPr>
    <w:rPr>
      <w:rFonts w:ascii="Noto Sans CJK JP Regular" w:hAnsi="Noto Sans CJK JP Regular" w:eastAsia="Noto Sans CJK JP Regular" w:cs="Noto Sans CJK JP Regular"/>
      <w:sz w:val="28"/>
      <w:szCs w:val="28"/>
    </w:rPr>
  </w:style>
  <w:style w:styleId="ListParagraph" w:type="paragraph">
    <w:name w:val="List Paragraph"/>
    <w:basedOn w:val="Normal"/>
    <w:uiPriority w:val="1"/>
    <w:qFormat/>
    <w:pPr>
      <w:ind w:left="1278" w:hanging="1020"/>
    </w:pPr>
    <w:rPr>
      <w:rFonts w:ascii="Noto Sans CJK JP Regular" w:hAnsi="Noto Sans CJK JP Regular" w:eastAsia="Noto Sans CJK JP Regular" w:cs="Noto Sans CJK JP Regular"/>
    </w:rPr>
  </w:style>
  <w:style w:styleId="TableParagraph" w:type="paragraph">
    <w:name w:val="Table Paragraph"/>
    <w:basedOn w:val="Normal"/>
    <w:uiPriority w:val="1"/>
    <w:qFormat/>
    <w:pPr>
      <w:jc w:val="center"/>
    </w:pPr>
    <w:rPr>
      <w:rFonts w:ascii="Noto Sans CJK JP Regular" w:hAnsi="Noto Sans CJK JP Regular" w:eastAsia="Noto Sans CJK JP Regular" w:cs="Noto Sans CJK JP Regula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header" Target="header7.xml"/><Relationship Id="rId21" Type="http://schemas.openxmlformats.org/officeDocument/2006/relationships/footer" Target="footer10.xml"/><Relationship Id="rId22" Type="http://schemas.openxmlformats.org/officeDocument/2006/relationships/header" Target="header8.xm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header" Target="header9.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image" Target="media/image1.png"/><Relationship Id="rId29" Type="http://schemas.openxmlformats.org/officeDocument/2006/relationships/image" Target="media/image2.jpeg"/><Relationship Id="rId30" Type="http://schemas.openxmlformats.org/officeDocument/2006/relationships/footer" Target="footer15.xml"/><Relationship Id="rId31" Type="http://schemas.openxmlformats.org/officeDocument/2006/relationships/footer" Target="footer16.xml"/><Relationship Id="rId32" Type="http://schemas.openxmlformats.org/officeDocument/2006/relationships/image" Target="media/image3.jpeg"/><Relationship Id="rId33" Type="http://schemas.openxmlformats.org/officeDocument/2006/relationships/image" Target="media/image4.png"/><Relationship Id="rId34" Type="http://schemas.openxmlformats.org/officeDocument/2006/relationships/image" Target="media/image5.png"/><Relationship Id="rId35" Type="http://schemas.openxmlformats.org/officeDocument/2006/relationships/image" Target="media/image6.png"/><Relationship Id="rId36" Type="http://schemas.openxmlformats.org/officeDocument/2006/relationships/image" Target="media/image7.jpeg"/><Relationship Id="rId37" Type="http://schemas.openxmlformats.org/officeDocument/2006/relationships/image" Target="media/image8.jpeg"/><Relationship Id="rId38" Type="http://schemas.openxmlformats.org/officeDocument/2006/relationships/image" Target="media/image9.png"/><Relationship Id="rId39" Type="http://schemas.openxmlformats.org/officeDocument/2006/relationships/image" Target="media/image10.jpe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jpe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jpe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jpe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jpeg"/><Relationship Id="rId58" Type="http://schemas.openxmlformats.org/officeDocument/2006/relationships/header" Target="header10.xml"/><Relationship Id="rId59" Type="http://schemas.openxmlformats.org/officeDocument/2006/relationships/footer" Target="footer17.xml"/><Relationship Id="rId60" Type="http://schemas.openxmlformats.org/officeDocument/2006/relationships/footer" Target="footer18.xml"/><Relationship Id="rId61" Type="http://schemas.openxmlformats.org/officeDocument/2006/relationships/footer" Target="footer19.xml"/><Relationship Id="rId62" Type="http://schemas.openxmlformats.org/officeDocument/2006/relationships/footer" Target="footer20.xml"/><Relationship Id="rId63" Type="http://schemas.openxmlformats.org/officeDocument/2006/relationships/footer" Target="footer21.xml"/><Relationship Id="rId64" Type="http://schemas.openxmlformats.org/officeDocument/2006/relationships/image" Target="media/image29.jpeg"/><Relationship Id="rId65" Type="http://schemas.openxmlformats.org/officeDocument/2006/relationships/image" Target="media/image30.jpeg"/><Relationship Id="rId66" Type="http://schemas.openxmlformats.org/officeDocument/2006/relationships/image" Target="media/image31.jpeg"/><Relationship Id="rId67" Type="http://schemas.openxmlformats.org/officeDocument/2006/relationships/image" Target="media/image32.jpeg"/><Relationship Id="rId68" Type="http://schemas.openxmlformats.org/officeDocument/2006/relationships/image" Target="media/image33.jpeg"/><Relationship Id="rId69" Type="http://schemas.openxmlformats.org/officeDocument/2006/relationships/image" Target="media/image34.jpeg"/><Relationship Id="rId70" Type="http://schemas.openxmlformats.org/officeDocument/2006/relationships/footer" Target="footer22.xml"/><Relationship Id="rId71" Type="http://schemas.openxmlformats.org/officeDocument/2006/relationships/footer" Target="footer23.xml"/><Relationship Id="rId72" Type="http://schemas.openxmlformats.org/officeDocument/2006/relationships/header" Target="header11.xml"/><Relationship Id="rId73" Type="http://schemas.openxmlformats.org/officeDocument/2006/relationships/footer" Target="footer24.xml"/><Relationship Id="rId74" Type="http://schemas.openxmlformats.org/officeDocument/2006/relationships/header" Target="header12.xml"/><Relationship Id="rId75" Type="http://schemas.openxmlformats.org/officeDocument/2006/relationships/footer" Target="footer25.xml"/><Relationship Id="rId76" Type="http://schemas.openxmlformats.org/officeDocument/2006/relationships/footer" Target="footer26.xml"/><Relationship Id="rId77" Type="http://schemas.openxmlformats.org/officeDocument/2006/relationships/footer" Target="footer27.xml"/><Relationship Id="rId78" Type="http://schemas.openxmlformats.org/officeDocument/2006/relationships/header" Target="header13.xml"/><Relationship Id="rId79" Type="http://schemas.openxmlformats.org/officeDocument/2006/relationships/footer" Target="footer28.xml"/><Relationship Id="rId80" Type="http://schemas.openxmlformats.org/officeDocument/2006/relationships/image" Target="media/image35.png"/><Relationship Id="rId81" Type="http://schemas.openxmlformats.org/officeDocument/2006/relationships/image" Target="media/image36.png"/><Relationship Id="rId82" Type="http://schemas.openxmlformats.org/officeDocument/2006/relationships/image" Target="media/image37.png"/><Relationship Id="rId83" Type="http://schemas.openxmlformats.org/officeDocument/2006/relationships/image" Target="media/image38.png"/><Relationship Id="rId84" Type="http://schemas.openxmlformats.org/officeDocument/2006/relationships/image" Target="media/image39.png"/><Relationship Id="rId85" Type="http://schemas.openxmlformats.org/officeDocument/2006/relationships/image" Target="media/image40.png"/><Relationship Id="rId86" Type="http://schemas.openxmlformats.org/officeDocument/2006/relationships/image" Target="media/image41.png"/><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2019-06-05T01:35:27Z</dcterms:created>
  <dcterms:modified xsi:type="dcterms:W3CDTF">2019-06-05T01:35:27Z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2019-06-05T00:00:00Z</vt:filetime>
  </property>
</Properties>
</file>